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1412" w14:textId="0D7BFB57" w:rsidR="001C11D0" w:rsidRPr="009B61A4" w:rsidRDefault="003B6B1B" w:rsidP="009B61A4">
      <w:pPr>
        <w:pStyle w:val="Title"/>
      </w:pPr>
      <w:bookmarkStart w:id="0" w:name="_GoBack"/>
      <w:bookmarkEnd w:id="0"/>
      <w:r w:rsidRPr="009B61A4">
        <w:rPr>
          <w:b/>
          <w:noProof/>
          <w:sz w:val="24"/>
          <w:szCs w:val="24"/>
          <w:lang w:eastAsia="en-AU"/>
        </w:rPr>
        <w:drawing>
          <wp:anchor distT="0" distB="0" distL="114300" distR="114300" simplePos="0" relativeHeight="251659264" behindDoc="1" locked="0" layoutInCell="1" allowOverlap="1" wp14:anchorId="7ABB775E" wp14:editId="0F06FC15">
            <wp:simplePos x="0" y="0"/>
            <wp:positionH relativeFrom="page">
              <wp:posOffset>-599686</wp:posOffset>
            </wp:positionH>
            <wp:positionV relativeFrom="paragraph">
              <wp:posOffset>-914400</wp:posOffset>
            </wp:positionV>
            <wp:extent cx="8713910" cy="2971800"/>
            <wp:effectExtent l="0" t="0" r="0" b="0"/>
            <wp:wrapNone/>
            <wp:docPr id="20" name="Picture 20" descr="Backg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3910" cy="2971800"/>
                    </a:xfrm>
                    <a:prstGeom prst="rect">
                      <a:avLst/>
                    </a:prstGeom>
                  </pic:spPr>
                </pic:pic>
              </a:graphicData>
            </a:graphic>
            <wp14:sizeRelH relativeFrom="margin">
              <wp14:pctWidth>0</wp14:pctWidth>
            </wp14:sizeRelH>
            <wp14:sizeRelV relativeFrom="margin">
              <wp14:pctHeight>0</wp14:pctHeight>
            </wp14:sizeRelV>
          </wp:anchor>
        </w:drawing>
      </w:r>
      <w:r w:rsidR="009B61A4" w:rsidRPr="009B61A4">
        <w:rPr>
          <w:b/>
          <w:noProof/>
          <w:sz w:val="24"/>
          <w:szCs w:val="24"/>
          <w:lang w:eastAsia="en-AU"/>
        </w:rPr>
        <w:drawing>
          <wp:anchor distT="0" distB="0" distL="114300" distR="114300" simplePos="0" relativeHeight="251660288" behindDoc="0" locked="0" layoutInCell="1" allowOverlap="1" wp14:anchorId="058303FB" wp14:editId="15F4E539">
            <wp:simplePos x="0" y="0"/>
            <wp:positionH relativeFrom="margin">
              <wp:posOffset>-8255</wp:posOffset>
            </wp:positionH>
            <wp:positionV relativeFrom="paragraph">
              <wp:posOffset>-129540</wp:posOffset>
            </wp:positionV>
            <wp:extent cx="3312160" cy="683895"/>
            <wp:effectExtent l="0" t="0" r="2540" b="1905"/>
            <wp:wrapNone/>
            <wp:docPr id="21" name="Picture 2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_StudyTitle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2160" cy="683895"/>
                    </a:xfrm>
                    <a:prstGeom prst="rect">
                      <a:avLst/>
                    </a:prstGeom>
                  </pic:spPr>
                </pic:pic>
              </a:graphicData>
            </a:graphic>
          </wp:anchor>
        </w:drawing>
      </w:r>
      <w:r w:rsidR="001C11D0" w:rsidRPr="009B61A4">
        <w:t>Australian Longitudinal Study on Women’s Health</w:t>
      </w:r>
      <w:r w:rsidR="00602411">
        <w:br/>
      </w:r>
      <w:r w:rsidR="001C11D0" w:rsidRPr="009B61A4">
        <w:t>1921-26</w:t>
      </w:r>
      <w:r w:rsidR="009B61A4">
        <w:t xml:space="preserve"> Cohort </w:t>
      </w:r>
      <w:r w:rsidR="001C11D0" w:rsidRPr="009B61A4">
        <w:t>S</w:t>
      </w:r>
      <w:r w:rsidR="009B61A4">
        <w:t>ummary</w:t>
      </w:r>
      <w:r w:rsidR="001C11D0" w:rsidRPr="009B61A4">
        <w:t xml:space="preserve"> </w:t>
      </w:r>
      <w:r w:rsidR="00602411">
        <w:br/>
      </w:r>
      <w:r w:rsidR="009B61A4">
        <w:t>1996–</w:t>
      </w:r>
      <w:r w:rsidR="0006784C" w:rsidRPr="009B61A4">
        <w:t>2018</w:t>
      </w:r>
    </w:p>
    <w:p w14:paraId="0E4A579B" w14:textId="0C199998" w:rsidR="00533227" w:rsidRDefault="00B102A4" w:rsidP="009B61A4">
      <w:pPr>
        <w:pStyle w:val="Subtitle"/>
      </w:pPr>
      <w:r w:rsidRPr="005068B4">
        <w:t xml:space="preserve">October </w:t>
      </w:r>
      <w:r w:rsidR="0006784C" w:rsidRPr="005068B4">
        <w:t>201</w:t>
      </w:r>
      <w:r w:rsidR="0006784C">
        <w:t>8</w:t>
      </w:r>
      <w:r w:rsidR="001C11D0">
        <w:br w:type="page"/>
      </w:r>
    </w:p>
    <w:sdt>
      <w:sdtPr>
        <w:rPr>
          <w:rFonts w:ascii="Arial" w:eastAsiaTheme="minorHAnsi" w:hAnsi="Arial" w:cstheme="minorBidi"/>
          <w:b/>
          <w:bCs w:val="0"/>
          <w:caps w:val="0"/>
          <w:sz w:val="22"/>
          <w:szCs w:val="22"/>
          <w:lang w:val="en-AU" w:eastAsia="en-US"/>
        </w:rPr>
        <w:id w:val="268057335"/>
        <w:docPartObj>
          <w:docPartGallery w:val="Table of Contents"/>
          <w:docPartUnique/>
        </w:docPartObj>
      </w:sdtPr>
      <w:sdtEndPr>
        <w:rPr>
          <w:b w:val="0"/>
          <w:noProof/>
        </w:rPr>
      </w:sdtEndPr>
      <w:sdtContent>
        <w:p w14:paraId="6476C72E" w14:textId="6B9C2D44" w:rsidR="006D7D82" w:rsidRPr="00A0340E" w:rsidRDefault="00FF3A3F" w:rsidP="00A0340E">
          <w:pPr>
            <w:pStyle w:val="TOCHeading"/>
            <w:spacing w:before="0" w:beforeAutospacing="0" w:after="0" w:afterAutospacing="0"/>
            <w:rPr>
              <w:rFonts w:eastAsiaTheme="minorHAnsi" w:cstheme="minorBidi"/>
              <w:bCs w:val="0"/>
              <w:szCs w:val="32"/>
              <w:lang w:val="en-AU" w:eastAsia="en-US"/>
            </w:rPr>
          </w:pPr>
          <w:r w:rsidRPr="00A0340E">
            <w:rPr>
              <w:rFonts w:eastAsiaTheme="minorHAnsi" w:cstheme="minorBidi"/>
              <w:bCs w:val="0"/>
              <w:szCs w:val="32"/>
              <w:lang w:val="en-AU" w:eastAsia="en-US"/>
            </w:rPr>
            <w:t>Table of Contents</w:t>
          </w:r>
        </w:p>
        <w:p w14:paraId="6DBDC727" w14:textId="7BF49EC8" w:rsidR="00A0340E" w:rsidRDefault="006D7D82" w:rsidP="00A0340E">
          <w:pPr>
            <w:pStyle w:val="TOC1"/>
            <w:spacing w:beforeLines="60" w:before="144" w:beforeAutospacing="0" w:afterLines="60" w:after="144" w:afterAutospacing="0"/>
            <w:rPr>
              <w:rFonts w:asciiTheme="minorHAnsi" w:eastAsiaTheme="minorEastAsia" w:hAnsiTheme="minorHAnsi"/>
              <w:b w:val="0"/>
              <w:lang w:eastAsia="en-AU"/>
            </w:rPr>
          </w:pPr>
          <w:r w:rsidRPr="00FF3A3F">
            <w:fldChar w:fldCharType="begin"/>
          </w:r>
          <w:r w:rsidRPr="00FF3A3F">
            <w:instrText xml:space="preserve"> TOC \o "1-3" \h \z \u </w:instrText>
          </w:r>
          <w:r w:rsidRPr="00FF3A3F">
            <w:fldChar w:fldCharType="separate"/>
          </w:r>
          <w:hyperlink w:anchor="_Toc530561243" w:history="1">
            <w:r w:rsidR="00A0340E" w:rsidRPr="003B102A">
              <w:rPr>
                <w:rStyle w:val="Hyperlink"/>
              </w:rPr>
              <w:t>1</w:t>
            </w:r>
            <w:r w:rsidR="00A0340E">
              <w:rPr>
                <w:rFonts w:asciiTheme="minorHAnsi" w:eastAsiaTheme="minorEastAsia" w:hAnsiTheme="minorHAnsi"/>
                <w:b w:val="0"/>
                <w:lang w:eastAsia="en-AU"/>
              </w:rPr>
              <w:tab/>
            </w:r>
            <w:r w:rsidR="00A0340E" w:rsidRPr="003B102A">
              <w:rPr>
                <w:rStyle w:val="Hyperlink"/>
              </w:rPr>
              <w:t>Executive Summary</w:t>
            </w:r>
            <w:r w:rsidR="00A0340E">
              <w:rPr>
                <w:webHidden/>
              </w:rPr>
              <w:tab/>
            </w:r>
            <w:r w:rsidR="00A0340E">
              <w:rPr>
                <w:webHidden/>
              </w:rPr>
              <w:fldChar w:fldCharType="begin"/>
            </w:r>
            <w:r w:rsidR="00A0340E">
              <w:rPr>
                <w:webHidden/>
              </w:rPr>
              <w:instrText xml:space="preserve"> PAGEREF _Toc530561243 \h </w:instrText>
            </w:r>
            <w:r w:rsidR="00A0340E">
              <w:rPr>
                <w:webHidden/>
              </w:rPr>
            </w:r>
            <w:r w:rsidR="00A0340E">
              <w:rPr>
                <w:webHidden/>
              </w:rPr>
              <w:fldChar w:fldCharType="separate"/>
            </w:r>
            <w:r w:rsidR="00592779">
              <w:rPr>
                <w:webHidden/>
              </w:rPr>
              <w:t>4</w:t>
            </w:r>
            <w:r w:rsidR="00A0340E">
              <w:rPr>
                <w:webHidden/>
              </w:rPr>
              <w:fldChar w:fldCharType="end"/>
            </w:r>
          </w:hyperlink>
        </w:p>
        <w:p w14:paraId="248E1570" w14:textId="0F9364CB" w:rsidR="00A0340E" w:rsidRDefault="00592779" w:rsidP="00A0340E">
          <w:pPr>
            <w:pStyle w:val="TOC1"/>
            <w:spacing w:beforeLines="60" w:before="144" w:beforeAutospacing="0" w:afterLines="60" w:after="144" w:afterAutospacing="0"/>
            <w:rPr>
              <w:rFonts w:asciiTheme="minorHAnsi" w:eastAsiaTheme="minorEastAsia" w:hAnsiTheme="minorHAnsi"/>
              <w:b w:val="0"/>
              <w:lang w:eastAsia="en-AU"/>
            </w:rPr>
          </w:pPr>
          <w:hyperlink w:anchor="_Toc530561244" w:history="1">
            <w:r w:rsidR="00A0340E" w:rsidRPr="003B102A">
              <w:rPr>
                <w:rStyle w:val="Hyperlink"/>
              </w:rPr>
              <w:t>2</w:t>
            </w:r>
            <w:r w:rsidR="00A0340E">
              <w:rPr>
                <w:rFonts w:asciiTheme="minorHAnsi" w:eastAsiaTheme="minorEastAsia" w:hAnsiTheme="minorHAnsi"/>
                <w:b w:val="0"/>
                <w:lang w:eastAsia="en-AU"/>
              </w:rPr>
              <w:tab/>
            </w:r>
            <w:r w:rsidR="00A0340E" w:rsidRPr="003B102A">
              <w:rPr>
                <w:rStyle w:val="Hyperlink"/>
              </w:rPr>
              <w:t>Introduction</w:t>
            </w:r>
            <w:r w:rsidR="00A0340E">
              <w:rPr>
                <w:webHidden/>
              </w:rPr>
              <w:tab/>
            </w:r>
            <w:r w:rsidR="00A0340E">
              <w:rPr>
                <w:webHidden/>
              </w:rPr>
              <w:fldChar w:fldCharType="begin"/>
            </w:r>
            <w:r w:rsidR="00A0340E">
              <w:rPr>
                <w:webHidden/>
              </w:rPr>
              <w:instrText xml:space="preserve"> PAGEREF _Toc530561244 \h </w:instrText>
            </w:r>
            <w:r w:rsidR="00A0340E">
              <w:rPr>
                <w:webHidden/>
              </w:rPr>
            </w:r>
            <w:r w:rsidR="00A0340E">
              <w:rPr>
                <w:webHidden/>
              </w:rPr>
              <w:fldChar w:fldCharType="separate"/>
            </w:r>
            <w:r>
              <w:rPr>
                <w:webHidden/>
              </w:rPr>
              <w:t>6</w:t>
            </w:r>
            <w:r w:rsidR="00A0340E">
              <w:rPr>
                <w:webHidden/>
              </w:rPr>
              <w:fldChar w:fldCharType="end"/>
            </w:r>
          </w:hyperlink>
        </w:p>
        <w:p w14:paraId="79D91D4F" w14:textId="0A7685E5"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45" w:history="1">
            <w:r w:rsidR="00A0340E" w:rsidRPr="003B102A">
              <w:rPr>
                <w:rStyle w:val="Hyperlink"/>
                <w:noProof/>
              </w:rPr>
              <w:t>2.1</w:t>
            </w:r>
            <w:r w:rsidR="00A0340E">
              <w:rPr>
                <w:rFonts w:asciiTheme="minorHAnsi" w:eastAsiaTheme="minorEastAsia" w:hAnsiTheme="minorHAnsi"/>
                <w:noProof/>
                <w:lang w:eastAsia="en-AU"/>
              </w:rPr>
              <w:tab/>
            </w:r>
            <w:r w:rsidR="00A0340E" w:rsidRPr="003B102A">
              <w:rPr>
                <w:rStyle w:val="Hyperlink"/>
                <w:noProof/>
              </w:rPr>
              <w:t>Background</w:t>
            </w:r>
            <w:r w:rsidR="00A0340E">
              <w:rPr>
                <w:noProof/>
                <w:webHidden/>
              </w:rPr>
              <w:tab/>
            </w:r>
            <w:r w:rsidR="00A0340E">
              <w:rPr>
                <w:noProof/>
                <w:webHidden/>
              </w:rPr>
              <w:fldChar w:fldCharType="begin"/>
            </w:r>
            <w:r w:rsidR="00A0340E">
              <w:rPr>
                <w:noProof/>
                <w:webHidden/>
              </w:rPr>
              <w:instrText xml:space="preserve"> PAGEREF _Toc530561245 \h </w:instrText>
            </w:r>
            <w:r w:rsidR="00A0340E">
              <w:rPr>
                <w:noProof/>
                <w:webHidden/>
              </w:rPr>
            </w:r>
            <w:r w:rsidR="00A0340E">
              <w:rPr>
                <w:noProof/>
                <w:webHidden/>
              </w:rPr>
              <w:fldChar w:fldCharType="separate"/>
            </w:r>
            <w:r>
              <w:rPr>
                <w:noProof/>
                <w:webHidden/>
              </w:rPr>
              <w:t>6</w:t>
            </w:r>
            <w:r w:rsidR="00A0340E">
              <w:rPr>
                <w:noProof/>
                <w:webHidden/>
              </w:rPr>
              <w:fldChar w:fldCharType="end"/>
            </w:r>
          </w:hyperlink>
        </w:p>
        <w:p w14:paraId="194665AC" w14:textId="6AEC71F1"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46" w:history="1">
            <w:r w:rsidR="00A0340E" w:rsidRPr="003B102A">
              <w:rPr>
                <w:rStyle w:val="Hyperlink"/>
                <w:noProof/>
              </w:rPr>
              <w:t>2.2</w:t>
            </w:r>
            <w:r w:rsidR="00A0340E">
              <w:rPr>
                <w:rFonts w:asciiTheme="minorHAnsi" w:eastAsiaTheme="minorEastAsia" w:hAnsiTheme="minorHAnsi"/>
                <w:noProof/>
                <w:lang w:eastAsia="en-AU"/>
              </w:rPr>
              <w:tab/>
            </w:r>
            <w:r w:rsidR="00A0340E" w:rsidRPr="003B102A">
              <w:rPr>
                <w:rStyle w:val="Hyperlink"/>
                <w:noProof/>
              </w:rPr>
              <w:t>Surveys</w:t>
            </w:r>
            <w:r w:rsidR="00A0340E">
              <w:rPr>
                <w:noProof/>
                <w:webHidden/>
              </w:rPr>
              <w:tab/>
            </w:r>
            <w:r w:rsidR="00A0340E">
              <w:rPr>
                <w:noProof/>
                <w:webHidden/>
              </w:rPr>
              <w:fldChar w:fldCharType="begin"/>
            </w:r>
            <w:r w:rsidR="00A0340E">
              <w:rPr>
                <w:noProof/>
                <w:webHidden/>
              </w:rPr>
              <w:instrText xml:space="preserve"> PAGEREF _Toc530561246 \h </w:instrText>
            </w:r>
            <w:r w:rsidR="00A0340E">
              <w:rPr>
                <w:noProof/>
                <w:webHidden/>
              </w:rPr>
            </w:r>
            <w:r w:rsidR="00A0340E">
              <w:rPr>
                <w:noProof/>
                <w:webHidden/>
              </w:rPr>
              <w:fldChar w:fldCharType="separate"/>
            </w:r>
            <w:r>
              <w:rPr>
                <w:noProof/>
                <w:webHidden/>
              </w:rPr>
              <w:t>6</w:t>
            </w:r>
            <w:r w:rsidR="00A0340E">
              <w:rPr>
                <w:noProof/>
                <w:webHidden/>
              </w:rPr>
              <w:fldChar w:fldCharType="end"/>
            </w:r>
          </w:hyperlink>
        </w:p>
        <w:p w14:paraId="3CB748A2" w14:textId="16AC1385"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47" w:history="1">
            <w:r w:rsidR="00A0340E" w:rsidRPr="003B102A">
              <w:rPr>
                <w:rStyle w:val="Hyperlink"/>
                <w:noProof/>
              </w:rPr>
              <w:t>2.3</w:t>
            </w:r>
            <w:r w:rsidR="00A0340E">
              <w:rPr>
                <w:rFonts w:asciiTheme="minorHAnsi" w:eastAsiaTheme="minorEastAsia" w:hAnsiTheme="minorHAnsi"/>
                <w:noProof/>
                <w:lang w:eastAsia="en-AU"/>
              </w:rPr>
              <w:tab/>
            </w:r>
            <w:r w:rsidR="00A0340E" w:rsidRPr="003B102A">
              <w:rPr>
                <w:rStyle w:val="Hyperlink"/>
                <w:noProof/>
              </w:rPr>
              <w:t>Retention</w:t>
            </w:r>
            <w:r w:rsidR="00A0340E">
              <w:rPr>
                <w:noProof/>
                <w:webHidden/>
              </w:rPr>
              <w:tab/>
            </w:r>
            <w:r w:rsidR="00A0340E">
              <w:rPr>
                <w:noProof/>
                <w:webHidden/>
              </w:rPr>
              <w:fldChar w:fldCharType="begin"/>
            </w:r>
            <w:r w:rsidR="00A0340E">
              <w:rPr>
                <w:noProof/>
                <w:webHidden/>
              </w:rPr>
              <w:instrText xml:space="preserve"> PAGEREF _Toc530561247 \h </w:instrText>
            </w:r>
            <w:r w:rsidR="00A0340E">
              <w:rPr>
                <w:noProof/>
                <w:webHidden/>
              </w:rPr>
            </w:r>
            <w:r w:rsidR="00A0340E">
              <w:rPr>
                <w:noProof/>
                <w:webHidden/>
              </w:rPr>
              <w:fldChar w:fldCharType="separate"/>
            </w:r>
            <w:r>
              <w:rPr>
                <w:noProof/>
                <w:webHidden/>
              </w:rPr>
              <w:t>7</w:t>
            </w:r>
            <w:r w:rsidR="00A0340E">
              <w:rPr>
                <w:noProof/>
                <w:webHidden/>
              </w:rPr>
              <w:fldChar w:fldCharType="end"/>
            </w:r>
          </w:hyperlink>
        </w:p>
        <w:p w14:paraId="5E6A3DD3" w14:textId="54EAA470" w:rsidR="00A0340E" w:rsidRDefault="00592779" w:rsidP="00A0340E">
          <w:pPr>
            <w:pStyle w:val="TOC1"/>
            <w:spacing w:beforeLines="60" w:before="144" w:beforeAutospacing="0" w:afterLines="60" w:after="144" w:afterAutospacing="0"/>
            <w:rPr>
              <w:rFonts w:asciiTheme="minorHAnsi" w:eastAsiaTheme="minorEastAsia" w:hAnsiTheme="minorHAnsi"/>
              <w:b w:val="0"/>
              <w:lang w:eastAsia="en-AU"/>
            </w:rPr>
          </w:pPr>
          <w:hyperlink w:anchor="_Toc530561248" w:history="1">
            <w:r w:rsidR="00A0340E" w:rsidRPr="003B102A">
              <w:rPr>
                <w:rStyle w:val="Hyperlink"/>
              </w:rPr>
              <w:t>3</w:t>
            </w:r>
            <w:r w:rsidR="00A0340E">
              <w:rPr>
                <w:rFonts w:asciiTheme="minorHAnsi" w:eastAsiaTheme="minorEastAsia" w:hAnsiTheme="minorHAnsi"/>
                <w:b w:val="0"/>
                <w:lang w:eastAsia="en-AU"/>
              </w:rPr>
              <w:tab/>
            </w:r>
            <w:r w:rsidR="00A0340E" w:rsidRPr="003B102A">
              <w:rPr>
                <w:rStyle w:val="Hyperlink"/>
              </w:rPr>
              <w:t>SURVIVAL CURVES AND COHORT TRAJECTORIES 1996 – 2018</w:t>
            </w:r>
            <w:r w:rsidR="00A0340E">
              <w:rPr>
                <w:webHidden/>
              </w:rPr>
              <w:tab/>
            </w:r>
            <w:r w:rsidR="00A0340E">
              <w:rPr>
                <w:webHidden/>
              </w:rPr>
              <w:fldChar w:fldCharType="begin"/>
            </w:r>
            <w:r w:rsidR="00A0340E">
              <w:rPr>
                <w:webHidden/>
              </w:rPr>
              <w:instrText xml:space="preserve"> PAGEREF _Toc530561248 \h </w:instrText>
            </w:r>
            <w:r w:rsidR="00A0340E">
              <w:rPr>
                <w:webHidden/>
              </w:rPr>
            </w:r>
            <w:r w:rsidR="00A0340E">
              <w:rPr>
                <w:webHidden/>
              </w:rPr>
              <w:fldChar w:fldCharType="separate"/>
            </w:r>
            <w:r>
              <w:rPr>
                <w:webHidden/>
              </w:rPr>
              <w:t>10</w:t>
            </w:r>
            <w:r w:rsidR="00A0340E">
              <w:rPr>
                <w:webHidden/>
              </w:rPr>
              <w:fldChar w:fldCharType="end"/>
            </w:r>
          </w:hyperlink>
        </w:p>
        <w:p w14:paraId="2CD2B2BA" w14:textId="21AC6346"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49" w:history="1">
            <w:r w:rsidR="00A0340E" w:rsidRPr="003B102A">
              <w:rPr>
                <w:rStyle w:val="Hyperlink"/>
                <w:noProof/>
              </w:rPr>
              <w:t>3.1</w:t>
            </w:r>
            <w:r w:rsidR="00A0340E">
              <w:rPr>
                <w:rFonts w:asciiTheme="minorHAnsi" w:eastAsiaTheme="minorEastAsia" w:hAnsiTheme="minorHAnsi"/>
                <w:noProof/>
                <w:lang w:eastAsia="en-AU"/>
              </w:rPr>
              <w:tab/>
            </w:r>
            <w:r w:rsidR="00A0340E" w:rsidRPr="003B102A">
              <w:rPr>
                <w:rStyle w:val="Hyperlink"/>
                <w:noProof/>
              </w:rPr>
              <w:t>Explanation of survival curves</w:t>
            </w:r>
            <w:r w:rsidR="00A0340E">
              <w:rPr>
                <w:noProof/>
                <w:webHidden/>
              </w:rPr>
              <w:tab/>
            </w:r>
            <w:r w:rsidR="00A0340E">
              <w:rPr>
                <w:noProof/>
                <w:webHidden/>
              </w:rPr>
              <w:fldChar w:fldCharType="begin"/>
            </w:r>
            <w:r w:rsidR="00A0340E">
              <w:rPr>
                <w:noProof/>
                <w:webHidden/>
              </w:rPr>
              <w:instrText xml:space="preserve"> PAGEREF _Toc530561249 \h </w:instrText>
            </w:r>
            <w:r w:rsidR="00A0340E">
              <w:rPr>
                <w:noProof/>
                <w:webHidden/>
              </w:rPr>
            </w:r>
            <w:r w:rsidR="00A0340E">
              <w:rPr>
                <w:noProof/>
                <w:webHidden/>
              </w:rPr>
              <w:fldChar w:fldCharType="separate"/>
            </w:r>
            <w:r>
              <w:rPr>
                <w:noProof/>
                <w:webHidden/>
              </w:rPr>
              <w:t>10</w:t>
            </w:r>
            <w:r w:rsidR="00A0340E">
              <w:rPr>
                <w:noProof/>
                <w:webHidden/>
              </w:rPr>
              <w:fldChar w:fldCharType="end"/>
            </w:r>
          </w:hyperlink>
        </w:p>
        <w:p w14:paraId="2A1F52B4" w14:textId="77775214"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50" w:history="1">
            <w:r w:rsidR="00A0340E" w:rsidRPr="003B102A">
              <w:rPr>
                <w:rStyle w:val="Hyperlink"/>
                <w:noProof/>
              </w:rPr>
              <w:t>3.2</w:t>
            </w:r>
            <w:r w:rsidR="00A0340E">
              <w:rPr>
                <w:rFonts w:asciiTheme="minorHAnsi" w:eastAsiaTheme="minorEastAsia" w:hAnsiTheme="minorHAnsi"/>
                <w:noProof/>
                <w:lang w:eastAsia="en-AU"/>
              </w:rPr>
              <w:tab/>
            </w:r>
            <w:r w:rsidR="00A0340E" w:rsidRPr="003B102A">
              <w:rPr>
                <w:rStyle w:val="Hyperlink"/>
                <w:noProof/>
              </w:rPr>
              <w:t>Explanation of cohort trajectories</w:t>
            </w:r>
            <w:r w:rsidR="00A0340E">
              <w:rPr>
                <w:noProof/>
                <w:webHidden/>
              </w:rPr>
              <w:tab/>
            </w:r>
            <w:r w:rsidR="00A0340E">
              <w:rPr>
                <w:noProof/>
                <w:webHidden/>
              </w:rPr>
              <w:fldChar w:fldCharType="begin"/>
            </w:r>
            <w:r w:rsidR="00A0340E">
              <w:rPr>
                <w:noProof/>
                <w:webHidden/>
              </w:rPr>
              <w:instrText xml:space="preserve"> PAGEREF _Toc530561250 \h </w:instrText>
            </w:r>
            <w:r w:rsidR="00A0340E">
              <w:rPr>
                <w:noProof/>
                <w:webHidden/>
              </w:rPr>
            </w:r>
            <w:r w:rsidR="00A0340E">
              <w:rPr>
                <w:noProof/>
                <w:webHidden/>
              </w:rPr>
              <w:fldChar w:fldCharType="separate"/>
            </w:r>
            <w:r>
              <w:rPr>
                <w:noProof/>
                <w:webHidden/>
              </w:rPr>
              <w:t>11</w:t>
            </w:r>
            <w:r w:rsidR="00A0340E">
              <w:rPr>
                <w:noProof/>
                <w:webHidden/>
              </w:rPr>
              <w:fldChar w:fldCharType="end"/>
            </w:r>
          </w:hyperlink>
        </w:p>
        <w:p w14:paraId="0EB481A9" w14:textId="5FEB2A65"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51" w:history="1">
            <w:r w:rsidR="00A0340E" w:rsidRPr="003B102A">
              <w:rPr>
                <w:rStyle w:val="Hyperlink"/>
                <w:noProof/>
              </w:rPr>
              <w:t>3.3</w:t>
            </w:r>
            <w:r w:rsidR="00A0340E">
              <w:rPr>
                <w:rFonts w:asciiTheme="minorHAnsi" w:eastAsiaTheme="minorEastAsia" w:hAnsiTheme="minorHAnsi"/>
                <w:noProof/>
                <w:lang w:eastAsia="en-AU"/>
              </w:rPr>
              <w:tab/>
            </w:r>
            <w:r w:rsidR="00A0340E" w:rsidRPr="003B102A">
              <w:rPr>
                <w:rStyle w:val="Hyperlink"/>
                <w:noProof/>
              </w:rPr>
              <w:t>Sociodemographic factors</w:t>
            </w:r>
            <w:r w:rsidR="00A0340E">
              <w:rPr>
                <w:noProof/>
                <w:webHidden/>
              </w:rPr>
              <w:tab/>
            </w:r>
            <w:r w:rsidR="00A0340E">
              <w:rPr>
                <w:noProof/>
                <w:webHidden/>
              </w:rPr>
              <w:fldChar w:fldCharType="begin"/>
            </w:r>
            <w:r w:rsidR="00A0340E">
              <w:rPr>
                <w:noProof/>
                <w:webHidden/>
              </w:rPr>
              <w:instrText xml:space="preserve"> PAGEREF _Toc530561251 \h </w:instrText>
            </w:r>
            <w:r w:rsidR="00A0340E">
              <w:rPr>
                <w:noProof/>
                <w:webHidden/>
              </w:rPr>
            </w:r>
            <w:r w:rsidR="00A0340E">
              <w:rPr>
                <w:noProof/>
                <w:webHidden/>
              </w:rPr>
              <w:fldChar w:fldCharType="separate"/>
            </w:r>
            <w:r>
              <w:rPr>
                <w:noProof/>
                <w:webHidden/>
              </w:rPr>
              <w:t>13</w:t>
            </w:r>
            <w:r w:rsidR="00A0340E">
              <w:rPr>
                <w:noProof/>
                <w:webHidden/>
              </w:rPr>
              <w:fldChar w:fldCharType="end"/>
            </w:r>
          </w:hyperlink>
        </w:p>
        <w:p w14:paraId="3DDEE1B3" w14:textId="60370F1E"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52" w:history="1">
            <w:r w:rsidR="00A0340E" w:rsidRPr="003B102A">
              <w:rPr>
                <w:rStyle w:val="Hyperlink"/>
                <w:noProof/>
              </w:rPr>
              <w:t>3.3.1</w:t>
            </w:r>
            <w:r w:rsidR="00A0340E">
              <w:rPr>
                <w:rFonts w:asciiTheme="minorHAnsi" w:eastAsiaTheme="minorEastAsia" w:hAnsiTheme="minorHAnsi"/>
                <w:noProof/>
                <w:lang w:eastAsia="en-AU"/>
              </w:rPr>
              <w:tab/>
            </w:r>
            <w:r w:rsidR="00A0340E" w:rsidRPr="003B102A">
              <w:rPr>
                <w:rStyle w:val="Hyperlink"/>
                <w:noProof/>
              </w:rPr>
              <w:t>Area of residence</w:t>
            </w:r>
            <w:r w:rsidR="00A0340E">
              <w:rPr>
                <w:noProof/>
                <w:webHidden/>
              </w:rPr>
              <w:tab/>
            </w:r>
            <w:r w:rsidR="00A0340E">
              <w:rPr>
                <w:noProof/>
                <w:webHidden/>
              </w:rPr>
              <w:fldChar w:fldCharType="begin"/>
            </w:r>
            <w:r w:rsidR="00A0340E">
              <w:rPr>
                <w:noProof/>
                <w:webHidden/>
              </w:rPr>
              <w:instrText xml:space="preserve"> PAGEREF _Toc530561252 \h </w:instrText>
            </w:r>
            <w:r w:rsidR="00A0340E">
              <w:rPr>
                <w:noProof/>
                <w:webHidden/>
              </w:rPr>
            </w:r>
            <w:r w:rsidR="00A0340E">
              <w:rPr>
                <w:noProof/>
                <w:webHidden/>
              </w:rPr>
              <w:fldChar w:fldCharType="separate"/>
            </w:r>
            <w:r>
              <w:rPr>
                <w:noProof/>
                <w:webHidden/>
              </w:rPr>
              <w:t>13</w:t>
            </w:r>
            <w:r w:rsidR="00A0340E">
              <w:rPr>
                <w:noProof/>
                <w:webHidden/>
              </w:rPr>
              <w:fldChar w:fldCharType="end"/>
            </w:r>
          </w:hyperlink>
        </w:p>
        <w:p w14:paraId="2A855770" w14:textId="69F2D3DE"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53" w:history="1">
            <w:r w:rsidR="00A0340E" w:rsidRPr="003B102A">
              <w:rPr>
                <w:rStyle w:val="Hyperlink"/>
                <w:noProof/>
              </w:rPr>
              <w:t>3.3.2</w:t>
            </w:r>
            <w:r w:rsidR="00A0340E">
              <w:rPr>
                <w:rFonts w:asciiTheme="minorHAnsi" w:eastAsiaTheme="minorEastAsia" w:hAnsiTheme="minorHAnsi"/>
                <w:noProof/>
                <w:lang w:eastAsia="en-AU"/>
              </w:rPr>
              <w:tab/>
            </w:r>
            <w:r w:rsidR="00A0340E" w:rsidRPr="003B102A">
              <w:rPr>
                <w:rStyle w:val="Hyperlink"/>
                <w:noProof/>
              </w:rPr>
              <w:t>Country of Birth</w:t>
            </w:r>
            <w:r w:rsidR="00A0340E">
              <w:rPr>
                <w:noProof/>
                <w:webHidden/>
              </w:rPr>
              <w:tab/>
            </w:r>
            <w:r w:rsidR="00A0340E">
              <w:rPr>
                <w:noProof/>
                <w:webHidden/>
              </w:rPr>
              <w:fldChar w:fldCharType="begin"/>
            </w:r>
            <w:r w:rsidR="00A0340E">
              <w:rPr>
                <w:noProof/>
                <w:webHidden/>
              </w:rPr>
              <w:instrText xml:space="preserve"> PAGEREF _Toc530561253 \h </w:instrText>
            </w:r>
            <w:r w:rsidR="00A0340E">
              <w:rPr>
                <w:noProof/>
                <w:webHidden/>
              </w:rPr>
            </w:r>
            <w:r w:rsidR="00A0340E">
              <w:rPr>
                <w:noProof/>
                <w:webHidden/>
              </w:rPr>
              <w:fldChar w:fldCharType="separate"/>
            </w:r>
            <w:r>
              <w:rPr>
                <w:noProof/>
                <w:webHidden/>
              </w:rPr>
              <w:t>14</w:t>
            </w:r>
            <w:r w:rsidR="00A0340E">
              <w:rPr>
                <w:noProof/>
                <w:webHidden/>
              </w:rPr>
              <w:fldChar w:fldCharType="end"/>
            </w:r>
          </w:hyperlink>
        </w:p>
        <w:p w14:paraId="58781B22" w14:textId="3901D8B5"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54" w:history="1">
            <w:r w:rsidR="00A0340E" w:rsidRPr="003B102A">
              <w:rPr>
                <w:rStyle w:val="Hyperlink"/>
                <w:noProof/>
              </w:rPr>
              <w:t>3.3.3</w:t>
            </w:r>
            <w:r w:rsidR="00A0340E">
              <w:rPr>
                <w:rFonts w:asciiTheme="minorHAnsi" w:eastAsiaTheme="minorEastAsia" w:hAnsiTheme="minorHAnsi"/>
                <w:noProof/>
                <w:lang w:eastAsia="en-AU"/>
              </w:rPr>
              <w:tab/>
            </w:r>
            <w:r w:rsidR="00A0340E" w:rsidRPr="003B102A">
              <w:rPr>
                <w:rStyle w:val="Hyperlink"/>
                <w:noProof/>
              </w:rPr>
              <w:t>Education</w:t>
            </w:r>
            <w:r w:rsidR="00A0340E">
              <w:rPr>
                <w:noProof/>
                <w:webHidden/>
              </w:rPr>
              <w:tab/>
            </w:r>
            <w:r w:rsidR="00A0340E">
              <w:rPr>
                <w:noProof/>
                <w:webHidden/>
              </w:rPr>
              <w:fldChar w:fldCharType="begin"/>
            </w:r>
            <w:r w:rsidR="00A0340E">
              <w:rPr>
                <w:noProof/>
                <w:webHidden/>
              </w:rPr>
              <w:instrText xml:space="preserve"> PAGEREF _Toc530561254 \h </w:instrText>
            </w:r>
            <w:r w:rsidR="00A0340E">
              <w:rPr>
                <w:noProof/>
                <w:webHidden/>
              </w:rPr>
            </w:r>
            <w:r w:rsidR="00A0340E">
              <w:rPr>
                <w:noProof/>
                <w:webHidden/>
              </w:rPr>
              <w:fldChar w:fldCharType="separate"/>
            </w:r>
            <w:r>
              <w:rPr>
                <w:noProof/>
                <w:webHidden/>
              </w:rPr>
              <w:t>15</w:t>
            </w:r>
            <w:r w:rsidR="00A0340E">
              <w:rPr>
                <w:noProof/>
                <w:webHidden/>
              </w:rPr>
              <w:fldChar w:fldCharType="end"/>
            </w:r>
          </w:hyperlink>
        </w:p>
        <w:p w14:paraId="12B5D114" w14:textId="2E3649A4"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55" w:history="1">
            <w:r w:rsidR="00A0340E" w:rsidRPr="003B102A">
              <w:rPr>
                <w:rStyle w:val="Hyperlink"/>
                <w:noProof/>
              </w:rPr>
              <w:t>3.3.4</w:t>
            </w:r>
            <w:r w:rsidR="00A0340E">
              <w:rPr>
                <w:rFonts w:asciiTheme="minorHAnsi" w:eastAsiaTheme="minorEastAsia" w:hAnsiTheme="minorHAnsi"/>
                <w:noProof/>
                <w:lang w:eastAsia="en-AU"/>
              </w:rPr>
              <w:tab/>
            </w:r>
            <w:r w:rsidR="00A0340E" w:rsidRPr="003B102A">
              <w:rPr>
                <w:rStyle w:val="Hyperlink"/>
                <w:noProof/>
              </w:rPr>
              <w:t>Marital Status</w:t>
            </w:r>
            <w:r w:rsidR="00A0340E">
              <w:rPr>
                <w:noProof/>
                <w:webHidden/>
              </w:rPr>
              <w:tab/>
            </w:r>
            <w:r w:rsidR="00A0340E">
              <w:rPr>
                <w:noProof/>
                <w:webHidden/>
              </w:rPr>
              <w:fldChar w:fldCharType="begin"/>
            </w:r>
            <w:r w:rsidR="00A0340E">
              <w:rPr>
                <w:noProof/>
                <w:webHidden/>
              </w:rPr>
              <w:instrText xml:space="preserve"> PAGEREF _Toc530561255 \h </w:instrText>
            </w:r>
            <w:r w:rsidR="00A0340E">
              <w:rPr>
                <w:noProof/>
                <w:webHidden/>
              </w:rPr>
            </w:r>
            <w:r w:rsidR="00A0340E">
              <w:rPr>
                <w:noProof/>
                <w:webHidden/>
              </w:rPr>
              <w:fldChar w:fldCharType="separate"/>
            </w:r>
            <w:r>
              <w:rPr>
                <w:noProof/>
                <w:webHidden/>
              </w:rPr>
              <w:t>16</w:t>
            </w:r>
            <w:r w:rsidR="00A0340E">
              <w:rPr>
                <w:noProof/>
                <w:webHidden/>
              </w:rPr>
              <w:fldChar w:fldCharType="end"/>
            </w:r>
          </w:hyperlink>
        </w:p>
        <w:p w14:paraId="6422AB0E" w14:textId="5A001DB0"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56" w:history="1">
            <w:r w:rsidR="00A0340E" w:rsidRPr="003B102A">
              <w:rPr>
                <w:rStyle w:val="Hyperlink"/>
                <w:noProof/>
              </w:rPr>
              <w:t>3.3.5</w:t>
            </w:r>
            <w:r w:rsidR="00A0340E">
              <w:rPr>
                <w:rFonts w:asciiTheme="minorHAnsi" w:eastAsiaTheme="minorEastAsia" w:hAnsiTheme="minorHAnsi"/>
                <w:noProof/>
                <w:lang w:eastAsia="en-AU"/>
              </w:rPr>
              <w:tab/>
            </w:r>
            <w:r w:rsidR="00A0340E" w:rsidRPr="003B102A">
              <w:rPr>
                <w:rStyle w:val="Hyperlink"/>
                <w:noProof/>
              </w:rPr>
              <w:t>Manage on Income</w:t>
            </w:r>
            <w:r w:rsidR="00A0340E">
              <w:rPr>
                <w:noProof/>
                <w:webHidden/>
              </w:rPr>
              <w:tab/>
            </w:r>
            <w:r w:rsidR="00A0340E">
              <w:rPr>
                <w:noProof/>
                <w:webHidden/>
              </w:rPr>
              <w:fldChar w:fldCharType="begin"/>
            </w:r>
            <w:r w:rsidR="00A0340E">
              <w:rPr>
                <w:noProof/>
                <w:webHidden/>
              </w:rPr>
              <w:instrText xml:space="preserve"> PAGEREF _Toc530561256 \h </w:instrText>
            </w:r>
            <w:r w:rsidR="00A0340E">
              <w:rPr>
                <w:noProof/>
                <w:webHidden/>
              </w:rPr>
            </w:r>
            <w:r w:rsidR="00A0340E">
              <w:rPr>
                <w:noProof/>
                <w:webHidden/>
              </w:rPr>
              <w:fldChar w:fldCharType="separate"/>
            </w:r>
            <w:r>
              <w:rPr>
                <w:noProof/>
                <w:webHidden/>
              </w:rPr>
              <w:t>18</w:t>
            </w:r>
            <w:r w:rsidR="00A0340E">
              <w:rPr>
                <w:noProof/>
                <w:webHidden/>
              </w:rPr>
              <w:fldChar w:fldCharType="end"/>
            </w:r>
          </w:hyperlink>
        </w:p>
        <w:p w14:paraId="21091A2B" w14:textId="2F150A4F"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57" w:history="1">
            <w:r w:rsidR="00A0340E" w:rsidRPr="003B102A">
              <w:rPr>
                <w:rStyle w:val="Hyperlink"/>
                <w:noProof/>
              </w:rPr>
              <w:t>3.4</w:t>
            </w:r>
            <w:r w:rsidR="00A0340E">
              <w:rPr>
                <w:rFonts w:asciiTheme="minorHAnsi" w:eastAsiaTheme="minorEastAsia" w:hAnsiTheme="minorHAnsi"/>
                <w:noProof/>
                <w:lang w:eastAsia="en-AU"/>
              </w:rPr>
              <w:tab/>
            </w:r>
            <w:r w:rsidR="00A0340E" w:rsidRPr="003B102A">
              <w:rPr>
                <w:rStyle w:val="Hyperlink"/>
                <w:noProof/>
              </w:rPr>
              <w:t>Lifestyle</w:t>
            </w:r>
            <w:r w:rsidR="00A0340E">
              <w:rPr>
                <w:noProof/>
                <w:webHidden/>
              </w:rPr>
              <w:tab/>
            </w:r>
            <w:r w:rsidR="00A0340E">
              <w:rPr>
                <w:noProof/>
                <w:webHidden/>
              </w:rPr>
              <w:fldChar w:fldCharType="begin"/>
            </w:r>
            <w:r w:rsidR="00A0340E">
              <w:rPr>
                <w:noProof/>
                <w:webHidden/>
              </w:rPr>
              <w:instrText xml:space="preserve"> PAGEREF _Toc530561257 \h </w:instrText>
            </w:r>
            <w:r w:rsidR="00A0340E">
              <w:rPr>
                <w:noProof/>
                <w:webHidden/>
              </w:rPr>
            </w:r>
            <w:r w:rsidR="00A0340E">
              <w:rPr>
                <w:noProof/>
                <w:webHidden/>
              </w:rPr>
              <w:fldChar w:fldCharType="separate"/>
            </w:r>
            <w:r>
              <w:rPr>
                <w:noProof/>
                <w:webHidden/>
              </w:rPr>
              <w:t>19</w:t>
            </w:r>
            <w:r w:rsidR="00A0340E">
              <w:rPr>
                <w:noProof/>
                <w:webHidden/>
              </w:rPr>
              <w:fldChar w:fldCharType="end"/>
            </w:r>
          </w:hyperlink>
        </w:p>
        <w:p w14:paraId="753DB48A" w14:textId="112C204F"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58" w:history="1">
            <w:r w:rsidR="00A0340E" w:rsidRPr="003B102A">
              <w:rPr>
                <w:rStyle w:val="Hyperlink"/>
                <w:noProof/>
              </w:rPr>
              <w:t>3.4.1</w:t>
            </w:r>
            <w:r w:rsidR="00A0340E">
              <w:rPr>
                <w:rFonts w:asciiTheme="minorHAnsi" w:eastAsiaTheme="minorEastAsia" w:hAnsiTheme="minorHAnsi"/>
                <w:noProof/>
                <w:lang w:eastAsia="en-AU"/>
              </w:rPr>
              <w:tab/>
            </w:r>
            <w:r w:rsidR="00A0340E" w:rsidRPr="003B102A">
              <w:rPr>
                <w:rStyle w:val="Hyperlink"/>
                <w:noProof/>
              </w:rPr>
              <w:t>Weight and Body Mass Index (BMI)</w:t>
            </w:r>
            <w:r w:rsidR="00A0340E">
              <w:rPr>
                <w:noProof/>
                <w:webHidden/>
              </w:rPr>
              <w:tab/>
            </w:r>
            <w:r w:rsidR="00A0340E">
              <w:rPr>
                <w:noProof/>
                <w:webHidden/>
              </w:rPr>
              <w:fldChar w:fldCharType="begin"/>
            </w:r>
            <w:r w:rsidR="00A0340E">
              <w:rPr>
                <w:noProof/>
                <w:webHidden/>
              </w:rPr>
              <w:instrText xml:space="preserve"> PAGEREF _Toc530561258 \h </w:instrText>
            </w:r>
            <w:r w:rsidR="00A0340E">
              <w:rPr>
                <w:noProof/>
                <w:webHidden/>
              </w:rPr>
            </w:r>
            <w:r w:rsidR="00A0340E">
              <w:rPr>
                <w:noProof/>
                <w:webHidden/>
              </w:rPr>
              <w:fldChar w:fldCharType="separate"/>
            </w:r>
            <w:r>
              <w:rPr>
                <w:noProof/>
                <w:webHidden/>
              </w:rPr>
              <w:t>19</w:t>
            </w:r>
            <w:r w:rsidR="00A0340E">
              <w:rPr>
                <w:noProof/>
                <w:webHidden/>
              </w:rPr>
              <w:fldChar w:fldCharType="end"/>
            </w:r>
          </w:hyperlink>
        </w:p>
        <w:p w14:paraId="5B4418ED" w14:textId="0AA72505"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59" w:history="1">
            <w:r w:rsidR="00A0340E" w:rsidRPr="003B102A">
              <w:rPr>
                <w:rStyle w:val="Hyperlink"/>
                <w:noProof/>
              </w:rPr>
              <w:t>3.4.2</w:t>
            </w:r>
            <w:r w:rsidR="00A0340E">
              <w:rPr>
                <w:rFonts w:asciiTheme="minorHAnsi" w:eastAsiaTheme="minorEastAsia" w:hAnsiTheme="minorHAnsi"/>
                <w:noProof/>
                <w:lang w:eastAsia="en-AU"/>
              </w:rPr>
              <w:tab/>
            </w:r>
            <w:r w:rsidR="00A0340E" w:rsidRPr="003B102A">
              <w:rPr>
                <w:rStyle w:val="Hyperlink"/>
                <w:noProof/>
              </w:rPr>
              <w:t>Smoking</w:t>
            </w:r>
            <w:r w:rsidR="00A0340E">
              <w:rPr>
                <w:noProof/>
                <w:webHidden/>
              </w:rPr>
              <w:tab/>
            </w:r>
            <w:r w:rsidR="00A0340E">
              <w:rPr>
                <w:noProof/>
                <w:webHidden/>
              </w:rPr>
              <w:fldChar w:fldCharType="begin"/>
            </w:r>
            <w:r w:rsidR="00A0340E">
              <w:rPr>
                <w:noProof/>
                <w:webHidden/>
              </w:rPr>
              <w:instrText xml:space="preserve"> PAGEREF _Toc530561259 \h </w:instrText>
            </w:r>
            <w:r w:rsidR="00A0340E">
              <w:rPr>
                <w:noProof/>
                <w:webHidden/>
              </w:rPr>
            </w:r>
            <w:r w:rsidR="00A0340E">
              <w:rPr>
                <w:noProof/>
                <w:webHidden/>
              </w:rPr>
              <w:fldChar w:fldCharType="separate"/>
            </w:r>
            <w:r>
              <w:rPr>
                <w:noProof/>
                <w:webHidden/>
              </w:rPr>
              <w:t>20</w:t>
            </w:r>
            <w:r w:rsidR="00A0340E">
              <w:rPr>
                <w:noProof/>
                <w:webHidden/>
              </w:rPr>
              <w:fldChar w:fldCharType="end"/>
            </w:r>
          </w:hyperlink>
        </w:p>
        <w:p w14:paraId="5E7D339B" w14:textId="4A553D0B"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60" w:history="1">
            <w:r w:rsidR="00A0340E" w:rsidRPr="003B102A">
              <w:rPr>
                <w:rStyle w:val="Hyperlink"/>
                <w:noProof/>
              </w:rPr>
              <w:t>3.4.3</w:t>
            </w:r>
            <w:r w:rsidR="00A0340E">
              <w:rPr>
                <w:rFonts w:asciiTheme="minorHAnsi" w:eastAsiaTheme="minorEastAsia" w:hAnsiTheme="minorHAnsi"/>
                <w:noProof/>
                <w:lang w:eastAsia="en-AU"/>
              </w:rPr>
              <w:tab/>
            </w:r>
            <w:r w:rsidR="00A0340E" w:rsidRPr="003B102A">
              <w:rPr>
                <w:rStyle w:val="Hyperlink"/>
                <w:noProof/>
              </w:rPr>
              <w:t>Physical Activity</w:t>
            </w:r>
            <w:r w:rsidR="00A0340E">
              <w:rPr>
                <w:noProof/>
                <w:webHidden/>
              </w:rPr>
              <w:tab/>
            </w:r>
            <w:r w:rsidR="00A0340E">
              <w:rPr>
                <w:noProof/>
                <w:webHidden/>
              </w:rPr>
              <w:fldChar w:fldCharType="begin"/>
            </w:r>
            <w:r w:rsidR="00A0340E">
              <w:rPr>
                <w:noProof/>
                <w:webHidden/>
              </w:rPr>
              <w:instrText xml:space="preserve"> PAGEREF _Toc530561260 \h </w:instrText>
            </w:r>
            <w:r w:rsidR="00A0340E">
              <w:rPr>
                <w:noProof/>
                <w:webHidden/>
              </w:rPr>
            </w:r>
            <w:r w:rsidR="00A0340E">
              <w:rPr>
                <w:noProof/>
                <w:webHidden/>
              </w:rPr>
              <w:fldChar w:fldCharType="separate"/>
            </w:r>
            <w:r>
              <w:rPr>
                <w:noProof/>
                <w:webHidden/>
              </w:rPr>
              <w:t>21</w:t>
            </w:r>
            <w:r w:rsidR="00A0340E">
              <w:rPr>
                <w:noProof/>
                <w:webHidden/>
              </w:rPr>
              <w:fldChar w:fldCharType="end"/>
            </w:r>
          </w:hyperlink>
        </w:p>
        <w:p w14:paraId="0431B6A6" w14:textId="6275001B"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61" w:history="1">
            <w:r w:rsidR="00A0340E" w:rsidRPr="003B102A">
              <w:rPr>
                <w:rStyle w:val="Hyperlink"/>
                <w:noProof/>
              </w:rPr>
              <w:t>3.5</w:t>
            </w:r>
            <w:r w:rsidR="00A0340E">
              <w:rPr>
                <w:rFonts w:asciiTheme="minorHAnsi" w:eastAsiaTheme="minorEastAsia" w:hAnsiTheme="minorHAnsi"/>
                <w:noProof/>
                <w:lang w:eastAsia="en-AU"/>
              </w:rPr>
              <w:tab/>
            </w:r>
            <w:r w:rsidR="00A0340E" w:rsidRPr="003B102A">
              <w:rPr>
                <w:rStyle w:val="Hyperlink"/>
                <w:noProof/>
              </w:rPr>
              <w:t>Health</w:t>
            </w:r>
            <w:r w:rsidR="00A0340E">
              <w:rPr>
                <w:noProof/>
                <w:webHidden/>
              </w:rPr>
              <w:tab/>
            </w:r>
            <w:r w:rsidR="00A0340E">
              <w:rPr>
                <w:noProof/>
                <w:webHidden/>
              </w:rPr>
              <w:fldChar w:fldCharType="begin"/>
            </w:r>
            <w:r w:rsidR="00A0340E">
              <w:rPr>
                <w:noProof/>
                <w:webHidden/>
              </w:rPr>
              <w:instrText xml:space="preserve"> PAGEREF _Toc530561261 \h </w:instrText>
            </w:r>
            <w:r w:rsidR="00A0340E">
              <w:rPr>
                <w:noProof/>
                <w:webHidden/>
              </w:rPr>
            </w:r>
            <w:r w:rsidR="00A0340E">
              <w:rPr>
                <w:noProof/>
                <w:webHidden/>
              </w:rPr>
              <w:fldChar w:fldCharType="separate"/>
            </w:r>
            <w:r>
              <w:rPr>
                <w:noProof/>
                <w:webHidden/>
              </w:rPr>
              <w:t>23</w:t>
            </w:r>
            <w:r w:rsidR="00A0340E">
              <w:rPr>
                <w:noProof/>
                <w:webHidden/>
              </w:rPr>
              <w:fldChar w:fldCharType="end"/>
            </w:r>
          </w:hyperlink>
        </w:p>
        <w:p w14:paraId="0238C305" w14:textId="22269757"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62" w:history="1">
            <w:r w:rsidR="00A0340E" w:rsidRPr="003B102A">
              <w:rPr>
                <w:rStyle w:val="Hyperlink"/>
                <w:noProof/>
              </w:rPr>
              <w:t>3.5.1</w:t>
            </w:r>
            <w:r w:rsidR="00A0340E">
              <w:rPr>
                <w:rFonts w:asciiTheme="minorHAnsi" w:eastAsiaTheme="minorEastAsia" w:hAnsiTheme="minorHAnsi"/>
                <w:noProof/>
                <w:lang w:eastAsia="en-AU"/>
              </w:rPr>
              <w:tab/>
            </w:r>
            <w:r w:rsidR="00A0340E" w:rsidRPr="003B102A">
              <w:rPr>
                <w:rStyle w:val="Hyperlink"/>
                <w:noProof/>
              </w:rPr>
              <w:t>Self-Rated Health</w:t>
            </w:r>
            <w:r w:rsidR="00A0340E">
              <w:rPr>
                <w:noProof/>
                <w:webHidden/>
              </w:rPr>
              <w:tab/>
            </w:r>
            <w:r w:rsidR="00A0340E">
              <w:rPr>
                <w:noProof/>
                <w:webHidden/>
              </w:rPr>
              <w:fldChar w:fldCharType="begin"/>
            </w:r>
            <w:r w:rsidR="00A0340E">
              <w:rPr>
                <w:noProof/>
                <w:webHidden/>
              </w:rPr>
              <w:instrText xml:space="preserve"> PAGEREF _Toc530561262 \h </w:instrText>
            </w:r>
            <w:r w:rsidR="00A0340E">
              <w:rPr>
                <w:noProof/>
                <w:webHidden/>
              </w:rPr>
            </w:r>
            <w:r w:rsidR="00A0340E">
              <w:rPr>
                <w:noProof/>
                <w:webHidden/>
              </w:rPr>
              <w:fldChar w:fldCharType="separate"/>
            </w:r>
            <w:r>
              <w:rPr>
                <w:noProof/>
                <w:webHidden/>
              </w:rPr>
              <w:t>23</w:t>
            </w:r>
            <w:r w:rsidR="00A0340E">
              <w:rPr>
                <w:noProof/>
                <w:webHidden/>
              </w:rPr>
              <w:fldChar w:fldCharType="end"/>
            </w:r>
          </w:hyperlink>
        </w:p>
        <w:p w14:paraId="569E3995" w14:textId="3E169A17"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63" w:history="1">
            <w:r w:rsidR="00A0340E" w:rsidRPr="003B102A">
              <w:rPr>
                <w:rStyle w:val="Hyperlink"/>
                <w:noProof/>
              </w:rPr>
              <w:t>3.5.2</w:t>
            </w:r>
            <w:r w:rsidR="00A0340E">
              <w:rPr>
                <w:rFonts w:asciiTheme="minorHAnsi" w:eastAsiaTheme="minorEastAsia" w:hAnsiTheme="minorHAnsi"/>
                <w:noProof/>
                <w:lang w:eastAsia="en-AU"/>
              </w:rPr>
              <w:tab/>
            </w:r>
            <w:r w:rsidR="00A0340E" w:rsidRPr="003B102A">
              <w:rPr>
                <w:rStyle w:val="Hyperlink"/>
                <w:noProof/>
              </w:rPr>
              <w:t>Health-related Quality of Life – physical functioning and mental health scores</w:t>
            </w:r>
            <w:r w:rsidR="00A0340E">
              <w:rPr>
                <w:noProof/>
                <w:webHidden/>
              </w:rPr>
              <w:tab/>
            </w:r>
            <w:r w:rsidR="00A0340E">
              <w:rPr>
                <w:noProof/>
                <w:webHidden/>
              </w:rPr>
              <w:fldChar w:fldCharType="begin"/>
            </w:r>
            <w:r w:rsidR="00A0340E">
              <w:rPr>
                <w:noProof/>
                <w:webHidden/>
              </w:rPr>
              <w:instrText xml:space="preserve"> PAGEREF _Toc530561263 \h </w:instrText>
            </w:r>
            <w:r w:rsidR="00A0340E">
              <w:rPr>
                <w:noProof/>
                <w:webHidden/>
              </w:rPr>
            </w:r>
            <w:r w:rsidR="00A0340E">
              <w:rPr>
                <w:noProof/>
                <w:webHidden/>
              </w:rPr>
              <w:fldChar w:fldCharType="separate"/>
            </w:r>
            <w:r>
              <w:rPr>
                <w:noProof/>
                <w:webHidden/>
              </w:rPr>
              <w:t>24</w:t>
            </w:r>
            <w:r w:rsidR="00A0340E">
              <w:rPr>
                <w:noProof/>
                <w:webHidden/>
              </w:rPr>
              <w:fldChar w:fldCharType="end"/>
            </w:r>
          </w:hyperlink>
        </w:p>
        <w:p w14:paraId="0F13EDC3" w14:textId="32DAFD44"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64" w:history="1">
            <w:r w:rsidR="00A0340E" w:rsidRPr="003B102A">
              <w:rPr>
                <w:rStyle w:val="Hyperlink"/>
                <w:noProof/>
              </w:rPr>
              <w:t>3.6</w:t>
            </w:r>
            <w:r w:rsidR="00A0340E">
              <w:rPr>
                <w:rFonts w:asciiTheme="minorHAnsi" w:eastAsiaTheme="minorEastAsia" w:hAnsiTheme="minorHAnsi"/>
                <w:noProof/>
                <w:lang w:eastAsia="en-AU"/>
              </w:rPr>
              <w:tab/>
            </w:r>
            <w:r w:rsidR="00A0340E" w:rsidRPr="003B102A">
              <w:rPr>
                <w:rStyle w:val="Hyperlink"/>
                <w:noProof/>
              </w:rPr>
              <w:t>Needing help and providing care to others</w:t>
            </w:r>
            <w:r w:rsidR="00A0340E">
              <w:rPr>
                <w:noProof/>
                <w:webHidden/>
              </w:rPr>
              <w:tab/>
            </w:r>
            <w:r w:rsidR="00A0340E">
              <w:rPr>
                <w:noProof/>
                <w:webHidden/>
              </w:rPr>
              <w:fldChar w:fldCharType="begin"/>
            </w:r>
            <w:r w:rsidR="00A0340E">
              <w:rPr>
                <w:noProof/>
                <w:webHidden/>
              </w:rPr>
              <w:instrText xml:space="preserve"> PAGEREF _Toc530561264 \h </w:instrText>
            </w:r>
            <w:r w:rsidR="00A0340E">
              <w:rPr>
                <w:noProof/>
                <w:webHidden/>
              </w:rPr>
            </w:r>
            <w:r w:rsidR="00A0340E">
              <w:rPr>
                <w:noProof/>
                <w:webHidden/>
              </w:rPr>
              <w:fldChar w:fldCharType="separate"/>
            </w:r>
            <w:r>
              <w:rPr>
                <w:noProof/>
                <w:webHidden/>
              </w:rPr>
              <w:t>29</w:t>
            </w:r>
            <w:r w:rsidR="00A0340E">
              <w:rPr>
                <w:noProof/>
                <w:webHidden/>
              </w:rPr>
              <w:fldChar w:fldCharType="end"/>
            </w:r>
          </w:hyperlink>
        </w:p>
        <w:p w14:paraId="0A951A26" w14:textId="3949091A"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65" w:history="1">
            <w:r w:rsidR="00A0340E" w:rsidRPr="003B102A">
              <w:rPr>
                <w:rStyle w:val="Hyperlink"/>
                <w:noProof/>
              </w:rPr>
              <w:t>3.6.1</w:t>
            </w:r>
            <w:r w:rsidR="00A0340E">
              <w:rPr>
                <w:rFonts w:asciiTheme="minorHAnsi" w:eastAsiaTheme="minorEastAsia" w:hAnsiTheme="minorHAnsi"/>
                <w:noProof/>
                <w:lang w:eastAsia="en-AU"/>
              </w:rPr>
              <w:tab/>
            </w:r>
            <w:r w:rsidR="00A0340E" w:rsidRPr="003B102A">
              <w:rPr>
                <w:rStyle w:val="Hyperlink"/>
                <w:noProof/>
              </w:rPr>
              <w:t>Needing help</w:t>
            </w:r>
            <w:r w:rsidR="00A0340E">
              <w:rPr>
                <w:noProof/>
                <w:webHidden/>
              </w:rPr>
              <w:tab/>
            </w:r>
            <w:r w:rsidR="00A0340E">
              <w:rPr>
                <w:noProof/>
                <w:webHidden/>
              </w:rPr>
              <w:fldChar w:fldCharType="begin"/>
            </w:r>
            <w:r w:rsidR="00A0340E">
              <w:rPr>
                <w:noProof/>
                <w:webHidden/>
              </w:rPr>
              <w:instrText xml:space="preserve"> PAGEREF _Toc530561265 \h </w:instrText>
            </w:r>
            <w:r w:rsidR="00A0340E">
              <w:rPr>
                <w:noProof/>
                <w:webHidden/>
              </w:rPr>
            </w:r>
            <w:r w:rsidR="00A0340E">
              <w:rPr>
                <w:noProof/>
                <w:webHidden/>
              </w:rPr>
              <w:fldChar w:fldCharType="separate"/>
            </w:r>
            <w:r>
              <w:rPr>
                <w:noProof/>
                <w:webHidden/>
              </w:rPr>
              <w:t>29</w:t>
            </w:r>
            <w:r w:rsidR="00A0340E">
              <w:rPr>
                <w:noProof/>
                <w:webHidden/>
              </w:rPr>
              <w:fldChar w:fldCharType="end"/>
            </w:r>
          </w:hyperlink>
        </w:p>
        <w:p w14:paraId="1518E226" w14:textId="0A9DE985"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66" w:history="1">
            <w:r w:rsidR="00A0340E" w:rsidRPr="003B102A">
              <w:rPr>
                <w:rStyle w:val="Hyperlink"/>
                <w:noProof/>
              </w:rPr>
              <w:t>3.6.2</w:t>
            </w:r>
            <w:r w:rsidR="00A0340E">
              <w:rPr>
                <w:rFonts w:asciiTheme="minorHAnsi" w:eastAsiaTheme="minorEastAsia" w:hAnsiTheme="minorHAnsi"/>
                <w:noProof/>
                <w:lang w:eastAsia="en-AU"/>
              </w:rPr>
              <w:tab/>
            </w:r>
            <w:r w:rsidR="00A0340E" w:rsidRPr="003B102A">
              <w:rPr>
                <w:rStyle w:val="Hyperlink"/>
                <w:noProof/>
              </w:rPr>
              <w:t>Providing care for others</w:t>
            </w:r>
            <w:r w:rsidR="00A0340E">
              <w:rPr>
                <w:noProof/>
                <w:webHidden/>
              </w:rPr>
              <w:tab/>
            </w:r>
            <w:r w:rsidR="00A0340E">
              <w:rPr>
                <w:noProof/>
                <w:webHidden/>
              </w:rPr>
              <w:fldChar w:fldCharType="begin"/>
            </w:r>
            <w:r w:rsidR="00A0340E">
              <w:rPr>
                <w:noProof/>
                <w:webHidden/>
              </w:rPr>
              <w:instrText xml:space="preserve"> PAGEREF _Toc530561266 \h </w:instrText>
            </w:r>
            <w:r w:rsidR="00A0340E">
              <w:rPr>
                <w:noProof/>
                <w:webHidden/>
              </w:rPr>
            </w:r>
            <w:r w:rsidR="00A0340E">
              <w:rPr>
                <w:noProof/>
                <w:webHidden/>
              </w:rPr>
              <w:fldChar w:fldCharType="separate"/>
            </w:r>
            <w:r>
              <w:rPr>
                <w:noProof/>
                <w:webHidden/>
              </w:rPr>
              <w:t>31</w:t>
            </w:r>
            <w:r w:rsidR="00A0340E">
              <w:rPr>
                <w:noProof/>
                <w:webHidden/>
              </w:rPr>
              <w:fldChar w:fldCharType="end"/>
            </w:r>
          </w:hyperlink>
        </w:p>
        <w:p w14:paraId="76A88413" w14:textId="12930CE6" w:rsidR="00A0340E" w:rsidRDefault="00592779" w:rsidP="00A0340E">
          <w:pPr>
            <w:pStyle w:val="TOC1"/>
            <w:spacing w:beforeLines="60" w:before="144" w:beforeAutospacing="0" w:afterLines="60" w:after="144" w:afterAutospacing="0"/>
            <w:rPr>
              <w:rFonts w:asciiTheme="minorHAnsi" w:eastAsiaTheme="minorEastAsia" w:hAnsiTheme="minorHAnsi"/>
              <w:b w:val="0"/>
              <w:lang w:eastAsia="en-AU"/>
            </w:rPr>
          </w:pPr>
          <w:hyperlink w:anchor="_Toc530561267" w:history="1">
            <w:r w:rsidR="00A0340E" w:rsidRPr="003B102A">
              <w:rPr>
                <w:rStyle w:val="Hyperlink"/>
              </w:rPr>
              <w:t>4</w:t>
            </w:r>
            <w:r w:rsidR="00A0340E">
              <w:rPr>
                <w:rFonts w:asciiTheme="minorHAnsi" w:eastAsiaTheme="minorEastAsia" w:hAnsiTheme="minorHAnsi"/>
                <w:b w:val="0"/>
                <w:lang w:eastAsia="en-AU"/>
              </w:rPr>
              <w:tab/>
            </w:r>
            <w:r w:rsidR="00A0340E" w:rsidRPr="003B102A">
              <w:rPr>
                <w:rStyle w:val="Hyperlink"/>
              </w:rPr>
              <w:t>KEY RESEARCH ACHIEVEMENTS</w:t>
            </w:r>
            <w:r w:rsidR="00A0340E">
              <w:rPr>
                <w:webHidden/>
              </w:rPr>
              <w:tab/>
            </w:r>
            <w:r w:rsidR="00A0340E">
              <w:rPr>
                <w:webHidden/>
              </w:rPr>
              <w:fldChar w:fldCharType="begin"/>
            </w:r>
            <w:r w:rsidR="00A0340E">
              <w:rPr>
                <w:webHidden/>
              </w:rPr>
              <w:instrText xml:space="preserve"> PAGEREF _Toc530561267 \h </w:instrText>
            </w:r>
            <w:r w:rsidR="00A0340E">
              <w:rPr>
                <w:webHidden/>
              </w:rPr>
            </w:r>
            <w:r w:rsidR="00A0340E">
              <w:rPr>
                <w:webHidden/>
              </w:rPr>
              <w:fldChar w:fldCharType="separate"/>
            </w:r>
            <w:r>
              <w:rPr>
                <w:webHidden/>
              </w:rPr>
              <w:t>35</w:t>
            </w:r>
            <w:r w:rsidR="00A0340E">
              <w:rPr>
                <w:webHidden/>
              </w:rPr>
              <w:fldChar w:fldCharType="end"/>
            </w:r>
          </w:hyperlink>
        </w:p>
        <w:p w14:paraId="39DFB68D" w14:textId="188C256C"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68" w:history="1">
            <w:r w:rsidR="00A0340E" w:rsidRPr="003B102A">
              <w:rPr>
                <w:rStyle w:val="Hyperlink"/>
                <w:noProof/>
              </w:rPr>
              <w:t>4.1</w:t>
            </w:r>
            <w:r w:rsidR="00A0340E">
              <w:rPr>
                <w:rFonts w:asciiTheme="minorHAnsi" w:eastAsiaTheme="minorEastAsia" w:hAnsiTheme="minorHAnsi"/>
                <w:noProof/>
                <w:lang w:eastAsia="en-AU"/>
              </w:rPr>
              <w:tab/>
            </w:r>
            <w:r w:rsidR="00A0340E" w:rsidRPr="003B102A">
              <w:rPr>
                <w:rStyle w:val="Hyperlink"/>
                <w:noProof/>
              </w:rPr>
              <w:t>Publications using data from the 1921-26 cohort</w:t>
            </w:r>
            <w:r w:rsidR="00A0340E">
              <w:rPr>
                <w:noProof/>
                <w:webHidden/>
              </w:rPr>
              <w:tab/>
            </w:r>
            <w:r w:rsidR="00A0340E">
              <w:rPr>
                <w:noProof/>
                <w:webHidden/>
              </w:rPr>
              <w:fldChar w:fldCharType="begin"/>
            </w:r>
            <w:r w:rsidR="00A0340E">
              <w:rPr>
                <w:noProof/>
                <w:webHidden/>
              </w:rPr>
              <w:instrText xml:space="preserve"> PAGEREF _Toc530561268 \h </w:instrText>
            </w:r>
            <w:r w:rsidR="00A0340E">
              <w:rPr>
                <w:noProof/>
                <w:webHidden/>
              </w:rPr>
            </w:r>
            <w:r w:rsidR="00A0340E">
              <w:rPr>
                <w:noProof/>
                <w:webHidden/>
              </w:rPr>
              <w:fldChar w:fldCharType="separate"/>
            </w:r>
            <w:r>
              <w:rPr>
                <w:noProof/>
                <w:webHidden/>
              </w:rPr>
              <w:t>35</w:t>
            </w:r>
            <w:r w:rsidR="00A0340E">
              <w:rPr>
                <w:noProof/>
                <w:webHidden/>
              </w:rPr>
              <w:fldChar w:fldCharType="end"/>
            </w:r>
          </w:hyperlink>
        </w:p>
        <w:p w14:paraId="566B1D8E" w14:textId="165E40DC"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69" w:history="1">
            <w:r w:rsidR="00A0340E" w:rsidRPr="003B102A">
              <w:rPr>
                <w:rStyle w:val="Hyperlink"/>
                <w:noProof/>
              </w:rPr>
              <w:t>4.1.1</w:t>
            </w:r>
            <w:r w:rsidR="00A0340E">
              <w:rPr>
                <w:rFonts w:asciiTheme="minorHAnsi" w:eastAsiaTheme="minorEastAsia" w:hAnsiTheme="minorHAnsi"/>
                <w:noProof/>
                <w:lang w:eastAsia="en-AU"/>
              </w:rPr>
              <w:tab/>
            </w:r>
            <w:r w:rsidR="00A0340E" w:rsidRPr="003B102A">
              <w:rPr>
                <w:rStyle w:val="Hyperlink"/>
                <w:noProof/>
              </w:rPr>
              <w:t>Highly cited publications since 1996:</w:t>
            </w:r>
            <w:r w:rsidR="00A0340E">
              <w:rPr>
                <w:noProof/>
                <w:webHidden/>
              </w:rPr>
              <w:tab/>
            </w:r>
            <w:r w:rsidR="00A0340E">
              <w:rPr>
                <w:noProof/>
                <w:webHidden/>
              </w:rPr>
              <w:fldChar w:fldCharType="begin"/>
            </w:r>
            <w:r w:rsidR="00A0340E">
              <w:rPr>
                <w:noProof/>
                <w:webHidden/>
              </w:rPr>
              <w:instrText xml:space="preserve"> PAGEREF _Toc530561269 \h </w:instrText>
            </w:r>
            <w:r w:rsidR="00A0340E">
              <w:rPr>
                <w:noProof/>
                <w:webHidden/>
              </w:rPr>
            </w:r>
            <w:r w:rsidR="00A0340E">
              <w:rPr>
                <w:noProof/>
                <w:webHidden/>
              </w:rPr>
              <w:fldChar w:fldCharType="separate"/>
            </w:r>
            <w:r>
              <w:rPr>
                <w:noProof/>
                <w:webHidden/>
              </w:rPr>
              <w:t>35</w:t>
            </w:r>
            <w:r w:rsidR="00A0340E">
              <w:rPr>
                <w:noProof/>
                <w:webHidden/>
              </w:rPr>
              <w:fldChar w:fldCharType="end"/>
            </w:r>
          </w:hyperlink>
        </w:p>
        <w:p w14:paraId="6659C4B9" w14:textId="2B660AEA"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70" w:history="1">
            <w:r w:rsidR="00A0340E" w:rsidRPr="003B102A">
              <w:rPr>
                <w:rStyle w:val="Hyperlink"/>
                <w:noProof/>
                <w:lang w:eastAsia="en-AU"/>
              </w:rPr>
              <w:t>4.1.2</w:t>
            </w:r>
            <w:r w:rsidR="00A0340E">
              <w:rPr>
                <w:rFonts w:asciiTheme="minorHAnsi" w:eastAsiaTheme="minorEastAsia" w:hAnsiTheme="minorHAnsi"/>
                <w:noProof/>
                <w:lang w:eastAsia="en-AU"/>
              </w:rPr>
              <w:tab/>
            </w:r>
            <w:r w:rsidR="00A0340E" w:rsidRPr="003B102A">
              <w:rPr>
                <w:rStyle w:val="Hyperlink"/>
                <w:noProof/>
                <w:lang w:eastAsia="en-AU"/>
              </w:rPr>
              <w:t>Highly cited publications in the last five years include:</w:t>
            </w:r>
            <w:r w:rsidR="00A0340E">
              <w:rPr>
                <w:noProof/>
                <w:webHidden/>
              </w:rPr>
              <w:tab/>
            </w:r>
            <w:r w:rsidR="00A0340E">
              <w:rPr>
                <w:noProof/>
                <w:webHidden/>
              </w:rPr>
              <w:fldChar w:fldCharType="begin"/>
            </w:r>
            <w:r w:rsidR="00A0340E">
              <w:rPr>
                <w:noProof/>
                <w:webHidden/>
              </w:rPr>
              <w:instrText xml:space="preserve"> PAGEREF _Toc530561270 \h </w:instrText>
            </w:r>
            <w:r w:rsidR="00A0340E">
              <w:rPr>
                <w:noProof/>
                <w:webHidden/>
              </w:rPr>
            </w:r>
            <w:r w:rsidR="00A0340E">
              <w:rPr>
                <w:noProof/>
                <w:webHidden/>
              </w:rPr>
              <w:fldChar w:fldCharType="separate"/>
            </w:r>
            <w:r>
              <w:rPr>
                <w:noProof/>
                <w:webHidden/>
              </w:rPr>
              <w:t>37</w:t>
            </w:r>
            <w:r w:rsidR="00A0340E">
              <w:rPr>
                <w:noProof/>
                <w:webHidden/>
              </w:rPr>
              <w:fldChar w:fldCharType="end"/>
            </w:r>
          </w:hyperlink>
        </w:p>
        <w:p w14:paraId="1CDCDBE1" w14:textId="71A6EDFE"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71" w:history="1">
            <w:r w:rsidR="00A0340E" w:rsidRPr="003B102A">
              <w:rPr>
                <w:rStyle w:val="Hyperlink"/>
                <w:noProof/>
              </w:rPr>
              <w:t>4.2</w:t>
            </w:r>
            <w:r w:rsidR="00A0340E">
              <w:rPr>
                <w:rFonts w:asciiTheme="minorHAnsi" w:eastAsiaTheme="minorEastAsia" w:hAnsiTheme="minorHAnsi"/>
                <w:noProof/>
                <w:lang w:eastAsia="en-AU"/>
              </w:rPr>
              <w:tab/>
            </w:r>
            <w:r w:rsidR="00A0340E" w:rsidRPr="003B102A">
              <w:rPr>
                <w:rStyle w:val="Hyperlink"/>
                <w:noProof/>
              </w:rPr>
              <w:t>Reports prepared using data from the 1921-26 cohort</w:t>
            </w:r>
            <w:r w:rsidR="00A0340E">
              <w:rPr>
                <w:noProof/>
                <w:webHidden/>
              </w:rPr>
              <w:tab/>
            </w:r>
            <w:r w:rsidR="00A0340E">
              <w:rPr>
                <w:noProof/>
                <w:webHidden/>
              </w:rPr>
              <w:fldChar w:fldCharType="begin"/>
            </w:r>
            <w:r w:rsidR="00A0340E">
              <w:rPr>
                <w:noProof/>
                <w:webHidden/>
              </w:rPr>
              <w:instrText xml:space="preserve"> PAGEREF _Toc530561271 \h </w:instrText>
            </w:r>
            <w:r w:rsidR="00A0340E">
              <w:rPr>
                <w:noProof/>
                <w:webHidden/>
              </w:rPr>
            </w:r>
            <w:r w:rsidR="00A0340E">
              <w:rPr>
                <w:noProof/>
                <w:webHidden/>
              </w:rPr>
              <w:fldChar w:fldCharType="separate"/>
            </w:r>
            <w:r>
              <w:rPr>
                <w:noProof/>
                <w:webHidden/>
              </w:rPr>
              <w:t>37</w:t>
            </w:r>
            <w:r w:rsidR="00A0340E">
              <w:rPr>
                <w:noProof/>
                <w:webHidden/>
              </w:rPr>
              <w:fldChar w:fldCharType="end"/>
            </w:r>
          </w:hyperlink>
        </w:p>
        <w:p w14:paraId="5FEC0514" w14:textId="59A566A4"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72" w:history="1">
            <w:r w:rsidR="00A0340E" w:rsidRPr="003B102A">
              <w:rPr>
                <w:rStyle w:val="Hyperlink"/>
                <w:noProof/>
              </w:rPr>
              <w:t>4.2.1</w:t>
            </w:r>
            <w:r w:rsidR="00A0340E">
              <w:rPr>
                <w:rFonts w:asciiTheme="minorHAnsi" w:eastAsiaTheme="minorEastAsia" w:hAnsiTheme="minorHAnsi"/>
                <w:noProof/>
                <w:lang w:eastAsia="en-AU"/>
              </w:rPr>
              <w:tab/>
            </w:r>
            <w:r w:rsidR="00A0340E" w:rsidRPr="003B102A">
              <w:rPr>
                <w:rStyle w:val="Hyperlink"/>
                <w:noProof/>
              </w:rPr>
              <w:t>Major Reports:</w:t>
            </w:r>
            <w:r w:rsidR="00A0340E">
              <w:rPr>
                <w:noProof/>
                <w:webHidden/>
              </w:rPr>
              <w:tab/>
            </w:r>
            <w:r w:rsidR="00A0340E">
              <w:rPr>
                <w:noProof/>
                <w:webHidden/>
              </w:rPr>
              <w:fldChar w:fldCharType="begin"/>
            </w:r>
            <w:r w:rsidR="00A0340E">
              <w:rPr>
                <w:noProof/>
                <w:webHidden/>
              </w:rPr>
              <w:instrText xml:space="preserve"> PAGEREF _Toc530561272 \h </w:instrText>
            </w:r>
            <w:r w:rsidR="00A0340E">
              <w:rPr>
                <w:noProof/>
                <w:webHidden/>
              </w:rPr>
            </w:r>
            <w:r w:rsidR="00A0340E">
              <w:rPr>
                <w:noProof/>
                <w:webHidden/>
              </w:rPr>
              <w:fldChar w:fldCharType="separate"/>
            </w:r>
            <w:r>
              <w:rPr>
                <w:noProof/>
                <w:webHidden/>
              </w:rPr>
              <w:t>37</w:t>
            </w:r>
            <w:r w:rsidR="00A0340E">
              <w:rPr>
                <w:noProof/>
                <w:webHidden/>
              </w:rPr>
              <w:fldChar w:fldCharType="end"/>
            </w:r>
          </w:hyperlink>
        </w:p>
        <w:p w14:paraId="7C8BAEE6" w14:textId="1F4AE6D4"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73" w:history="1">
            <w:r w:rsidR="00A0340E" w:rsidRPr="003B102A">
              <w:rPr>
                <w:rStyle w:val="Hyperlink"/>
                <w:noProof/>
              </w:rPr>
              <w:t>4.2.2</w:t>
            </w:r>
            <w:r w:rsidR="00A0340E">
              <w:rPr>
                <w:rFonts w:asciiTheme="minorHAnsi" w:eastAsiaTheme="minorEastAsia" w:hAnsiTheme="minorHAnsi"/>
                <w:noProof/>
                <w:lang w:eastAsia="en-AU"/>
              </w:rPr>
              <w:tab/>
            </w:r>
            <w:r w:rsidR="00A0340E" w:rsidRPr="003B102A">
              <w:rPr>
                <w:rStyle w:val="Hyperlink"/>
                <w:noProof/>
              </w:rPr>
              <w:t>Other reports</w:t>
            </w:r>
            <w:r w:rsidR="00A0340E">
              <w:rPr>
                <w:noProof/>
                <w:webHidden/>
              </w:rPr>
              <w:tab/>
            </w:r>
            <w:r w:rsidR="00A0340E">
              <w:rPr>
                <w:noProof/>
                <w:webHidden/>
              </w:rPr>
              <w:fldChar w:fldCharType="begin"/>
            </w:r>
            <w:r w:rsidR="00A0340E">
              <w:rPr>
                <w:noProof/>
                <w:webHidden/>
              </w:rPr>
              <w:instrText xml:space="preserve"> PAGEREF _Toc530561273 \h </w:instrText>
            </w:r>
            <w:r w:rsidR="00A0340E">
              <w:rPr>
                <w:noProof/>
                <w:webHidden/>
              </w:rPr>
            </w:r>
            <w:r w:rsidR="00A0340E">
              <w:rPr>
                <w:noProof/>
                <w:webHidden/>
              </w:rPr>
              <w:fldChar w:fldCharType="separate"/>
            </w:r>
            <w:r>
              <w:rPr>
                <w:noProof/>
                <w:webHidden/>
              </w:rPr>
              <w:t>39</w:t>
            </w:r>
            <w:r w:rsidR="00A0340E">
              <w:rPr>
                <w:noProof/>
                <w:webHidden/>
              </w:rPr>
              <w:fldChar w:fldCharType="end"/>
            </w:r>
          </w:hyperlink>
        </w:p>
        <w:p w14:paraId="15C19735" w14:textId="0FE9D0F4" w:rsidR="00A0340E" w:rsidRDefault="00592779" w:rsidP="00A0340E">
          <w:pPr>
            <w:pStyle w:val="TOC3"/>
            <w:spacing w:beforeLines="60" w:before="144" w:afterLines="60" w:after="144"/>
            <w:rPr>
              <w:rFonts w:asciiTheme="minorHAnsi" w:eastAsiaTheme="minorEastAsia" w:hAnsiTheme="minorHAnsi"/>
              <w:noProof/>
              <w:lang w:eastAsia="en-AU"/>
            </w:rPr>
          </w:pPr>
          <w:hyperlink w:anchor="_Toc530561274" w:history="1">
            <w:r w:rsidR="00A0340E" w:rsidRPr="003B102A">
              <w:rPr>
                <w:rStyle w:val="Hyperlink"/>
                <w:noProof/>
              </w:rPr>
              <w:t>4.2.3</w:t>
            </w:r>
            <w:r w:rsidR="00A0340E">
              <w:rPr>
                <w:rFonts w:asciiTheme="minorHAnsi" w:eastAsiaTheme="minorEastAsia" w:hAnsiTheme="minorHAnsi"/>
                <w:noProof/>
                <w:lang w:eastAsia="en-AU"/>
              </w:rPr>
              <w:tab/>
            </w:r>
            <w:r w:rsidR="00A0340E" w:rsidRPr="003B102A">
              <w:rPr>
                <w:rStyle w:val="Hyperlink"/>
                <w:noProof/>
              </w:rPr>
              <w:t>Other information for women in the 1921-26 cohort</w:t>
            </w:r>
            <w:r w:rsidR="00A0340E">
              <w:rPr>
                <w:noProof/>
                <w:webHidden/>
              </w:rPr>
              <w:tab/>
            </w:r>
            <w:r w:rsidR="00A0340E">
              <w:rPr>
                <w:noProof/>
                <w:webHidden/>
              </w:rPr>
              <w:fldChar w:fldCharType="begin"/>
            </w:r>
            <w:r w:rsidR="00A0340E">
              <w:rPr>
                <w:noProof/>
                <w:webHidden/>
              </w:rPr>
              <w:instrText xml:space="preserve"> PAGEREF _Toc530561274 \h </w:instrText>
            </w:r>
            <w:r w:rsidR="00A0340E">
              <w:rPr>
                <w:noProof/>
                <w:webHidden/>
              </w:rPr>
            </w:r>
            <w:r w:rsidR="00A0340E">
              <w:rPr>
                <w:noProof/>
                <w:webHidden/>
              </w:rPr>
              <w:fldChar w:fldCharType="separate"/>
            </w:r>
            <w:r>
              <w:rPr>
                <w:noProof/>
                <w:webHidden/>
              </w:rPr>
              <w:t>40</w:t>
            </w:r>
            <w:r w:rsidR="00A0340E">
              <w:rPr>
                <w:noProof/>
                <w:webHidden/>
              </w:rPr>
              <w:fldChar w:fldCharType="end"/>
            </w:r>
          </w:hyperlink>
        </w:p>
        <w:p w14:paraId="3ED2843A" w14:textId="1781481A"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75" w:history="1">
            <w:r w:rsidR="00A0340E" w:rsidRPr="003B102A">
              <w:rPr>
                <w:rStyle w:val="Hyperlink"/>
                <w:noProof/>
              </w:rPr>
              <w:t>4.3</w:t>
            </w:r>
            <w:r w:rsidR="00A0340E">
              <w:rPr>
                <w:rFonts w:asciiTheme="minorHAnsi" w:eastAsiaTheme="minorEastAsia" w:hAnsiTheme="minorHAnsi"/>
                <w:noProof/>
                <w:lang w:eastAsia="en-AU"/>
              </w:rPr>
              <w:tab/>
            </w:r>
            <w:r w:rsidR="00A0340E" w:rsidRPr="003B102A">
              <w:rPr>
                <w:rStyle w:val="Hyperlink"/>
                <w:noProof/>
              </w:rPr>
              <w:t>Contributions to Government Policy</w:t>
            </w:r>
            <w:r w:rsidR="00A0340E">
              <w:rPr>
                <w:noProof/>
                <w:webHidden/>
              </w:rPr>
              <w:tab/>
            </w:r>
            <w:r w:rsidR="00A0340E">
              <w:rPr>
                <w:noProof/>
                <w:webHidden/>
              </w:rPr>
              <w:fldChar w:fldCharType="begin"/>
            </w:r>
            <w:r w:rsidR="00A0340E">
              <w:rPr>
                <w:noProof/>
                <w:webHidden/>
              </w:rPr>
              <w:instrText xml:space="preserve"> PAGEREF _Toc530561275 \h </w:instrText>
            </w:r>
            <w:r w:rsidR="00A0340E">
              <w:rPr>
                <w:noProof/>
                <w:webHidden/>
              </w:rPr>
            </w:r>
            <w:r w:rsidR="00A0340E">
              <w:rPr>
                <w:noProof/>
                <w:webHidden/>
              </w:rPr>
              <w:fldChar w:fldCharType="separate"/>
            </w:r>
            <w:r>
              <w:rPr>
                <w:noProof/>
                <w:webHidden/>
              </w:rPr>
              <w:t>40</w:t>
            </w:r>
            <w:r w:rsidR="00A0340E">
              <w:rPr>
                <w:noProof/>
                <w:webHidden/>
              </w:rPr>
              <w:fldChar w:fldCharType="end"/>
            </w:r>
          </w:hyperlink>
        </w:p>
        <w:p w14:paraId="2D2772D9" w14:textId="06A48192"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76" w:history="1">
            <w:r w:rsidR="00A0340E" w:rsidRPr="003B102A">
              <w:rPr>
                <w:rStyle w:val="Hyperlink"/>
                <w:noProof/>
              </w:rPr>
              <w:t>4.4</w:t>
            </w:r>
            <w:r w:rsidR="00A0340E">
              <w:rPr>
                <w:rFonts w:asciiTheme="minorHAnsi" w:eastAsiaTheme="minorEastAsia" w:hAnsiTheme="minorHAnsi"/>
                <w:noProof/>
                <w:lang w:eastAsia="en-AU"/>
              </w:rPr>
              <w:tab/>
            </w:r>
            <w:r w:rsidR="00A0340E" w:rsidRPr="003B102A">
              <w:rPr>
                <w:rStyle w:val="Hyperlink"/>
                <w:noProof/>
              </w:rPr>
              <w:t>Capacity building activities in women’s health research</w:t>
            </w:r>
            <w:r w:rsidR="00A0340E">
              <w:rPr>
                <w:noProof/>
                <w:webHidden/>
              </w:rPr>
              <w:tab/>
            </w:r>
            <w:r w:rsidR="00A0340E">
              <w:rPr>
                <w:noProof/>
                <w:webHidden/>
              </w:rPr>
              <w:fldChar w:fldCharType="begin"/>
            </w:r>
            <w:r w:rsidR="00A0340E">
              <w:rPr>
                <w:noProof/>
                <w:webHidden/>
              </w:rPr>
              <w:instrText xml:space="preserve"> PAGEREF _Toc530561276 \h </w:instrText>
            </w:r>
            <w:r w:rsidR="00A0340E">
              <w:rPr>
                <w:noProof/>
                <w:webHidden/>
              </w:rPr>
            </w:r>
            <w:r w:rsidR="00A0340E">
              <w:rPr>
                <w:noProof/>
                <w:webHidden/>
              </w:rPr>
              <w:fldChar w:fldCharType="separate"/>
            </w:r>
            <w:r>
              <w:rPr>
                <w:noProof/>
                <w:webHidden/>
              </w:rPr>
              <w:t>42</w:t>
            </w:r>
            <w:r w:rsidR="00A0340E">
              <w:rPr>
                <w:noProof/>
                <w:webHidden/>
              </w:rPr>
              <w:fldChar w:fldCharType="end"/>
            </w:r>
          </w:hyperlink>
        </w:p>
        <w:p w14:paraId="5D6DB723" w14:textId="04E5E5E9" w:rsidR="00A0340E" w:rsidRDefault="00592779" w:rsidP="00A0340E">
          <w:pPr>
            <w:pStyle w:val="TOC1"/>
            <w:spacing w:beforeLines="60" w:before="144" w:beforeAutospacing="0" w:afterLines="60" w:after="144" w:afterAutospacing="0"/>
            <w:rPr>
              <w:rFonts w:asciiTheme="minorHAnsi" w:eastAsiaTheme="minorEastAsia" w:hAnsiTheme="minorHAnsi"/>
              <w:b w:val="0"/>
              <w:lang w:eastAsia="en-AU"/>
            </w:rPr>
          </w:pPr>
          <w:hyperlink w:anchor="_Toc530561277" w:history="1">
            <w:r w:rsidR="00A0340E" w:rsidRPr="003B102A">
              <w:rPr>
                <w:rStyle w:val="Hyperlink"/>
              </w:rPr>
              <w:t>5</w:t>
            </w:r>
            <w:r w:rsidR="00A0340E">
              <w:rPr>
                <w:rFonts w:asciiTheme="minorHAnsi" w:eastAsiaTheme="minorEastAsia" w:hAnsiTheme="minorHAnsi"/>
                <w:b w:val="0"/>
                <w:lang w:eastAsia="en-AU"/>
              </w:rPr>
              <w:tab/>
            </w:r>
            <w:r w:rsidR="00A0340E" w:rsidRPr="003B102A">
              <w:rPr>
                <w:rStyle w:val="Hyperlink"/>
              </w:rPr>
              <w:t>References</w:t>
            </w:r>
            <w:r w:rsidR="00A0340E">
              <w:rPr>
                <w:webHidden/>
              </w:rPr>
              <w:tab/>
            </w:r>
            <w:r w:rsidR="00A0340E">
              <w:rPr>
                <w:webHidden/>
              </w:rPr>
              <w:fldChar w:fldCharType="begin"/>
            </w:r>
            <w:r w:rsidR="00A0340E">
              <w:rPr>
                <w:webHidden/>
              </w:rPr>
              <w:instrText xml:space="preserve"> PAGEREF _Toc530561277 \h </w:instrText>
            </w:r>
            <w:r w:rsidR="00A0340E">
              <w:rPr>
                <w:webHidden/>
              </w:rPr>
            </w:r>
            <w:r w:rsidR="00A0340E">
              <w:rPr>
                <w:webHidden/>
              </w:rPr>
              <w:fldChar w:fldCharType="separate"/>
            </w:r>
            <w:r>
              <w:rPr>
                <w:webHidden/>
              </w:rPr>
              <w:t>45</w:t>
            </w:r>
            <w:r w:rsidR="00A0340E">
              <w:rPr>
                <w:webHidden/>
              </w:rPr>
              <w:fldChar w:fldCharType="end"/>
            </w:r>
          </w:hyperlink>
        </w:p>
        <w:p w14:paraId="55179E6B" w14:textId="794FB658" w:rsidR="00A0340E" w:rsidRDefault="00592779" w:rsidP="00A0340E">
          <w:pPr>
            <w:pStyle w:val="TOC1"/>
            <w:spacing w:beforeLines="60" w:before="144" w:beforeAutospacing="0" w:afterLines="60" w:after="144" w:afterAutospacing="0"/>
            <w:rPr>
              <w:rFonts w:asciiTheme="minorHAnsi" w:eastAsiaTheme="minorEastAsia" w:hAnsiTheme="minorHAnsi"/>
              <w:b w:val="0"/>
              <w:lang w:eastAsia="en-AU"/>
            </w:rPr>
          </w:pPr>
          <w:hyperlink w:anchor="_Toc530561278" w:history="1">
            <w:r w:rsidR="00A0340E" w:rsidRPr="003B102A">
              <w:rPr>
                <w:rStyle w:val="Hyperlink"/>
              </w:rPr>
              <w:t>6</w:t>
            </w:r>
            <w:r w:rsidR="00A0340E">
              <w:rPr>
                <w:rFonts w:asciiTheme="minorHAnsi" w:eastAsiaTheme="minorEastAsia" w:hAnsiTheme="minorHAnsi"/>
                <w:b w:val="0"/>
                <w:lang w:eastAsia="en-AU"/>
              </w:rPr>
              <w:tab/>
            </w:r>
            <w:r w:rsidR="00A0340E" w:rsidRPr="003B102A">
              <w:rPr>
                <w:rStyle w:val="Hyperlink"/>
              </w:rPr>
              <w:t>APPENDIX A: PUBLICATIONS USING 1921-26 COHORT DATA (from 1998 to 2018)</w:t>
            </w:r>
            <w:r w:rsidR="00A0340E">
              <w:rPr>
                <w:webHidden/>
              </w:rPr>
              <w:tab/>
            </w:r>
            <w:r w:rsidR="00A0340E">
              <w:rPr>
                <w:webHidden/>
              </w:rPr>
              <w:fldChar w:fldCharType="begin"/>
            </w:r>
            <w:r w:rsidR="00A0340E">
              <w:rPr>
                <w:webHidden/>
              </w:rPr>
              <w:instrText xml:space="preserve"> PAGEREF _Toc530561278 \h </w:instrText>
            </w:r>
            <w:r w:rsidR="00A0340E">
              <w:rPr>
                <w:webHidden/>
              </w:rPr>
            </w:r>
            <w:r w:rsidR="00A0340E">
              <w:rPr>
                <w:webHidden/>
              </w:rPr>
              <w:fldChar w:fldCharType="separate"/>
            </w:r>
            <w:r>
              <w:rPr>
                <w:webHidden/>
              </w:rPr>
              <w:t>46</w:t>
            </w:r>
            <w:r w:rsidR="00A0340E">
              <w:rPr>
                <w:webHidden/>
              </w:rPr>
              <w:fldChar w:fldCharType="end"/>
            </w:r>
          </w:hyperlink>
        </w:p>
        <w:p w14:paraId="06254D82" w14:textId="3B6582BE"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79" w:history="1">
            <w:r w:rsidR="00A0340E" w:rsidRPr="003B102A">
              <w:rPr>
                <w:rStyle w:val="Hyperlink"/>
                <w:noProof/>
              </w:rPr>
              <w:t>6.1</w:t>
            </w:r>
            <w:r w:rsidR="00A0340E">
              <w:rPr>
                <w:rFonts w:asciiTheme="minorHAnsi" w:eastAsiaTheme="minorEastAsia" w:hAnsiTheme="minorHAnsi"/>
                <w:noProof/>
                <w:lang w:eastAsia="en-AU"/>
              </w:rPr>
              <w:tab/>
            </w:r>
            <w:r w:rsidR="00A0340E" w:rsidRPr="003B102A">
              <w:rPr>
                <w:rStyle w:val="Hyperlink"/>
                <w:noProof/>
              </w:rPr>
              <w:t>Abuse</w:t>
            </w:r>
            <w:r w:rsidR="00A0340E">
              <w:rPr>
                <w:noProof/>
                <w:webHidden/>
              </w:rPr>
              <w:tab/>
            </w:r>
            <w:r w:rsidR="00A0340E">
              <w:rPr>
                <w:noProof/>
                <w:webHidden/>
              </w:rPr>
              <w:fldChar w:fldCharType="begin"/>
            </w:r>
            <w:r w:rsidR="00A0340E">
              <w:rPr>
                <w:noProof/>
                <w:webHidden/>
              </w:rPr>
              <w:instrText xml:space="preserve"> PAGEREF _Toc530561279 \h </w:instrText>
            </w:r>
            <w:r w:rsidR="00A0340E">
              <w:rPr>
                <w:noProof/>
                <w:webHidden/>
              </w:rPr>
            </w:r>
            <w:r w:rsidR="00A0340E">
              <w:rPr>
                <w:noProof/>
                <w:webHidden/>
              </w:rPr>
              <w:fldChar w:fldCharType="separate"/>
            </w:r>
            <w:r>
              <w:rPr>
                <w:noProof/>
                <w:webHidden/>
              </w:rPr>
              <w:t>46</w:t>
            </w:r>
            <w:r w:rsidR="00A0340E">
              <w:rPr>
                <w:noProof/>
                <w:webHidden/>
              </w:rPr>
              <w:fldChar w:fldCharType="end"/>
            </w:r>
          </w:hyperlink>
        </w:p>
        <w:p w14:paraId="601B3783" w14:textId="2E3D7520"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0" w:history="1">
            <w:r w:rsidR="00A0340E" w:rsidRPr="003B102A">
              <w:rPr>
                <w:rStyle w:val="Hyperlink"/>
                <w:noProof/>
              </w:rPr>
              <w:t>6.2</w:t>
            </w:r>
            <w:r w:rsidR="00A0340E">
              <w:rPr>
                <w:rFonts w:asciiTheme="minorHAnsi" w:eastAsiaTheme="minorEastAsia" w:hAnsiTheme="minorHAnsi"/>
                <w:noProof/>
                <w:lang w:eastAsia="en-AU"/>
              </w:rPr>
              <w:tab/>
            </w:r>
            <w:r w:rsidR="00A0340E" w:rsidRPr="003B102A">
              <w:rPr>
                <w:rStyle w:val="Hyperlink"/>
                <w:noProof/>
              </w:rPr>
              <w:t>Ageing: Survival, frailty, physical health</w:t>
            </w:r>
            <w:r w:rsidR="00A0340E">
              <w:rPr>
                <w:noProof/>
                <w:webHidden/>
              </w:rPr>
              <w:tab/>
            </w:r>
            <w:r w:rsidR="00A0340E">
              <w:rPr>
                <w:noProof/>
                <w:webHidden/>
              </w:rPr>
              <w:fldChar w:fldCharType="begin"/>
            </w:r>
            <w:r w:rsidR="00A0340E">
              <w:rPr>
                <w:noProof/>
                <w:webHidden/>
              </w:rPr>
              <w:instrText xml:space="preserve"> PAGEREF _Toc530561280 \h </w:instrText>
            </w:r>
            <w:r w:rsidR="00A0340E">
              <w:rPr>
                <w:noProof/>
                <w:webHidden/>
              </w:rPr>
            </w:r>
            <w:r w:rsidR="00A0340E">
              <w:rPr>
                <w:noProof/>
                <w:webHidden/>
              </w:rPr>
              <w:fldChar w:fldCharType="separate"/>
            </w:r>
            <w:r>
              <w:rPr>
                <w:noProof/>
                <w:webHidden/>
              </w:rPr>
              <w:t>46</w:t>
            </w:r>
            <w:r w:rsidR="00A0340E">
              <w:rPr>
                <w:noProof/>
                <w:webHidden/>
              </w:rPr>
              <w:fldChar w:fldCharType="end"/>
            </w:r>
          </w:hyperlink>
        </w:p>
        <w:p w14:paraId="0F2D7AC7" w14:textId="0363260D"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1" w:history="1">
            <w:r w:rsidR="00A0340E" w:rsidRPr="003B102A">
              <w:rPr>
                <w:rStyle w:val="Hyperlink"/>
                <w:noProof/>
              </w:rPr>
              <w:t>6.3</w:t>
            </w:r>
            <w:r w:rsidR="00A0340E">
              <w:rPr>
                <w:rFonts w:asciiTheme="minorHAnsi" w:eastAsiaTheme="minorEastAsia" w:hAnsiTheme="minorHAnsi"/>
                <w:noProof/>
                <w:lang w:eastAsia="en-AU"/>
              </w:rPr>
              <w:tab/>
            </w:r>
            <w:r w:rsidR="00A0340E" w:rsidRPr="003B102A">
              <w:rPr>
                <w:rStyle w:val="Hyperlink"/>
                <w:noProof/>
              </w:rPr>
              <w:t>Caring</w:t>
            </w:r>
            <w:r w:rsidR="00A0340E">
              <w:rPr>
                <w:noProof/>
                <w:webHidden/>
              </w:rPr>
              <w:tab/>
            </w:r>
            <w:r w:rsidR="00A0340E">
              <w:rPr>
                <w:noProof/>
                <w:webHidden/>
              </w:rPr>
              <w:fldChar w:fldCharType="begin"/>
            </w:r>
            <w:r w:rsidR="00A0340E">
              <w:rPr>
                <w:noProof/>
                <w:webHidden/>
              </w:rPr>
              <w:instrText xml:space="preserve"> PAGEREF _Toc530561281 \h </w:instrText>
            </w:r>
            <w:r w:rsidR="00A0340E">
              <w:rPr>
                <w:noProof/>
                <w:webHidden/>
              </w:rPr>
            </w:r>
            <w:r w:rsidR="00A0340E">
              <w:rPr>
                <w:noProof/>
                <w:webHidden/>
              </w:rPr>
              <w:fldChar w:fldCharType="separate"/>
            </w:r>
            <w:r>
              <w:rPr>
                <w:noProof/>
                <w:webHidden/>
              </w:rPr>
              <w:t>51</w:t>
            </w:r>
            <w:r w:rsidR="00A0340E">
              <w:rPr>
                <w:noProof/>
                <w:webHidden/>
              </w:rPr>
              <w:fldChar w:fldCharType="end"/>
            </w:r>
          </w:hyperlink>
        </w:p>
        <w:p w14:paraId="5ECBE421" w14:textId="50D7E6DF"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2" w:history="1">
            <w:r w:rsidR="00A0340E" w:rsidRPr="003B102A">
              <w:rPr>
                <w:rStyle w:val="Hyperlink"/>
                <w:noProof/>
              </w:rPr>
              <w:t>6.4</w:t>
            </w:r>
            <w:r w:rsidR="00A0340E">
              <w:rPr>
                <w:rFonts w:asciiTheme="minorHAnsi" w:eastAsiaTheme="minorEastAsia" w:hAnsiTheme="minorHAnsi"/>
                <w:noProof/>
                <w:lang w:eastAsia="en-AU"/>
              </w:rPr>
              <w:tab/>
            </w:r>
            <w:r w:rsidR="00A0340E" w:rsidRPr="003B102A">
              <w:rPr>
                <w:rStyle w:val="Hyperlink"/>
                <w:noProof/>
              </w:rPr>
              <w:t>Comorbidity/Multimorbidity</w:t>
            </w:r>
            <w:r w:rsidR="00A0340E">
              <w:rPr>
                <w:noProof/>
                <w:webHidden/>
              </w:rPr>
              <w:tab/>
            </w:r>
            <w:r w:rsidR="00A0340E">
              <w:rPr>
                <w:noProof/>
                <w:webHidden/>
              </w:rPr>
              <w:fldChar w:fldCharType="begin"/>
            </w:r>
            <w:r w:rsidR="00A0340E">
              <w:rPr>
                <w:noProof/>
                <w:webHidden/>
              </w:rPr>
              <w:instrText xml:space="preserve"> PAGEREF _Toc530561282 \h </w:instrText>
            </w:r>
            <w:r w:rsidR="00A0340E">
              <w:rPr>
                <w:noProof/>
                <w:webHidden/>
              </w:rPr>
            </w:r>
            <w:r w:rsidR="00A0340E">
              <w:rPr>
                <w:noProof/>
                <w:webHidden/>
              </w:rPr>
              <w:fldChar w:fldCharType="separate"/>
            </w:r>
            <w:r>
              <w:rPr>
                <w:noProof/>
                <w:webHidden/>
              </w:rPr>
              <w:t>51</w:t>
            </w:r>
            <w:r w:rsidR="00A0340E">
              <w:rPr>
                <w:noProof/>
                <w:webHidden/>
              </w:rPr>
              <w:fldChar w:fldCharType="end"/>
            </w:r>
          </w:hyperlink>
        </w:p>
        <w:p w14:paraId="4EFBBCE6" w14:textId="545CA4B9"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3" w:history="1">
            <w:r w:rsidR="00A0340E" w:rsidRPr="003B102A">
              <w:rPr>
                <w:rStyle w:val="Hyperlink"/>
                <w:noProof/>
              </w:rPr>
              <w:t>6.5</w:t>
            </w:r>
            <w:r w:rsidR="00A0340E">
              <w:rPr>
                <w:rFonts w:asciiTheme="minorHAnsi" w:eastAsiaTheme="minorEastAsia" w:hAnsiTheme="minorHAnsi"/>
                <w:noProof/>
                <w:lang w:eastAsia="en-AU"/>
              </w:rPr>
              <w:tab/>
            </w:r>
            <w:r w:rsidR="00A0340E" w:rsidRPr="003B102A">
              <w:rPr>
                <w:rStyle w:val="Hyperlink"/>
                <w:noProof/>
              </w:rPr>
              <w:t>Rural and remote health</w:t>
            </w:r>
            <w:r w:rsidR="00A0340E">
              <w:rPr>
                <w:noProof/>
                <w:webHidden/>
              </w:rPr>
              <w:tab/>
            </w:r>
            <w:r w:rsidR="00A0340E">
              <w:rPr>
                <w:noProof/>
                <w:webHidden/>
              </w:rPr>
              <w:fldChar w:fldCharType="begin"/>
            </w:r>
            <w:r w:rsidR="00A0340E">
              <w:rPr>
                <w:noProof/>
                <w:webHidden/>
              </w:rPr>
              <w:instrText xml:space="preserve"> PAGEREF _Toc530561283 \h </w:instrText>
            </w:r>
            <w:r w:rsidR="00A0340E">
              <w:rPr>
                <w:noProof/>
                <w:webHidden/>
              </w:rPr>
            </w:r>
            <w:r w:rsidR="00A0340E">
              <w:rPr>
                <w:noProof/>
                <w:webHidden/>
              </w:rPr>
              <w:fldChar w:fldCharType="separate"/>
            </w:r>
            <w:r>
              <w:rPr>
                <w:noProof/>
                <w:webHidden/>
              </w:rPr>
              <w:t>52</w:t>
            </w:r>
            <w:r w:rsidR="00A0340E">
              <w:rPr>
                <w:noProof/>
                <w:webHidden/>
              </w:rPr>
              <w:fldChar w:fldCharType="end"/>
            </w:r>
          </w:hyperlink>
        </w:p>
        <w:p w14:paraId="2A8AA783" w14:textId="000C5F64"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4" w:history="1">
            <w:r w:rsidR="00A0340E" w:rsidRPr="003B102A">
              <w:rPr>
                <w:rStyle w:val="Hyperlink"/>
                <w:noProof/>
              </w:rPr>
              <w:t>6.6</w:t>
            </w:r>
            <w:r w:rsidR="00A0340E">
              <w:rPr>
                <w:rFonts w:asciiTheme="minorHAnsi" w:eastAsiaTheme="minorEastAsia" w:hAnsiTheme="minorHAnsi"/>
                <w:noProof/>
                <w:lang w:eastAsia="en-AU"/>
              </w:rPr>
              <w:tab/>
            </w:r>
            <w:r w:rsidR="00A0340E" w:rsidRPr="003B102A">
              <w:rPr>
                <w:rStyle w:val="Hyperlink"/>
                <w:noProof/>
              </w:rPr>
              <w:t>Health services systems</w:t>
            </w:r>
            <w:r w:rsidR="00A0340E">
              <w:rPr>
                <w:noProof/>
                <w:webHidden/>
              </w:rPr>
              <w:tab/>
            </w:r>
            <w:r w:rsidR="00A0340E">
              <w:rPr>
                <w:noProof/>
                <w:webHidden/>
              </w:rPr>
              <w:fldChar w:fldCharType="begin"/>
            </w:r>
            <w:r w:rsidR="00A0340E">
              <w:rPr>
                <w:noProof/>
                <w:webHidden/>
              </w:rPr>
              <w:instrText xml:space="preserve"> PAGEREF _Toc530561284 \h </w:instrText>
            </w:r>
            <w:r w:rsidR="00A0340E">
              <w:rPr>
                <w:noProof/>
                <w:webHidden/>
              </w:rPr>
            </w:r>
            <w:r w:rsidR="00A0340E">
              <w:rPr>
                <w:noProof/>
                <w:webHidden/>
              </w:rPr>
              <w:fldChar w:fldCharType="separate"/>
            </w:r>
            <w:r>
              <w:rPr>
                <w:noProof/>
                <w:webHidden/>
              </w:rPr>
              <w:t>53</w:t>
            </w:r>
            <w:r w:rsidR="00A0340E">
              <w:rPr>
                <w:noProof/>
                <w:webHidden/>
              </w:rPr>
              <w:fldChar w:fldCharType="end"/>
            </w:r>
          </w:hyperlink>
        </w:p>
        <w:p w14:paraId="24490BE8" w14:textId="1F584BA1"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5" w:history="1">
            <w:r w:rsidR="00A0340E" w:rsidRPr="003B102A">
              <w:rPr>
                <w:rStyle w:val="Hyperlink"/>
                <w:noProof/>
              </w:rPr>
              <w:t>6.7</w:t>
            </w:r>
            <w:r w:rsidR="00A0340E">
              <w:rPr>
                <w:rFonts w:asciiTheme="minorHAnsi" w:eastAsiaTheme="minorEastAsia" w:hAnsiTheme="minorHAnsi"/>
                <w:noProof/>
                <w:lang w:eastAsia="en-AU"/>
              </w:rPr>
              <w:tab/>
            </w:r>
            <w:r w:rsidR="00A0340E" w:rsidRPr="003B102A">
              <w:rPr>
                <w:rStyle w:val="Hyperlink"/>
                <w:noProof/>
              </w:rPr>
              <w:t>Intergenerational issues</w:t>
            </w:r>
            <w:r w:rsidR="00A0340E">
              <w:rPr>
                <w:noProof/>
                <w:webHidden/>
              </w:rPr>
              <w:tab/>
            </w:r>
            <w:r w:rsidR="00A0340E">
              <w:rPr>
                <w:noProof/>
                <w:webHidden/>
              </w:rPr>
              <w:fldChar w:fldCharType="begin"/>
            </w:r>
            <w:r w:rsidR="00A0340E">
              <w:rPr>
                <w:noProof/>
                <w:webHidden/>
              </w:rPr>
              <w:instrText xml:space="preserve"> PAGEREF _Toc530561285 \h </w:instrText>
            </w:r>
            <w:r w:rsidR="00A0340E">
              <w:rPr>
                <w:noProof/>
                <w:webHidden/>
              </w:rPr>
            </w:r>
            <w:r w:rsidR="00A0340E">
              <w:rPr>
                <w:noProof/>
                <w:webHidden/>
              </w:rPr>
              <w:fldChar w:fldCharType="separate"/>
            </w:r>
            <w:r>
              <w:rPr>
                <w:noProof/>
                <w:webHidden/>
              </w:rPr>
              <w:t>56</w:t>
            </w:r>
            <w:r w:rsidR="00A0340E">
              <w:rPr>
                <w:noProof/>
                <w:webHidden/>
              </w:rPr>
              <w:fldChar w:fldCharType="end"/>
            </w:r>
          </w:hyperlink>
        </w:p>
        <w:p w14:paraId="215A896B" w14:textId="2F17E518"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6" w:history="1">
            <w:r w:rsidR="00A0340E" w:rsidRPr="003B102A">
              <w:rPr>
                <w:rStyle w:val="Hyperlink"/>
                <w:noProof/>
              </w:rPr>
              <w:t>6.8</w:t>
            </w:r>
            <w:r w:rsidR="00A0340E">
              <w:rPr>
                <w:rFonts w:asciiTheme="minorHAnsi" w:eastAsiaTheme="minorEastAsia" w:hAnsiTheme="minorHAnsi"/>
                <w:noProof/>
                <w:lang w:eastAsia="en-AU"/>
              </w:rPr>
              <w:tab/>
            </w:r>
            <w:r w:rsidR="00A0340E" w:rsidRPr="003B102A">
              <w:rPr>
                <w:rStyle w:val="Hyperlink"/>
                <w:noProof/>
              </w:rPr>
              <w:t>Linked data</w:t>
            </w:r>
            <w:r w:rsidR="00A0340E">
              <w:rPr>
                <w:noProof/>
                <w:webHidden/>
              </w:rPr>
              <w:tab/>
            </w:r>
            <w:r w:rsidR="00A0340E">
              <w:rPr>
                <w:noProof/>
                <w:webHidden/>
              </w:rPr>
              <w:fldChar w:fldCharType="begin"/>
            </w:r>
            <w:r w:rsidR="00A0340E">
              <w:rPr>
                <w:noProof/>
                <w:webHidden/>
              </w:rPr>
              <w:instrText xml:space="preserve"> PAGEREF _Toc530561286 \h </w:instrText>
            </w:r>
            <w:r w:rsidR="00A0340E">
              <w:rPr>
                <w:noProof/>
                <w:webHidden/>
              </w:rPr>
            </w:r>
            <w:r w:rsidR="00A0340E">
              <w:rPr>
                <w:noProof/>
                <w:webHidden/>
              </w:rPr>
              <w:fldChar w:fldCharType="separate"/>
            </w:r>
            <w:r>
              <w:rPr>
                <w:noProof/>
                <w:webHidden/>
              </w:rPr>
              <w:t>58</w:t>
            </w:r>
            <w:r w:rsidR="00A0340E">
              <w:rPr>
                <w:noProof/>
                <w:webHidden/>
              </w:rPr>
              <w:fldChar w:fldCharType="end"/>
            </w:r>
          </w:hyperlink>
        </w:p>
        <w:p w14:paraId="295681F3" w14:textId="5837C980"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7" w:history="1">
            <w:r w:rsidR="00A0340E" w:rsidRPr="003B102A">
              <w:rPr>
                <w:rStyle w:val="Hyperlink"/>
                <w:noProof/>
              </w:rPr>
              <w:t>6.9</w:t>
            </w:r>
            <w:r w:rsidR="00A0340E">
              <w:rPr>
                <w:rFonts w:asciiTheme="minorHAnsi" w:eastAsiaTheme="minorEastAsia" w:hAnsiTheme="minorHAnsi"/>
                <w:noProof/>
                <w:lang w:eastAsia="en-AU"/>
              </w:rPr>
              <w:tab/>
            </w:r>
            <w:r w:rsidR="00A0340E" w:rsidRPr="003B102A">
              <w:rPr>
                <w:rStyle w:val="Hyperlink"/>
                <w:noProof/>
              </w:rPr>
              <w:t>Medications</w:t>
            </w:r>
            <w:r w:rsidR="00A0340E">
              <w:rPr>
                <w:noProof/>
                <w:webHidden/>
              </w:rPr>
              <w:tab/>
            </w:r>
            <w:r w:rsidR="00A0340E">
              <w:rPr>
                <w:noProof/>
                <w:webHidden/>
              </w:rPr>
              <w:fldChar w:fldCharType="begin"/>
            </w:r>
            <w:r w:rsidR="00A0340E">
              <w:rPr>
                <w:noProof/>
                <w:webHidden/>
              </w:rPr>
              <w:instrText xml:space="preserve"> PAGEREF _Toc530561287 \h </w:instrText>
            </w:r>
            <w:r w:rsidR="00A0340E">
              <w:rPr>
                <w:noProof/>
                <w:webHidden/>
              </w:rPr>
            </w:r>
            <w:r w:rsidR="00A0340E">
              <w:rPr>
                <w:noProof/>
                <w:webHidden/>
              </w:rPr>
              <w:fldChar w:fldCharType="separate"/>
            </w:r>
            <w:r>
              <w:rPr>
                <w:noProof/>
                <w:webHidden/>
              </w:rPr>
              <w:t>61</w:t>
            </w:r>
            <w:r w:rsidR="00A0340E">
              <w:rPr>
                <w:noProof/>
                <w:webHidden/>
              </w:rPr>
              <w:fldChar w:fldCharType="end"/>
            </w:r>
          </w:hyperlink>
        </w:p>
        <w:p w14:paraId="76C403F7" w14:textId="24FB67CB"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8" w:history="1">
            <w:r w:rsidR="00A0340E" w:rsidRPr="003B102A">
              <w:rPr>
                <w:rStyle w:val="Hyperlink"/>
                <w:noProof/>
              </w:rPr>
              <w:t>6.10</w:t>
            </w:r>
            <w:r w:rsidR="00A0340E">
              <w:rPr>
                <w:rFonts w:asciiTheme="minorHAnsi" w:eastAsiaTheme="minorEastAsia" w:hAnsiTheme="minorHAnsi"/>
                <w:noProof/>
                <w:lang w:eastAsia="en-AU"/>
              </w:rPr>
              <w:tab/>
            </w:r>
            <w:r w:rsidR="00A0340E" w:rsidRPr="003B102A">
              <w:rPr>
                <w:rStyle w:val="Hyperlink"/>
                <w:noProof/>
              </w:rPr>
              <w:t>Mental Health</w:t>
            </w:r>
            <w:r w:rsidR="00A0340E">
              <w:rPr>
                <w:noProof/>
                <w:webHidden/>
              </w:rPr>
              <w:tab/>
            </w:r>
            <w:r w:rsidR="00A0340E">
              <w:rPr>
                <w:noProof/>
                <w:webHidden/>
              </w:rPr>
              <w:fldChar w:fldCharType="begin"/>
            </w:r>
            <w:r w:rsidR="00A0340E">
              <w:rPr>
                <w:noProof/>
                <w:webHidden/>
              </w:rPr>
              <w:instrText xml:space="preserve"> PAGEREF _Toc530561288 \h </w:instrText>
            </w:r>
            <w:r w:rsidR="00A0340E">
              <w:rPr>
                <w:noProof/>
                <w:webHidden/>
              </w:rPr>
            </w:r>
            <w:r w:rsidR="00A0340E">
              <w:rPr>
                <w:noProof/>
                <w:webHidden/>
              </w:rPr>
              <w:fldChar w:fldCharType="separate"/>
            </w:r>
            <w:r>
              <w:rPr>
                <w:noProof/>
                <w:webHidden/>
              </w:rPr>
              <w:t>63</w:t>
            </w:r>
            <w:r w:rsidR="00A0340E">
              <w:rPr>
                <w:noProof/>
                <w:webHidden/>
              </w:rPr>
              <w:fldChar w:fldCharType="end"/>
            </w:r>
          </w:hyperlink>
        </w:p>
        <w:p w14:paraId="58D91FE0" w14:textId="5E01FBCA"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89" w:history="1">
            <w:r w:rsidR="00A0340E" w:rsidRPr="003B102A">
              <w:rPr>
                <w:rStyle w:val="Hyperlink"/>
                <w:noProof/>
              </w:rPr>
              <w:t>6.11</w:t>
            </w:r>
            <w:r w:rsidR="00A0340E">
              <w:rPr>
                <w:rFonts w:asciiTheme="minorHAnsi" w:eastAsiaTheme="minorEastAsia" w:hAnsiTheme="minorHAnsi"/>
                <w:noProof/>
                <w:lang w:eastAsia="en-AU"/>
              </w:rPr>
              <w:tab/>
            </w:r>
            <w:r w:rsidR="00A0340E" w:rsidRPr="003B102A">
              <w:rPr>
                <w:rStyle w:val="Hyperlink"/>
                <w:noProof/>
              </w:rPr>
              <w:t>Methods</w:t>
            </w:r>
            <w:r w:rsidR="00A0340E">
              <w:rPr>
                <w:noProof/>
                <w:webHidden/>
              </w:rPr>
              <w:tab/>
            </w:r>
            <w:r w:rsidR="00A0340E">
              <w:rPr>
                <w:noProof/>
                <w:webHidden/>
              </w:rPr>
              <w:fldChar w:fldCharType="begin"/>
            </w:r>
            <w:r w:rsidR="00A0340E">
              <w:rPr>
                <w:noProof/>
                <w:webHidden/>
              </w:rPr>
              <w:instrText xml:space="preserve"> PAGEREF _Toc530561289 \h </w:instrText>
            </w:r>
            <w:r w:rsidR="00A0340E">
              <w:rPr>
                <w:noProof/>
                <w:webHidden/>
              </w:rPr>
            </w:r>
            <w:r w:rsidR="00A0340E">
              <w:rPr>
                <w:noProof/>
                <w:webHidden/>
              </w:rPr>
              <w:fldChar w:fldCharType="separate"/>
            </w:r>
            <w:r>
              <w:rPr>
                <w:noProof/>
                <w:webHidden/>
              </w:rPr>
              <w:t>66</w:t>
            </w:r>
            <w:r w:rsidR="00A0340E">
              <w:rPr>
                <w:noProof/>
                <w:webHidden/>
              </w:rPr>
              <w:fldChar w:fldCharType="end"/>
            </w:r>
          </w:hyperlink>
        </w:p>
        <w:p w14:paraId="1CA8CC0A" w14:textId="700ABAC4"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0" w:history="1">
            <w:r w:rsidR="00A0340E" w:rsidRPr="003B102A">
              <w:rPr>
                <w:rStyle w:val="Hyperlink"/>
                <w:noProof/>
              </w:rPr>
              <w:t>6.12</w:t>
            </w:r>
            <w:r w:rsidR="00A0340E">
              <w:rPr>
                <w:rFonts w:asciiTheme="minorHAnsi" w:eastAsiaTheme="minorEastAsia" w:hAnsiTheme="minorHAnsi"/>
                <w:noProof/>
                <w:lang w:eastAsia="en-AU"/>
              </w:rPr>
              <w:tab/>
            </w:r>
            <w:r w:rsidR="00A0340E" w:rsidRPr="003B102A">
              <w:rPr>
                <w:rStyle w:val="Hyperlink"/>
                <w:noProof/>
              </w:rPr>
              <w:t>Non communicable diseases (previously chronic disease)</w:t>
            </w:r>
            <w:r w:rsidR="00A0340E">
              <w:rPr>
                <w:noProof/>
                <w:webHidden/>
              </w:rPr>
              <w:tab/>
            </w:r>
            <w:r w:rsidR="00A0340E">
              <w:rPr>
                <w:noProof/>
                <w:webHidden/>
              </w:rPr>
              <w:fldChar w:fldCharType="begin"/>
            </w:r>
            <w:r w:rsidR="00A0340E">
              <w:rPr>
                <w:noProof/>
                <w:webHidden/>
              </w:rPr>
              <w:instrText xml:space="preserve"> PAGEREF _Toc530561290 \h </w:instrText>
            </w:r>
            <w:r w:rsidR="00A0340E">
              <w:rPr>
                <w:noProof/>
                <w:webHidden/>
              </w:rPr>
            </w:r>
            <w:r w:rsidR="00A0340E">
              <w:rPr>
                <w:noProof/>
                <w:webHidden/>
              </w:rPr>
              <w:fldChar w:fldCharType="separate"/>
            </w:r>
            <w:r>
              <w:rPr>
                <w:noProof/>
                <w:webHidden/>
              </w:rPr>
              <w:t>68</w:t>
            </w:r>
            <w:r w:rsidR="00A0340E">
              <w:rPr>
                <w:noProof/>
                <w:webHidden/>
              </w:rPr>
              <w:fldChar w:fldCharType="end"/>
            </w:r>
          </w:hyperlink>
        </w:p>
        <w:p w14:paraId="12A8522F" w14:textId="6C2E01FA"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1" w:history="1">
            <w:r w:rsidR="00A0340E" w:rsidRPr="003B102A">
              <w:rPr>
                <w:rStyle w:val="Hyperlink"/>
                <w:noProof/>
              </w:rPr>
              <w:t>6.13</w:t>
            </w:r>
            <w:r w:rsidR="00A0340E">
              <w:rPr>
                <w:rFonts w:asciiTheme="minorHAnsi" w:eastAsiaTheme="minorEastAsia" w:hAnsiTheme="minorHAnsi"/>
                <w:noProof/>
                <w:lang w:eastAsia="en-AU"/>
              </w:rPr>
              <w:tab/>
            </w:r>
            <w:r w:rsidR="00A0340E" w:rsidRPr="003B102A">
              <w:rPr>
                <w:rStyle w:val="Hyperlink"/>
                <w:noProof/>
              </w:rPr>
              <w:t>Quality of life</w:t>
            </w:r>
            <w:r w:rsidR="00A0340E">
              <w:rPr>
                <w:noProof/>
                <w:webHidden/>
              </w:rPr>
              <w:tab/>
            </w:r>
            <w:r w:rsidR="00A0340E">
              <w:rPr>
                <w:noProof/>
                <w:webHidden/>
              </w:rPr>
              <w:fldChar w:fldCharType="begin"/>
            </w:r>
            <w:r w:rsidR="00A0340E">
              <w:rPr>
                <w:noProof/>
                <w:webHidden/>
              </w:rPr>
              <w:instrText xml:space="preserve"> PAGEREF _Toc530561291 \h </w:instrText>
            </w:r>
            <w:r w:rsidR="00A0340E">
              <w:rPr>
                <w:noProof/>
                <w:webHidden/>
              </w:rPr>
            </w:r>
            <w:r w:rsidR="00A0340E">
              <w:rPr>
                <w:noProof/>
                <w:webHidden/>
              </w:rPr>
              <w:fldChar w:fldCharType="separate"/>
            </w:r>
            <w:r>
              <w:rPr>
                <w:noProof/>
                <w:webHidden/>
              </w:rPr>
              <w:t>72</w:t>
            </w:r>
            <w:r w:rsidR="00A0340E">
              <w:rPr>
                <w:noProof/>
                <w:webHidden/>
              </w:rPr>
              <w:fldChar w:fldCharType="end"/>
            </w:r>
          </w:hyperlink>
        </w:p>
        <w:p w14:paraId="5E65918A" w14:textId="1C200796"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2" w:history="1">
            <w:r w:rsidR="00A0340E" w:rsidRPr="003B102A">
              <w:rPr>
                <w:rStyle w:val="Hyperlink"/>
                <w:noProof/>
              </w:rPr>
              <w:t>6.14</w:t>
            </w:r>
            <w:r w:rsidR="00A0340E">
              <w:rPr>
                <w:rFonts w:asciiTheme="minorHAnsi" w:eastAsiaTheme="minorEastAsia" w:hAnsiTheme="minorHAnsi"/>
                <w:noProof/>
                <w:lang w:eastAsia="en-AU"/>
              </w:rPr>
              <w:tab/>
            </w:r>
            <w:r w:rsidR="00A0340E" w:rsidRPr="003B102A">
              <w:rPr>
                <w:rStyle w:val="Hyperlink"/>
                <w:noProof/>
              </w:rPr>
              <w:t>Social determinants of health</w:t>
            </w:r>
            <w:r w:rsidR="00A0340E">
              <w:rPr>
                <w:noProof/>
                <w:webHidden/>
              </w:rPr>
              <w:tab/>
            </w:r>
            <w:r w:rsidR="00A0340E">
              <w:rPr>
                <w:noProof/>
                <w:webHidden/>
              </w:rPr>
              <w:fldChar w:fldCharType="begin"/>
            </w:r>
            <w:r w:rsidR="00A0340E">
              <w:rPr>
                <w:noProof/>
                <w:webHidden/>
              </w:rPr>
              <w:instrText xml:space="preserve"> PAGEREF _Toc530561292 \h </w:instrText>
            </w:r>
            <w:r w:rsidR="00A0340E">
              <w:rPr>
                <w:noProof/>
                <w:webHidden/>
              </w:rPr>
            </w:r>
            <w:r w:rsidR="00A0340E">
              <w:rPr>
                <w:noProof/>
                <w:webHidden/>
              </w:rPr>
              <w:fldChar w:fldCharType="separate"/>
            </w:r>
            <w:r>
              <w:rPr>
                <w:noProof/>
                <w:webHidden/>
              </w:rPr>
              <w:t>73</w:t>
            </w:r>
            <w:r w:rsidR="00A0340E">
              <w:rPr>
                <w:noProof/>
                <w:webHidden/>
              </w:rPr>
              <w:fldChar w:fldCharType="end"/>
            </w:r>
          </w:hyperlink>
        </w:p>
        <w:p w14:paraId="798D4B5F" w14:textId="26254F2B"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3" w:history="1">
            <w:r w:rsidR="00A0340E" w:rsidRPr="003B102A">
              <w:rPr>
                <w:rStyle w:val="Hyperlink"/>
                <w:noProof/>
              </w:rPr>
              <w:t>6.15</w:t>
            </w:r>
            <w:r w:rsidR="00A0340E">
              <w:rPr>
                <w:rFonts w:asciiTheme="minorHAnsi" w:eastAsiaTheme="minorEastAsia" w:hAnsiTheme="minorHAnsi"/>
                <w:noProof/>
                <w:lang w:eastAsia="en-AU"/>
              </w:rPr>
              <w:tab/>
            </w:r>
            <w:r w:rsidR="00A0340E" w:rsidRPr="003B102A">
              <w:rPr>
                <w:rStyle w:val="Hyperlink"/>
                <w:noProof/>
              </w:rPr>
              <w:t>Social factors in health and well-being</w:t>
            </w:r>
            <w:r w:rsidR="00A0340E">
              <w:rPr>
                <w:noProof/>
                <w:webHidden/>
              </w:rPr>
              <w:tab/>
            </w:r>
            <w:r w:rsidR="00A0340E">
              <w:rPr>
                <w:noProof/>
                <w:webHidden/>
              </w:rPr>
              <w:fldChar w:fldCharType="begin"/>
            </w:r>
            <w:r w:rsidR="00A0340E">
              <w:rPr>
                <w:noProof/>
                <w:webHidden/>
              </w:rPr>
              <w:instrText xml:space="preserve"> PAGEREF _Toc530561293 \h </w:instrText>
            </w:r>
            <w:r w:rsidR="00A0340E">
              <w:rPr>
                <w:noProof/>
                <w:webHidden/>
              </w:rPr>
            </w:r>
            <w:r w:rsidR="00A0340E">
              <w:rPr>
                <w:noProof/>
                <w:webHidden/>
              </w:rPr>
              <w:fldChar w:fldCharType="separate"/>
            </w:r>
            <w:r>
              <w:rPr>
                <w:noProof/>
                <w:webHidden/>
              </w:rPr>
              <w:t>74</w:t>
            </w:r>
            <w:r w:rsidR="00A0340E">
              <w:rPr>
                <w:noProof/>
                <w:webHidden/>
              </w:rPr>
              <w:fldChar w:fldCharType="end"/>
            </w:r>
          </w:hyperlink>
        </w:p>
        <w:p w14:paraId="3C917F76" w14:textId="3B8241D4"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4" w:history="1">
            <w:r w:rsidR="00A0340E" w:rsidRPr="003B102A">
              <w:rPr>
                <w:rStyle w:val="Hyperlink"/>
                <w:noProof/>
              </w:rPr>
              <w:t>6.16</w:t>
            </w:r>
            <w:r w:rsidR="00A0340E">
              <w:rPr>
                <w:rFonts w:asciiTheme="minorHAnsi" w:eastAsiaTheme="minorEastAsia" w:hAnsiTheme="minorHAnsi"/>
                <w:noProof/>
                <w:lang w:eastAsia="en-AU"/>
              </w:rPr>
              <w:tab/>
            </w:r>
            <w:r w:rsidR="00A0340E" w:rsidRPr="003B102A">
              <w:rPr>
                <w:rStyle w:val="Hyperlink"/>
                <w:noProof/>
              </w:rPr>
              <w:t>Tobacco, alcohol and other drugs</w:t>
            </w:r>
            <w:r w:rsidR="00A0340E">
              <w:rPr>
                <w:noProof/>
                <w:webHidden/>
              </w:rPr>
              <w:tab/>
            </w:r>
            <w:r w:rsidR="00A0340E">
              <w:rPr>
                <w:noProof/>
                <w:webHidden/>
              </w:rPr>
              <w:fldChar w:fldCharType="begin"/>
            </w:r>
            <w:r w:rsidR="00A0340E">
              <w:rPr>
                <w:noProof/>
                <w:webHidden/>
              </w:rPr>
              <w:instrText xml:space="preserve"> PAGEREF _Toc530561294 \h </w:instrText>
            </w:r>
            <w:r w:rsidR="00A0340E">
              <w:rPr>
                <w:noProof/>
                <w:webHidden/>
              </w:rPr>
            </w:r>
            <w:r w:rsidR="00A0340E">
              <w:rPr>
                <w:noProof/>
                <w:webHidden/>
              </w:rPr>
              <w:fldChar w:fldCharType="separate"/>
            </w:r>
            <w:r>
              <w:rPr>
                <w:noProof/>
                <w:webHidden/>
              </w:rPr>
              <w:t>77</w:t>
            </w:r>
            <w:r w:rsidR="00A0340E">
              <w:rPr>
                <w:noProof/>
                <w:webHidden/>
              </w:rPr>
              <w:fldChar w:fldCharType="end"/>
            </w:r>
          </w:hyperlink>
        </w:p>
        <w:p w14:paraId="34D3A6C3" w14:textId="7A1C5781"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5" w:history="1">
            <w:r w:rsidR="00A0340E" w:rsidRPr="003B102A">
              <w:rPr>
                <w:rStyle w:val="Hyperlink"/>
                <w:noProof/>
              </w:rPr>
              <w:t>6.17</w:t>
            </w:r>
            <w:r w:rsidR="00A0340E">
              <w:rPr>
                <w:rFonts w:asciiTheme="minorHAnsi" w:eastAsiaTheme="minorEastAsia" w:hAnsiTheme="minorHAnsi"/>
                <w:noProof/>
                <w:lang w:eastAsia="en-AU"/>
              </w:rPr>
              <w:tab/>
            </w:r>
            <w:r w:rsidR="00A0340E" w:rsidRPr="003B102A">
              <w:rPr>
                <w:rStyle w:val="Hyperlink"/>
                <w:noProof/>
              </w:rPr>
              <w:t>Weight, nutrition and physical activity</w:t>
            </w:r>
            <w:r w:rsidR="00A0340E">
              <w:rPr>
                <w:noProof/>
                <w:webHidden/>
              </w:rPr>
              <w:tab/>
            </w:r>
            <w:r w:rsidR="00A0340E">
              <w:rPr>
                <w:noProof/>
                <w:webHidden/>
              </w:rPr>
              <w:fldChar w:fldCharType="begin"/>
            </w:r>
            <w:r w:rsidR="00A0340E">
              <w:rPr>
                <w:noProof/>
                <w:webHidden/>
              </w:rPr>
              <w:instrText xml:space="preserve"> PAGEREF _Toc530561295 \h </w:instrText>
            </w:r>
            <w:r w:rsidR="00A0340E">
              <w:rPr>
                <w:noProof/>
                <w:webHidden/>
              </w:rPr>
            </w:r>
            <w:r w:rsidR="00A0340E">
              <w:rPr>
                <w:noProof/>
                <w:webHidden/>
              </w:rPr>
              <w:fldChar w:fldCharType="separate"/>
            </w:r>
            <w:r>
              <w:rPr>
                <w:noProof/>
                <w:webHidden/>
              </w:rPr>
              <w:t>78</w:t>
            </w:r>
            <w:r w:rsidR="00A0340E">
              <w:rPr>
                <w:noProof/>
                <w:webHidden/>
              </w:rPr>
              <w:fldChar w:fldCharType="end"/>
            </w:r>
          </w:hyperlink>
        </w:p>
        <w:p w14:paraId="36B158F6" w14:textId="773275FE" w:rsidR="00A0340E" w:rsidRDefault="00592779" w:rsidP="00A0340E">
          <w:pPr>
            <w:pStyle w:val="TOC1"/>
            <w:spacing w:beforeLines="60" w:before="144" w:beforeAutospacing="0" w:afterLines="60" w:after="144" w:afterAutospacing="0"/>
            <w:rPr>
              <w:rFonts w:asciiTheme="minorHAnsi" w:eastAsiaTheme="minorEastAsia" w:hAnsiTheme="minorHAnsi"/>
              <w:b w:val="0"/>
              <w:lang w:eastAsia="en-AU"/>
            </w:rPr>
          </w:pPr>
          <w:hyperlink w:anchor="_Toc530561296" w:history="1">
            <w:r w:rsidR="00A0340E" w:rsidRPr="003B102A">
              <w:rPr>
                <w:rStyle w:val="Hyperlink"/>
              </w:rPr>
              <w:t>7</w:t>
            </w:r>
            <w:r w:rsidR="00A0340E">
              <w:rPr>
                <w:rFonts w:asciiTheme="minorHAnsi" w:eastAsiaTheme="minorEastAsia" w:hAnsiTheme="minorHAnsi"/>
                <w:b w:val="0"/>
                <w:lang w:eastAsia="en-AU"/>
              </w:rPr>
              <w:tab/>
            </w:r>
            <w:r w:rsidR="00A0340E" w:rsidRPr="003B102A">
              <w:rPr>
                <w:rStyle w:val="Hyperlink"/>
              </w:rPr>
              <w:t>APPENDIX B: REPORTS PREPARED USING 1921-26 COHORT DATA</w:t>
            </w:r>
            <w:r w:rsidR="00A0340E">
              <w:rPr>
                <w:webHidden/>
              </w:rPr>
              <w:tab/>
            </w:r>
            <w:r w:rsidR="00A0340E">
              <w:rPr>
                <w:webHidden/>
              </w:rPr>
              <w:fldChar w:fldCharType="begin"/>
            </w:r>
            <w:r w:rsidR="00A0340E">
              <w:rPr>
                <w:webHidden/>
              </w:rPr>
              <w:instrText xml:space="preserve"> PAGEREF _Toc530561296 \h </w:instrText>
            </w:r>
            <w:r w:rsidR="00A0340E">
              <w:rPr>
                <w:webHidden/>
              </w:rPr>
            </w:r>
            <w:r w:rsidR="00A0340E">
              <w:rPr>
                <w:webHidden/>
              </w:rPr>
              <w:fldChar w:fldCharType="separate"/>
            </w:r>
            <w:r>
              <w:rPr>
                <w:webHidden/>
              </w:rPr>
              <w:t>81</w:t>
            </w:r>
            <w:r w:rsidR="00A0340E">
              <w:rPr>
                <w:webHidden/>
              </w:rPr>
              <w:fldChar w:fldCharType="end"/>
            </w:r>
          </w:hyperlink>
        </w:p>
        <w:p w14:paraId="4CAEB234" w14:textId="31A3774F"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7" w:history="1">
            <w:r w:rsidR="00A0340E" w:rsidRPr="003B102A">
              <w:rPr>
                <w:rStyle w:val="Hyperlink"/>
                <w:noProof/>
              </w:rPr>
              <w:t>7.1</w:t>
            </w:r>
            <w:r w:rsidR="00A0340E">
              <w:rPr>
                <w:rFonts w:asciiTheme="minorHAnsi" w:eastAsiaTheme="minorEastAsia" w:hAnsiTheme="minorHAnsi"/>
                <w:noProof/>
                <w:lang w:eastAsia="en-AU"/>
              </w:rPr>
              <w:tab/>
            </w:r>
            <w:r w:rsidR="00A0340E" w:rsidRPr="003B102A">
              <w:rPr>
                <w:rStyle w:val="Hyperlink"/>
                <w:noProof/>
              </w:rPr>
              <w:t>Major Reports (2006 – 2018)</w:t>
            </w:r>
            <w:r w:rsidR="00A0340E">
              <w:rPr>
                <w:noProof/>
                <w:webHidden/>
              </w:rPr>
              <w:tab/>
            </w:r>
            <w:r w:rsidR="00A0340E">
              <w:rPr>
                <w:noProof/>
                <w:webHidden/>
              </w:rPr>
              <w:fldChar w:fldCharType="begin"/>
            </w:r>
            <w:r w:rsidR="00A0340E">
              <w:rPr>
                <w:noProof/>
                <w:webHidden/>
              </w:rPr>
              <w:instrText xml:space="preserve"> PAGEREF _Toc530561297 \h </w:instrText>
            </w:r>
            <w:r w:rsidR="00A0340E">
              <w:rPr>
                <w:noProof/>
                <w:webHidden/>
              </w:rPr>
            </w:r>
            <w:r w:rsidR="00A0340E">
              <w:rPr>
                <w:noProof/>
                <w:webHidden/>
              </w:rPr>
              <w:fldChar w:fldCharType="separate"/>
            </w:r>
            <w:r>
              <w:rPr>
                <w:noProof/>
                <w:webHidden/>
              </w:rPr>
              <w:t>81</w:t>
            </w:r>
            <w:r w:rsidR="00A0340E">
              <w:rPr>
                <w:noProof/>
                <w:webHidden/>
              </w:rPr>
              <w:fldChar w:fldCharType="end"/>
            </w:r>
          </w:hyperlink>
        </w:p>
        <w:p w14:paraId="64F750C0" w14:textId="0D280D6C" w:rsidR="00A0340E" w:rsidRDefault="00592779" w:rsidP="00A0340E">
          <w:pPr>
            <w:pStyle w:val="TOC2"/>
            <w:tabs>
              <w:tab w:val="left" w:pos="880"/>
              <w:tab w:val="right" w:leader="dot" w:pos="9016"/>
            </w:tabs>
            <w:spacing w:beforeLines="60" w:before="144" w:beforeAutospacing="0" w:afterLines="60" w:after="144" w:afterAutospacing="0"/>
            <w:rPr>
              <w:rFonts w:asciiTheme="minorHAnsi" w:eastAsiaTheme="minorEastAsia" w:hAnsiTheme="minorHAnsi"/>
              <w:noProof/>
              <w:lang w:eastAsia="en-AU"/>
            </w:rPr>
          </w:pPr>
          <w:hyperlink w:anchor="_Toc530561298" w:history="1">
            <w:r w:rsidR="00A0340E" w:rsidRPr="003B102A">
              <w:rPr>
                <w:rStyle w:val="Hyperlink"/>
                <w:noProof/>
              </w:rPr>
              <w:t>7.2</w:t>
            </w:r>
            <w:r w:rsidR="00A0340E">
              <w:rPr>
                <w:rFonts w:asciiTheme="minorHAnsi" w:eastAsiaTheme="minorEastAsia" w:hAnsiTheme="minorHAnsi"/>
                <w:noProof/>
                <w:lang w:eastAsia="en-AU"/>
              </w:rPr>
              <w:tab/>
            </w:r>
            <w:r w:rsidR="00A0340E" w:rsidRPr="003B102A">
              <w:rPr>
                <w:rStyle w:val="Hyperlink"/>
                <w:noProof/>
              </w:rPr>
              <w:t>OTHER REPORTS</w:t>
            </w:r>
            <w:r w:rsidR="00A0340E">
              <w:rPr>
                <w:noProof/>
                <w:webHidden/>
              </w:rPr>
              <w:tab/>
            </w:r>
            <w:r w:rsidR="00A0340E">
              <w:rPr>
                <w:noProof/>
                <w:webHidden/>
              </w:rPr>
              <w:fldChar w:fldCharType="begin"/>
            </w:r>
            <w:r w:rsidR="00A0340E">
              <w:rPr>
                <w:noProof/>
                <w:webHidden/>
              </w:rPr>
              <w:instrText xml:space="preserve"> PAGEREF _Toc530561298 \h </w:instrText>
            </w:r>
            <w:r w:rsidR="00A0340E">
              <w:rPr>
                <w:noProof/>
                <w:webHidden/>
              </w:rPr>
            </w:r>
            <w:r w:rsidR="00A0340E">
              <w:rPr>
                <w:noProof/>
                <w:webHidden/>
              </w:rPr>
              <w:fldChar w:fldCharType="separate"/>
            </w:r>
            <w:r>
              <w:rPr>
                <w:noProof/>
                <w:webHidden/>
              </w:rPr>
              <w:t>82</w:t>
            </w:r>
            <w:r w:rsidR="00A0340E">
              <w:rPr>
                <w:noProof/>
                <w:webHidden/>
              </w:rPr>
              <w:fldChar w:fldCharType="end"/>
            </w:r>
          </w:hyperlink>
        </w:p>
        <w:p w14:paraId="7EE1CA1C" w14:textId="57F83E62" w:rsidR="00A0340E" w:rsidRDefault="00592779" w:rsidP="00A0340E">
          <w:pPr>
            <w:pStyle w:val="TOC1"/>
            <w:spacing w:beforeLines="60" w:before="144" w:beforeAutospacing="0" w:afterLines="60" w:after="144" w:afterAutospacing="0"/>
            <w:rPr>
              <w:rFonts w:asciiTheme="minorHAnsi" w:eastAsiaTheme="minorEastAsia" w:hAnsiTheme="minorHAnsi"/>
              <w:b w:val="0"/>
              <w:lang w:eastAsia="en-AU"/>
            </w:rPr>
          </w:pPr>
          <w:hyperlink w:anchor="_Toc530561299" w:history="1">
            <w:r w:rsidR="00A0340E" w:rsidRPr="003B102A">
              <w:rPr>
                <w:rStyle w:val="Hyperlink"/>
              </w:rPr>
              <w:t>8</w:t>
            </w:r>
            <w:r w:rsidR="00A0340E">
              <w:rPr>
                <w:rFonts w:asciiTheme="minorHAnsi" w:eastAsiaTheme="minorEastAsia" w:hAnsiTheme="minorHAnsi"/>
                <w:b w:val="0"/>
                <w:lang w:eastAsia="en-AU"/>
              </w:rPr>
              <w:tab/>
            </w:r>
            <w:r w:rsidR="00A0340E" w:rsidRPr="003B102A">
              <w:rPr>
                <w:rStyle w:val="Hyperlink"/>
              </w:rPr>
              <w:t>APPENDIX C: 1921-26 cohort participation details, Six Monthly Follow-Up Survey (to May 2018).</w:t>
            </w:r>
            <w:r w:rsidR="00A0340E">
              <w:rPr>
                <w:webHidden/>
              </w:rPr>
              <w:tab/>
            </w:r>
            <w:r w:rsidR="00A0340E">
              <w:rPr>
                <w:webHidden/>
              </w:rPr>
              <w:fldChar w:fldCharType="begin"/>
            </w:r>
            <w:r w:rsidR="00A0340E">
              <w:rPr>
                <w:webHidden/>
              </w:rPr>
              <w:instrText xml:space="preserve"> PAGEREF _Toc530561299 \h </w:instrText>
            </w:r>
            <w:r w:rsidR="00A0340E">
              <w:rPr>
                <w:webHidden/>
              </w:rPr>
            </w:r>
            <w:r w:rsidR="00A0340E">
              <w:rPr>
                <w:webHidden/>
              </w:rPr>
              <w:fldChar w:fldCharType="separate"/>
            </w:r>
            <w:r>
              <w:rPr>
                <w:webHidden/>
              </w:rPr>
              <w:t>84</w:t>
            </w:r>
            <w:r w:rsidR="00A0340E">
              <w:rPr>
                <w:webHidden/>
              </w:rPr>
              <w:fldChar w:fldCharType="end"/>
            </w:r>
          </w:hyperlink>
        </w:p>
        <w:p w14:paraId="3BC41889" w14:textId="757DC386" w:rsidR="006D7D82" w:rsidRDefault="006D7D82" w:rsidP="00956EF3">
          <w:pPr>
            <w:spacing w:before="0" w:beforeAutospacing="0" w:after="0" w:afterAutospacing="0"/>
          </w:pPr>
          <w:r w:rsidRPr="00FF3A3F">
            <w:rPr>
              <w:b/>
              <w:bCs/>
              <w:noProof/>
            </w:rPr>
            <w:fldChar w:fldCharType="end"/>
          </w:r>
        </w:p>
      </w:sdtContent>
    </w:sdt>
    <w:p w14:paraId="0A7094DE" w14:textId="77777777" w:rsidR="00B102A4" w:rsidRDefault="00B102A4" w:rsidP="00B102A4">
      <w:r>
        <w:br w:type="page"/>
      </w:r>
    </w:p>
    <w:p w14:paraId="1425CE7A" w14:textId="42197BDD" w:rsidR="00D74CDB" w:rsidRDefault="00FF3A3F" w:rsidP="005A55FF">
      <w:pPr>
        <w:pStyle w:val="Heading1"/>
      </w:pPr>
      <w:bookmarkStart w:id="1" w:name="_Toc530561243"/>
      <w:r>
        <w:lastRenderedPageBreak/>
        <w:t>E</w:t>
      </w:r>
      <w:r w:rsidR="00CA5AD6">
        <w:t>xecutive Summary</w:t>
      </w:r>
      <w:bookmarkEnd w:id="1"/>
    </w:p>
    <w:p w14:paraId="7575CA3E" w14:textId="60E8705F" w:rsidR="00533227" w:rsidRPr="00D3312E" w:rsidRDefault="00533227" w:rsidP="005068B4">
      <w:pPr>
        <w:rPr>
          <w:b/>
        </w:rPr>
      </w:pPr>
      <w:r w:rsidRPr="00D3312E">
        <w:t xml:space="preserve">The Australian Longitudinal Study on Women’s Health (ALSWH) is a longitudinal population-based survey of over </w:t>
      </w:r>
      <w:r w:rsidR="00097671" w:rsidRPr="00D3312E">
        <w:t>6</w:t>
      </w:r>
      <w:r w:rsidRPr="00D3312E">
        <w:t xml:space="preserve">0,000 Australian women in four cohorts. This </w:t>
      </w:r>
      <w:r w:rsidR="00B20BA3" w:rsidRPr="00D3312E">
        <w:t xml:space="preserve">report </w:t>
      </w:r>
      <w:r w:rsidRPr="00D3312E">
        <w:t>is a summary of</w:t>
      </w:r>
      <w:r w:rsidR="001535D0" w:rsidRPr="00D3312E">
        <w:t xml:space="preserve"> data for 12</w:t>
      </w:r>
      <w:r w:rsidR="00CB0437" w:rsidRPr="00D3312E">
        <w:t>,</w:t>
      </w:r>
      <w:r w:rsidR="001535D0" w:rsidRPr="00D3312E">
        <w:t>432</w:t>
      </w:r>
      <w:r w:rsidRPr="00D3312E">
        <w:t xml:space="preserve"> </w:t>
      </w:r>
      <w:r w:rsidR="00B20BA3" w:rsidRPr="00D3312E">
        <w:t xml:space="preserve">women in </w:t>
      </w:r>
      <w:r w:rsidRPr="00D3312E">
        <w:t xml:space="preserve">the cohort born 1921-26 </w:t>
      </w:r>
      <w:r w:rsidR="001535D0" w:rsidRPr="00D3312E">
        <w:t xml:space="preserve">who completed the baseline survey in 1996 (aged 70-75 years), and surviving women for </w:t>
      </w:r>
      <w:r w:rsidR="000E459D">
        <w:t>each survey point up to May 2018 (aged 92-97</w:t>
      </w:r>
      <w:r w:rsidR="001535D0" w:rsidRPr="00D3312E">
        <w:t xml:space="preserve">). The data therefore represent changes in the population for women who </w:t>
      </w:r>
      <w:r w:rsidR="00FC44E2" w:rsidRPr="00D3312E">
        <w:t xml:space="preserve">survive </w:t>
      </w:r>
      <w:r w:rsidR="001535D0" w:rsidRPr="00D3312E">
        <w:t>to different ages.</w:t>
      </w:r>
    </w:p>
    <w:p w14:paraId="431163FB" w14:textId="298A0537" w:rsidR="00B26F8A" w:rsidRPr="00D3312E" w:rsidRDefault="000D41EC" w:rsidP="005068B4">
      <w:pPr>
        <w:rPr>
          <w:b/>
          <w:bCs/>
          <w:iCs/>
        </w:rPr>
      </w:pPr>
      <w:r w:rsidRPr="00D3312E">
        <w:rPr>
          <w:b/>
          <w:bCs/>
          <w:iCs/>
        </w:rPr>
        <w:t>Sociodemographic characteristics</w:t>
      </w:r>
      <w:r w:rsidR="007E7B7F" w:rsidRPr="00D3312E">
        <w:rPr>
          <w:b/>
          <w:bCs/>
          <w:iCs/>
        </w:rPr>
        <w:t xml:space="preserve">: </w:t>
      </w:r>
      <w:r w:rsidR="00A43D80" w:rsidRPr="00D3312E">
        <w:rPr>
          <w:bCs/>
          <w:iCs/>
        </w:rPr>
        <w:t>Over the</w:t>
      </w:r>
      <w:r w:rsidR="00B20BA3" w:rsidRPr="00D3312E">
        <w:rPr>
          <w:bCs/>
          <w:iCs/>
        </w:rPr>
        <w:t xml:space="preserve"> </w:t>
      </w:r>
      <w:r w:rsidR="00A43D80" w:rsidRPr="00D3312E">
        <w:rPr>
          <w:bCs/>
          <w:iCs/>
        </w:rPr>
        <w:t xml:space="preserve">20+ </w:t>
      </w:r>
      <w:r w:rsidR="00777821" w:rsidRPr="00D3312E">
        <w:rPr>
          <w:bCs/>
          <w:iCs/>
        </w:rPr>
        <w:t xml:space="preserve">years of the </w:t>
      </w:r>
      <w:r w:rsidR="00B20BA3" w:rsidRPr="00D3312E">
        <w:rPr>
          <w:bCs/>
          <w:iCs/>
        </w:rPr>
        <w:t xml:space="preserve">study, the majority of women </w:t>
      </w:r>
      <w:r w:rsidR="00777821" w:rsidRPr="00D3312E">
        <w:rPr>
          <w:bCs/>
          <w:iCs/>
        </w:rPr>
        <w:t xml:space="preserve">in this cohort have </w:t>
      </w:r>
      <w:r w:rsidR="00B20BA3" w:rsidRPr="00D3312E">
        <w:rPr>
          <w:bCs/>
          <w:iCs/>
        </w:rPr>
        <w:t>reside</w:t>
      </w:r>
      <w:r w:rsidR="00777821" w:rsidRPr="00D3312E">
        <w:rPr>
          <w:bCs/>
          <w:iCs/>
        </w:rPr>
        <w:t>d</w:t>
      </w:r>
      <w:r w:rsidR="00B20BA3" w:rsidRPr="00D3312E">
        <w:rPr>
          <w:bCs/>
          <w:iCs/>
        </w:rPr>
        <w:t xml:space="preserve"> in cities or inner regional areas, with less than </w:t>
      </w:r>
      <w:r w:rsidR="000D237E" w:rsidRPr="00D3312E">
        <w:rPr>
          <w:bCs/>
          <w:iCs/>
        </w:rPr>
        <w:t>10</w:t>
      </w:r>
      <w:r w:rsidR="00B20BA3" w:rsidRPr="00D3312E">
        <w:rPr>
          <w:bCs/>
          <w:iCs/>
        </w:rPr>
        <w:t>% living in outer regional or remote/very remote areas.</w:t>
      </w:r>
      <w:r w:rsidR="00777821" w:rsidRPr="00D3312E">
        <w:rPr>
          <w:bCs/>
          <w:iCs/>
        </w:rPr>
        <w:t xml:space="preserve"> </w:t>
      </w:r>
      <w:r w:rsidRPr="00D3312E">
        <w:rPr>
          <w:bCs/>
          <w:iCs/>
        </w:rPr>
        <w:t>In 1996</w:t>
      </w:r>
      <w:r w:rsidR="004B6F0E" w:rsidRPr="00D3312E">
        <w:rPr>
          <w:bCs/>
          <w:iCs/>
        </w:rPr>
        <w:t>,</w:t>
      </w:r>
      <w:r w:rsidRPr="00D3312E">
        <w:rPr>
          <w:bCs/>
          <w:iCs/>
        </w:rPr>
        <w:t xml:space="preserve"> </w:t>
      </w:r>
      <w:r w:rsidR="004B6F0E" w:rsidRPr="00D3312E">
        <w:rPr>
          <w:bCs/>
          <w:iCs/>
        </w:rPr>
        <w:t xml:space="preserve">when the women were aged </w:t>
      </w:r>
      <w:r w:rsidRPr="00D3312E">
        <w:rPr>
          <w:bCs/>
          <w:iCs/>
        </w:rPr>
        <w:t xml:space="preserve">70 to </w:t>
      </w:r>
      <w:r w:rsidR="008B29AB" w:rsidRPr="00D3312E">
        <w:rPr>
          <w:bCs/>
          <w:iCs/>
        </w:rPr>
        <w:t>75</w:t>
      </w:r>
      <w:r w:rsidRPr="00D3312E">
        <w:rPr>
          <w:bCs/>
          <w:iCs/>
        </w:rPr>
        <w:t xml:space="preserve"> years</w:t>
      </w:r>
      <w:r w:rsidR="008B29AB" w:rsidRPr="00D3312E">
        <w:rPr>
          <w:bCs/>
          <w:iCs/>
        </w:rPr>
        <w:t xml:space="preserve">, </w:t>
      </w:r>
      <w:r w:rsidRPr="00D3312E">
        <w:rPr>
          <w:bCs/>
          <w:iCs/>
        </w:rPr>
        <w:t xml:space="preserve">some </w:t>
      </w:r>
      <w:r w:rsidR="00777821" w:rsidRPr="00D3312E">
        <w:rPr>
          <w:bCs/>
          <w:iCs/>
        </w:rPr>
        <w:t>3</w:t>
      </w:r>
      <w:r w:rsidR="000D237E" w:rsidRPr="00D3312E">
        <w:rPr>
          <w:bCs/>
          <w:iCs/>
        </w:rPr>
        <w:t>5</w:t>
      </w:r>
      <w:r w:rsidR="00777821" w:rsidRPr="00D3312E">
        <w:rPr>
          <w:bCs/>
          <w:iCs/>
        </w:rPr>
        <w:t xml:space="preserve">% </w:t>
      </w:r>
      <w:r w:rsidRPr="00D3312E">
        <w:rPr>
          <w:bCs/>
          <w:iCs/>
        </w:rPr>
        <w:t xml:space="preserve">were </w:t>
      </w:r>
      <w:r w:rsidR="008B29AB" w:rsidRPr="00D3312E">
        <w:rPr>
          <w:bCs/>
          <w:iCs/>
        </w:rPr>
        <w:t xml:space="preserve">widowed, </w:t>
      </w:r>
      <w:r w:rsidRPr="00D3312E">
        <w:rPr>
          <w:bCs/>
          <w:iCs/>
        </w:rPr>
        <w:t xml:space="preserve">with this </w:t>
      </w:r>
      <w:r w:rsidR="004F72B7" w:rsidRPr="00D3312E">
        <w:rPr>
          <w:bCs/>
          <w:iCs/>
        </w:rPr>
        <w:t xml:space="preserve">proportion </w:t>
      </w:r>
      <w:r w:rsidR="008B29AB" w:rsidRPr="00D3312E">
        <w:rPr>
          <w:bCs/>
          <w:iCs/>
        </w:rPr>
        <w:t>rising</w:t>
      </w:r>
      <w:r w:rsidR="00777821" w:rsidRPr="00D3312E">
        <w:rPr>
          <w:bCs/>
          <w:iCs/>
        </w:rPr>
        <w:t xml:space="preserve"> to </w:t>
      </w:r>
      <w:r w:rsidR="000D237E" w:rsidRPr="00D3312E">
        <w:rPr>
          <w:bCs/>
          <w:iCs/>
        </w:rPr>
        <w:t xml:space="preserve">over </w:t>
      </w:r>
      <w:r w:rsidR="00B26F8A" w:rsidRPr="00D3312E">
        <w:rPr>
          <w:bCs/>
          <w:iCs/>
        </w:rPr>
        <w:t xml:space="preserve">80% by </w:t>
      </w:r>
      <w:r w:rsidR="00636D75" w:rsidRPr="00D3312E">
        <w:t>85 to 90</w:t>
      </w:r>
      <w:r w:rsidR="00777821" w:rsidRPr="00D3312E">
        <w:rPr>
          <w:bCs/>
          <w:iCs/>
        </w:rPr>
        <w:t xml:space="preserve"> years</w:t>
      </w:r>
      <w:r w:rsidRPr="00D3312E">
        <w:rPr>
          <w:bCs/>
          <w:iCs/>
        </w:rPr>
        <w:t>.</w:t>
      </w:r>
      <w:r w:rsidR="000D237E" w:rsidRPr="00D3312E">
        <w:rPr>
          <w:bCs/>
          <w:iCs/>
        </w:rPr>
        <w:t xml:space="preserve"> Women who were married or in a </w:t>
      </w:r>
      <w:proofErr w:type="spellStart"/>
      <w:r w:rsidR="000D237E" w:rsidRPr="00D3312E">
        <w:rPr>
          <w:bCs/>
          <w:iCs/>
        </w:rPr>
        <w:t>defacto</w:t>
      </w:r>
      <w:proofErr w:type="spellEnd"/>
      <w:r w:rsidR="000D237E" w:rsidRPr="00D3312E">
        <w:rPr>
          <w:bCs/>
          <w:iCs/>
        </w:rPr>
        <w:t xml:space="preserve"> relationship at Survey 1 had a small but statistically significant survival advantage over other women.</w:t>
      </w:r>
    </w:p>
    <w:p w14:paraId="48784D9D" w14:textId="21274C22" w:rsidR="00C54F1E" w:rsidRPr="00D3312E" w:rsidRDefault="007E7B7F" w:rsidP="005068B4">
      <w:r w:rsidRPr="00D3312E">
        <w:rPr>
          <w:b/>
        </w:rPr>
        <w:t>Lifestyle:</w:t>
      </w:r>
      <w:r w:rsidR="00012F17">
        <w:rPr>
          <w:b/>
        </w:rPr>
        <w:t xml:space="preserve"> </w:t>
      </w:r>
      <w:r w:rsidR="007F5E78" w:rsidRPr="00D3312E">
        <w:t xml:space="preserve">Most women were in the healthy weight </w:t>
      </w:r>
      <w:r w:rsidR="0007134D" w:rsidRPr="00D3312E">
        <w:t xml:space="preserve">(50%) </w:t>
      </w:r>
      <w:r w:rsidR="007F5E78" w:rsidRPr="00D3312E">
        <w:t>o</w:t>
      </w:r>
      <w:r w:rsidR="004B6F0E" w:rsidRPr="00D3312E">
        <w:t>r overweight</w:t>
      </w:r>
      <w:r w:rsidR="0007134D" w:rsidRPr="00D3312E">
        <w:t xml:space="preserve"> (33%)</w:t>
      </w:r>
      <w:r w:rsidR="004B6F0E" w:rsidRPr="00D3312E">
        <w:t xml:space="preserve"> BMI categories </w:t>
      </w:r>
      <w:r w:rsidR="0007134D" w:rsidRPr="00D3312E">
        <w:t>at the start of the study. These proportions did not change greatly over time</w:t>
      </w:r>
      <w:r w:rsidR="00C54F1E" w:rsidRPr="00D3312E">
        <w:t xml:space="preserve">, with </w:t>
      </w:r>
      <w:r w:rsidR="00E5164E">
        <w:t>some women becoming</w:t>
      </w:r>
      <w:r w:rsidR="00C54F1E" w:rsidRPr="00D3312E">
        <w:t xml:space="preserve"> underweight</w:t>
      </w:r>
      <w:r w:rsidR="00E5164E">
        <w:t>,</w:t>
      </w:r>
      <w:r w:rsidR="00C54F1E" w:rsidRPr="00D3312E">
        <w:t xml:space="preserve"> replacing </w:t>
      </w:r>
      <w:r w:rsidR="00E5164E">
        <w:t>prev</w:t>
      </w:r>
      <w:r w:rsidR="001A659B">
        <w:t>iously</w:t>
      </w:r>
      <w:r w:rsidR="00C54F1E" w:rsidRPr="00D3312E">
        <w:t xml:space="preserve"> underweight women who died.</w:t>
      </w:r>
      <w:r w:rsidR="00012F17">
        <w:t xml:space="preserve"> </w:t>
      </w:r>
      <w:r w:rsidR="00C54F1E" w:rsidRPr="00D3312E">
        <w:t>U</w:t>
      </w:r>
      <w:r w:rsidR="00287127" w:rsidRPr="00D3312E">
        <w:t xml:space="preserve">nderweight women had a much </w:t>
      </w:r>
      <w:r w:rsidR="001A659B">
        <w:t>greater</w:t>
      </w:r>
      <w:r w:rsidR="001A659B" w:rsidRPr="00D3312E">
        <w:t xml:space="preserve"> </w:t>
      </w:r>
      <w:r w:rsidR="00287127" w:rsidRPr="00D3312E">
        <w:t>mortality rate</w:t>
      </w:r>
      <w:r w:rsidR="00C54F1E" w:rsidRPr="00D3312E">
        <w:t xml:space="preserve"> </w:t>
      </w:r>
      <w:r w:rsidR="001A659B">
        <w:t xml:space="preserve">(lower survival) </w:t>
      </w:r>
      <w:r w:rsidR="00C54F1E" w:rsidRPr="00D3312E">
        <w:t xml:space="preserve">than healthy weight or overweight women. Survival was also </w:t>
      </w:r>
      <w:r w:rsidR="00E5164E">
        <w:t>lower</w:t>
      </w:r>
      <w:r w:rsidR="00E5164E" w:rsidRPr="00D3312E">
        <w:t xml:space="preserve"> </w:t>
      </w:r>
      <w:r w:rsidR="00C54F1E" w:rsidRPr="00D3312E">
        <w:t>among women who were obese in comparison to those who started the study with a BMI in the healthy weight range.</w:t>
      </w:r>
    </w:p>
    <w:p w14:paraId="4A466B42" w14:textId="56988BBC" w:rsidR="00C54F1E" w:rsidRPr="00D3312E" w:rsidRDefault="00C54F1E" w:rsidP="00C54F1E">
      <w:r w:rsidRPr="00D3312E">
        <w:t xml:space="preserve">At Survey 1, most women were lifetime non-smokers (62%), with 30% classified as ex-smokers, and 8% as current smokers. There were large differences in survival for smokers compared to non-smokers. Non-smokers </w:t>
      </w:r>
      <w:r w:rsidR="008563EC">
        <w:t>were</w:t>
      </w:r>
      <w:r w:rsidR="008563EC" w:rsidRPr="00D3312E">
        <w:t xml:space="preserve"> </w:t>
      </w:r>
      <w:r w:rsidRPr="00D3312E">
        <w:t>around twice as likely to survive 20 years from the start of the study, compared to smokers. In addition, ex-smokers continued to have a survival disadvantage even after 20 years.</w:t>
      </w:r>
    </w:p>
    <w:p w14:paraId="75FB2324" w14:textId="7AFA9A0C" w:rsidR="006311FB" w:rsidRPr="00D3312E" w:rsidRDefault="00C54F1E" w:rsidP="005068B4">
      <w:r w:rsidRPr="00D3312E">
        <w:t>Physical activity declined over the course of the study as the women aged. In terms of survival, any level of physical activity was better than none, with some additi</w:t>
      </w:r>
      <w:r w:rsidR="00012F17">
        <w:t>onal advantage for high levels.</w:t>
      </w:r>
    </w:p>
    <w:p w14:paraId="74CF28E3" w14:textId="7B6DD9DE" w:rsidR="00232ED6" w:rsidRPr="00012F17" w:rsidRDefault="00287127" w:rsidP="005068B4">
      <w:pPr>
        <w:rPr>
          <w:bCs/>
          <w:iCs/>
        </w:rPr>
      </w:pPr>
      <w:r w:rsidRPr="00D3312E">
        <w:rPr>
          <w:b/>
        </w:rPr>
        <w:t>Self-rated health</w:t>
      </w:r>
      <w:r w:rsidR="007E7B7F" w:rsidRPr="00D3312E">
        <w:rPr>
          <w:b/>
        </w:rPr>
        <w:t xml:space="preserve">: </w:t>
      </w:r>
      <w:r w:rsidR="007E7B7F" w:rsidRPr="00D3312E">
        <w:rPr>
          <w:bCs/>
          <w:iCs/>
        </w:rPr>
        <w:t xml:space="preserve">The percentage of the women who rated their health as fair or poor increased </w:t>
      </w:r>
      <w:r w:rsidR="00C54F1E" w:rsidRPr="00D3312E">
        <w:rPr>
          <w:bCs/>
          <w:iCs/>
        </w:rPr>
        <w:t>over the study period. Women who rated their health as “fair” or “poor</w:t>
      </w:r>
      <w:r w:rsidR="004E181C">
        <w:rPr>
          <w:bCs/>
          <w:iCs/>
        </w:rPr>
        <w:t>”</w:t>
      </w:r>
      <w:r w:rsidR="00C54F1E" w:rsidRPr="00D3312E">
        <w:rPr>
          <w:bCs/>
          <w:iCs/>
        </w:rPr>
        <w:t xml:space="preserve"> at </w:t>
      </w:r>
      <w:r w:rsidR="004E181C" w:rsidRPr="00D3312E">
        <w:rPr>
          <w:bCs/>
          <w:iCs/>
        </w:rPr>
        <w:t>S</w:t>
      </w:r>
      <w:r w:rsidR="004E181C">
        <w:rPr>
          <w:bCs/>
          <w:iCs/>
        </w:rPr>
        <w:t>urvey</w:t>
      </w:r>
      <w:r w:rsidR="004E181C" w:rsidRPr="00D3312E">
        <w:rPr>
          <w:bCs/>
          <w:iCs/>
        </w:rPr>
        <w:t xml:space="preserve"> </w:t>
      </w:r>
      <w:r w:rsidR="00C54F1E" w:rsidRPr="00D3312E">
        <w:rPr>
          <w:bCs/>
          <w:iCs/>
        </w:rPr>
        <w:t xml:space="preserve">1 had much worse survival </w:t>
      </w:r>
      <w:r w:rsidR="004E181C" w:rsidRPr="00D3312E">
        <w:rPr>
          <w:bCs/>
          <w:iCs/>
        </w:rPr>
        <w:t>tha</w:t>
      </w:r>
      <w:r w:rsidR="004E181C">
        <w:rPr>
          <w:bCs/>
          <w:iCs/>
        </w:rPr>
        <w:t>n</w:t>
      </w:r>
      <w:r w:rsidR="004E181C" w:rsidRPr="00D3312E">
        <w:rPr>
          <w:bCs/>
          <w:iCs/>
        </w:rPr>
        <w:t xml:space="preserve"> </w:t>
      </w:r>
      <w:r w:rsidR="00C54F1E" w:rsidRPr="00D3312E">
        <w:rPr>
          <w:bCs/>
          <w:iCs/>
        </w:rPr>
        <w:t>women who rated their health as “good”</w:t>
      </w:r>
      <w:r w:rsidR="007E7B7F" w:rsidRPr="00D3312E">
        <w:rPr>
          <w:bCs/>
          <w:iCs/>
        </w:rPr>
        <w:t>.</w:t>
      </w:r>
      <w:r w:rsidR="00C54F1E" w:rsidRPr="00D3312E">
        <w:rPr>
          <w:bCs/>
          <w:iCs/>
        </w:rPr>
        <w:t xml:space="preserve"> Women who rated their health as “very good” or “excellent” at Survey 1 had the best survival with around 50% of these women surviving at least 20 years (to age 90-95).</w:t>
      </w:r>
      <w:r w:rsidR="00012F17">
        <w:rPr>
          <w:bCs/>
          <w:iCs/>
        </w:rPr>
        <w:t xml:space="preserve"> </w:t>
      </w:r>
      <w:r w:rsidR="00C54F1E" w:rsidRPr="00D3312E">
        <w:rPr>
          <w:bCs/>
          <w:iCs/>
        </w:rPr>
        <w:t>Likewise higher scores on physical functioning were associated with better survival.</w:t>
      </w:r>
      <w:r w:rsidR="00012F17">
        <w:rPr>
          <w:bCs/>
          <w:iCs/>
        </w:rPr>
        <w:t xml:space="preserve"> </w:t>
      </w:r>
      <w:r w:rsidR="00C54F1E" w:rsidRPr="00D3312E">
        <w:rPr>
          <w:bCs/>
          <w:iCs/>
        </w:rPr>
        <w:t>Low mental health scores, indicating psychological distress, were associ</w:t>
      </w:r>
      <w:r w:rsidR="00252CA5">
        <w:rPr>
          <w:bCs/>
          <w:iCs/>
        </w:rPr>
        <w:t>ated with lower survival rates.</w:t>
      </w:r>
    </w:p>
    <w:p w14:paraId="36B77B2C" w14:textId="792DD1C1" w:rsidR="00B56176" w:rsidRPr="00FC5A11" w:rsidRDefault="000446C5" w:rsidP="00DC49CA">
      <w:pPr>
        <w:rPr>
          <w:bCs/>
          <w:iCs/>
        </w:rPr>
      </w:pPr>
      <w:r w:rsidRPr="00D3312E">
        <w:rPr>
          <w:b/>
          <w:bCs/>
          <w:iCs/>
        </w:rPr>
        <w:t>Functional abilities</w:t>
      </w:r>
      <w:r w:rsidR="00E06E42" w:rsidRPr="00D3312E">
        <w:rPr>
          <w:b/>
          <w:bCs/>
          <w:iCs/>
        </w:rPr>
        <w:t xml:space="preserve"> and </w:t>
      </w:r>
      <w:r w:rsidR="00444094" w:rsidRPr="00D3312E">
        <w:rPr>
          <w:b/>
          <w:bCs/>
          <w:iCs/>
        </w:rPr>
        <w:t>caring</w:t>
      </w:r>
      <w:r w:rsidR="007E7B7F" w:rsidRPr="00D3312E">
        <w:rPr>
          <w:b/>
          <w:bCs/>
          <w:iCs/>
        </w:rPr>
        <w:t xml:space="preserve">: </w:t>
      </w:r>
      <w:r w:rsidR="00AA79F4" w:rsidRPr="00D3312E">
        <w:rPr>
          <w:bCs/>
          <w:iCs/>
        </w:rPr>
        <w:t>T</w:t>
      </w:r>
      <w:r w:rsidR="00DA113F" w:rsidRPr="00D3312E">
        <w:rPr>
          <w:bCs/>
          <w:iCs/>
        </w:rPr>
        <w:t>he percentage of women who reported needing help</w:t>
      </w:r>
      <w:r w:rsidR="00E06E42" w:rsidRPr="00D3312E">
        <w:rPr>
          <w:bCs/>
          <w:iCs/>
        </w:rPr>
        <w:t xml:space="preserve"> from others</w:t>
      </w:r>
      <w:r w:rsidR="00564E36" w:rsidRPr="00D3312E">
        <w:rPr>
          <w:bCs/>
          <w:iCs/>
        </w:rPr>
        <w:t xml:space="preserve"> for daily tasks due to long-</w:t>
      </w:r>
      <w:r w:rsidR="00DA113F" w:rsidRPr="00D3312E">
        <w:rPr>
          <w:bCs/>
          <w:iCs/>
        </w:rPr>
        <w:t>term illness rose fourfold</w:t>
      </w:r>
      <w:r w:rsidR="00C46755" w:rsidRPr="00D3312E">
        <w:rPr>
          <w:bCs/>
          <w:iCs/>
        </w:rPr>
        <w:t>,</w:t>
      </w:r>
      <w:r w:rsidR="00DA113F" w:rsidRPr="00D3312E">
        <w:rPr>
          <w:bCs/>
          <w:iCs/>
        </w:rPr>
        <w:t xml:space="preserve"> from </w:t>
      </w:r>
      <w:r w:rsidR="00DC49CA" w:rsidRPr="00D3312E">
        <w:rPr>
          <w:bCs/>
          <w:iCs/>
        </w:rPr>
        <w:t>less than 10</w:t>
      </w:r>
      <w:r w:rsidR="00DA113F" w:rsidRPr="00D3312E">
        <w:rPr>
          <w:bCs/>
          <w:iCs/>
        </w:rPr>
        <w:t xml:space="preserve">% at age 70 to 75 years to </w:t>
      </w:r>
      <w:r w:rsidR="00DC49CA" w:rsidRPr="00D3312E">
        <w:rPr>
          <w:bCs/>
          <w:iCs/>
        </w:rPr>
        <w:t>around 40% by age 90-95</w:t>
      </w:r>
      <w:r w:rsidR="00DA113F" w:rsidRPr="00D3312E">
        <w:rPr>
          <w:bCs/>
          <w:iCs/>
        </w:rPr>
        <w:t>.</w:t>
      </w:r>
      <w:r w:rsidRPr="00D3312E">
        <w:rPr>
          <w:bCs/>
          <w:iCs/>
        </w:rPr>
        <w:t xml:space="preserve"> </w:t>
      </w:r>
      <w:r w:rsidR="00DC49CA" w:rsidRPr="00D3312E">
        <w:rPr>
          <w:bCs/>
          <w:iCs/>
        </w:rPr>
        <w:t xml:space="preserve">However women were also likely to be caring for someone else due to that person’s illness, disability or frailty. At </w:t>
      </w:r>
      <w:r w:rsidR="001535D0" w:rsidRPr="00D3312E">
        <w:rPr>
          <w:bCs/>
          <w:iCs/>
        </w:rPr>
        <w:t xml:space="preserve">age 70-75, women were twice as likely to be caring for someone else than needing care for </w:t>
      </w:r>
      <w:r w:rsidR="00836E85" w:rsidRPr="00D3312E">
        <w:rPr>
          <w:bCs/>
          <w:iCs/>
        </w:rPr>
        <w:t xml:space="preserve">themselves. </w:t>
      </w:r>
      <w:r w:rsidR="00DC49CA" w:rsidRPr="00D3312E">
        <w:rPr>
          <w:bCs/>
          <w:iCs/>
        </w:rPr>
        <w:t>Later in life</w:t>
      </w:r>
      <w:r w:rsidR="00836E85" w:rsidRPr="00D3312E">
        <w:rPr>
          <w:bCs/>
          <w:iCs/>
        </w:rPr>
        <w:t xml:space="preserve"> this ratio was reversed</w:t>
      </w:r>
      <w:r w:rsidR="00DC49CA" w:rsidRPr="00D3312E">
        <w:rPr>
          <w:bCs/>
          <w:iCs/>
        </w:rPr>
        <w:t xml:space="preserve"> first as women’s own needs for help increased, and then as their role </w:t>
      </w:r>
      <w:r w:rsidR="00DC49CA" w:rsidRPr="00D3312E">
        <w:rPr>
          <w:bCs/>
          <w:iCs/>
        </w:rPr>
        <w:lastRenderedPageBreak/>
        <w:t xml:space="preserve">in caring for others diminished. Those who needed help with daily activities at the start of the study had a much </w:t>
      </w:r>
      <w:r w:rsidR="00697B12">
        <w:rPr>
          <w:bCs/>
          <w:iCs/>
        </w:rPr>
        <w:t>higher</w:t>
      </w:r>
      <w:r w:rsidR="00697B12" w:rsidRPr="00D3312E">
        <w:rPr>
          <w:bCs/>
          <w:iCs/>
        </w:rPr>
        <w:t xml:space="preserve"> </w:t>
      </w:r>
      <w:r w:rsidR="00DC49CA" w:rsidRPr="00D3312E">
        <w:rPr>
          <w:bCs/>
          <w:iCs/>
        </w:rPr>
        <w:t xml:space="preserve">mortality rate than those who did not report such needs. The relationship between providing care </w:t>
      </w:r>
      <w:r w:rsidR="00697B12">
        <w:rPr>
          <w:bCs/>
          <w:iCs/>
        </w:rPr>
        <w:t xml:space="preserve">to others </w:t>
      </w:r>
      <w:r w:rsidR="00DC49CA" w:rsidRPr="00D3312E">
        <w:rPr>
          <w:bCs/>
          <w:iCs/>
        </w:rPr>
        <w:t>and survival is more complex due to the periodic and varying nature of caregiving across later life.</w:t>
      </w:r>
    </w:p>
    <w:p w14:paraId="398C8A94" w14:textId="52EEA275" w:rsidR="00E40449" w:rsidRPr="00D3312E" w:rsidRDefault="00E40449" w:rsidP="005068B4">
      <w:pPr>
        <w:rPr>
          <w:bCs/>
          <w:iCs/>
        </w:rPr>
      </w:pPr>
      <w:r w:rsidRPr="00FC5A11">
        <w:rPr>
          <w:b/>
          <w:bCs/>
          <w:iCs/>
        </w:rPr>
        <w:t>P</w:t>
      </w:r>
      <w:r w:rsidR="00555C4E" w:rsidRPr="00FC5A11">
        <w:rPr>
          <w:b/>
          <w:bCs/>
          <w:iCs/>
        </w:rPr>
        <w:t>otential p</w:t>
      </w:r>
      <w:r w:rsidRPr="00FC5A11">
        <w:rPr>
          <w:b/>
          <w:bCs/>
          <w:iCs/>
        </w:rPr>
        <w:t>olicy implications</w:t>
      </w:r>
      <w:r w:rsidR="009B61A4">
        <w:rPr>
          <w:b/>
          <w:bCs/>
          <w:iCs/>
        </w:rPr>
        <w:t xml:space="preserve">: </w:t>
      </w:r>
      <w:r w:rsidR="00B56176" w:rsidRPr="00D3312E">
        <w:rPr>
          <w:bCs/>
          <w:iCs/>
        </w:rPr>
        <w:t xml:space="preserve">Data from earlier </w:t>
      </w:r>
      <w:r w:rsidRPr="00D3312E">
        <w:rPr>
          <w:bCs/>
          <w:iCs/>
        </w:rPr>
        <w:t>sur</w:t>
      </w:r>
      <w:r w:rsidR="00B56176" w:rsidRPr="00D3312E">
        <w:rPr>
          <w:bCs/>
          <w:iCs/>
        </w:rPr>
        <w:t>v</w:t>
      </w:r>
      <w:r w:rsidRPr="00D3312E">
        <w:rPr>
          <w:bCs/>
          <w:iCs/>
        </w:rPr>
        <w:t xml:space="preserve">eys highlight that most </w:t>
      </w:r>
      <w:r w:rsidR="00B56176" w:rsidRPr="00D3312E">
        <w:rPr>
          <w:bCs/>
          <w:iCs/>
        </w:rPr>
        <w:t>older women</w:t>
      </w:r>
      <w:r w:rsidRPr="00D3312E">
        <w:rPr>
          <w:bCs/>
          <w:iCs/>
        </w:rPr>
        <w:t xml:space="preserve"> </w:t>
      </w:r>
      <w:r w:rsidR="00C02AAF">
        <w:rPr>
          <w:bCs/>
          <w:iCs/>
        </w:rPr>
        <w:t>we</w:t>
      </w:r>
      <w:r w:rsidR="00C02AAF" w:rsidRPr="00D3312E">
        <w:rPr>
          <w:bCs/>
          <w:iCs/>
        </w:rPr>
        <w:t xml:space="preserve">re </w:t>
      </w:r>
      <w:r w:rsidRPr="00D3312E">
        <w:rPr>
          <w:bCs/>
          <w:iCs/>
        </w:rPr>
        <w:t>in good, very good or excellent health</w:t>
      </w:r>
      <w:r w:rsidR="00EA5233" w:rsidRPr="00D3312E">
        <w:rPr>
          <w:bCs/>
          <w:iCs/>
        </w:rPr>
        <w:t xml:space="preserve"> during this part of their lives</w:t>
      </w:r>
      <w:r w:rsidR="00B1195A">
        <w:rPr>
          <w:bCs/>
          <w:iCs/>
        </w:rPr>
        <w:t xml:space="preserve"> (when they were in their seventies)</w:t>
      </w:r>
      <w:r w:rsidRPr="00D3312E">
        <w:rPr>
          <w:bCs/>
          <w:iCs/>
        </w:rPr>
        <w:t>,</w:t>
      </w:r>
      <w:r w:rsidR="00B56176" w:rsidRPr="00D3312E">
        <w:rPr>
          <w:bCs/>
          <w:iCs/>
        </w:rPr>
        <w:t xml:space="preserve"> </w:t>
      </w:r>
      <w:r w:rsidR="00DC49CA" w:rsidRPr="00D3312E">
        <w:rPr>
          <w:bCs/>
          <w:iCs/>
        </w:rPr>
        <w:t xml:space="preserve">with high or moderately high levels of physical functioning and low rates of psychological distress. The women </w:t>
      </w:r>
      <w:r w:rsidR="00B1195A">
        <w:rPr>
          <w:bCs/>
          <w:iCs/>
        </w:rPr>
        <w:t xml:space="preserve">were </w:t>
      </w:r>
      <w:r w:rsidR="00DC49CA" w:rsidRPr="00D3312E">
        <w:rPr>
          <w:bCs/>
          <w:iCs/>
        </w:rPr>
        <w:t>also</w:t>
      </w:r>
      <w:r w:rsidRPr="00D3312E">
        <w:rPr>
          <w:bCs/>
          <w:iCs/>
        </w:rPr>
        <w:t xml:space="preserve"> </w:t>
      </w:r>
      <w:r w:rsidR="00B1195A" w:rsidRPr="00D3312E">
        <w:rPr>
          <w:bCs/>
          <w:iCs/>
        </w:rPr>
        <w:t>mak</w:t>
      </w:r>
      <w:r w:rsidR="00B1195A">
        <w:rPr>
          <w:bCs/>
          <w:iCs/>
        </w:rPr>
        <w:t>ing</w:t>
      </w:r>
      <w:r w:rsidR="00B1195A" w:rsidRPr="00D3312E">
        <w:rPr>
          <w:bCs/>
          <w:iCs/>
        </w:rPr>
        <w:t xml:space="preserve"> </w:t>
      </w:r>
      <w:r w:rsidR="00B56176" w:rsidRPr="00D3312E">
        <w:rPr>
          <w:bCs/>
          <w:iCs/>
        </w:rPr>
        <w:t>important contributions to their families and communities</w:t>
      </w:r>
      <w:r w:rsidR="00DC49CA" w:rsidRPr="00D3312E">
        <w:rPr>
          <w:bCs/>
          <w:iCs/>
        </w:rPr>
        <w:t>, shown here in relation to their roles in caring for others</w:t>
      </w:r>
      <w:r w:rsidRPr="00D3312E">
        <w:rPr>
          <w:bCs/>
          <w:iCs/>
        </w:rPr>
        <w:t>.</w:t>
      </w:r>
      <w:r w:rsidR="00012F17">
        <w:rPr>
          <w:bCs/>
          <w:iCs/>
        </w:rPr>
        <w:t xml:space="preserve"> </w:t>
      </w:r>
      <w:r w:rsidRPr="00D3312E">
        <w:rPr>
          <w:bCs/>
          <w:iCs/>
        </w:rPr>
        <w:t xml:space="preserve">These data have implications for policies concerning healthy and active ageing which look to optimise quality of life in older age and develop social and physical environments that support older people and allow them to maximise their activity and participation. </w:t>
      </w:r>
      <w:r w:rsidR="007B1709">
        <w:rPr>
          <w:bCs/>
          <w:iCs/>
        </w:rPr>
        <w:t>Good h</w:t>
      </w:r>
      <w:r w:rsidR="007B1709" w:rsidRPr="00D3312E">
        <w:rPr>
          <w:bCs/>
          <w:iCs/>
        </w:rPr>
        <w:t xml:space="preserve">ealth </w:t>
      </w:r>
      <w:r w:rsidRPr="00D3312E">
        <w:rPr>
          <w:bCs/>
          <w:iCs/>
        </w:rPr>
        <w:t>in older age is a significant resource not only for the woman herself, but also for her family and community.</w:t>
      </w:r>
      <w:r w:rsidR="00012F17">
        <w:rPr>
          <w:bCs/>
          <w:iCs/>
        </w:rPr>
        <w:t xml:space="preserve"> </w:t>
      </w:r>
      <w:r w:rsidRPr="00D3312E">
        <w:rPr>
          <w:bCs/>
          <w:iCs/>
        </w:rPr>
        <w:t xml:space="preserve">The economic contributions of these women must not be underestimated. </w:t>
      </w:r>
    </w:p>
    <w:p w14:paraId="5475AAE0" w14:textId="5B3FA00D" w:rsidR="00DC49CA" w:rsidRPr="00D3312E" w:rsidRDefault="00C00602" w:rsidP="005068B4">
      <w:pPr>
        <w:rPr>
          <w:bCs/>
          <w:iCs/>
        </w:rPr>
      </w:pPr>
      <w:r w:rsidRPr="00D3312E">
        <w:rPr>
          <w:bCs/>
          <w:iCs/>
        </w:rPr>
        <w:t xml:space="preserve">Healthy behaviours </w:t>
      </w:r>
      <w:r w:rsidR="00DC49CA" w:rsidRPr="00D3312E">
        <w:rPr>
          <w:bCs/>
          <w:iCs/>
        </w:rPr>
        <w:t>are</w:t>
      </w:r>
      <w:r w:rsidR="00555C4E" w:rsidRPr="00D3312E">
        <w:rPr>
          <w:bCs/>
          <w:iCs/>
        </w:rPr>
        <w:t xml:space="preserve"> key drivers of health in older age</w:t>
      </w:r>
      <w:r w:rsidR="00DC49CA" w:rsidRPr="00D3312E">
        <w:rPr>
          <w:bCs/>
          <w:iCs/>
        </w:rPr>
        <w:t>, and significant determinants of longevity</w:t>
      </w:r>
      <w:r w:rsidR="00555C4E" w:rsidRPr="00D3312E">
        <w:rPr>
          <w:bCs/>
          <w:iCs/>
        </w:rPr>
        <w:t xml:space="preserve">. </w:t>
      </w:r>
      <w:r w:rsidRPr="00D3312E">
        <w:rPr>
          <w:bCs/>
          <w:iCs/>
        </w:rPr>
        <w:t xml:space="preserve">This cohort </w:t>
      </w:r>
      <w:r w:rsidR="00EA5233" w:rsidRPr="00D3312E">
        <w:rPr>
          <w:bCs/>
          <w:iCs/>
        </w:rPr>
        <w:t xml:space="preserve">entered adulthood </w:t>
      </w:r>
      <w:r w:rsidRPr="00D3312E">
        <w:rPr>
          <w:bCs/>
          <w:iCs/>
        </w:rPr>
        <w:t xml:space="preserve">prior to the global rise in the incidence of obesity. Few women were obese, and women’s BMI tended to decrease over time. Underweight is a potential issue for this cohort, particularly as they age and may represent a loss of lean body mass and poor nutrition. </w:t>
      </w:r>
      <w:r w:rsidR="00DC49CA" w:rsidRPr="00D3312E">
        <w:rPr>
          <w:bCs/>
          <w:iCs/>
        </w:rPr>
        <w:t>These</w:t>
      </w:r>
      <w:r w:rsidRPr="00D3312E">
        <w:rPr>
          <w:bCs/>
          <w:iCs/>
        </w:rPr>
        <w:t xml:space="preserve"> underweight women are less likely to </w:t>
      </w:r>
      <w:r w:rsidR="00CE6C5D" w:rsidRPr="00D3312E">
        <w:rPr>
          <w:bCs/>
          <w:iCs/>
        </w:rPr>
        <w:t xml:space="preserve">have </w:t>
      </w:r>
      <w:r w:rsidRPr="00D3312E">
        <w:rPr>
          <w:bCs/>
          <w:iCs/>
        </w:rPr>
        <w:t>survive</w:t>
      </w:r>
      <w:r w:rsidR="00CE6C5D" w:rsidRPr="00D3312E">
        <w:rPr>
          <w:bCs/>
          <w:iCs/>
        </w:rPr>
        <w:t>d</w:t>
      </w:r>
      <w:r w:rsidRPr="00D3312E">
        <w:rPr>
          <w:bCs/>
          <w:iCs/>
        </w:rPr>
        <w:t>.</w:t>
      </w:r>
    </w:p>
    <w:p w14:paraId="624C6BBC" w14:textId="513E4980" w:rsidR="00555C4E" w:rsidRPr="00D3312E" w:rsidRDefault="00DC49CA" w:rsidP="005068B4">
      <w:pPr>
        <w:rPr>
          <w:bCs/>
          <w:iCs/>
        </w:rPr>
      </w:pPr>
      <w:r w:rsidRPr="00D3312E">
        <w:rPr>
          <w:bCs/>
          <w:iCs/>
        </w:rPr>
        <w:t xml:space="preserve">The findings also underscore the importance of physical activity </w:t>
      </w:r>
      <w:r w:rsidR="00651EAD" w:rsidRPr="00D3312E">
        <w:rPr>
          <w:bCs/>
          <w:iCs/>
        </w:rPr>
        <w:t xml:space="preserve">for older women, with even small levels conferring survival benefit. There is however a strong trend for women to become increasingly inactive in later life, with such sedentary behaviour heralding a poor prognosis. </w:t>
      </w:r>
      <w:r w:rsidR="00C00602" w:rsidRPr="00D3312E">
        <w:rPr>
          <w:bCs/>
          <w:iCs/>
        </w:rPr>
        <w:t>Physical activity programs for older people can be tailored to their functional capacity, and can help improve strength and balance, reduce falls and improve independence and overall wellbeing.</w:t>
      </w:r>
    </w:p>
    <w:p w14:paraId="3E321A6B" w14:textId="1726BC72" w:rsidR="00533227" w:rsidRPr="000451F0" w:rsidRDefault="00651EAD" w:rsidP="00CA5AD6">
      <w:r w:rsidRPr="00D3312E">
        <w:rPr>
          <w:bCs/>
          <w:iCs/>
        </w:rPr>
        <w:t>The women who remain in the study at age 9</w:t>
      </w:r>
      <w:r w:rsidR="003D6BF4">
        <w:rPr>
          <w:bCs/>
          <w:iCs/>
        </w:rPr>
        <w:t>2</w:t>
      </w:r>
      <w:r w:rsidRPr="00D3312E">
        <w:rPr>
          <w:bCs/>
          <w:iCs/>
        </w:rPr>
        <w:t>-9</w:t>
      </w:r>
      <w:r w:rsidR="003D6BF4">
        <w:rPr>
          <w:bCs/>
          <w:iCs/>
        </w:rPr>
        <w:t>7</w:t>
      </w:r>
      <w:r w:rsidRPr="00D3312E">
        <w:rPr>
          <w:bCs/>
          <w:iCs/>
        </w:rPr>
        <w:t xml:space="preserve"> represent exceptional members of their cohort who have survived to very old age, and who still have good prospects for survival into their late </w:t>
      </w:r>
      <w:r w:rsidR="00012F17">
        <w:rPr>
          <w:bCs/>
          <w:iCs/>
        </w:rPr>
        <w:t>90’s and to 100 years or more.</w:t>
      </w:r>
      <w:bookmarkStart w:id="2" w:name="_Toc383604376"/>
      <w:r w:rsidR="00533227">
        <w:br w:type="page"/>
      </w:r>
    </w:p>
    <w:p w14:paraId="4E364D41" w14:textId="230633C8" w:rsidR="001C11D0" w:rsidRPr="00CA5AD6" w:rsidRDefault="001C11D0" w:rsidP="00CA5AD6">
      <w:pPr>
        <w:pStyle w:val="Heading1"/>
      </w:pPr>
      <w:bookmarkStart w:id="3" w:name="_Toc530561244"/>
      <w:r w:rsidRPr="00CA5AD6">
        <w:lastRenderedPageBreak/>
        <w:t>I</w:t>
      </w:r>
      <w:bookmarkEnd w:id="2"/>
      <w:r w:rsidR="00CA5AD6">
        <w:t>ntroduction</w:t>
      </w:r>
      <w:bookmarkEnd w:id="3"/>
    </w:p>
    <w:p w14:paraId="4098C089" w14:textId="1BBCDE29" w:rsidR="00A941A5" w:rsidRDefault="00A0340E" w:rsidP="00D661FD">
      <w:pPr>
        <w:pStyle w:val="Heading2"/>
        <w:ind w:left="578" w:hanging="578"/>
      </w:pPr>
      <w:bookmarkStart w:id="4" w:name="_Toc530561245"/>
      <w:r>
        <w:t>Background</w:t>
      </w:r>
      <w:bookmarkEnd w:id="4"/>
    </w:p>
    <w:p w14:paraId="143E9314" w14:textId="7AF5BE76" w:rsidR="001C11D0" w:rsidRPr="00A86827" w:rsidRDefault="001C11D0" w:rsidP="001C11D0">
      <w:r w:rsidRPr="00A86827">
        <w:t>The Australian Longitudinal Study on Women’s Health</w:t>
      </w:r>
      <w:r>
        <w:t xml:space="preserve"> (ALSWH)</w:t>
      </w:r>
      <w:r w:rsidRPr="00A86827">
        <w:t xml:space="preserve"> is a longitudinal population-based survey examining the health of </w:t>
      </w:r>
      <w:r w:rsidR="001535D0">
        <w:t>around 60</w:t>
      </w:r>
      <w:r w:rsidRPr="00A86827">
        <w:t>,000 Australian women.</w:t>
      </w:r>
      <w:r w:rsidR="00012F17">
        <w:t xml:space="preserve"> </w:t>
      </w:r>
      <w:r w:rsidRPr="00A86827">
        <w:t xml:space="preserve">The Study follows women in four age cohorts, and a summary of </w:t>
      </w:r>
      <w:r w:rsidR="00FF7FCA">
        <w:t xml:space="preserve">selected data from </w:t>
      </w:r>
      <w:r w:rsidRPr="00A86827">
        <w:t>the cohort born 19</w:t>
      </w:r>
      <w:r w:rsidR="00534F15">
        <w:t>21-26</w:t>
      </w:r>
      <w:r w:rsidRPr="00A86827">
        <w:t xml:space="preserve"> (now aged </w:t>
      </w:r>
      <w:r w:rsidR="0006784C">
        <w:t>92-97</w:t>
      </w:r>
      <w:r w:rsidRPr="00A86827">
        <w:t xml:space="preserve">) who were first surveyed aged </w:t>
      </w:r>
      <w:r w:rsidR="00534F15">
        <w:t>70-75</w:t>
      </w:r>
      <w:r w:rsidR="00012F17">
        <w:t xml:space="preserve"> in 1996 is presented here.</w:t>
      </w:r>
    </w:p>
    <w:p w14:paraId="67E79CEA" w14:textId="4230F4DA" w:rsidR="00B309D3" w:rsidRDefault="001C11D0" w:rsidP="00B309D3">
      <w:r w:rsidRPr="00A86827">
        <w:t xml:space="preserve">The </w:t>
      </w:r>
      <w:r w:rsidR="00BE245D">
        <w:t>12</w:t>
      </w:r>
      <w:r w:rsidR="00D22723">
        <w:t>,</w:t>
      </w:r>
      <w:r w:rsidR="00BE245D">
        <w:t xml:space="preserve">432 women in the </w:t>
      </w:r>
      <w:r w:rsidRPr="00A86827">
        <w:t>19</w:t>
      </w:r>
      <w:r w:rsidR="00BC48B0">
        <w:t>21-26</w:t>
      </w:r>
      <w:r w:rsidRPr="00A86827">
        <w:t xml:space="preserve"> cohort </w:t>
      </w:r>
      <w:r w:rsidR="00BE245D">
        <w:t xml:space="preserve">were </w:t>
      </w:r>
      <w:r w:rsidRPr="00A86827">
        <w:t xml:space="preserve">recruited </w:t>
      </w:r>
      <w:r>
        <w:t xml:space="preserve">from the name and address database of the Australian Health Insurance Commission (now </w:t>
      </w:r>
      <w:r w:rsidRPr="00A86827">
        <w:t>Medicare</w:t>
      </w:r>
      <w:r>
        <w:t xml:space="preserve"> Australia).</w:t>
      </w:r>
      <w:r w:rsidRPr="00D57028">
        <w:t xml:space="preserve"> Sampling was random, except that women living in rural and remote areas</w:t>
      </w:r>
      <w:r>
        <w:t xml:space="preserve"> </w:t>
      </w:r>
      <w:r w:rsidRPr="00D57028">
        <w:t xml:space="preserve">were sampled at twice the rate of women in urban areas, in order to capture the heterogeneity of health experiences of women living outside metropolitan areas. The cohort </w:t>
      </w:r>
      <w:r w:rsidR="00BC48B0">
        <w:t>w</w:t>
      </w:r>
      <w:r w:rsidRPr="00D57028">
        <w:t>a</w:t>
      </w:r>
      <w:r>
        <w:t>s</w:t>
      </w:r>
      <w:r w:rsidRPr="00D57028">
        <w:t xml:space="preserve"> </w:t>
      </w:r>
      <w:r w:rsidR="00BC48B0">
        <w:t>surveyed six times between</w:t>
      </w:r>
      <w:r>
        <w:t xml:space="preserve"> 1996 and </w:t>
      </w:r>
      <w:r w:rsidR="00BC48B0">
        <w:t>2011, and has been surveyed e</w:t>
      </w:r>
      <w:r w:rsidR="00F66929">
        <w:t xml:space="preserve">very six months since </w:t>
      </w:r>
      <w:r w:rsidR="00534F15">
        <w:t xml:space="preserve">November, </w:t>
      </w:r>
      <w:r w:rsidR="00F66929">
        <w:t>2011. T</w:t>
      </w:r>
      <w:r w:rsidR="00BC48B0">
        <w:t xml:space="preserve">hese women are now in their nineties, </w:t>
      </w:r>
      <w:r w:rsidR="00022DD9">
        <w:t xml:space="preserve">and bi-annual </w:t>
      </w:r>
      <w:r w:rsidR="009D4393">
        <w:t xml:space="preserve">surveys </w:t>
      </w:r>
      <w:r w:rsidR="0006784C">
        <w:t xml:space="preserve">provide insight into the factors affecting the longevity and on-going health and </w:t>
      </w:r>
      <w:r w:rsidR="00B309D3">
        <w:t xml:space="preserve">health care needs of </w:t>
      </w:r>
      <w:r w:rsidR="0006784C">
        <w:t>those who are still alive</w:t>
      </w:r>
      <w:r w:rsidR="00012F17">
        <w:t>.</w:t>
      </w:r>
    </w:p>
    <w:p w14:paraId="265641C4" w14:textId="54D83039" w:rsidR="000D7484" w:rsidRDefault="000D7484" w:rsidP="00B309D3">
      <w:r>
        <w:t xml:space="preserve">This report contains two sections: the first discusses </w:t>
      </w:r>
      <w:r w:rsidR="0006784C">
        <w:t xml:space="preserve">factors associated with survival of women in this cohort and their </w:t>
      </w:r>
      <w:r>
        <w:t>trajectories</w:t>
      </w:r>
      <w:r w:rsidR="0006784C">
        <w:t xml:space="preserve"> over time</w:t>
      </w:r>
      <w:r>
        <w:t xml:space="preserve"> on a range of health-related measures, and the second part outlines the key research achievements.</w:t>
      </w:r>
      <w:r w:rsidR="00F32190">
        <w:t xml:space="preserve"> </w:t>
      </w:r>
      <w:r w:rsidR="00CF6E5E">
        <w:t>Details of</w:t>
      </w:r>
      <w:r w:rsidR="00F32190">
        <w:t xml:space="preserve"> publications, </w:t>
      </w:r>
      <w:r w:rsidR="00CF6E5E">
        <w:t>reports and cohort participation ra</w:t>
      </w:r>
      <w:r w:rsidR="00012F17">
        <w:t>tes are included as appendices.</w:t>
      </w:r>
    </w:p>
    <w:p w14:paraId="3B7BB57E" w14:textId="77777777" w:rsidR="00B309D3" w:rsidRPr="00663924" w:rsidRDefault="00B309D3" w:rsidP="00D661FD">
      <w:pPr>
        <w:pStyle w:val="Heading2"/>
        <w:ind w:left="578" w:hanging="578"/>
      </w:pPr>
      <w:bookmarkStart w:id="5" w:name="_Toc530561246"/>
      <w:r w:rsidRPr="00663924">
        <w:t>Surveys</w:t>
      </w:r>
      <w:bookmarkEnd w:id="5"/>
    </w:p>
    <w:p w14:paraId="0760DDAB" w14:textId="10F7AE9F" w:rsidR="000E5752" w:rsidRDefault="00B309D3" w:rsidP="00B309D3">
      <w:r>
        <w:t>The 1921-26 cohort receive mailed pen and paper surveys. Some participants elect to complete their surveys over the telephone. Telephone interviews are conducted with trained project assistants based at the University of Newcastle.</w:t>
      </w:r>
    </w:p>
    <w:p w14:paraId="588197CC" w14:textId="61D116B4" w:rsidR="000E5752" w:rsidRDefault="000E5752" w:rsidP="00B309D3">
      <w:r>
        <w:t>The surveys</w:t>
      </w:r>
      <w:r w:rsidR="00CB0437">
        <w:t xml:space="preserve"> conducted between 1996 and 2011 were sent to the women every three years and</w:t>
      </w:r>
      <w:r>
        <w:t xml:space="preserve"> </w:t>
      </w:r>
      <w:r w:rsidR="006C2682">
        <w:t>contained question</w:t>
      </w:r>
      <w:r w:rsidR="00CB0437">
        <w:t>s</w:t>
      </w:r>
      <w:r w:rsidR="006C2682">
        <w:t xml:space="preserve"> on a broad range of health-related themes</w:t>
      </w:r>
      <w:r w:rsidR="00840A5D">
        <w:t>, including</w:t>
      </w:r>
      <w:r w:rsidR="006C2682">
        <w:t>:</w:t>
      </w:r>
    </w:p>
    <w:p w14:paraId="78AA9E27" w14:textId="2EB87B2E" w:rsidR="00840A5D" w:rsidRPr="007E0320" w:rsidRDefault="00840A5D"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Physical, social and emotional functioning (SF-36 Health related quality of life measure)</w:t>
      </w:r>
    </w:p>
    <w:p w14:paraId="765A5C2A" w14:textId="50A3ED6F" w:rsidR="00EB1CD8" w:rsidRPr="007E0320" w:rsidRDefault="00EB1CD8"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Medically diagnosed conditions and symptoms</w:t>
      </w:r>
    </w:p>
    <w:p w14:paraId="3BD8A01A" w14:textId="4D7BD709" w:rsidR="009B3CDE" w:rsidRPr="007E0320" w:rsidRDefault="009B3CDE"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Use of health care services</w:t>
      </w:r>
    </w:p>
    <w:p w14:paraId="44822B30" w14:textId="77777777" w:rsidR="00840A5D" w:rsidRPr="007E0320" w:rsidRDefault="00840A5D"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Degree of difficulties with activities of daily living and need for assistance with activities of daily living</w:t>
      </w:r>
    </w:p>
    <w:p w14:paraId="50BFB55D" w14:textId="77777777" w:rsidR="00840A5D" w:rsidRPr="007E0320" w:rsidRDefault="00840A5D"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Sight and hearing difficulties</w:t>
      </w:r>
    </w:p>
    <w:p w14:paraId="659DA453" w14:textId="77777777" w:rsidR="00840A5D" w:rsidRPr="007E0320" w:rsidRDefault="00840A5D"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Falls</w:t>
      </w:r>
    </w:p>
    <w:p w14:paraId="6BB5E170" w14:textId="77777777" w:rsidR="00840A5D" w:rsidRPr="007E0320" w:rsidRDefault="00840A5D"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Physical activity, height and weight</w:t>
      </w:r>
    </w:p>
    <w:p w14:paraId="3B9664FF" w14:textId="431CCD32" w:rsidR="00840A5D" w:rsidRPr="007E0320" w:rsidRDefault="00840A5D" w:rsidP="00020D3F">
      <w:pPr>
        <w:pStyle w:val="ListParagraph"/>
        <w:numPr>
          <w:ilvl w:val="0"/>
          <w:numId w:val="2"/>
        </w:numPr>
        <w:spacing w:after="200" w:line="276" w:lineRule="auto"/>
        <w:rPr>
          <w:rFonts w:ascii="Arial" w:hAnsi="Arial" w:cs="Arial"/>
          <w:sz w:val="22"/>
          <w:szCs w:val="22"/>
        </w:rPr>
      </w:pPr>
      <w:r w:rsidRPr="007E0320">
        <w:rPr>
          <w:rFonts w:ascii="Arial" w:hAnsi="Arial" w:cs="Arial"/>
          <w:sz w:val="22"/>
          <w:szCs w:val="22"/>
        </w:rPr>
        <w:t>Demographics and living circumstances</w:t>
      </w:r>
    </w:p>
    <w:p w14:paraId="1F3986FB" w14:textId="39E6B2A5" w:rsidR="001B6400" w:rsidRDefault="009D4393" w:rsidP="00B309D3">
      <w:r>
        <w:t xml:space="preserve">Information is also collected as to whether the </w:t>
      </w:r>
      <w:r w:rsidR="009B3CDE">
        <w:t xml:space="preserve">women </w:t>
      </w:r>
      <w:r>
        <w:t>had help to complete the survey (based on the participant</w:t>
      </w:r>
      <w:r w:rsidR="009B3CDE">
        <w:t>’</w:t>
      </w:r>
      <w:r>
        <w:t>s answers), or if the survey was completed by another person on behalf of the participant (by proxy).</w:t>
      </w:r>
    </w:p>
    <w:p w14:paraId="3FA25F89" w14:textId="06DF7B32" w:rsidR="00B309D3" w:rsidRDefault="00B309D3" w:rsidP="00B309D3">
      <w:r>
        <w:lastRenderedPageBreak/>
        <w:t xml:space="preserve">The six monthly follow-up (6MF) of the 1921-26 cohort commenced November 2011. </w:t>
      </w:r>
      <w:r w:rsidR="001535D0">
        <w:t>Subsequent surveys are sent on a rolling basis, six</w:t>
      </w:r>
      <w:r w:rsidR="00CB0437">
        <w:t xml:space="preserve"> </w:t>
      </w:r>
      <w:r w:rsidR="001535D0">
        <w:t xml:space="preserve">months after the return of the previous survey. </w:t>
      </w:r>
      <w:r>
        <w:t xml:space="preserve">So if a participant returned the first six monthly survey in December 2011, their second six monthly follow-up survey was mailed in </w:t>
      </w:r>
      <w:r w:rsidR="00012F17">
        <w:t>June 2012.</w:t>
      </w:r>
    </w:p>
    <w:p w14:paraId="321859B0" w14:textId="401DB858" w:rsidR="00B309D3" w:rsidRDefault="00B309D3" w:rsidP="00B309D3">
      <w:r>
        <w:t>The six monthly follow-up surveys contain a set of core questions to minimise participant burden.</w:t>
      </w:r>
      <w:r w:rsidR="00012F17">
        <w:t xml:space="preserve"> </w:t>
      </w:r>
      <w:r>
        <w:t xml:space="preserve">As far as possible, the survey questions are not subject to change, which ensures longitudinal integrity. The survey content and format are approved by </w:t>
      </w:r>
      <w:r w:rsidR="00552DDF">
        <w:t>the Human</w:t>
      </w:r>
      <w:r>
        <w:t xml:space="preserve"> Research Ethics Committees</w:t>
      </w:r>
      <w:r w:rsidR="00552DDF">
        <w:t xml:space="preserve"> at the University of Newcastle and the University of Queensland</w:t>
      </w:r>
      <w:r>
        <w:t>.</w:t>
      </w:r>
    </w:p>
    <w:p w14:paraId="7D9AE61C" w14:textId="3656B4BD" w:rsidR="00BE245D" w:rsidRPr="00663924" w:rsidRDefault="00B309D3" w:rsidP="00D661FD">
      <w:pPr>
        <w:pStyle w:val="Heading2"/>
        <w:ind w:left="578" w:hanging="578"/>
      </w:pPr>
      <w:bookmarkStart w:id="6" w:name="_Toc530561247"/>
      <w:r w:rsidRPr="00663924">
        <w:t>Retention</w:t>
      </w:r>
      <w:bookmarkEnd w:id="6"/>
    </w:p>
    <w:p w14:paraId="0023806F" w14:textId="5596A27C" w:rsidR="00B309D3" w:rsidRDefault="00B309D3" w:rsidP="00840A5D">
      <w:pPr>
        <w:widowControl w:val="0"/>
        <w:autoSpaceDE w:val="0"/>
        <w:autoSpaceDN w:val="0"/>
        <w:adjustRightInd w:val="0"/>
      </w:pPr>
      <w:r>
        <w:t xml:space="preserve">Numbers are declining in the 1921-26 cohort due to death and increasing frailty. </w:t>
      </w:r>
      <w:r w:rsidR="00CA706D" w:rsidRPr="00CA706D">
        <w:t xml:space="preserve">Between 1996 and May </w:t>
      </w:r>
      <w:r w:rsidR="00CA706D" w:rsidRPr="000A37B1">
        <w:t>2018, 9,304 (75%) of the original 12,432 participants in the cohort died, and 1,570 (13%) have requested no more surveys (mainly due</w:t>
      </w:r>
      <w:r w:rsidR="00CA706D" w:rsidRPr="00CA706D">
        <w:t xml:space="preserve"> to frailty as reported to the research team by </w:t>
      </w:r>
      <w:r w:rsidR="00EE67E5">
        <w:t xml:space="preserve">the </w:t>
      </w:r>
      <w:r w:rsidR="00CA706D" w:rsidRPr="00CA706D">
        <w:t xml:space="preserve">participant or proxy). </w:t>
      </w:r>
      <w:r>
        <w:t xml:space="preserve">To ensure the best possible retention in this cohort, intensive follow-up and tracking procedures are used, including use of the National Death Index to identify those participants who have died. </w:t>
      </w:r>
      <w:r w:rsidDel="002D155A">
        <w:t xml:space="preserve">The Australian Life Tables </w:t>
      </w:r>
      <w:r w:rsidR="00994523">
        <w:t>for 2014-16</w:t>
      </w:r>
      <w:r w:rsidR="00D80AE5" w:rsidRPr="00D80AE5">
        <w:rPr>
          <w:vertAlign w:val="superscript"/>
        </w:rPr>
        <w:t>1</w:t>
      </w:r>
      <w:r w:rsidDel="002D155A">
        <w:t xml:space="preserve"> </w:t>
      </w:r>
      <w:r w:rsidR="00994523">
        <w:t>show</w:t>
      </w:r>
      <w:r w:rsidR="00994523" w:rsidDel="002D155A">
        <w:t xml:space="preserve"> </w:t>
      </w:r>
      <w:r w:rsidDel="002D155A">
        <w:t xml:space="preserve">that women aged </w:t>
      </w:r>
      <w:r w:rsidR="00994523">
        <w:t>92</w:t>
      </w:r>
      <w:r w:rsidDel="002D155A">
        <w:t xml:space="preserve"> will live</w:t>
      </w:r>
      <w:r w:rsidR="0025770F">
        <w:t>,</w:t>
      </w:r>
      <w:r w:rsidDel="002D155A">
        <w:t xml:space="preserve"> on average</w:t>
      </w:r>
      <w:r w:rsidR="0025770F">
        <w:t>,</w:t>
      </w:r>
      <w:r w:rsidDel="002D155A">
        <w:t xml:space="preserve"> a further </w:t>
      </w:r>
      <w:r w:rsidR="00994523">
        <w:t>4.</w:t>
      </w:r>
      <w:r w:rsidDel="002D155A">
        <w:t xml:space="preserve">1 years and women aged </w:t>
      </w:r>
      <w:r w:rsidR="00994523">
        <w:t>97</w:t>
      </w:r>
      <w:r w:rsidR="00994523" w:rsidDel="002D155A">
        <w:t xml:space="preserve"> </w:t>
      </w:r>
      <w:r w:rsidDel="002D155A">
        <w:t>will live</w:t>
      </w:r>
      <w:r w:rsidR="0025770F">
        <w:t>,</w:t>
      </w:r>
      <w:r w:rsidDel="002D155A">
        <w:t xml:space="preserve"> on average</w:t>
      </w:r>
      <w:r w:rsidR="0025770F">
        <w:t>,</w:t>
      </w:r>
      <w:r w:rsidDel="002D155A">
        <w:t xml:space="preserve"> a further </w:t>
      </w:r>
      <w:r w:rsidR="00994523">
        <w:t>2.8</w:t>
      </w:r>
      <w:r w:rsidDel="002D155A">
        <w:t xml:space="preserve"> years. </w:t>
      </w:r>
      <w:r w:rsidR="006C4595">
        <w:t>O</w:t>
      </w:r>
      <w:r w:rsidR="009D4393">
        <w:t xml:space="preserve">f the </w:t>
      </w:r>
      <w:r w:rsidR="009D4393" w:rsidRPr="00186A1D">
        <w:t>1558</w:t>
      </w:r>
      <w:r w:rsidR="009D4393">
        <w:t xml:space="preserve"> participants who are </w:t>
      </w:r>
      <w:r w:rsidR="006C4595">
        <w:t xml:space="preserve">currently alive and </w:t>
      </w:r>
      <w:r w:rsidR="009D4393">
        <w:t>still eligible to receive surveys</w:t>
      </w:r>
      <w:r w:rsidR="006C4595">
        <w:t xml:space="preserve">, </w:t>
      </w:r>
      <w:r w:rsidR="00C826C6">
        <w:t xml:space="preserve">some </w:t>
      </w:r>
      <w:r w:rsidR="009D4393">
        <w:t>will turn 100 between 2021</w:t>
      </w:r>
      <w:r w:rsidR="0025770F">
        <w:t xml:space="preserve"> and </w:t>
      </w:r>
      <w:r w:rsidR="009D4393">
        <w:t>2026.</w:t>
      </w:r>
    </w:p>
    <w:p w14:paraId="63076EF6" w14:textId="1622B803" w:rsidR="002D155A" w:rsidRPr="00012F17" w:rsidRDefault="009D4393" w:rsidP="00012F17">
      <w:r w:rsidRPr="0006314B">
        <w:t xml:space="preserve">To date, each </w:t>
      </w:r>
      <w:r w:rsidR="00FC5A11" w:rsidRPr="0006314B">
        <w:t>s</w:t>
      </w:r>
      <w:r w:rsidRPr="0006314B">
        <w:t xml:space="preserve">ix month </w:t>
      </w:r>
      <w:r w:rsidR="00FC5A11" w:rsidRPr="0006314B">
        <w:t xml:space="preserve">follow up (6MF) </w:t>
      </w:r>
      <w:r w:rsidRPr="0006314B">
        <w:t xml:space="preserve">survey has been completed by over 80% of the eligible participants </w:t>
      </w:r>
      <w:r w:rsidR="00742DFC" w:rsidRPr="0006314B">
        <w:t>(See Table 2)</w:t>
      </w:r>
      <w:r w:rsidR="00AD2E36" w:rsidRPr="0006314B">
        <w:t xml:space="preserve">. </w:t>
      </w:r>
      <w:r w:rsidRPr="0006314B">
        <w:t>At 6MF Survey 1, 9% withdrew from further surveys and a further 3% withdrew at each of 6MF Survey 2 or 6MF Survey 3.</w:t>
      </w:r>
      <w:r w:rsidRPr="00C826C6">
        <w:t xml:space="preserve"> </w:t>
      </w:r>
      <w:r w:rsidR="00B309D3" w:rsidRPr="0006314B">
        <w:t xml:space="preserve">At each </w:t>
      </w:r>
      <w:r w:rsidR="00A50D87">
        <w:t xml:space="preserve">subsequent </w:t>
      </w:r>
      <w:r w:rsidR="00B309D3" w:rsidRPr="0006314B">
        <w:t>survey 1-3% of women have</w:t>
      </w:r>
      <w:r w:rsidR="00A50D87">
        <w:t xml:space="preserve"> withdrawn or </w:t>
      </w:r>
      <w:r w:rsidR="00B309D3" w:rsidRPr="0006314B">
        <w:t>indicated that they would prefer to skip the survey and do the next</w:t>
      </w:r>
      <w:r w:rsidR="00A50D87">
        <w:t xml:space="preserve"> one</w:t>
      </w:r>
      <w:r w:rsidR="00B309D3" w:rsidRPr="0006314B">
        <w:t xml:space="preserve">, and between 2-4% have </w:t>
      </w:r>
      <w:r w:rsidR="00012F17">
        <w:t>died since the previous survey.</w:t>
      </w:r>
    </w:p>
    <w:p w14:paraId="40D5B88C" w14:textId="62999E83" w:rsidR="00F16279" w:rsidRDefault="00F66929" w:rsidP="00172052">
      <w:pPr>
        <w:autoSpaceDE w:val="0"/>
        <w:autoSpaceDN w:val="0"/>
        <w:adjustRightInd w:val="0"/>
      </w:pPr>
      <w:r>
        <w:t>D</w:t>
      </w:r>
      <w:r w:rsidR="001C11D0" w:rsidRPr="00A86827">
        <w:t>etails of survey dates and response rates</w:t>
      </w:r>
      <w:r w:rsidR="00BB0F5F">
        <w:t xml:space="preserve"> for the main Surveys and the six-month surveys </w:t>
      </w:r>
      <w:r w:rsidR="001C11D0" w:rsidRPr="00A86827">
        <w:t xml:space="preserve">are shown in </w:t>
      </w:r>
      <w:r w:rsidR="00380713">
        <w:fldChar w:fldCharType="begin"/>
      </w:r>
      <w:r w:rsidR="00380713">
        <w:instrText xml:space="preserve"> REF _Ref399767351 \h </w:instrText>
      </w:r>
      <w:r w:rsidR="00380713">
        <w:fldChar w:fldCharType="separate"/>
      </w:r>
      <w:r w:rsidR="00592779">
        <w:t xml:space="preserve">Table </w:t>
      </w:r>
      <w:r w:rsidR="00592779">
        <w:rPr>
          <w:noProof/>
        </w:rPr>
        <w:t>2</w:t>
      </w:r>
      <w:r w:rsidR="00592779">
        <w:noBreakHyphen/>
      </w:r>
      <w:r w:rsidR="00592779">
        <w:rPr>
          <w:noProof/>
        </w:rPr>
        <w:t>1</w:t>
      </w:r>
      <w:r w:rsidR="00380713">
        <w:fldChar w:fldCharType="end"/>
      </w:r>
      <w:r w:rsidR="00380713">
        <w:t xml:space="preserve"> </w:t>
      </w:r>
      <w:r w:rsidR="00FB1E09">
        <w:t>and</w:t>
      </w:r>
      <w:r w:rsidR="00380713">
        <w:t xml:space="preserve"> </w:t>
      </w:r>
      <w:r w:rsidR="00380713">
        <w:fldChar w:fldCharType="begin"/>
      </w:r>
      <w:r w:rsidR="00380713">
        <w:instrText xml:space="preserve"> REF _Ref399767362 \h </w:instrText>
      </w:r>
      <w:r w:rsidR="00380713">
        <w:fldChar w:fldCharType="separate"/>
      </w:r>
      <w:r w:rsidR="00592779">
        <w:t xml:space="preserve">Table </w:t>
      </w:r>
      <w:r w:rsidR="00592779">
        <w:rPr>
          <w:noProof/>
        </w:rPr>
        <w:t>2</w:t>
      </w:r>
      <w:r w:rsidR="00592779">
        <w:noBreakHyphen/>
      </w:r>
      <w:r w:rsidR="00592779">
        <w:rPr>
          <w:noProof/>
        </w:rPr>
        <w:t>2</w:t>
      </w:r>
      <w:r w:rsidR="00380713">
        <w:fldChar w:fldCharType="end"/>
      </w:r>
      <w:r w:rsidR="006640AF">
        <w:t xml:space="preserve"> respectively</w:t>
      </w:r>
      <w:r w:rsidR="00012F17">
        <w:t>.</w:t>
      </w:r>
    </w:p>
    <w:p w14:paraId="1D6A342D" w14:textId="6A470B03" w:rsidR="00F16279" w:rsidRPr="0006314B" w:rsidRDefault="00380713" w:rsidP="00012F17">
      <w:pPr>
        <w:pStyle w:val="Caption"/>
        <w:spacing w:after="0"/>
      </w:pPr>
      <w:bookmarkStart w:id="7" w:name="_Ref399767351"/>
      <w:r>
        <w:t xml:space="preserve">Table </w:t>
      </w:r>
      <w:r w:rsidR="00100A77">
        <w:rPr>
          <w:noProof/>
        </w:rPr>
        <w:fldChar w:fldCharType="begin"/>
      </w:r>
      <w:r w:rsidR="00100A77">
        <w:rPr>
          <w:noProof/>
        </w:rPr>
        <w:instrText xml:space="preserve"> STYLEREF 1 \s </w:instrText>
      </w:r>
      <w:r w:rsidR="00100A77">
        <w:rPr>
          <w:noProof/>
        </w:rPr>
        <w:fldChar w:fldCharType="separate"/>
      </w:r>
      <w:r w:rsidR="00592779">
        <w:rPr>
          <w:noProof/>
        </w:rPr>
        <w:t>2</w:t>
      </w:r>
      <w:r w:rsidR="00100A77">
        <w:rPr>
          <w:noProof/>
        </w:rPr>
        <w:fldChar w:fldCharType="end"/>
      </w:r>
      <w:r w:rsidR="00B15EF6">
        <w:noBreakHyphen/>
      </w:r>
      <w:r w:rsidR="00100A77">
        <w:rPr>
          <w:noProof/>
        </w:rPr>
        <w:fldChar w:fldCharType="begin"/>
      </w:r>
      <w:r w:rsidR="00100A77">
        <w:rPr>
          <w:noProof/>
        </w:rPr>
        <w:instrText xml:space="preserve"> SEQ Table \* ARABIC \s 1 </w:instrText>
      </w:r>
      <w:r w:rsidR="00100A77">
        <w:rPr>
          <w:noProof/>
        </w:rPr>
        <w:fldChar w:fldCharType="separate"/>
      </w:r>
      <w:r w:rsidR="00592779">
        <w:rPr>
          <w:noProof/>
        </w:rPr>
        <w:t>1</w:t>
      </w:r>
      <w:r w:rsidR="00100A77">
        <w:rPr>
          <w:noProof/>
        </w:rPr>
        <w:fldChar w:fldCharType="end"/>
      </w:r>
      <w:bookmarkEnd w:id="7"/>
      <w:r>
        <w:t xml:space="preserve"> </w:t>
      </w:r>
      <w:r w:rsidR="0011030B">
        <w:t>ALSWH 1921-26 cohort</w:t>
      </w:r>
      <w:r w:rsidR="00D22723" w:rsidRPr="00380713">
        <w:t xml:space="preserve"> schedule of surveys</w:t>
      </w:r>
      <w:r w:rsidR="00012F17">
        <w:t xml:space="preserve"> and response rates 1996</w:t>
      </w:r>
      <w:r w:rsidR="0011030B">
        <w:t xml:space="preserve"> to</w:t>
      </w:r>
      <w:r w:rsidR="00012F17">
        <w:t xml:space="preserve"> 2011</w:t>
      </w:r>
    </w:p>
    <w:tbl>
      <w:tblPr>
        <w:tblStyle w:val="TableGrid"/>
        <w:tblW w:w="0" w:type="auto"/>
        <w:tblLayout w:type="fixed"/>
        <w:tblLook w:val="04A0" w:firstRow="1" w:lastRow="0" w:firstColumn="1" w:lastColumn="0" w:noHBand="0" w:noVBand="1"/>
        <w:tblCaption w:val="ALSWH 1921-26 cohort schedule of surveys and response rates 1996 to 2011"/>
      </w:tblPr>
      <w:tblGrid>
        <w:gridCol w:w="1435"/>
        <w:gridCol w:w="1260"/>
        <w:gridCol w:w="1259"/>
        <w:gridCol w:w="1290"/>
        <w:gridCol w:w="1290"/>
        <w:gridCol w:w="1290"/>
        <w:gridCol w:w="1290"/>
      </w:tblGrid>
      <w:tr w:rsidR="00E90470" w14:paraId="1E59A6CB" w14:textId="77777777" w:rsidTr="00E90470">
        <w:trPr>
          <w:trHeight w:val="414"/>
          <w:tblHeader/>
        </w:trPr>
        <w:tc>
          <w:tcPr>
            <w:tcW w:w="1435" w:type="dxa"/>
            <w:shd w:val="clear" w:color="auto" w:fill="B2A1C7" w:themeFill="accent4" w:themeFillTint="99"/>
          </w:tcPr>
          <w:p w14:paraId="495D927B" w14:textId="77777777" w:rsidR="00E90470" w:rsidRDefault="00E90470" w:rsidP="00E90470">
            <w:pPr>
              <w:rPr>
                <w:b/>
              </w:rPr>
            </w:pPr>
          </w:p>
        </w:tc>
        <w:tc>
          <w:tcPr>
            <w:tcW w:w="1259" w:type="dxa"/>
            <w:shd w:val="clear" w:color="auto" w:fill="B2A1C7" w:themeFill="accent4" w:themeFillTint="99"/>
          </w:tcPr>
          <w:p w14:paraId="519D3F31" w14:textId="6C96C934" w:rsidR="00E90470" w:rsidRDefault="00E90470" w:rsidP="00E90470">
            <w:pPr>
              <w:rPr>
                <w:b/>
              </w:rPr>
            </w:pPr>
            <w:r>
              <w:rPr>
                <w:b/>
              </w:rPr>
              <w:t xml:space="preserve">Survey 1 </w:t>
            </w:r>
          </w:p>
        </w:tc>
        <w:tc>
          <w:tcPr>
            <w:tcW w:w="1259" w:type="dxa"/>
            <w:shd w:val="clear" w:color="auto" w:fill="B2A1C7" w:themeFill="accent4" w:themeFillTint="99"/>
          </w:tcPr>
          <w:p w14:paraId="188E10AC" w14:textId="7E0C3C35" w:rsidR="00E90470" w:rsidRDefault="00E90470" w:rsidP="00E90470">
            <w:pPr>
              <w:rPr>
                <w:b/>
              </w:rPr>
            </w:pPr>
            <w:r>
              <w:rPr>
                <w:b/>
              </w:rPr>
              <w:t xml:space="preserve">Survey 2 </w:t>
            </w:r>
          </w:p>
        </w:tc>
        <w:tc>
          <w:tcPr>
            <w:tcW w:w="1259" w:type="dxa"/>
            <w:shd w:val="clear" w:color="auto" w:fill="B2A1C7" w:themeFill="accent4" w:themeFillTint="99"/>
          </w:tcPr>
          <w:p w14:paraId="1D22501B" w14:textId="16D88734" w:rsidR="00E90470" w:rsidRDefault="00E90470" w:rsidP="00E90470">
            <w:pPr>
              <w:rPr>
                <w:b/>
              </w:rPr>
            </w:pPr>
            <w:r>
              <w:rPr>
                <w:b/>
              </w:rPr>
              <w:t xml:space="preserve">Survey 3 </w:t>
            </w:r>
          </w:p>
        </w:tc>
        <w:tc>
          <w:tcPr>
            <w:tcW w:w="1259" w:type="dxa"/>
            <w:shd w:val="clear" w:color="auto" w:fill="B2A1C7" w:themeFill="accent4" w:themeFillTint="99"/>
          </w:tcPr>
          <w:p w14:paraId="4867E96F" w14:textId="28F5A189" w:rsidR="00E90470" w:rsidRDefault="00E90470" w:rsidP="00E90470">
            <w:pPr>
              <w:rPr>
                <w:b/>
              </w:rPr>
            </w:pPr>
            <w:r>
              <w:rPr>
                <w:b/>
              </w:rPr>
              <w:t xml:space="preserve">Survey 4 </w:t>
            </w:r>
          </w:p>
        </w:tc>
        <w:tc>
          <w:tcPr>
            <w:tcW w:w="1259" w:type="dxa"/>
            <w:shd w:val="clear" w:color="auto" w:fill="B2A1C7" w:themeFill="accent4" w:themeFillTint="99"/>
          </w:tcPr>
          <w:p w14:paraId="5573280E" w14:textId="72E6B075" w:rsidR="00E90470" w:rsidRDefault="00E90470" w:rsidP="00E90470">
            <w:pPr>
              <w:rPr>
                <w:b/>
              </w:rPr>
            </w:pPr>
            <w:r>
              <w:rPr>
                <w:b/>
              </w:rPr>
              <w:t xml:space="preserve">Survey 5 </w:t>
            </w:r>
          </w:p>
        </w:tc>
        <w:tc>
          <w:tcPr>
            <w:tcW w:w="1259" w:type="dxa"/>
            <w:shd w:val="clear" w:color="auto" w:fill="B2A1C7" w:themeFill="accent4" w:themeFillTint="99"/>
          </w:tcPr>
          <w:p w14:paraId="3DD48E08" w14:textId="5A78B57C" w:rsidR="00E90470" w:rsidRDefault="00E90470" w:rsidP="00E90470">
            <w:pPr>
              <w:rPr>
                <w:b/>
              </w:rPr>
            </w:pPr>
            <w:r>
              <w:rPr>
                <w:b/>
              </w:rPr>
              <w:t xml:space="preserve">Survey 6 </w:t>
            </w:r>
          </w:p>
        </w:tc>
      </w:tr>
      <w:tr w:rsidR="00E90470" w14:paraId="69B66E98" w14:textId="77777777" w:rsidTr="00E90470">
        <w:trPr>
          <w:trHeight w:val="550"/>
        </w:trPr>
        <w:tc>
          <w:tcPr>
            <w:tcW w:w="1435" w:type="dxa"/>
          </w:tcPr>
          <w:p w14:paraId="105BA228" w14:textId="579F7EAC" w:rsidR="00E90470" w:rsidRDefault="00E90470" w:rsidP="00172052">
            <w:pPr>
              <w:contextualSpacing/>
              <w:jc w:val="center"/>
              <w:rPr>
                <w:bCs/>
              </w:rPr>
            </w:pPr>
            <w:r>
              <w:rPr>
                <w:bCs/>
              </w:rPr>
              <w:t>Year (YYYY)</w:t>
            </w:r>
          </w:p>
        </w:tc>
        <w:tc>
          <w:tcPr>
            <w:tcW w:w="1260" w:type="dxa"/>
          </w:tcPr>
          <w:p w14:paraId="266898D2" w14:textId="05ECD4DE" w:rsidR="00E90470" w:rsidRPr="00597A23" w:rsidRDefault="00E90470" w:rsidP="00E90470">
            <w:pPr>
              <w:contextualSpacing/>
              <w:rPr>
                <w:bCs/>
              </w:rPr>
            </w:pPr>
            <w:r>
              <w:rPr>
                <w:bCs/>
              </w:rPr>
              <w:t>1996</w:t>
            </w:r>
          </w:p>
        </w:tc>
        <w:tc>
          <w:tcPr>
            <w:tcW w:w="1161" w:type="dxa"/>
          </w:tcPr>
          <w:p w14:paraId="15BB8449" w14:textId="4BC8299A" w:rsidR="00E90470" w:rsidRPr="00597A23" w:rsidRDefault="00E90470" w:rsidP="00E90470">
            <w:pPr>
              <w:contextualSpacing/>
              <w:rPr>
                <w:bCs/>
              </w:rPr>
            </w:pPr>
            <w:r>
              <w:rPr>
                <w:bCs/>
              </w:rPr>
              <w:t>1999</w:t>
            </w:r>
          </w:p>
        </w:tc>
        <w:tc>
          <w:tcPr>
            <w:tcW w:w="1290" w:type="dxa"/>
          </w:tcPr>
          <w:p w14:paraId="55CEAFBF" w14:textId="69E01190" w:rsidR="00E90470" w:rsidRPr="00597A23" w:rsidRDefault="00E90470" w:rsidP="00E90470">
            <w:pPr>
              <w:contextualSpacing/>
              <w:rPr>
                <w:bCs/>
              </w:rPr>
            </w:pPr>
            <w:r>
              <w:rPr>
                <w:bCs/>
              </w:rPr>
              <w:t>2002</w:t>
            </w:r>
          </w:p>
        </w:tc>
        <w:tc>
          <w:tcPr>
            <w:tcW w:w="1290" w:type="dxa"/>
          </w:tcPr>
          <w:p w14:paraId="75391A4F" w14:textId="5CE05F1E" w:rsidR="00E90470" w:rsidRPr="00597A23" w:rsidRDefault="00E90470" w:rsidP="00E90470">
            <w:pPr>
              <w:contextualSpacing/>
              <w:rPr>
                <w:bCs/>
              </w:rPr>
            </w:pPr>
            <w:r>
              <w:rPr>
                <w:bCs/>
              </w:rPr>
              <w:t>2005</w:t>
            </w:r>
          </w:p>
        </w:tc>
        <w:tc>
          <w:tcPr>
            <w:tcW w:w="1290" w:type="dxa"/>
          </w:tcPr>
          <w:p w14:paraId="2AB3466E" w14:textId="0133F669" w:rsidR="00E90470" w:rsidRPr="00597A23" w:rsidRDefault="00E90470" w:rsidP="00E90470">
            <w:pPr>
              <w:contextualSpacing/>
              <w:rPr>
                <w:bCs/>
              </w:rPr>
            </w:pPr>
            <w:r>
              <w:rPr>
                <w:bCs/>
              </w:rPr>
              <w:t>2008</w:t>
            </w:r>
          </w:p>
        </w:tc>
        <w:tc>
          <w:tcPr>
            <w:tcW w:w="1290" w:type="dxa"/>
          </w:tcPr>
          <w:p w14:paraId="3AA1BC02" w14:textId="2DF3E225" w:rsidR="00E90470" w:rsidRPr="00187DDE" w:rsidRDefault="00E90470" w:rsidP="00E90470">
            <w:pPr>
              <w:contextualSpacing/>
            </w:pPr>
            <w:r w:rsidRPr="00187DDE">
              <w:t>2011</w:t>
            </w:r>
          </w:p>
        </w:tc>
      </w:tr>
      <w:tr w:rsidR="00E90470" w14:paraId="0F6FAB34" w14:textId="77777777" w:rsidTr="00E90470">
        <w:trPr>
          <w:trHeight w:val="550"/>
        </w:trPr>
        <w:tc>
          <w:tcPr>
            <w:tcW w:w="1435" w:type="dxa"/>
          </w:tcPr>
          <w:p w14:paraId="383EA70A" w14:textId="0AE2A98F" w:rsidR="00E90470" w:rsidRDefault="00E90470" w:rsidP="00172052">
            <w:pPr>
              <w:contextualSpacing/>
              <w:jc w:val="center"/>
              <w:rPr>
                <w:bCs/>
              </w:rPr>
            </w:pPr>
            <w:r>
              <w:rPr>
                <w:bCs/>
              </w:rPr>
              <w:t>Age range (years)</w:t>
            </w:r>
          </w:p>
        </w:tc>
        <w:tc>
          <w:tcPr>
            <w:tcW w:w="1260" w:type="dxa"/>
          </w:tcPr>
          <w:p w14:paraId="41B7ADEF" w14:textId="471117FB" w:rsidR="00E90470" w:rsidRPr="00E90470" w:rsidRDefault="00E90470" w:rsidP="00E90470">
            <w:pPr>
              <w:contextualSpacing/>
              <w:rPr>
                <w:bCs/>
              </w:rPr>
            </w:pPr>
            <w:r w:rsidRPr="00597A23">
              <w:rPr>
                <w:bCs/>
              </w:rPr>
              <w:t>70-75</w:t>
            </w:r>
          </w:p>
        </w:tc>
        <w:tc>
          <w:tcPr>
            <w:tcW w:w="1161" w:type="dxa"/>
          </w:tcPr>
          <w:p w14:paraId="7D4D536D" w14:textId="33EE2A2E" w:rsidR="00E90470" w:rsidRPr="00E90470" w:rsidRDefault="00E90470" w:rsidP="00E90470">
            <w:pPr>
              <w:contextualSpacing/>
              <w:rPr>
                <w:bCs/>
              </w:rPr>
            </w:pPr>
            <w:r w:rsidRPr="00597A23">
              <w:rPr>
                <w:bCs/>
              </w:rPr>
              <w:t>73-78</w:t>
            </w:r>
          </w:p>
        </w:tc>
        <w:tc>
          <w:tcPr>
            <w:tcW w:w="1290" w:type="dxa"/>
          </w:tcPr>
          <w:p w14:paraId="31B6F584" w14:textId="73329373" w:rsidR="00E90470" w:rsidRPr="00E90470" w:rsidRDefault="00E90470" w:rsidP="00E90470">
            <w:pPr>
              <w:contextualSpacing/>
              <w:rPr>
                <w:bCs/>
              </w:rPr>
            </w:pPr>
            <w:r w:rsidRPr="00597A23">
              <w:rPr>
                <w:bCs/>
              </w:rPr>
              <w:t>76-81</w:t>
            </w:r>
          </w:p>
        </w:tc>
        <w:tc>
          <w:tcPr>
            <w:tcW w:w="1290" w:type="dxa"/>
          </w:tcPr>
          <w:p w14:paraId="35676C6D" w14:textId="168CDDAD" w:rsidR="00E90470" w:rsidRPr="00E90470" w:rsidRDefault="00E90470" w:rsidP="00E90470">
            <w:pPr>
              <w:contextualSpacing/>
              <w:rPr>
                <w:bCs/>
              </w:rPr>
            </w:pPr>
            <w:r w:rsidRPr="00597A23">
              <w:rPr>
                <w:bCs/>
              </w:rPr>
              <w:t>79-84</w:t>
            </w:r>
          </w:p>
        </w:tc>
        <w:tc>
          <w:tcPr>
            <w:tcW w:w="1290" w:type="dxa"/>
          </w:tcPr>
          <w:p w14:paraId="25CFA2CD" w14:textId="7896FC66" w:rsidR="00E90470" w:rsidRPr="00E90470" w:rsidRDefault="00E90470" w:rsidP="00E90470">
            <w:pPr>
              <w:contextualSpacing/>
              <w:rPr>
                <w:bCs/>
              </w:rPr>
            </w:pPr>
            <w:r w:rsidRPr="00597A23">
              <w:rPr>
                <w:bCs/>
              </w:rPr>
              <w:t>82-87</w:t>
            </w:r>
          </w:p>
        </w:tc>
        <w:tc>
          <w:tcPr>
            <w:tcW w:w="1290" w:type="dxa"/>
          </w:tcPr>
          <w:p w14:paraId="493EF5FC" w14:textId="4BD5FA5B" w:rsidR="00E90470" w:rsidRPr="00E90470" w:rsidRDefault="00E90470" w:rsidP="00E90470">
            <w:pPr>
              <w:contextualSpacing/>
            </w:pPr>
            <w:r w:rsidRPr="00187DDE">
              <w:t>85-90</w:t>
            </w:r>
          </w:p>
        </w:tc>
      </w:tr>
      <w:tr w:rsidR="00E90470" w14:paraId="5C387F94" w14:textId="77777777" w:rsidTr="00E90470">
        <w:trPr>
          <w:trHeight w:val="550"/>
        </w:trPr>
        <w:tc>
          <w:tcPr>
            <w:tcW w:w="1435" w:type="dxa"/>
          </w:tcPr>
          <w:p w14:paraId="157D16D2" w14:textId="48E67CFE" w:rsidR="00E90470" w:rsidRDefault="00E90470" w:rsidP="00172052">
            <w:pPr>
              <w:contextualSpacing/>
              <w:jc w:val="center"/>
              <w:rPr>
                <w:bCs/>
              </w:rPr>
            </w:pPr>
            <w:r>
              <w:rPr>
                <w:bCs/>
              </w:rPr>
              <w:t>Response Rate (N)</w:t>
            </w:r>
          </w:p>
        </w:tc>
        <w:tc>
          <w:tcPr>
            <w:tcW w:w="1260" w:type="dxa"/>
          </w:tcPr>
          <w:p w14:paraId="1C68DE75" w14:textId="49C7AF4F" w:rsidR="00E90470" w:rsidRDefault="00E90470" w:rsidP="00E90470">
            <w:pPr>
              <w:contextualSpacing/>
              <w:rPr>
                <w:bCs/>
              </w:rPr>
            </w:pPr>
            <w:r>
              <w:rPr>
                <w:bCs/>
              </w:rPr>
              <w:t>12,432</w:t>
            </w:r>
          </w:p>
        </w:tc>
        <w:tc>
          <w:tcPr>
            <w:tcW w:w="1161" w:type="dxa"/>
          </w:tcPr>
          <w:p w14:paraId="7E2AEECA" w14:textId="33CA9884" w:rsidR="00E90470" w:rsidRDefault="00E90470" w:rsidP="00E90470">
            <w:pPr>
              <w:contextualSpacing/>
              <w:rPr>
                <w:bCs/>
              </w:rPr>
            </w:pPr>
            <w:r>
              <w:rPr>
                <w:bCs/>
              </w:rPr>
              <w:t>10,434</w:t>
            </w:r>
          </w:p>
        </w:tc>
        <w:tc>
          <w:tcPr>
            <w:tcW w:w="1290" w:type="dxa"/>
          </w:tcPr>
          <w:p w14:paraId="5017B5BD" w14:textId="609D790B" w:rsidR="00E90470" w:rsidRDefault="00E90470" w:rsidP="00E90470">
            <w:pPr>
              <w:contextualSpacing/>
              <w:rPr>
                <w:bCs/>
              </w:rPr>
            </w:pPr>
            <w:r>
              <w:rPr>
                <w:bCs/>
              </w:rPr>
              <w:t>8,647</w:t>
            </w:r>
          </w:p>
        </w:tc>
        <w:tc>
          <w:tcPr>
            <w:tcW w:w="1290" w:type="dxa"/>
          </w:tcPr>
          <w:p w14:paraId="38A40554" w14:textId="5003A1FD" w:rsidR="00E90470" w:rsidRDefault="00E90470" w:rsidP="00E90470">
            <w:pPr>
              <w:contextualSpacing/>
              <w:rPr>
                <w:bCs/>
              </w:rPr>
            </w:pPr>
            <w:r>
              <w:rPr>
                <w:bCs/>
              </w:rPr>
              <w:t>7,158</w:t>
            </w:r>
          </w:p>
        </w:tc>
        <w:tc>
          <w:tcPr>
            <w:tcW w:w="1290" w:type="dxa"/>
          </w:tcPr>
          <w:p w14:paraId="076D300D" w14:textId="71C4D03A" w:rsidR="00E90470" w:rsidRDefault="00E90470" w:rsidP="00E90470">
            <w:pPr>
              <w:contextualSpacing/>
              <w:rPr>
                <w:bCs/>
              </w:rPr>
            </w:pPr>
            <w:r>
              <w:rPr>
                <w:bCs/>
              </w:rPr>
              <w:t>5,561</w:t>
            </w:r>
          </w:p>
        </w:tc>
        <w:tc>
          <w:tcPr>
            <w:tcW w:w="1290" w:type="dxa"/>
          </w:tcPr>
          <w:p w14:paraId="02D90F9C" w14:textId="56072F2B" w:rsidR="00E90470" w:rsidRPr="00187DDE" w:rsidRDefault="00E90470" w:rsidP="00E90470">
            <w:pPr>
              <w:contextualSpacing/>
            </w:pPr>
            <w:r>
              <w:t>4,055</w:t>
            </w:r>
          </w:p>
        </w:tc>
      </w:tr>
    </w:tbl>
    <w:p w14:paraId="2FDEB344" w14:textId="6971CCCE" w:rsidR="005E469B" w:rsidRDefault="005E469B">
      <w:r>
        <w:br w:type="page"/>
      </w:r>
    </w:p>
    <w:p w14:paraId="4DB9E8BB" w14:textId="20DF7060" w:rsidR="005E469B" w:rsidRDefault="005E469B" w:rsidP="005E469B">
      <w:pPr>
        <w:pStyle w:val="Caption"/>
        <w:ind w:left="-426"/>
        <w:rPr>
          <w:szCs w:val="22"/>
        </w:rPr>
      </w:pPr>
      <w:bookmarkStart w:id="8" w:name="_Ref399767362"/>
      <w:r>
        <w:lastRenderedPageBreak/>
        <w:t xml:space="preserve">Table </w:t>
      </w:r>
      <w:r w:rsidR="00100A77">
        <w:rPr>
          <w:noProof/>
        </w:rPr>
        <w:fldChar w:fldCharType="begin"/>
      </w:r>
      <w:r w:rsidR="00100A77">
        <w:rPr>
          <w:noProof/>
        </w:rPr>
        <w:instrText xml:space="preserve"> STYLEREF 1 \s </w:instrText>
      </w:r>
      <w:r w:rsidR="00100A77">
        <w:rPr>
          <w:noProof/>
        </w:rPr>
        <w:fldChar w:fldCharType="separate"/>
      </w:r>
      <w:r w:rsidR="00592779">
        <w:rPr>
          <w:noProof/>
        </w:rPr>
        <w:t>2</w:t>
      </w:r>
      <w:r w:rsidR="00100A77">
        <w:rPr>
          <w:noProof/>
        </w:rPr>
        <w:fldChar w:fldCharType="end"/>
      </w:r>
      <w:r w:rsidR="00B15EF6">
        <w:noBreakHyphen/>
      </w:r>
      <w:r w:rsidR="00100A77">
        <w:rPr>
          <w:noProof/>
        </w:rPr>
        <w:fldChar w:fldCharType="begin"/>
      </w:r>
      <w:r w:rsidR="00100A77">
        <w:rPr>
          <w:noProof/>
        </w:rPr>
        <w:instrText xml:space="preserve"> SEQ Table \* ARABIC \s 1 </w:instrText>
      </w:r>
      <w:r w:rsidR="00100A77">
        <w:rPr>
          <w:noProof/>
        </w:rPr>
        <w:fldChar w:fldCharType="separate"/>
      </w:r>
      <w:r w:rsidR="00592779">
        <w:rPr>
          <w:noProof/>
        </w:rPr>
        <w:t>2</w:t>
      </w:r>
      <w:r w:rsidR="00100A77">
        <w:rPr>
          <w:noProof/>
        </w:rPr>
        <w:fldChar w:fldCharType="end"/>
      </w:r>
      <w:bookmarkEnd w:id="8"/>
      <w:r>
        <w:t xml:space="preserve"> </w:t>
      </w:r>
      <w:r>
        <w:rPr>
          <w:szCs w:val="22"/>
        </w:rPr>
        <w:t xml:space="preserve">ALSWH </w:t>
      </w:r>
      <w:r w:rsidR="0011030B">
        <w:rPr>
          <w:szCs w:val="22"/>
        </w:rPr>
        <w:t xml:space="preserve">1921-26 cohort six-month follow </w:t>
      </w:r>
      <w:r>
        <w:rPr>
          <w:szCs w:val="22"/>
        </w:rPr>
        <w:t>up (6MF) s</w:t>
      </w:r>
      <w:r w:rsidR="0011030B">
        <w:rPr>
          <w:szCs w:val="22"/>
        </w:rPr>
        <w:t xml:space="preserve">urvey completions 2011 to </w:t>
      </w:r>
      <w:r w:rsidRPr="000E5752">
        <w:rPr>
          <w:szCs w:val="22"/>
        </w:rPr>
        <w:t>201</w:t>
      </w:r>
      <w:r>
        <w:rPr>
          <w:szCs w:val="22"/>
        </w:rPr>
        <w:t>8</w:t>
      </w:r>
    </w:p>
    <w:tbl>
      <w:tblPr>
        <w:tblStyle w:val="TableGrid"/>
        <w:tblW w:w="99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LSWH 1921-26 cohort six-month follow up (6 monthly) survey completions 2011 to 2018"/>
      </w:tblPr>
      <w:tblGrid>
        <w:gridCol w:w="781"/>
        <w:gridCol w:w="1080"/>
        <w:gridCol w:w="900"/>
        <w:gridCol w:w="1260"/>
        <w:gridCol w:w="1260"/>
        <w:gridCol w:w="1080"/>
        <w:gridCol w:w="900"/>
        <w:gridCol w:w="1260"/>
        <w:gridCol w:w="1440"/>
      </w:tblGrid>
      <w:tr w:rsidR="00DC7B2A" w:rsidRPr="00890D6A" w14:paraId="39E0687F" w14:textId="77777777" w:rsidTr="00DC7B2A">
        <w:trPr>
          <w:tblHeader/>
        </w:trPr>
        <w:tc>
          <w:tcPr>
            <w:tcW w:w="781" w:type="dxa"/>
            <w:shd w:val="clear" w:color="auto" w:fill="E5DFEC" w:themeFill="accent4" w:themeFillTint="33"/>
            <w:vAlign w:val="bottom"/>
          </w:tcPr>
          <w:p w14:paraId="4BE9E6B6" w14:textId="7B0BA308" w:rsidR="00DC7B2A" w:rsidRPr="00E90470" w:rsidRDefault="00DC7B2A" w:rsidP="00DC7B2A">
            <w:pPr>
              <w:spacing w:before="40" w:after="40"/>
              <w:rPr>
                <w:b/>
              </w:rPr>
            </w:pPr>
            <w:r w:rsidRPr="00E90470">
              <w:rPr>
                <w:b/>
              </w:rPr>
              <w:t>Year</w:t>
            </w:r>
          </w:p>
        </w:tc>
        <w:tc>
          <w:tcPr>
            <w:tcW w:w="1080" w:type="dxa"/>
            <w:shd w:val="clear" w:color="auto" w:fill="E5DFEC" w:themeFill="accent4" w:themeFillTint="33"/>
            <w:vAlign w:val="bottom"/>
          </w:tcPr>
          <w:p w14:paraId="212B7A50" w14:textId="124FE922" w:rsidR="00DC7B2A" w:rsidRDefault="00DC7B2A" w:rsidP="00DC7B2A">
            <w:pPr>
              <w:spacing w:before="40" w:after="40"/>
              <w:rPr>
                <w:b/>
              </w:rPr>
            </w:pPr>
            <w:r w:rsidRPr="00E90470">
              <w:rPr>
                <w:b/>
              </w:rPr>
              <w:t xml:space="preserve">Survey </w:t>
            </w:r>
            <w:r>
              <w:rPr>
                <w:b/>
              </w:rPr>
              <w:t>(</w:t>
            </w:r>
            <w:r w:rsidRPr="00E90470">
              <w:rPr>
                <w:b/>
              </w:rPr>
              <w:t>close</w:t>
            </w:r>
            <w:r>
              <w:rPr>
                <w:b/>
              </w:rPr>
              <w:t>)</w:t>
            </w:r>
            <w:r w:rsidRPr="00E90470">
              <w:rPr>
                <w:b/>
              </w:rPr>
              <w:t>*</w:t>
            </w:r>
          </w:p>
        </w:tc>
        <w:tc>
          <w:tcPr>
            <w:tcW w:w="900" w:type="dxa"/>
            <w:shd w:val="clear" w:color="auto" w:fill="E5DFEC" w:themeFill="accent4" w:themeFillTint="33"/>
          </w:tcPr>
          <w:p w14:paraId="67B41E70" w14:textId="41410C71" w:rsidR="00DC7B2A" w:rsidRPr="00E90470" w:rsidRDefault="00DC7B2A" w:rsidP="00DC7B2A">
            <w:pPr>
              <w:spacing w:before="40" w:after="40"/>
              <w:rPr>
                <w:b/>
              </w:rPr>
            </w:pPr>
            <w:r>
              <w:rPr>
                <w:b/>
              </w:rPr>
              <w:t>Age range</w:t>
            </w:r>
          </w:p>
        </w:tc>
        <w:tc>
          <w:tcPr>
            <w:tcW w:w="1260" w:type="dxa"/>
            <w:tcBorders>
              <w:left w:val="single" w:sz="4" w:space="0" w:color="auto"/>
              <w:right w:val="single" w:sz="4" w:space="0" w:color="D9D9D9" w:themeColor="background1" w:themeShade="D9"/>
            </w:tcBorders>
            <w:shd w:val="clear" w:color="auto" w:fill="E5DFEC" w:themeFill="accent4" w:themeFillTint="33"/>
            <w:vAlign w:val="bottom"/>
          </w:tcPr>
          <w:p w14:paraId="500EEA78" w14:textId="77777777" w:rsidR="00DC7B2A" w:rsidRPr="00E90470" w:rsidRDefault="00DC7B2A" w:rsidP="00DC7B2A">
            <w:pPr>
              <w:spacing w:before="40" w:after="40"/>
              <w:ind w:right="-105"/>
              <w:rPr>
                <w:b/>
              </w:rPr>
            </w:pPr>
            <w:r w:rsidRPr="00E90470">
              <w:rPr>
                <w:b/>
              </w:rPr>
              <w:t>Deceased</w:t>
            </w:r>
          </w:p>
        </w:tc>
        <w:tc>
          <w:tcPr>
            <w:tcW w:w="1260" w:type="dxa"/>
            <w:tcBorders>
              <w:left w:val="single" w:sz="4" w:space="0" w:color="D9D9D9" w:themeColor="background1" w:themeShade="D9"/>
              <w:right w:val="single" w:sz="4" w:space="0" w:color="D9D9D9" w:themeColor="background1" w:themeShade="D9"/>
            </w:tcBorders>
            <w:shd w:val="clear" w:color="auto" w:fill="E5DFEC" w:themeFill="accent4" w:themeFillTint="33"/>
            <w:vAlign w:val="bottom"/>
          </w:tcPr>
          <w:p w14:paraId="6745E2AC" w14:textId="77777777" w:rsidR="00DC7B2A" w:rsidRPr="00E90470" w:rsidRDefault="00DC7B2A" w:rsidP="00DC7B2A">
            <w:pPr>
              <w:spacing w:before="40" w:after="40"/>
              <w:ind w:right="-105"/>
              <w:rPr>
                <w:b/>
              </w:rPr>
            </w:pPr>
            <w:r w:rsidRPr="00E90470">
              <w:rPr>
                <w:b/>
              </w:rPr>
              <w:t>Withdrawn</w:t>
            </w:r>
          </w:p>
        </w:tc>
        <w:tc>
          <w:tcPr>
            <w:tcW w:w="1080" w:type="dxa"/>
            <w:tcBorders>
              <w:left w:val="single" w:sz="4" w:space="0" w:color="D9D9D9" w:themeColor="background1" w:themeShade="D9"/>
              <w:bottom w:val="single" w:sz="4" w:space="0" w:color="auto"/>
              <w:right w:val="single" w:sz="4" w:space="0" w:color="D9D9D9" w:themeColor="background1" w:themeShade="D9"/>
            </w:tcBorders>
            <w:shd w:val="clear" w:color="auto" w:fill="E5DFEC" w:themeFill="accent4" w:themeFillTint="33"/>
            <w:vAlign w:val="bottom"/>
          </w:tcPr>
          <w:p w14:paraId="7F15BB98" w14:textId="77777777" w:rsidR="00DC7B2A" w:rsidRPr="00E90470" w:rsidRDefault="00DC7B2A" w:rsidP="00DC7B2A">
            <w:pPr>
              <w:spacing w:before="40" w:after="40"/>
              <w:ind w:right="-105"/>
              <w:rPr>
                <w:b/>
              </w:rPr>
            </w:pPr>
            <w:r w:rsidRPr="00E90470">
              <w:rPr>
                <w:b/>
              </w:rPr>
              <w:t>Total ineligible</w:t>
            </w:r>
          </w:p>
        </w:tc>
        <w:tc>
          <w:tcPr>
            <w:tcW w:w="900" w:type="dxa"/>
            <w:tcBorders>
              <w:left w:val="single" w:sz="4" w:space="0" w:color="D9D9D9" w:themeColor="background1" w:themeShade="D9"/>
            </w:tcBorders>
            <w:shd w:val="clear" w:color="auto" w:fill="E5DFEC" w:themeFill="accent4" w:themeFillTint="33"/>
            <w:vAlign w:val="bottom"/>
          </w:tcPr>
          <w:p w14:paraId="7FCAB19F" w14:textId="77777777" w:rsidR="00DC7B2A" w:rsidRPr="00E90470" w:rsidRDefault="00DC7B2A" w:rsidP="00DC7B2A">
            <w:pPr>
              <w:spacing w:before="40" w:after="40"/>
              <w:ind w:right="-105"/>
              <w:rPr>
                <w:b/>
              </w:rPr>
            </w:pPr>
            <w:r w:rsidRPr="00E90470">
              <w:rPr>
                <w:b/>
              </w:rPr>
              <w:t>Total eligible</w:t>
            </w:r>
          </w:p>
        </w:tc>
        <w:tc>
          <w:tcPr>
            <w:tcW w:w="1260" w:type="dxa"/>
            <w:shd w:val="clear" w:color="auto" w:fill="E5DFEC" w:themeFill="accent4" w:themeFillTint="33"/>
            <w:vAlign w:val="bottom"/>
          </w:tcPr>
          <w:p w14:paraId="1E0D2743" w14:textId="4C8E1ED0" w:rsidR="00DC7B2A" w:rsidRPr="00E90470" w:rsidRDefault="00DC7B2A" w:rsidP="00DC7B2A">
            <w:pPr>
              <w:spacing w:before="40" w:after="40"/>
              <w:ind w:right="-105"/>
              <w:rPr>
                <w:b/>
              </w:rPr>
            </w:pPr>
            <w:r w:rsidRPr="00E90470">
              <w:rPr>
                <w:b/>
              </w:rPr>
              <w:t>Surveys completed</w:t>
            </w:r>
          </w:p>
        </w:tc>
        <w:tc>
          <w:tcPr>
            <w:tcW w:w="1440" w:type="dxa"/>
            <w:shd w:val="clear" w:color="auto" w:fill="E5DFEC" w:themeFill="accent4" w:themeFillTint="33"/>
            <w:vAlign w:val="bottom"/>
          </w:tcPr>
          <w:p w14:paraId="79A7EA9C" w14:textId="77777777" w:rsidR="00DC7B2A" w:rsidRPr="00E90470" w:rsidRDefault="00DC7B2A" w:rsidP="00DC7B2A">
            <w:pPr>
              <w:spacing w:before="40" w:after="40"/>
              <w:rPr>
                <w:b/>
              </w:rPr>
            </w:pPr>
            <w:r w:rsidRPr="00E90470">
              <w:rPr>
                <w:b/>
              </w:rPr>
              <w:t>Response (%)</w:t>
            </w:r>
          </w:p>
        </w:tc>
      </w:tr>
      <w:tr w:rsidR="00DC7B2A" w14:paraId="00E2E869" w14:textId="77777777" w:rsidTr="00DC7B2A">
        <w:tc>
          <w:tcPr>
            <w:tcW w:w="781" w:type="dxa"/>
          </w:tcPr>
          <w:p w14:paraId="17567D1E" w14:textId="43E9B504" w:rsidR="00DC7B2A" w:rsidRDefault="00DC7B2A" w:rsidP="00DC7B2A">
            <w:pPr>
              <w:contextualSpacing/>
              <w:rPr>
                <w:b/>
              </w:rPr>
            </w:pPr>
            <w:r>
              <w:rPr>
                <w:b/>
              </w:rPr>
              <w:t>2012</w:t>
            </w:r>
          </w:p>
        </w:tc>
        <w:tc>
          <w:tcPr>
            <w:tcW w:w="1080" w:type="dxa"/>
          </w:tcPr>
          <w:p w14:paraId="48EF687A" w14:textId="50CB520E" w:rsidR="00DC7B2A" w:rsidRDefault="00DC7B2A" w:rsidP="00DC7B2A">
            <w:pPr>
              <w:contextualSpacing/>
            </w:pPr>
            <w:r w:rsidRPr="008955C5">
              <w:t>6MF</w:t>
            </w:r>
            <w:r>
              <w:t xml:space="preserve"> </w:t>
            </w:r>
            <w:r w:rsidRPr="008955C5">
              <w:t>1 (</w:t>
            </w:r>
            <w:r>
              <w:t>May</w:t>
            </w:r>
            <w:r w:rsidRPr="008955C5">
              <w:t xml:space="preserve">) </w:t>
            </w:r>
          </w:p>
        </w:tc>
        <w:tc>
          <w:tcPr>
            <w:tcW w:w="900" w:type="dxa"/>
          </w:tcPr>
          <w:p w14:paraId="25797E16" w14:textId="14716998" w:rsidR="00DC7B2A" w:rsidRPr="008955C5" w:rsidRDefault="00DC7B2A" w:rsidP="00DC7B2A">
            <w:pPr>
              <w:contextualSpacing/>
            </w:pPr>
            <w:r>
              <w:t>86-91</w:t>
            </w:r>
          </w:p>
        </w:tc>
        <w:tc>
          <w:tcPr>
            <w:tcW w:w="1260" w:type="dxa"/>
            <w:tcBorders>
              <w:left w:val="single" w:sz="4" w:space="0" w:color="auto"/>
              <w:right w:val="single" w:sz="4" w:space="0" w:color="D9D9D9" w:themeColor="background1" w:themeShade="D9"/>
            </w:tcBorders>
            <w:vAlign w:val="center"/>
          </w:tcPr>
          <w:p w14:paraId="6EB81AE1" w14:textId="77777777" w:rsidR="00DC7B2A" w:rsidRDefault="00DC7B2A" w:rsidP="00DC7B2A">
            <w:pPr>
              <w:spacing w:before="40" w:after="40"/>
              <w:jc w:val="right"/>
            </w:pPr>
            <w:r>
              <w:t>5532</w:t>
            </w:r>
          </w:p>
        </w:tc>
        <w:tc>
          <w:tcPr>
            <w:tcW w:w="1260" w:type="dxa"/>
            <w:tcBorders>
              <w:left w:val="single" w:sz="4" w:space="0" w:color="D9D9D9" w:themeColor="background1" w:themeShade="D9"/>
              <w:right w:val="single" w:sz="4" w:space="0" w:color="D9D9D9" w:themeColor="background1" w:themeShade="D9"/>
            </w:tcBorders>
            <w:vAlign w:val="center"/>
          </w:tcPr>
          <w:p w14:paraId="27EC2200" w14:textId="77777777" w:rsidR="00DC7B2A" w:rsidRDefault="00DC7B2A" w:rsidP="00DC7B2A">
            <w:pPr>
              <w:spacing w:before="40" w:after="40"/>
              <w:jc w:val="right"/>
            </w:pPr>
            <w:r>
              <w:t>2334</w:t>
            </w:r>
          </w:p>
        </w:tc>
        <w:tc>
          <w:tcPr>
            <w:tcW w:w="1080" w:type="dxa"/>
            <w:tcBorders>
              <w:left w:val="single" w:sz="4" w:space="0" w:color="D9D9D9" w:themeColor="background1" w:themeShade="D9"/>
              <w:right w:val="single" w:sz="4" w:space="0" w:color="D9D9D9" w:themeColor="background1" w:themeShade="D9"/>
            </w:tcBorders>
            <w:vAlign w:val="center"/>
          </w:tcPr>
          <w:p w14:paraId="28E12202" w14:textId="77777777" w:rsidR="00DC7B2A" w:rsidRPr="00186A1D" w:rsidRDefault="00DC7B2A" w:rsidP="00DC7B2A">
            <w:pPr>
              <w:spacing w:before="40" w:after="40"/>
              <w:jc w:val="right"/>
            </w:pPr>
            <w:r w:rsidRPr="00186A1D">
              <w:t>7866</w:t>
            </w:r>
          </w:p>
        </w:tc>
        <w:tc>
          <w:tcPr>
            <w:tcW w:w="900" w:type="dxa"/>
            <w:tcBorders>
              <w:left w:val="single" w:sz="4" w:space="0" w:color="D9D9D9" w:themeColor="background1" w:themeShade="D9"/>
            </w:tcBorders>
            <w:vAlign w:val="center"/>
          </w:tcPr>
          <w:p w14:paraId="5FE26F8E" w14:textId="77777777" w:rsidR="00DC7B2A" w:rsidRPr="00186A1D" w:rsidRDefault="00DC7B2A" w:rsidP="00DC7B2A">
            <w:pPr>
              <w:spacing w:before="40" w:after="40"/>
              <w:jc w:val="right"/>
            </w:pPr>
            <w:r w:rsidRPr="00186A1D">
              <w:t>4566</w:t>
            </w:r>
          </w:p>
        </w:tc>
        <w:tc>
          <w:tcPr>
            <w:tcW w:w="1260" w:type="dxa"/>
            <w:vAlign w:val="center"/>
          </w:tcPr>
          <w:p w14:paraId="0CDE89B5" w14:textId="77777777" w:rsidR="00DC7B2A" w:rsidRPr="00186A1D" w:rsidRDefault="00DC7B2A" w:rsidP="00DC7B2A">
            <w:pPr>
              <w:spacing w:before="40" w:after="40"/>
              <w:jc w:val="right"/>
              <w:rPr>
                <w:b/>
              </w:rPr>
            </w:pPr>
            <w:r w:rsidRPr="00186A1D">
              <w:rPr>
                <w:b/>
              </w:rPr>
              <w:t>3430</w:t>
            </w:r>
          </w:p>
        </w:tc>
        <w:tc>
          <w:tcPr>
            <w:tcW w:w="1440" w:type="dxa"/>
            <w:vAlign w:val="center"/>
          </w:tcPr>
          <w:p w14:paraId="5055A68A" w14:textId="77777777" w:rsidR="00DC7B2A" w:rsidRPr="00BA04B6" w:rsidRDefault="00DC7B2A" w:rsidP="00DC7B2A">
            <w:pPr>
              <w:spacing w:before="40" w:after="40"/>
              <w:jc w:val="right"/>
              <w:rPr>
                <w:b/>
              </w:rPr>
            </w:pPr>
            <w:r w:rsidRPr="00BA04B6">
              <w:rPr>
                <w:b/>
              </w:rPr>
              <w:t>75.1</w:t>
            </w:r>
          </w:p>
        </w:tc>
      </w:tr>
      <w:tr w:rsidR="00DC7B2A" w14:paraId="40688040" w14:textId="77777777" w:rsidTr="00DC7B2A">
        <w:tc>
          <w:tcPr>
            <w:tcW w:w="781" w:type="dxa"/>
          </w:tcPr>
          <w:p w14:paraId="1BFAA351" w14:textId="4CE0D059" w:rsidR="00DC7B2A" w:rsidRDefault="00DC7B2A" w:rsidP="00DC7B2A">
            <w:pPr>
              <w:contextualSpacing/>
              <w:rPr>
                <w:b/>
              </w:rPr>
            </w:pPr>
            <w:r>
              <w:rPr>
                <w:b/>
              </w:rPr>
              <w:t>2012</w:t>
            </w:r>
          </w:p>
        </w:tc>
        <w:tc>
          <w:tcPr>
            <w:tcW w:w="1080" w:type="dxa"/>
          </w:tcPr>
          <w:p w14:paraId="2DD91378" w14:textId="2317D0EF" w:rsidR="00DC7B2A" w:rsidRDefault="00DC7B2A" w:rsidP="00DC7B2A">
            <w:pPr>
              <w:contextualSpacing/>
            </w:pPr>
            <w:r>
              <w:t>6MF 2 (Nov)</w:t>
            </w:r>
          </w:p>
        </w:tc>
        <w:tc>
          <w:tcPr>
            <w:tcW w:w="900" w:type="dxa"/>
          </w:tcPr>
          <w:p w14:paraId="714931B8" w14:textId="58BA4CB7" w:rsidR="00DC7B2A" w:rsidRDefault="00DC7B2A" w:rsidP="00DC7B2A">
            <w:pPr>
              <w:contextualSpacing/>
            </w:pPr>
            <w:r>
              <w:t>86-91</w:t>
            </w:r>
          </w:p>
        </w:tc>
        <w:tc>
          <w:tcPr>
            <w:tcW w:w="1260" w:type="dxa"/>
            <w:tcBorders>
              <w:left w:val="single" w:sz="4" w:space="0" w:color="auto"/>
              <w:right w:val="single" w:sz="4" w:space="0" w:color="D9D9D9" w:themeColor="background1" w:themeShade="D9"/>
            </w:tcBorders>
            <w:vAlign w:val="center"/>
          </w:tcPr>
          <w:p w14:paraId="11845EF2" w14:textId="77777777" w:rsidR="00DC7B2A" w:rsidRDefault="00DC7B2A" w:rsidP="00DC7B2A">
            <w:pPr>
              <w:spacing w:before="40" w:after="40"/>
              <w:jc w:val="right"/>
            </w:pPr>
            <w:r>
              <w:t>5927</w:t>
            </w:r>
          </w:p>
        </w:tc>
        <w:tc>
          <w:tcPr>
            <w:tcW w:w="1260" w:type="dxa"/>
            <w:tcBorders>
              <w:left w:val="single" w:sz="4" w:space="0" w:color="D9D9D9" w:themeColor="background1" w:themeShade="D9"/>
              <w:right w:val="single" w:sz="4" w:space="0" w:color="D9D9D9" w:themeColor="background1" w:themeShade="D9"/>
            </w:tcBorders>
            <w:vAlign w:val="center"/>
          </w:tcPr>
          <w:p w14:paraId="1E3B21AA" w14:textId="77777777" w:rsidR="00DC7B2A" w:rsidRDefault="00DC7B2A" w:rsidP="00DC7B2A">
            <w:pPr>
              <w:spacing w:before="40" w:after="40"/>
              <w:jc w:val="right"/>
            </w:pPr>
            <w:r>
              <w:t>2363</w:t>
            </w:r>
          </w:p>
        </w:tc>
        <w:tc>
          <w:tcPr>
            <w:tcW w:w="1080" w:type="dxa"/>
            <w:tcBorders>
              <w:left w:val="single" w:sz="4" w:space="0" w:color="D9D9D9" w:themeColor="background1" w:themeShade="D9"/>
              <w:right w:val="single" w:sz="4" w:space="0" w:color="D9D9D9" w:themeColor="background1" w:themeShade="D9"/>
            </w:tcBorders>
            <w:vAlign w:val="center"/>
          </w:tcPr>
          <w:p w14:paraId="5D872FA0" w14:textId="77777777" w:rsidR="00DC7B2A" w:rsidRPr="00186A1D" w:rsidRDefault="00DC7B2A" w:rsidP="00DC7B2A">
            <w:pPr>
              <w:spacing w:before="40" w:after="40"/>
              <w:jc w:val="right"/>
            </w:pPr>
            <w:r w:rsidRPr="00186A1D">
              <w:t>8290</w:t>
            </w:r>
          </w:p>
        </w:tc>
        <w:tc>
          <w:tcPr>
            <w:tcW w:w="900" w:type="dxa"/>
            <w:tcBorders>
              <w:left w:val="single" w:sz="4" w:space="0" w:color="D9D9D9" w:themeColor="background1" w:themeShade="D9"/>
            </w:tcBorders>
            <w:vAlign w:val="center"/>
          </w:tcPr>
          <w:p w14:paraId="263B0829" w14:textId="77777777" w:rsidR="00DC7B2A" w:rsidRPr="00186A1D" w:rsidRDefault="00DC7B2A" w:rsidP="00DC7B2A">
            <w:pPr>
              <w:spacing w:before="40" w:after="40"/>
              <w:jc w:val="right"/>
            </w:pPr>
            <w:r w:rsidRPr="00186A1D">
              <w:t>4142</w:t>
            </w:r>
          </w:p>
        </w:tc>
        <w:tc>
          <w:tcPr>
            <w:tcW w:w="1260" w:type="dxa"/>
            <w:vAlign w:val="center"/>
          </w:tcPr>
          <w:p w14:paraId="41B4CA1C" w14:textId="77777777" w:rsidR="00DC7B2A" w:rsidRPr="00186A1D" w:rsidRDefault="00DC7B2A" w:rsidP="00DC7B2A">
            <w:pPr>
              <w:spacing w:before="40" w:after="40"/>
              <w:jc w:val="right"/>
              <w:rPr>
                <w:b/>
              </w:rPr>
            </w:pPr>
            <w:r w:rsidRPr="00186A1D">
              <w:rPr>
                <w:b/>
              </w:rPr>
              <w:t>3260</w:t>
            </w:r>
          </w:p>
        </w:tc>
        <w:tc>
          <w:tcPr>
            <w:tcW w:w="1440" w:type="dxa"/>
            <w:vAlign w:val="center"/>
          </w:tcPr>
          <w:p w14:paraId="4FBA7D5F" w14:textId="77777777" w:rsidR="00DC7B2A" w:rsidRPr="00BA04B6" w:rsidRDefault="00DC7B2A" w:rsidP="00DC7B2A">
            <w:pPr>
              <w:spacing w:before="40" w:after="40"/>
              <w:jc w:val="right"/>
              <w:rPr>
                <w:b/>
              </w:rPr>
            </w:pPr>
            <w:r w:rsidRPr="00BA04B6">
              <w:rPr>
                <w:b/>
              </w:rPr>
              <w:t>78.7</w:t>
            </w:r>
          </w:p>
        </w:tc>
      </w:tr>
      <w:tr w:rsidR="00DC7B2A" w14:paraId="395362EE" w14:textId="77777777" w:rsidTr="00DC7B2A">
        <w:tc>
          <w:tcPr>
            <w:tcW w:w="781" w:type="dxa"/>
          </w:tcPr>
          <w:p w14:paraId="1277CACB" w14:textId="2C299B30" w:rsidR="00DC7B2A" w:rsidRDefault="00DC7B2A" w:rsidP="00DC7B2A">
            <w:pPr>
              <w:contextualSpacing/>
              <w:rPr>
                <w:b/>
              </w:rPr>
            </w:pPr>
            <w:r>
              <w:rPr>
                <w:b/>
              </w:rPr>
              <w:t>2013</w:t>
            </w:r>
          </w:p>
        </w:tc>
        <w:tc>
          <w:tcPr>
            <w:tcW w:w="1080" w:type="dxa"/>
          </w:tcPr>
          <w:p w14:paraId="748EAC39" w14:textId="63B72D19" w:rsidR="00DC7B2A" w:rsidRDefault="00DC7B2A" w:rsidP="00DC7B2A">
            <w:pPr>
              <w:contextualSpacing/>
            </w:pPr>
            <w:r>
              <w:t>6MF 3 (May)</w:t>
            </w:r>
          </w:p>
        </w:tc>
        <w:tc>
          <w:tcPr>
            <w:tcW w:w="900" w:type="dxa"/>
          </w:tcPr>
          <w:p w14:paraId="06C73AC4" w14:textId="5E09D83B" w:rsidR="00DC7B2A" w:rsidRDefault="00DC7B2A" w:rsidP="00DC7B2A">
            <w:pPr>
              <w:contextualSpacing/>
            </w:pPr>
            <w:r>
              <w:t>87-92</w:t>
            </w:r>
          </w:p>
        </w:tc>
        <w:tc>
          <w:tcPr>
            <w:tcW w:w="1260" w:type="dxa"/>
            <w:tcBorders>
              <w:left w:val="single" w:sz="4" w:space="0" w:color="auto"/>
              <w:right w:val="single" w:sz="4" w:space="0" w:color="D9D9D9" w:themeColor="background1" w:themeShade="D9"/>
            </w:tcBorders>
            <w:vAlign w:val="center"/>
          </w:tcPr>
          <w:p w14:paraId="09971635" w14:textId="77777777" w:rsidR="00DC7B2A" w:rsidRDefault="00DC7B2A" w:rsidP="00DC7B2A">
            <w:pPr>
              <w:spacing w:before="40" w:after="40"/>
              <w:jc w:val="right"/>
            </w:pPr>
            <w:r>
              <w:t>6227</w:t>
            </w:r>
          </w:p>
        </w:tc>
        <w:tc>
          <w:tcPr>
            <w:tcW w:w="1260" w:type="dxa"/>
            <w:tcBorders>
              <w:left w:val="single" w:sz="4" w:space="0" w:color="D9D9D9" w:themeColor="background1" w:themeShade="D9"/>
              <w:right w:val="single" w:sz="4" w:space="0" w:color="D9D9D9" w:themeColor="background1" w:themeShade="D9"/>
            </w:tcBorders>
            <w:vAlign w:val="center"/>
          </w:tcPr>
          <w:p w14:paraId="043B99E4" w14:textId="77777777" w:rsidR="00DC7B2A" w:rsidRDefault="00DC7B2A" w:rsidP="00DC7B2A">
            <w:pPr>
              <w:spacing w:before="40" w:after="40"/>
              <w:jc w:val="right"/>
            </w:pPr>
            <w:r>
              <w:t>2409</w:t>
            </w:r>
          </w:p>
        </w:tc>
        <w:tc>
          <w:tcPr>
            <w:tcW w:w="1080" w:type="dxa"/>
            <w:tcBorders>
              <w:left w:val="single" w:sz="4" w:space="0" w:color="D9D9D9" w:themeColor="background1" w:themeShade="D9"/>
              <w:right w:val="single" w:sz="4" w:space="0" w:color="D9D9D9" w:themeColor="background1" w:themeShade="D9"/>
            </w:tcBorders>
            <w:vAlign w:val="center"/>
          </w:tcPr>
          <w:p w14:paraId="7D8B80DD" w14:textId="77777777" w:rsidR="00DC7B2A" w:rsidRPr="00186A1D" w:rsidRDefault="00DC7B2A" w:rsidP="00DC7B2A">
            <w:pPr>
              <w:spacing w:before="40" w:after="40"/>
              <w:jc w:val="right"/>
            </w:pPr>
            <w:r w:rsidRPr="00186A1D">
              <w:t>8636</w:t>
            </w:r>
          </w:p>
        </w:tc>
        <w:tc>
          <w:tcPr>
            <w:tcW w:w="900" w:type="dxa"/>
            <w:tcBorders>
              <w:left w:val="single" w:sz="4" w:space="0" w:color="D9D9D9" w:themeColor="background1" w:themeShade="D9"/>
            </w:tcBorders>
            <w:vAlign w:val="center"/>
          </w:tcPr>
          <w:p w14:paraId="6BDB9199" w14:textId="77777777" w:rsidR="00DC7B2A" w:rsidRPr="00186A1D" w:rsidRDefault="00DC7B2A" w:rsidP="00DC7B2A">
            <w:pPr>
              <w:spacing w:before="40" w:after="40"/>
              <w:jc w:val="right"/>
            </w:pPr>
            <w:r w:rsidRPr="00186A1D">
              <w:t>3796</w:t>
            </w:r>
          </w:p>
        </w:tc>
        <w:tc>
          <w:tcPr>
            <w:tcW w:w="1260" w:type="dxa"/>
            <w:vAlign w:val="center"/>
          </w:tcPr>
          <w:p w14:paraId="616D8966" w14:textId="77777777" w:rsidR="00DC7B2A" w:rsidRPr="00186A1D" w:rsidRDefault="00DC7B2A" w:rsidP="00DC7B2A">
            <w:pPr>
              <w:spacing w:before="40" w:after="40"/>
              <w:jc w:val="right"/>
              <w:rPr>
                <w:b/>
              </w:rPr>
            </w:pPr>
            <w:r w:rsidRPr="00186A1D">
              <w:rPr>
                <w:b/>
              </w:rPr>
              <w:t>2842</w:t>
            </w:r>
          </w:p>
        </w:tc>
        <w:tc>
          <w:tcPr>
            <w:tcW w:w="1440" w:type="dxa"/>
            <w:vAlign w:val="center"/>
          </w:tcPr>
          <w:p w14:paraId="423D00C5" w14:textId="77777777" w:rsidR="00DC7B2A" w:rsidRPr="00BA04B6" w:rsidRDefault="00DC7B2A" w:rsidP="00DC7B2A">
            <w:pPr>
              <w:spacing w:before="40" w:after="40"/>
              <w:jc w:val="right"/>
              <w:rPr>
                <w:b/>
              </w:rPr>
            </w:pPr>
            <w:r w:rsidRPr="00BA04B6">
              <w:rPr>
                <w:b/>
              </w:rPr>
              <w:t>74.9</w:t>
            </w:r>
          </w:p>
        </w:tc>
      </w:tr>
      <w:tr w:rsidR="00DC7B2A" w14:paraId="33983B86" w14:textId="77777777" w:rsidTr="00DC7B2A">
        <w:trPr>
          <w:trHeight w:val="428"/>
        </w:trPr>
        <w:tc>
          <w:tcPr>
            <w:tcW w:w="781" w:type="dxa"/>
          </w:tcPr>
          <w:p w14:paraId="4F070460" w14:textId="3275ADC6" w:rsidR="00DC7B2A" w:rsidRPr="00BA04B6" w:rsidRDefault="00DC7B2A" w:rsidP="00DC7B2A">
            <w:pPr>
              <w:contextualSpacing/>
              <w:rPr>
                <w:b/>
              </w:rPr>
            </w:pPr>
            <w:r>
              <w:rPr>
                <w:b/>
              </w:rPr>
              <w:t>2013</w:t>
            </w:r>
          </w:p>
        </w:tc>
        <w:tc>
          <w:tcPr>
            <w:tcW w:w="1080" w:type="dxa"/>
          </w:tcPr>
          <w:p w14:paraId="4FED7C7F" w14:textId="054A14D7" w:rsidR="00DC7B2A" w:rsidRDefault="00DC7B2A" w:rsidP="00DC7B2A">
            <w:pPr>
              <w:contextualSpacing/>
            </w:pPr>
            <w:r>
              <w:t>6MF 4 (Nov)</w:t>
            </w:r>
          </w:p>
        </w:tc>
        <w:tc>
          <w:tcPr>
            <w:tcW w:w="900" w:type="dxa"/>
          </w:tcPr>
          <w:p w14:paraId="66E112CD" w14:textId="70878506" w:rsidR="00DC7B2A" w:rsidRDefault="00DC7B2A" w:rsidP="00DC7B2A">
            <w:pPr>
              <w:contextualSpacing/>
            </w:pPr>
            <w:r>
              <w:t>87-92</w:t>
            </w:r>
          </w:p>
        </w:tc>
        <w:tc>
          <w:tcPr>
            <w:tcW w:w="1260" w:type="dxa"/>
            <w:tcBorders>
              <w:left w:val="single" w:sz="4" w:space="0" w:color="auto"/>
              <w:right w:val="single" w:sz="4" w:space="0" w:color="D9D9D9" w:themeColor="background1" w:themeShade="D9"/>
            </w:tcBorders>
          </w:tcPr>
          <w:p w14:paraId="114F94F3" w14:textId="77777777" w:rsidR="00DC7B2A" w:rsidRDefault="00DC7B2A" w:rsidP="00DC7B2A">
            <w:pPr>
              <w:spacing w:before="40" w:after="40"/>
              <w:jc w:val="right"/>
            </w:pPr>
            <w:r>
              <w:t>6620</w:t>
            </w:r>
          </w:p>
        </w:tc>
        <w:tc>
          <w:tcPr>
            <w:tcW w:w="1260" w:type="dxa"/>
            <w:tcBorders>
              <w:left w:val="single" w:sz="4" w:space="0" w:color="D9D9D9" w:themeColor="background1" w:themeShade="D9"/>
              <w:right w:val="single" w:sz="4" w:space="0" w:color="D9D9D9" w:themeColor="background1" w:themeShade="D9"/>
            </w:tcBorders>
          </w:tcPr>
          <w:p w14:paraId="3511F0E4" w14:textId="77777777" w:rsidR="00DC7B2A" w:rsidRDefault="00DC7B2A" w:rsidP="00DC7B2A">
            <w:pPr>
              <w:spacing w:before="40" w:after="40"/>
              <w:jc w:val="right"/>
            </w:pPr>
            <w:r>
              <w:t>2347</w:t>
            </w:r>
          </w:p>
        </w:tc>
        <w:tc>
          <w:tcPr>
            <w:tcW w:w="1080" w:type="dxa"/>
            <w:tcBorders>
              <w:left w:val="single" w:sz="4" w:space="0" w:color="D9D9D9" w:themeColor="background1" w:themeShade="D9"/>
              <w:right w:val="single" w:sz="4" w:space="0" w:color="D9D9D9" w:themeColor="background1" w:themeShade="D9"/>
            </w:tcBorders>
          </w:tcPr>
          <w:p w14:paraId="0C5320AA" w14:textId="77777777" w:rsidR="00DC7B2A" w:rsidRPr="00186A1D" w:rsidRDefault="00DC7B2A" w:rsidP="00DC7B2A">
            <w:pPr>
              <w:spacing w:before="40" w:after="40"/>
              <w:jc w:val="right"/>
            </w:pPr>
            <w:r w:rsidRPr="00186A1D">
              <w:t>8967</w:t>
            </w:r>
          </w:p>
        </w:tc>
        <w:tc>
          <w:tcPr>
            <w:tcW w:w="900" w:type="dxa"/>
            <w:tcBorders>
              <w:left w:val="single" w:sz="4" w:space="0" w:color="D9D9D9" w:themeColor="background1" w:themeShade="D9"/>
            </w:tcBorders>
          </w:tcPr>
          <w:p w14:paraId="6C18D852" w14:textId="77777777" w:rsidR="00DC7B2A" w:rsidRPr="00186A1D" w:rsidRDefault="00DC7B2A" w:rsidP="00DC7B2A">
            <w:pPr>
              <w:spacing w:before="40" w:after="40"/>
              <w:jc w:val="right"/>
            </w:pPr>
            <w:r w:rsidRPr="00186A1D">
              <w:t>3465</w:t>
            </w:r>
          </w:p>
        </w:tc>
        <w:tc>
          <w:tcPr>
            <w:tcW w:w="1260" w:type="dxa"/>
            <w:vAlign w:val="center"/>
          </w:tcPr>
          <w:p w14:paraId="102FB555" w14:textId="77777777" w:rsidR="00DC7B2A" w:rsidRPr="00186A1D" w:rsidRDefault="00DC7B2A" w:rsidP="00DC7B2A">
            <w:pPr>
              <w:spacing w:before="40" w:after="40"/>
              <w:jc w:val="right"/>
              <w:rPr>
                <w:b/>
              </w:rPr>
            </w:pPr>
            <w:r w:rsidRPr="00186A1D">
              <w:rPr>
                <w:b/>
              </w:rPr>
              <w:t>2473</w:t>
            </w:r>
          </w:p>
        </w:tc>
        <w:tc>
          <w:tcPr>
            <w:tcW w:w="1440" w:type="dxa"/>
          </w:tcPr>
          <w:p w14:paraId="114C34F4" w14:textId="77777777" w:rsidR="00DC7B2A" w:rsidRPr="00BA04B6" w:rsidRDefault="00DC7B2A" w:rsidP="00DC7B2A">
            <w:pPr>
              <w:spacing w:before="40" w:after="40"/>
              <w:jc w:val="right"/>
              <w:rPr>
                <w:b/>
              </w:rPr>
            </w:pPr>
            <w:r w:rsidRPr="00BA04B6">
              <w:rPr>
                <w:b/>
              </w:rPr>
              <w:t>71.4</w:t>
            </w:r>
          </w:p>
        </w:tc>
      </w:tr>
      <w:tr w:rsidR="00DC7B2A" w14:paraId="001A5405" w14:textId="77777777" w:rsidTr="00DC7B2A">
        <w:tc>
          <w:tcPr>
            <w:tcW w:w="781" w:type="dxa"/>
          </w:tcPr>
          <w:p w14:paraId="4389541C" w14:textId="0C7D3755" w:rsidR="00DC7B2A" w:rsidRPr="00BA04B6" w:rsidRDefault="00DC7B2A" w:rsidP="00DC7B2A">
            <w:pPr>
              <w:contextualSpacing/>
              <w:rPr>
                <w:b/>
              </w:rPr>
            </w:pPr>
            <w:r>
              <w:rPr>
                <w:b/>
              </w:rPr>
              <w:t>2014</w:t>
            </w:r>
          </w:p>
        </w:tc>
        <w:tc>
          <w:tcPr>
            <w:tcW w:w="1080" w:type="dxa"/>
          </w:tcPr>
          <w:p w14:paraId="4C62F3A7" w14:textId="060E4025" w:rsidR="00DC7B2A" w:rsidRDefault="00DC7B2A" w:rsidP="00DC7B2A">
            <w:pPr>
              <w:contextualSpacing/>
            </w:pPr>
            <w:r>
              <w:t>6MF 5 (May)</w:t>
            </w:r>
          </w:p>
        </w:tc>
        <w:tc>
          <w:tcPr>
            <w:tcW w:w="900" w:type="dxa"/>
          </w:tcPr>
          <w:p w14:paraId="56009C87" w14:textId="213DC3DA" w:rsidR="00DC7B2A" w:rsidRDefault="00DC7B2A" w:rsidP="00DC7B2A">
            <w:pPr>
              <w:contextualSpacing/>
            </w:pPr>
            <w:r>
              <w:t>88-93</w:t>
            </w:r>
          </w:p>
        </w:tc>
        <w:tc>
          <w:tcPr>
            <w:tcW w:w="1260" w:type="dxa"/>
            <w:tcBorders>
              <w:left w:val="single" w:sz="4" w:space="0" w:color="auto"/>
              <w:right w:val="single" w:sz="4" w:space="0" w:color="D9D9D9" w:themeColor="background1" w:themeShade="D9"/>
            </w:tcBorders>
            <w:vAlign w:val="center"/>
          </w:tcPr>
          <w:p w14:paraId="0F2B05C3" w14:textId="77777777" w:rsidR="00DC7B2A" w:rsidRDefault="00DC7B2A" w:rsidP="00DC7B2A">
            <w:pPr>
              <w:spacing w:before="40" w:after="40"/>
              <w:jc w:val="right"/>
            </w:pPr>
            <w:r>
              <w:t>6947</w:t>
            </w:r>
          </w:p>
        </w:tc>
        <w:tc>
          <w:tcPr>
            <w:tcW w:w="1260" w:type="dxa"/>
            <w:tcBorders>
              <w:left w:val="single" w:sz="4" w:space="0" w:color="D9D9D9" w:themeColor="background1" w:themeShade="D9"/>
              <w:right w:val="single" w:sz="4" w:space="0" w:color="D9D9D9" w:themeColor="background1" w:themeShade="D9"/>
            </w:tcBorders>
            <w:vAlign w:val="center"/>
          </w:tcPr>
          <w:p w14:paraId="0088D18D" w14:textId="77777777" w:rsidR="00DC7B2A" w:rsidRDefault="00DC7B2A" w:rsidP="00DC7B2A">
            <w:pPr>
              <w:spacing w:before="40" w:after="40"/>
              <w:jc w:val="right"/>
            </w:pPr>
            <w:r>
              <w:t>2294</w:t>
            </w:r>
          </w:p>
        </w:tc>
        <w:tc>
          <w:tcPr>
            <w:tcW w:w="1080" w:type="dxa"/>
            <w:tcBorders>
              <w:left w:val="single" w:sz="4" w:space="0" w:color="D9D9D9" w:themeColor="background1" w:themeShade="D9"/>
              <w:right w:val="single" w:sz="4" w:space="0" w:color="D9D9D9" w:themeColor="background1" w:themeShade="D9"/>
            </w:tcBorders>
            <w:vAlign w:val="center"/>
          </w:tcPr>
          <w:p w14:paraId="1BDBBB2F" w14:textId="77777777" w:rsidR="00DC7B2A" w:rsidRPr="00186A1D" w:rsidRDefault="00DC7B2A" w:rsidP="00DC7B2A">
            <w:pPr>
              <w:spacing w:before="40" w:after="40"/>
              <w:jc w:val="right"/>
            </w:pPr>
            <w:r w:rsidRPr="00186A1D">
              <w:t>9241</w:t>
            </w:r>
          </w:p>
        </w:tc>
        <w:tc>
          <w:tcPr>
            <w:tcW w:w="900" w:type="dxa"/>
            <w:tcBorders>
              <w:left w:val="single" w:sz="4" w:space="0" w:color="D9D9D9" w:themeColor="background1" w:themeShade="D9"/>
            </w:tcBorders>
            <w:vAlign w:val="center"/>
          </w:tcPr>
          <w:p w14:paraId="57A8ACF3" w14:textId="77777777" w:rsidR="00DC7B2A" w:rsidRPr="00186A1D" w:rsidRDefault="00DC7B2A" w:rsidP="00DC7B2A">
            <w:pPr>
              <w:spacing w:before="40" w:after="40"/>
              <w:jc w:val="right"/>
            </w:pPr>
            <w:r w:rsidRPr="00186A1D">
              <w:t>3191</w:t>
            </w:r>
          </w:p>
        </w:tc>
        <w:tc>
          <w:tcPr>
            <w:tcW w:w="1260" w:type="dxa"/>
            <w:vAlign w:val="center"/>
          </w:tcPr>
          <w:p w14:paraId="7CFFD86D" w14:textId="77777777" w:rsidR="00DC7B2A" w:rsidRPr="00186A1D" w:rsidRDefault="00DC7B2A" w:rsidP="00DC7B2A">
            <w:pPr>
              <w:spacing w:before="40" w:after="40"/>
              <w:jc w:val="right"/>
              <w:rPr>
                <w:b/>
              </w:rPr>
            </w:pPr>
            <w:r w:rsidRPr="00186A1D">
              <w:rPr>
                <w:b/>
              </w:rPr>
              <w:t>2118</w:t>
            </w:r>
          </w:p>
        </w:tc>
        <w:tc>
          <w:tcPr>
            <w:tcW w:w="1440" w:type="dxa"/>
            <w:vAlign w:val="center"/>
          </w:tcPr>
          <w:p w14:paraId="7E1ED690" w14:textId="77777777" w:rsidR="00DC7B2A" w:rsidRPr="00BA04B6" w:rsidRDefault="00DC7B2A" w:rsidP="00DC7B2A">
            <w:pPr>
              <w:spacing w:before="40" w:after="40"/>
              <w:jc w:val="right"/>
              <w:rPr>
                <w:b/>
              </w:rPr>
            </w:pPr>
            <w:r w:rsidRPr="00BA04B6">
              <w:rPr>
                <w:b/>
              </w:rPr>
              <w:t>66.4</w:t>
            </w:r>
          </w:p>
        </w:tc>
      </w:tr>
      <w:tr w:rsidR="00DC7B2A" w14:paraId="37F6A4AB" w14:textId="77777777" w:rsidTr="00DC7B2A">
        <w:tc>
          <w:tcPr>
            <w:tcW w:w="781" w:type="dxa"/>
          </w:tcPr>
          <w:p w14:paraId="0D15E11E" w14:textId="0D1F75C4" w:rsidR="00DC7B2A" w:rsidRDefault="00DC7B2A" w:rsidP="00DC7B2A">
            <w:pPr>
              <w:contextualSpacing/>
              <w:rPr>
                <w:b/>
              </w:rPr>
            </w:pPr>
            <w:r>
              <w:rPr>
                <w:b/>
              </w:rPr>
              <w:t>2014</w:t>
            </w:r>
          </w:p>
        </w:tc>
        <w:tc>
          <w:tcPr>
            <w:tcW w:w="1080" w:type="dxa"/>
          </w:tcPr>
          <w:p w14:paraId="6E11B72D" w14:textId="6BBF7C38" w:rsidR="00DC7B2A" w:rsidRDefault="00DC7B2A" w:rsidP="00DC7B2A">
            <w:pPr>
              <w:contextualSpacing/>
            </w:pPr>
            <w:r>
              <w:t>6MF 6 (Nov)</w:t>
            </w:r>
          </w:p>
        </w:tc>
        <w:tc>
          <w:tcPr>
            <w:tcW w:w="900" w:type="dxa"/>
          </w:tcPr>
          <w:p w14:paraId="3EA5FAB2" w14:textId="68581EA4" w:rsidR="00DC7B2A" w:rsidRDefault="00DC7B2A" w:rsidP="00DC7B2A">
            <w:pPr>
              <w:contextualSpacing/>
            </w:pPr>
            <w:r>
              <w:t>88-93</w:t>
            </w:r>
          </w:p>
        </w:tc>
        <w:tc>
          <w:tcPr>
            <w:tcW w:w="1260" w:type="dxa"/>
            <w:tcBorders>
              <w:left w:val="single" w:sz="4" w:space="0" w:color="auto"/>
              <w:right w:val="single" w:sz="4" w:space="0" w:color="D9D9D9" w:themeColor="background1" w:themeShade="D9"/>
            </w:tcBorders>
            <w:vAlign w:val="center"/>
          </w:tcPr>
          <w:p w14:paraId="4989773E" w14:textId="77777777" w:rsidR="00DC7B2A" w:rsidRDefault="00DC7B2A" w:rsidP="00DC7B2A">
            <w:pPr>
              <w:spacing w:before="40" w:after="40"/>
              <w:jc w:val="right"/>
            </w:pPr>
            <w:r>
              <w:t>7288</w:t>
            </w:r>
          </w:p>
        </w:tc>
        <w:tc>
          <w:tcPr>
            <w:tcW w:w="1260" w:type="dxa"/>
            <w:tcBorders>
              <w:left w:val="single" w:sz="4" w:space="0" w:color="D9D9D9" w:themeColor="background1" w:themeShade="D9"/>
              <w:right w:val="single" w:sz="4" w:space="0" w:color="D9D9D9" w:themeColor="background1" w:themeShade="D9"/>
            </w:tcBorders>
            <w:vAlign w:val="center"/>
          </w:tcPr>
          <w:p w14:paraId="39B05480" w14:textId="77777777" w:rsidR="00DC7B2A" w:rsidRDefault="00DC7B2A" w:rsidP="00DC7B2A">
            <w:pPr>
              <w:spacing w:before="40" w:after="40"/>
              <w:jc w:val="right"/>
            </w:pPr>
            <w:r>
              <w:t>2181</w:t>
            </w:r>
          </w:p>
        </w:tc>
        <w:tc>
          <w:tcPr>
            <w:tcW w:w="1080" w:type="dxa"/>
            <w:tcBorders>
              <w:left w:val="single" w:sz="4" w:space="0" w:color="D9D9D9" w:themeColor="background1" w:themeShade="D9"/>
              <w:right w:val="single" w:sz="4" w:space="0" w:color="D9D9D9" w:themeColor="background1" w:themeShade="D9"/>
            </w:tcBorders>
            <w:vAlign w:val="center"/>
          </w:tcPr>
          <w:p w14:paraId="3CA67736" w14:textId="77777777" w:rsidR="00DC7B2A" w:rsidRPr="00186A1D" w:rsidRDefault="00DC7B2A" w:rsidP="00DC7B2A">
            <w:pPr>
              <w:spacing w:before="40" w:after="40"/>
              <w:jc w:val="right"/>
            </w:pPr>
            <w:r w:rsidRPr="00186A1D">
              <w:t>9469</w:t>
            </w:r>
          </w:p>
        </w:tc>
        <w:tc>
          <w:tcPr>
            <w:tcW w:w="900" w:type="dxa"/>
            <w:tcBorders>
              <w:left w:val="single" w:sz="4" w:space="0" w:color="D9D9D9" w:themeColor="background1" w:themeShade="D9"/>
            </w:tcBorders>
            <w:vAlign w:val="center"/>
          </w:tcPr>
          <w:p w14:paraId="59381BBF" w14:textId="77777777" w:rsidR="00DC7B2A" w:rsidRPr="00186A1D" w:rsidRDefault="00DC7B2A" w:rsidP="00DC7B2A">
            <w:pPr>
              <w:spacing w:before="40" w:after="40"/>
              <w:jc w:val="right"/>
            </w:pPr>
            <w:r w:rsidRPr="00186A1D">
              <w:t>2963</w:t>
            </w:r>
          </w:p>
        </w:tc>
        <w:tc>
          <w:tcPr>
            <w:tcW w:w="1260" w:type="dxa"/>
            <w:vAlign w:val="center"/>
          </w:tcPr>
          <w:p w14:paraId="588D5304" w14:textId="77777777" w:rsidR="00DC7B2A" w:rsidRPr="00186A1D" w:rsidRDefault="00DC7B2A" w:rsidP="00DC7B2A">
            <w:pPr>
              <w:spacing w:before="40" w:after="40"/>
              <w:jc w:val="right"/>
              <w:rPr>
                <w:b/>
              </w:rPr>
            </w:pPr>
            <w:r w:rsidRPr="00186A1D">
              <w:rPr>
                <w:b/>
              </w:rPr>
              <w:t>1964</w:t>
            </w:r>
          </w:p>
        </w:tc>
        <w:tc>
          <w:tcPr>
            <w:tcW w:w="1440" w:type="dxa"/>
            <w:vAlign w:val="center"/>
          </w:tcPr>
          <w:p w14:paraId="40B6981F" w14:textId="77777777" w:rsidR="00DC7B2A" w:rsidRPr="00BA04B6" w:rsidRDefault="00DC7B2A" w:rsidP="00DC7B2A">
            <w:pPr>
              <w:spacing w:before="40" w:after="40"/>
              <w:jc w:val="right"/>
              <w:rPr>
                <w:b/>
              </w:rPr>
            </w:pPr>
            <w:r w:rsidRPr="00BA04B6">
              <w:rPr>
                <w:b/>
              </w:rPr>
              <w:t>66.3</w:t>
            </w:r>
          </w:p>
        </w:tc>
      </w:tr>
      <w:tr w:rsidR="00DC7B2A" w14:paraId="6972F40F" w14:textId="77777777" w:rsidTr="00DC7B2A">
        <w:tc>
          <w:tcPr>
            <w:tcW w:w="781" w:type="dxa"/>
          </w:tcPr>
          <w:p w14:paraId="24240D3B" w14:textId="06C53C75" w:rsidR="00DC7B2A" w:rsidRPr="00BA04B6" w:rsidRDefault="00DC7B2A" w:rsidP="00DC7B2A">
            <w:pPr>
              <w:contextualSpacing/>
              <w:rPr>
                <w:b/>
              </w:rPr>
            </w:pPr>
            <w:r>
              <w:rPr>
                <w:b/>
              </w:rPr>
              <w:t>2015</w:t>
            </w:r>
          </w:p>
        </w:tc>
        <w:tc>
          <w:tcPr>
            <w:tcW w:w="1080" w:type="dxa"/>
          </w:tcPr>
          <w:p w14:paraId="676ED496" w14:textId="2C0D53B3" w:rsidR="00DC7B2A" w:rsidRDefault="00DC7B2A" w:rsidP="00DC7B2A">
            <w:pPr>
              <w:contextualSpacing/>
            </w:pPr>
            <w:r>
              <w:t>6MF 7 (May)</w:t>
            </w:r>
          </w:p>
        </w:tc>
        <w:tc>
          <w:tcPr>
            <w:tcW w:w="900" w:type="dxa"/>
          </w:tcPr>
          <w:p w14:paraId="134680F0" w14:textId="68C7E186" w:rsidR="00DC7B2A" w:rsidRDefault="00DC7B2A" w:rsidP="00DC7B2A">
            <w:pPr>
              <w:contextualSpacing/>
            </w:pPr>
            <w:r>
              <w:t>89-94</w:t>
            </w:r>
          </w:p>
        </w:tc>
        <w:tc>
          <w:tcPr>
            <w:tcW w:w="1260" w:type="dxa"/>
            <w:tcBorders>
              <w:left w:val="single" w:sz="4" w:space="0" w:color="auto"/>
              <w:right w:val="single" w:sz="4" w:space="0" w:color="D9D9D9" w:themeColor="background1" w:themeShade="D9"/>
            </w:tcBorders>
            <w:vAlign w:val="center"/>
          </w:tcPr>
          <w:p w14:paraId="56A24517" w14:textId="77777777" w:rsidR="00DC7B2A" w:rsidRDefault="00DC7B2A" w:rsidP="00DC7B2A">
            <w:pPr>
              <w:spacing w:before="40" w:after="40"/>
              <w:jc w:val="right"/>
            </w:pPr>
            <w:r>
              <w:t>7617</w:t>
            </w:r>
          </w:p>
        </w:tc>
        <w:tc>
          <w:tcPr>
            <w:tcW w:w="1260" w:type="dxa"/>
            <w:tcBorders>
              <w:left w:val="single" w:sz="4" w:space="0" w:color="D9D9D9" w:themeColor="background1" w:themeShade="D9"/>
              <w:right w:val="single" w:sz="4" w:space="0" w:color="D9D9D9" w:themeColor="background1" w:themeShade="D9"/>
            </w:tcBorders>
            <w:vAlign w:val="center"/>
          </w:tcPr>
          <w:p w14:paraId="2A4163CA" w14:textId="77777777" w:rsidR="00DC7B2A" w:rsidRDefault="00DC7B2A" w:rsidP="00DC7B2A">
            <w:pPr>
              <w:spacing w:before="40" w:after="40"/>
              <w:jc w:val="right"/>
            </w:pPr>
            <w:r>
              <w:t>2102</w:t>
            </w:r>
          </w:p>
        </w:tc>
        <w:tc>
          <w:tcPr>
            <w:tcW w:w="1080" w:type="dxa"/>
            <w:tcBorders>
              <w:left w:val="single" w:sz="4" w:space="0" w:color="D9D9D9" w:themeColor="background1" w:themeShade="D9"/>
              <w:right w:val="single" w:sz="4" w:space="0" w:color="D9D9D9" w:themeColor="background1" w:themeShade="D9"/>
            </w:tcBorders>
            <w:vAlign w:val="center"/>
          </w:tcPr>
          <w:p w14:paraId="299E0D75" w14:textId="77777777" w:rsidR="00DC7B2A" w:rsidRPr="00186A1D" w:rsidRDefault="00DC7B2A" w:rsidP="00DC7B2A">
            <w:pPr>
              <w:spacing w:before="40" w:after="40"/>
              <w:jc w:val="right"/>
            </w:pPr>
            <w:r w:rsidRPr="00186A1D">
              <w:t>9719</w:t>
            </w:r>
          </w:p>
        </w:tc>
        <w:tc>
          <w:tcPr>
            <w:tcW w:w="900" w:type="dxa"/>
            <w:tcBorders>
              <w:left w:val="single" w:sz="4" w:space="0" w:color="D9D9D9" w:themeColor="background1" w:themeShade="D9"/>
            </w:tcBorders>
            <w:vAlign w:val="center"/>
          </w:tcPr>
          <w:p w14:paraId="2F770983" w14:textId="77777777" w:rsidR="00DC7B2A" w:rsidRPr="00186A1D" w:rsidRDefault="00DC7B2A" w:rsidP="00DC7B2A">
            <w:pPr>
              <w:spacing w:before="40" w:after="40"/>
              <w:jc w:val="right"/>
            </w:pPr>
            <w:r w:rsidRPr="00186A1D">
              <w:t>2713</w:t>
            </w:r>
          </w:p>
        </w:tc>
        <w:tc>
          <w:tcPr>
            <w:tcW w:w="1260" w:type="dxa"/>
            <w:vAlign w:val="center"/>
          </w:tcPr>
          <w:p w14:paraId="04B4AF6D" w14:textId="77777777" w:rsidR="00DC7B2A" w:rsidRPr="00186A1D" w:rsidRDefault="00DC7B2A" w:rsidP="00DC7B2A">
            <w:pPr>
              <w:spacing w:before="40" w:after="40"/>
              <w:jc w:val="right"/>
              <w:rPr>
                <w:b/>
              </w:rPr>
            </w:pPr>
            <w:r w:rsidRPr="00186A1D">
              <w:rPr>
                <w:b/>
              </w:rPr>
              <w:t>1726</w:t>
            </w:r>
          </w:p>
        </w:tc>
        <w:tc>
          <w:tcPr>
            <w:tcW w:w="1440" w:type="dxa"/>
            <w:vAlign w:val="center"/>
          </w:tcPr>
          <w:p w14:paraId="22BA8AFE" w14:textId="77777777" w:rsidR="00DC7B2A" w:rsidRPr="00BA04B6" w:rsidRDefault="00DC7B2A" w:rsidP="00DC7B2A">
            <w:pPr>
              <w:spacing w:before="40" w:after="40"/>
              <w:jc w:val="right"/>
              <w:rPr>
                <w:b/>
              </w:rPr>
            </w:pPr>
            <w:r w:rsidRPr="00BA04B6">
              <w:rPr>
                <w:b/>
              </w:rPr>
              <w:t>63.6</w:t>
            </w:r>
          </w:p>
        </w:tc>
      </w:tr>
      <w:tr w:rsidR="00DC7B2A" w14:paraId="2D986BE3" w14:textId="77777777" w:rsidTr="00DC7B2A">
        <w:tc>
          <w:tcPr>
            <w:tcW w:w="781" w:type="dxa"/>
          </w:tcPr>
          <w:p w14:paraId="7A09CFB8" w14:textId="7B682859" w:rsidR="00DC7B2A" w:rsidRPr="00BA04B6" w:rsidRDefault="00DC7B2A" w:rsidP="00DC7B2A">
            <w:pPr>
              <w:contextualSpacing/>
              <w:rPr>
                <w:b/>
              </w:rPr>
            </w:pPr>
            <w:r>
              <w:rPr>
                <w:b/>
              </w:rPr>
              <w:t>2015</w:t>
            </w:r>
          </w:p>
        </w:tc>
        <w:tc>
          <w:tcPr>
            <w:tcW w:w="1080" w:type="dxa"/>
          </w:tcPr>
          <w:p w14:paraId="6E5EF377" w14:textId="1650CE79" w:rsidR="00DC7B2A" w:rsidRDefault="00DC7B2A" w:rsidP="00DC7B2A">
            <w:pPr>
              <w:contextualSpacing/>
            </w:pPr>
            <w:r>
              <w:t>6MF 8 (Nov)</w:t>
            </w:r>
          </w:p>
        </w:tc>
        <w:tc>
          <w:tcPr>
            <w:tcW w:w="900" w:type="dxa"/>
          </w:tcPr>
          <w:p w14:paraId="672673AF" w14:textId="13268910" w:rsidR="00DC7B2A" w:rsidRDefault="00DC7B2A" w:rsidP="00DC7B2A">
            <w:pPr>
              <w:contextualSpacing/>
            </w:pPr>
            <w:r>
              <w:t>89-94</w:t>
            </w:r>
          </w:p>
        </w:tc>
        <w:tc>
          <w:tcPr>
            <w:tcW w:w="1260" w:type="dxa"/>
            <w:tcBorders>
              <w:left w:val="single" w:sz="4" w:space="0" w:color="auto"/>
              <w:right w:val="single" w:sz="4" w:space="0" w:color="D9D9D9" w:themeColor="background1" w:themeShade="D9"/>
            </w:tcBorders>
            <w:vAlign w:val="center"/>
          </w:tcPr>
          <w:p w14:paraId="7B92CFEC" w14:textId="77777777" w:rsidR="00DC7B2A" w:rsidRDefault="00DC7B2A" w:rsidP="00DC7B2A">
            <w:pPr>
              <w:spacing w:before="40" w:after="40"/>
              <w:jc w:val="right"/>
            </w:pPr>
            <w:r>
              <w:t>7962</w:t>
            </w:r>
          </w:p>
        </w:tc>
        <w:tc>
          <w:tcPr>
            <w:tcW w:w="1260" w:type="dxa"/>
            <w:tcBorders>
              <w:left w:val="single" w:sz="4" w:space="0" w:color="D9D9D9" w:themeColor="background1" w:themeShade="D9"/>
              <w:right w:val="single" w:sz="4" w:space="0" w:color="D9D9D9" w:themeColor="background1" w:themeShade="D9"/>
            </w:tcBorders>
            <w:vAlign w:val="center"/>
          </w:tcPr>
          <w:p w14:paraId="4A3F9309" w14:textId="77777777" w:rsidR="00DC7B2A" w:rsidRDefault="00DC7B2A" w:rsidP="00DC7B2A">
            <w:pPr>
              <w:spacing w:before="40" w:after="40"/>
              <w:jc w:val="right"/>
            </w:pPr>
            <w:r>
              <w:t>1967</w:t>
            </w:r>
          </w:p>
        </w:tc>
        <w:tc>
          <w:tcPr>
            <w:tcW w:w="1080" w:type="dxa"/>
            <w:tcBorders>
              <w:left w:val="single" w:sz="4" w:space="0" w:color="D9D9D9" w:themeColor="background1" w:themeShade="D9"/>
              <w:right w:val="single" w:sz="4" w:space="0" w:color="D9D9D9" w:themeColor="background1" w:themeShade="D9"/>
            </w:tcBorders>
            <w:vAlign w:val="center"/>
          </w:tcPr>
          <w:p w14:paraId="03F89551" w14:textId="77777777" w:rsidR="00DC7B2A" w:rsidRPr="00186A1D" w:rsidRDefault="00DC7B2A" w:rsidP="00DC7B2A">
            <w:pPr>
              <w:spacing w:before="40" w:after="40"/>
              <w:jc w:val="right"/>
            </w:pPr>
            <w:r w:rsidRPr="00186A1D">
              <w:t>9929</w:t>
            </w:r>
          </w:p>
        </w:tc>
        <w:tc>
          <w:tcPr>
            <w:tcW w:w="900" w:type="dxa"/>
            <w:tcBorders>
              <w:left w:val="single" w:sz="4" w:space="0" w:color="D9D9D9" w:themeColor="background1" w:themeShade="D9"/>
            </w:tcBorders>
            <w:vAlign w:val="center"/>
          </w:tcPr>
          <w:p w14:paraId="7284FE1E" w14:textId="77777777" w:rsidR="00DC7B2A" w:rsidRPr="00186A1D" w:rsidRDefault="00DC7B2A" w:rsidP="00DC7B2A">
            <w:pPr>
              <w:spacing w:before="40" w:after="40"/>
              <w:jc w:val="right"/>
            </w:pPr>
            <w:r w:rsidRPr="00186A1D">
              <w:t>2503</w:t>
            </w:r>
          </w:p>
        </w:tc>
        <w:tc>
          <w:tcPr>
            <w:tcW w:w="1260" w:type="dxa"/>
            <w:vAlign w:val="center"/>
          </w:tcPr>
          <w:p w14:paraId="7315BFDA" w14:textId="77777777" w:rsidR="00DC7B2A" w:rsidRPr="00186A1D" w:rsidRDefault="00DC7B2A" w:rsidP="00DC7B2A">
            <w:pPr>
              <w:spacing w:before="40" w:after="40"/>
              <w:jc w:val="right"/>
              <w:rPr>
                <w:b/>
              </w:rPr>
            </w:pPr>
            <w:r w:rsidRPr="00186A1D">
              <w:rPr>
                <w:b/>
              </w:rPr>
              <w:t>1524</w:t>
            </w:r>
          </w:p>
        </w:tc>
        <w:tc>
          <w:tcPr>
            <w:tcW w:w="1440" w:type="dxa"/>
            <w:vAlign w:val="center"/>
          </w:tcPr>
          <w:p w14:paraId="246E113F" w14:textId="77777777" w:rsidR="00DC7B2A" w:rsidRPr="00BA04B6" w:rsidRDefault="00DC7B2A" w:rsidP="00DC7B2A">
            <w:pPr>
              <w:spacing w:before="40" w:after="40"/>
              <w:jc w:val="right"/>
              <w:rPr>
                <w:b/>
              </w:rPr>
            </w:pPr>
            <w:r w:rsidRPr="00BA04B6">
              <w:rPr>
                <w:b/>
              </w:rPr>
              <w:t>60.9</w:t>
            </w:r>
          </w:p>
        </w:tc>
      </w:tr>
      <w:tr w:rsidR="00DC7B2A" w14:paraId="62B33091" w14:textId="77777777" w:rsidTr="00DC7B2A">
        <w:tc>
          <w:tcPr>
            <w:tcW w:w="781" w:type="dxa"/>
          </w:tcPr>
          <w:p w14:paraId="34E56232" w14:textId="76C642F8" w:rsidR="00DC7B2A" w:rsidRPr="00BA04B6" w:rsidRDefault="00DC7B2A" w:rsidP="00DC7B2A">
            <w:pPr>
              <w:contextualSpacing/>
              <w:rPr>
                <w:b/>
              </w:rPr>
            </w:pPr>
            <w:r>
              <w:rPr>
                <w:b/>
              </w:rPr>
              <w:t>2016</w:t>
            </w:r>
          </w:p>
        </w:tc>
        <w:tc>
          <w:tcPr>
            <w:tcW w:w="1080" w:type="dxa"/>
          </w:tcPr>
          <w:p w14:paraId="15561D5B" w14:textId="350DC6A2" w:rsidR="00DC7B2A" w:rsidRDefault="00DC7B2A" w:rsidP="00DC7B2A">
            <w:pPr>
              <w:contextualSpacing/>
            </w:pPr>
            <w:r>
              <w:t>6MF 9 (May)</w:t>
            </w:r>
          </w:p>
        </w:tc>
        <w:tc>
          <w:tcPr>
            <w:tcW w:w="900" w:type="dxa"/>
          </w:tcPr>
          <w:p w14:paraId="74B49992" w14:textId="61CD21C0" w:rsidR="00DC7B2A" w:rsidRDefault="00DC7B2A" w:rsidP="00DC7B2A">
            <w:pPr>
              <w:contextualSpacing/>
            </w:pPr>
            <w:r>
              <w:t>90-95</w:t>
            </w:r>
          </w:p>
        </w:tc>
        <w:tc>
          <w:tcPr>
            <w:tcW w:w="1260" w:type="dxa"/>
            <w:tcBorders>
              <w:left w:val="single" w:sz="4" w:space="0" w:color="auto"/>
              <w:right w:val="single" w:sz="4" w:space="0" w:color="D9D9D9" w:themeColor="background1" w:themeShade="D9"/>
            </w:tcBorders>
            <w:vAlign w:val="center"/>
          </w:tcPr>
          <w:p w14:paraId="76BE18FB" w14:textId="77777777" w:rsidR="00DC7B2A" w:rsidRDefault="00DC7B2A" w:rsidP="00DC7B2A">
            <w:pPr>
              <w:spacing w:before="40" w:after="40"/>
              <w:jc w:val="right"/>
            </w:pPr>
            <w:r>
              <w:t>8261</w:t>
            </w:r>
          </w:p>
        </w:tc>
        <w:tc>
          <w:tcPr>
            <w:tcW w:w="1260" w:type="dxa"/>
            <w:tcBorders>
              <w:left w:val="single" w:sz="4" w:space="0" w:color="D9D9D9" w:themeColor="background1" w:themeShade="D9"/>
              <w:right w:val="single" w:sz="4" w:space="0" w:color="D9D9D9" w:themeColor="background1" w:themeShade="D9"/>
            </w:tcBorders>
            <w:vAlign w:val="center"/>
          </w:tcPr>
          <w:p w14:paraId="75D14101" w14:textId="77777777" w:rsidR="00DC7B2A" w:rsidRDefault="00DC7B2A" w:rsidP="00DC7B2A">
            <w:pPr>
              <w:spacing w:before="40" w:after="40"/>
              <w:jc w:val="right"/>
            </w:pPr>
            <w:r>
              <w:t>1875</w:t>
            </w:r>
          </w:p>
        </w:tc>
        <w:tc>
          <w:tcPr>
            <w:tcW w:w="1080" w:type="dxa"/>
            <w:tcBorders>
              <w:left w:val="single" w:sz="4" w:space="0" w:color="D9D9D9" w:themeColor="background1" w:themeShade="D9"/>
              <w:right w:val="single" w:sz="4" w:space="0" w:color="D9D9D9" w:themeColor="background1" w:themeShade="D9"/>
            </w:tcBorders>
            <w:vAlign w:val="center"/>
          </w:tcPr>
          <w:p w14:paraId="77B7ABE3" w14:textId="77777777" w:rsidR="00DC7B2A" w:rsidRPr="00186A1D" w:rsidRDefault="00DC7B2A" w:rsidP="00DC7B2A">
            <w:pPr>
              <w:spacing w:before="40" w:after="40"/>
              <w:jc w:val="right"/>
            </w:pPr>
            <w:r w:rsidRPr="00186A1D">
              <w:t>10,136</w:t>
            </w:r>
          </w:p>
        </w:tc>
        <w:tc>
          <w:tcPr>
            <w:tcW w:w="900" w:type="dxa"/>
            <w:tcBorders>
              <w:left w:val="single" w:sz="4" w:space="0" w:color="D9D9D9" w:themeColor="background1" w:themeShade="D9"/>
            </w:tcBorders>
            <w:vAlign w:val="center"/>
          </w:tcPr>
          <w:p w14:paraId="5C4A0C4A" w14:textId="77777777" w:rsidR="00DC7B2A" w:rsidRPr="00186A1D" w:rsidRDefault="00DC7B2A" w:rsidP="00DC7B2A">
            <w:pPr>
              <w:spacing w:before="40" w:after="40"/>
              <w:jc w:val="right"/>
            </w:pPr>
            <w:r w:rsidRPr="00186A1D">
              <w:t>2296</w:t>
            </w:r>
          </w:p>
        </w:tc>
        <w:tc>
          <w:tcPr>
            <w:tcW w:w="1260" w:type="dxa"/>
            <w:vAlign w:val="center"/>
          </w:tcPr>
          <w:p w14:paraId="1FC65138" w14:textId="77777777" w:rsidR="00DC7B2A" w:rsidRPr="00186A1D" w:rsidRDefault="00DC7B2A" w:rsidP="00DC7B2A">
            <w:pPr>
              <w:spacing w:before="40" w:after="40"/>
              <w:jc w:val="right"/>
              <w:rPr>
                <w:b/>
              </w:rPr>
            </w:pPr>
            <w:r w:rsidRPr="00186A1D">
              <w:rPr>
                <w:b/>
              </w:rPr>
              <w:t>1362</w:t>
            </w:r>
          </w:p>
        </w:tc>
        <w:tc>
          <w:tcPr>
            <w:tcW w:w="1440" w:type="dxa"/>
            <w:vAlign w:val="center"/>
          </w:tcPr>
          <w:p w14:paraId="16269F1F" w14:textId="77777777" w:rsidR="00DC7B2A" w:rsidRPr="00BA04B6" w:rsidRDefault="00DC7B2A" w:rsidP="00DC7B2A">
            <w:pPr>
              <w:spacing w:before="40" w:after="40"/>
              <w:jc w:val="right"/>
              <w:rPr>
                <w:b/>
              </w:rPr>
            </w:pPr>
            <w:r w:rsidRPr="00BA04B6">
              <w:rPr>
                <w:b/>
              </w:rPr>
              <w:t>59.3</w:t>
            </w:r>
          </w:p>
        </w:tc>
      </w:tr>
      <w:tr w:rsidR="00DC7B2A" w14:paraId="433AFB7F" w14:textId="77777777" w:rsidTr="00DC7B2A">
        <w:tc>
          <w:tcPr>
            <w:tcW w:w="781" w:type="dxa"/>
          </w:tcPr>
          <w:p w14:paraId="0F5B0F62" w14:textId="1718F953" w:rsidR="00DC7B2A" w:rsidRPr="00BA04B6" w:rsidRDefault="00DC7B2A" w:rsidP="00DC7B2A">
            <w:pPr>
              <w:contextualSpacing/>
              <w:rPr>
                <w:b/>
              </w:rPr>
            </w:pPr>
            <w:r>
              <w:rPr>
                <w:b/>
              </w:rPr>
              <w:t>2016</w:t>
            </w:r>
          </w:p>
        </w:tc>
        <w:tc>
          <w:tcPr>
            <w:tcW w:w="1080" w:type="dxa"/>
          </w:tcPr>
          <w:p w14:paraId="55A163BD" w14:textId="6C8A040C" w:rsidR="00DC7B2A" w:rsidRDefault="00DC7B2A" w:rsidP="00DC7B2A">
            <w:pPr>
              <w:contextualSpacing/>
            </w:pPr>
            <w:r>
              <w:t>6MF 10 (Nov)</w:t>
            </w:r>
          </w:p>
        </w:tc>
        <w:tc>
          <w:tcPr>
            <w:tcW w:w="900" w:type="dxa"/>
          </w:tcPr>
          <w:p w14:paraId="3DCCE99B" w14:textId="03506720" w:rsidR="00DC7B2A" w:rsidRDefault="00DC7B2A" w:rsidP="00DC7B2A">
            <w:pPr>
              <w:contextualSpacing/>
            </w:pPr>
            <w:r>
              <w:t>90-95</w:t>
            </w:r>
          </w:p>
        </w:tc>
        <w:tc>
          <w:tcPr>
            <w:tcW w:w="1260" w:type="dxa"/>
            <w:tcBorders>
              <w:left w:val="single" w:sz="4" w:space="0" w:color="auto"/>
              <w:right w:val="single" w:sz="4" w:space="0" w:color="D9D9D9" w:themeColor="background1" w:themeShade="D9"/>
            </w:tcBorders>
            <w:vAlign w:val="center"/>
          </w:tcPr>
          <w:p w14:paraId="7EFE86A8" w14:textId="77777777" w:rsidR="00DC7B2A" w:rsidRDefault="00DC7B2A" w:rsidP="00DC7B2A">
            <w:pPr>
              <w:spacing w:before="40" w:after="40"/>
              <w:jc w:val="right"/>
            </w:pPr>
            <w:r>
              <w:t>8591</w:t>
            </w:r>
          </w:p>
        </w:tc>
        <w:tc>
          <w:tcPr>
            <w:tcW w:w="1260" w:type="dxa"/>
            <w:tcBorders>
              <w:left w:val="single" w:sz="4" w:space="0" w:color="D9D9D9" w:themeColor="background1" w:themeShade="D9"/>
              <w:right w:val="single" w:sz="4" w:space="0" w:color="D9D9D9" w:themeColor="background1" w:themeShade="D9"/>
            </w:tcBorders>
            <w:vAlign w:val="center"/>
          </w:tcPr>
          <w:p w14:paraId="0580DF95" w14:textId="77777777" w:rsidR="00DC7B2A" w:rsidRDefault="00DC7B2A" w:rsidP="00DC7B2A">
            <w:pPr>
              <w:spacing w:before="40" w:after="40"/>
              <w:jc w:val="right"/>
            </w:pPr>
            <w:r>
              <w:t>1740</w:t>
            </w:r>
          </w:p>
        </w:tc>
        <w:tc>
          <w:tcPr>
            <w:tcW w:w="1080" w:type="dxa"/>
            <w:tcBorders>
              <w:left w:val="single" w:sz="4" w:space="0" w:color="D9D9D9" w:themeColor="background1" w:themeShade="D9"/>
              <w:right w:val="single" w:sz="4" w:space="0" w:color="D9D9D9" w:themeColor="background1" w:themeShade="D9"/>
            </w:tcBorders>
            <w:vAlign w:val="center"/>
          </w:tcPr>
          <w:p w14:paraId="3C0E170B" w14:textId="77777777" w:rsidR="00DC7B2A" w:rsidRPr="00186A1D" w:rsidRDefault="00DC7B2A" w:rsidP="00DC7B2A">
            <w:pPr>
              <w:spacing w:before="40" w:after="40"/>
              <w:jc w:val="right"/>
            </w:pPr>
            <w:r w:rsidRPr="00186A1D">
              <w:t>10,331</w:t>
            </w:r>
          </w:p>
        </w:tc>
        <w:tc>
          <w:tcPr>
            <w:tcW w:w="900" w:type="dxa"/>
            <w:tcBorders>
              <w:left w:val="single" w:sz="4" w:space="0" w:color="D9D9D9" w:themeColor="background1" w:themeShade="D9"/>
            </w:tcBorders>
            <w:vAlign w:val="center"/>
          </w:tcPr>
          <w:p w14:paraId="0396D884" w14:textId="77777777" w:rsidR="00DC7B2A" w:rsidRPr="00186A1D" w:rsidRDefault="00DC7B2A" w:rsidP="00DC7B2A">
            <w:pPr>
              <w:spacing w:before="40" w:after="40"/>
              <w:jc w:val="right"/>
            </w:pPr>
            <w:r w:rsidRPr="00186A1D">
              <w:t>2101</w:t>
            </w:r>
          </w:p>
        </w:tc>
        <w:tc>
          <w:tcPr>
            <w:tcW w:w="1260" w:type="dxa"/>
            <w:vAlign w:val="center"/>
          </w:tcPr>
          <w:p w14:paraId="4CFCF96C" w14:textId="77777777" w:rsidR="00DC7B2A" w:rsidRPr="00186A1D" w:rsidRDefault="00DC7B2A" w:rsidP="00DC7B2A">
            <w:pPr>
              <w:spacing w:before="40" w:after="40"/>
              <w:jc w:val="right"/>
              <w:rPr>
                <w:b/>
              </w:rPr>
            </w:pPr>
            <w:r w:rsidRPr="00186A1D">
              <w:rPr>
                <w:b/>
              </w:rPr>
              <w:t>1247</w:t>
            </w:r>
          </w:p>
        </w:tc>
        <w:tc>
          <w:tcPr>
            <w:tcW w:w="1440" w:type="dxa"/>
            <w:vAlign w:val="center"/>
          </w:tcPr>
          <w:p w14:paraId="1FF98A4A" w14:textId="77777777" w:rsidR="00DC7B2A" w:rsidRPr="00BA04B6" w:rsidRDefault="00DC7B2A" w:rsidP="00DC7B2A">
            <w:pPr>
              <w:spacing w:before="40" w:after="40"/>
              <w:jc w:val="right"/>
              <w:rPr>
                <w:b/>
              </w:rPr>
            </w:pPr>
            <w:r w:rsidRPr="00BA04B6">
              <w:rPr>
                <w:b/>
              </w:rPr>
              <w:t>59.4</w:t>
            </w:r>
          </w:p>
        </w:tc>
      </w:tr>
      <w:tr w:rsidR="00DC7B2A" w14:paraId="2E90BABD" w14:textId="77777777" w:rsidTr="00DC7B2A">
        <w:tc>
          <w:tcPr>
            <w:tcW w:w="781" w:type="dxa"/>
          </w:tcPr>
          <w:p w14:paraId="6907025B" w14:textId="6D752AA7" w:rsidR="00DC7B2A" w:rsidRPr="00BA04B6" w:rsidRDefault="00DC7B2A" w:rsidP="00DC7B2A">
            <w:pPr>
              <w:contextualSpacing/>
              <w:rPr>
                <w:b/>
              </w:rPr>
            </w:pPr>
            <w:r>
              <w:rPr>
                <w:b/>
              </w:rPr>
              <w:t>2017</w:t>
            </w:r>
          </w:p>
        </w:tc>
        <w:tc>
          <w:tcPr>
            <w:tcW w:w="1080" w:type="dxa"/>
          </w:tcPr>
          <w:p w14:paraId="571F7801" w14:textId="05CA4057" w:rsidR="00DC7B2A" w:rsidRDefault="00DC7B2A" w:rsidP="00DC7B2A">
            <w:pPr>
              <w:contextualSpacing/>
            </w:pPr>
            <w:r>
              <w:t>6MF 11 (May)</w:t>
            </w:r>
          </w:p>
        </w:tc>
        <w:tc>
          <w:tcPr>
            <w:tcW w:w="900" w:type="dxa"/>
          </w:tcPr>
          <w:p w14:paraId="7419BA7D" w14:textId="55D3F740" w:rsidR="00DC7B2A" w:rsidRDefault="00DC7B2A" w:rsidP="00DC7B2A">
            <w:pPr>
              <w:contextualSpacing/>
            </w:pPr>
            <w:r>
              <w:t>91-96</w:t>
            </w:r>
          </w:p>
        </w:tc>
        <w:tc>
          <w:tcPr>
            <w:tcW w:w="1260" w:type="dxa"/>
            <w:tcBorders>
              <w:left w:val="single" w:sz="4" w:space="0" w:color="auto"/>
              <w:right w:val="single" w:sz="4" w:space="0" w:color="D9D9D9" w:themeColor="background1" w:themeShade="D9"/>
            </w:tcBorders>
            <w:vAlign w:val="center"/>
          </w:tcPr>
          <w:p w14:paraId="03B52148" w14:textId="77777777" w:rsidR="00DC7B2A" w:rsidRDefault="00DC7B2A" w:rsidP="00DC7B2A">
            <w:pPr>
              <w:spacing w:before="40" w:after="40"/>
              <w:jc w:val="right"/>
            </w:pPr>
            <w:r>
              <w:t>8873</w:t>
            </w:r>
          </w:p>
        </w:tc>
        <w:tc>
          <w:tcPr>
            <w:tcW w:w="1260" w:type="dxa"/>
            <w:tcBorders>
              <w:left w:val="single" w:sz="4" w:space="0" w:color="D9D9D9" w:themeColor="background1" w:themeShade="D9"/>
              <w:right w:val="single" w:sz="4" w:space="0" w:color="D9D9D9" w:themeColor="background1" w:themeShade="D9"/>
            </w:tcBorders>
            <w:vAlign w:val="center"/>
          </w:tcPr>
          <w:p w14:paraId="56CA7C6E" w14:textId="77777777" w:rsidR="00DC7B2A" w:rsidRDefault="00DC7B2A" w:rsidP="00DC7B2A">
            <w:pPr>
              <w:spacing w:before="40" w:after="40"/>
              <w:jc w:val="right"/>
            </w:pPr>
            <w:r>
              <w:t>1678</w:t>
            </w:r>
          </w:p>
        </w:tc>
        <w:tc>
          <w:tcPr>
            <w:tcW w:w="1080" w:type="dxa"/>
            <w:tcBorders>
              <w:left w:val="single" w:sz="4" w:space="0" w:color="D9D9D9" w:themeColor="background1" w:themeShade="D9"/>
              <w:right w:val="single" w:sz="4" w:space="0" w:color="D9D9D9" w:themeColor="background1" w:themeShade="D9"/>
            </w:tcBorders>
            <w:vAlign w:val="center"/>
          </w:tcPr>
          <w:p w14:paraId="3114676C" w14:textId="77777777" w:rsidR="00DC7B2A" w:rsidRPr="00186A1D" w:rsidRDefault="00DC7B2A" w:rsidP="00DC7B2A">
            <w:pPr>
              <w:spacing w:before="40" w:after="40"/>
              <w:jc w:val="right"/>
            </w:pPr>
            <w:r w:rsidRPr="00186A1D">
              <w:t>10,551</w:t>
            </w:r>
          </w:p>
        </w:tc>
        <w:tc>
          <w:tcPr>
            <w:tcW w:w="900" w:type="dxa"/>
            <w:tcBorders>
              <w:left w:val="single" w:sz="4" w:space="0" w:color="D9D9D9" w:themeColor="background1" w:themeShade="D9"/>
            </w:tcBorders>
            <w:vAlign w:val="center"/>
          </w:tcPr>
          <w:p w14:paraId="76D05D71" w14:textId="77777777" w:rsidR="00DC7B2A" w:rsidRPr="00186A1D" w:rsidRDefault="00DC7B2A" w:rsidP="00DC7B2A">
            <w:pPr>
              <w:spacing w:before="40" w:after="40"/>
              <w:jc w:val="right"/>
            </w:pPr>
            <w:r w:rsidRPr="00186A1D">
              <w:t>1881</w:t>
            </w:r>
          </w:p>
        </w:tc>
        <w:tc>
          <w:tcPr>
            <w:tcW w:w="1260" w:type="dxa"/>
            <w:vAlign w:val="center"/>
          </w:tcPr>
          <w:p w14:paraId="329DB5A2" w14:textId="77777777" w:rsidR="00DC7B2A" w:rsidRPr="00186A1D" w:rsidRDefault="00DC7B2A" w:rsidP="00DC7B2A">
            <w:pPr>
              <w:spacing w:before="40" w:after="40"/>
              <w:jc w:val="right"/>
              <w:rPr>
                <w:b/>
              </w:rPr>
            </w:pPr>
            <w:r w:rsidRPr="00186A1D">
              <w:rPr>
                <w:b/>
              </w:rPr>
              <w:t>1062</w:t>
            </w:r>
          </w:p>
        </w:tc>
        <w:tc>
          <w:tcPr>
            <w:tcW w:w="1440" w:type="dxa"/>
            <w:vAlign w:val="center"/>
          </w:tcPr>
          <w:p w14:paraId="674DCBCF" w14:textId="77777777" w:rsidR="00DC7B2A" w:rsidRPr="00BA04B6" w:rsidRDefault="00DC7B2A" w:rsidP="00DC7B2A">
            <w:pPr>
              <w:spacing w:before="40" w:after="40"/>
              <w:jc w:val="right"/>
              <w:rPr>
                <w:b/>
              </w:rPr>
            </w:pPr>
            <w:r w:rsidRPr="00BA04B6">
              <w:rPr>
                <w:b/>
              </w:rPr>
              <w:t>56.5</w:t>
            </w:r>
          </w:p>
        </w:tc>
      </w:tr>
      <w:tr w:rsidR="00DC7B2A" w14:paraId="345360A0" w14:textId="77777777" w:rsidTr="00DC7B2A">
        <w:tc>
          <w:tcPr>
            <w:tcW w:w="781" w:type="dxa"/>
          </w:tcPr>
          <w:p w14:paraId="0158A5C7" w14:textId="6F96B069" w:rsidR="00DC7B2A" w:rsidRPr="00BA04B6" w:rsidRDefault="00DC7B2A" w:rsidP="00DC7B2A">
            <w:pPr>
              <w:contextualSpacing/>
              <w:rPr>
                <w:b/>
              </w:rPr>
            </w:pPr>
            <w:r>
              <w:rPr>
                <w:b/>
              </w:rPr>
              <w:t>2017</w:t>
            </w:r>
          </w:p>
        </w:tc>
        <w:tc>
          <w:tcPr>
            <w:tcW w:w="1080" w:type="dxa"/>
          </w:tcPr>
          <w:p w14:paraId="08AD6DF8" w14:textId="3B13065F" w:rsidR="00DC7B2A" w:rsidRDefault="00DC7B2A" w:rsidP="00DC7B2A">
            <w:pPr>
              <w:contextualSpacing/>
            </w:pPr>
            <w:r>
              <w:t>6MF 12 (Nov)</w:t>
            </w:r>
          </w:p>
        </w:tc>
        <w:tc>
          <w:tcPr>
            <w:tcW w:w="900" w:type="dxa"/>
          </w:tcPr>
          <w:p w14:paraId="139703F7" w14:textId="74519728" w:rsidR="00DC7B2A" w:rsidRDefault="00DC7B2A" w:rsidP="00DC7B2A">
            <w:pPr>
              <w:contextualSpacing/>
            </w:pPr>
            <w:r>
              <w:t>91-96</w:t>
            </w:r>
          </w:p>
        </w:tc>
        <w:tc>
          <w:tcPr>
            <w:tcW w:w="1260" w:type="dxa"/>
            <w:tcBorders>
              <w:left w:val="single" w:sz="4" w:space="0" w:color="auto"/>
              <w:right w:val="single" w:sz="4" w:space="0" w:color="D9D9D9" w:themeColor="background1" w:themeShade="D9"/>
            </w:tcBorders>
            <w:vAlign w:val="center"/>
          </w:tcPr>
          <w:p w14:paraId="63E21F74" w14:textId="77777777" w:rsidR="00DC7B2A" w:rsidRDefault="00DC7B2A" w:rsidP="00DC7B2A">
            <w:pPr>
              <w:spacing w:before="40" w:after="40"/>
              <w:jc w:val="right"/>
            </w:pPr>
            <w:r>
              <w:t>9203</w:t>
            </w:r>
          </w:p>
        </w:tc>
        <w:tc>
          <w:tcPr>
            <w:tcW w:w="1260" w:type="dxa"/>
            <w:tcBorders>
              <w:left w:val="single" w:sz="4" w:space="0" w:color="D9D9D9" w:themeColor="background1" w:themeShade="D9"/>
              <w:right w:val="single" w:sz="4" w:space="0" w:color="D9D9D9" w:themeColor="background1" w:themeShade="D9"/>
            </w:tcBorders>
            <w:vAlign w:val="center"/>
          </w:tcPr>
          <w:p w14:paraId="74DD9CA6" w14:textId="77777777" w:rsidR="00DC7B2A" w:rsidRDefault="00DC7B2A" w:rsidP="00DC7B2A">
            <w:pPr>
              <w:spacing w:before="40" w:after="40"/>
              <w:jc w:val="right"/>
            </w:pPr>
            <w:r>
              <w:t>1534</w:t>
            </w:r>
          </w:p>
        </w:tc>
        <w:tc>
          <w:tcPr>
            <w:tcW w:w="1080" w:type="dxa"/>
            <w:tcBorders>
              <w:left w:val="single" w:sz="4" w:space="0" w:color="D9D9D9" w:themeColor="background1" w:themeShade="D9"/>
              <w:right w:val="single" w:sz="4" w:space="0" w:color="D9D9D9" w:themeColor="background1" w:themeShade="D9"/>
            </w:tcBorders>
            <w:vAlign w:val="center"/>
          </w:tcPr>
          <w:p w14:paraId="74CF81A4" w14:textId="77777777" w:rsidR="00DC7B2A" w:rsidRPr="00186A1D" w:rsidRDefault="00DC7B2A" w:rsidP="00DC7B2A">
            <w:pPr>
              <w:spacing w:before="40" w:after="40"/>
              <w:jc w:val="right"/>
            </w:pPr>
            <w:r w:rsidRPr="00186A1D">
              <w:t>10,737</w:t>
            </w:r>
          </w:p>
        </w:tc>
        <w:tc>
          <w:tcPr>
            <w:tcW w:w="900" w:type="dxa"/>
            <w:tcBorders>
              <w:left w:val="single" w:sz="4" w:space="0" w:color="D9D9D9" w:themeColor="background1" w:themeShade="D9"/>
            </w:tcBorders>
            <w:vAlign w:val="center"/>
          </w:tcPr>
          <w:p w14:paraId="57AD5BCD" w14:textId="77777777" w:rsidR="00DC7B2A" w:rsidRPr="00186A1D" w:rsidRDefault="00DC7B2A" w:rsidP="00DC7B2A">
            <w:pPr>
              <w:spacing w:before="40" w:after="40"/>
              <w:jc w:val="right"/>
            </w:pPr>
            <w:r w:rsidRPr="00186A1D">
              <w:t>1695</w:t>
            </w:r>
          </w:p>
        </w:tc>
        <w:tc>
          <w:tcPr>
            <w:tcW w:w="1260" w:type="dxa"/>
            <w:vAlign w:val="center"/>
          </w:tcPr>
          <w:p w14:paraId="30A79E9E" w14:textId="77777777" w:rsidR="00DC7B2A" w:rsidRPr="00186A1D" w:rsidRDefault="00DC7B2A" w:rsidP="00DC7B2A">
            <w:pPr>
              <w:spacing w:before="40" w:after="40"/>
              <w:jc w:val="right"/>
              <w:rPr>
                <w:b/>
              </w:rPr>
            </w:pPr>
            <w:r w:rsidRPr="00186A1D">
              <w:rPr>
                <w:b/>
              </w:rPr>
              <w:t>979</w:t>
            </w:r>
          </w:p>
        </w:tc>
        <w:tc>
          <w:tcPr>
            <w:tcW w:w="1440" w:type="dxa"/>
            <w:vAlign w:val="center"/>
          </w:tcPr>
          <w:p w14:paraId="297CD064" w14:textId="77777777" w:rsidR="00DC7B2A" w:rsidRPr="00BA04B6" w:rsidRDefault="00DC7B2A" w:rsidP="00DC7B2A">
            <w:pPr>
              <w:spacing w:before="40" w:after="40"/>
              <w:jc w:val="right"/>
              <w:rPr>
                <w:b/>
              </w:rPr>
            </w:pPr>
            <w:r w:rsidRPr="00BA04B6">
              <w:rPr>
                <w:b/>
              </w:rPr>
              <w:t>57.8</w:t>
            </w:r>
          </w:p>
        </w:tc>
      </w:tr>
      <w:tr w:rsidR="00DC7B2A" w14:paraId="5992F5F1" w14:textId="77777777" w:rsidTr="00DC7B2A">
        <w:tc>
          <w:tcPr>
            <w:tcW w:w="781" w:type="dxa"/>
          </w:tcPr>
          <w:p w14:paraId="2E77E7BA" w14:textId="182FDC14" w:rsidR="00DC7B2A" w:rsidRPr="00BA04B6" w:rsidRDefault="00DC7B2A" w:rsidP="00DC7B2A">
            <w:pPr>
              <w:contextualSpacing/>
              <w:rPr>
                <w:b/>
              </w:rPr>
            </w:pPr>
            <w:r>
              <w:rPr>
                <w:b/>
              </w:rPr>
              <w:t>2018</w:t>
            </w:r>
          </w:p>
        </w:tc>
        <w:tc>
          <w:tcPr>
            <w:tcW w:w="1080" w:type="dxa"/>
          </w:tcPr>
          <w:p w14:paraId="12A2AED5" w14:textId="63E85043" w:rsidR="00DC7B2A" w:rsidRDefault="00DC7B2A" w:rsidP="00DC7B2A">
            <w:pPr>
              <w:contextualSpacing/>
            </w:pPr>
            <w:r>
              <w:t>6MF 13 (May)</w:t>
            </w:r>
          </w:p>
        </w:tc>
        <w:tc>
          <w:tcPr>
            <w:tcW w:w="900" w:type="dxa"/>
          </w:tcPr>
          <w:p w14:paraId="783942E1" w14:textId="7C8D1032" w:rsidR="00DC7B2A" w:rsidRDefault="00DC7B2A" w:rsidP="00DC7B2A">
            <w:pPr>
              <w:contextualSpacing/>
            </w:pPr>
            <w:r>
              <w:t>92-97</w:t>
            </w:r>
          </w:p>
        </w:tc>
        <w:tc>
          <w:tcPr>
            <w:tcW w:w="1260" w:type="dxa"/>
            <w:tcBorders>
              <w:left w:val="single" w:sz="4" w:space="0" w:color="auto"/>
              <w:right w:val="single" w:sz="4" w:space="0" w:color="D9D9D9" w:themeColor="background1" w:themeShade="D9"/>
            </w:tcBorders>
            <w:vAlign w:val="center"/>
          </w:tcPr>
          <w:p w14:paraId="5EEAA35E" w14:textId="77777777" w:rsidR="00DC7B2A" w:rsidRDefault="00DC7B2A" w:rsidP="00DC7B2A">
            <w:pPr>
              <w:spacing w:before="40" w:after="40"/>
              <w:jc w:val="right"/>
            </w:pPr>
            <w:r>
              <w:t>9302</w:t>
            </w:r>
          </w:p>
        </w:tc>
        <w:tc>
          <w:tcPr>
            <w:tcW w:w="1260" w:type="dxa"/>
            <w:tcBorders>
              <w:left w:val="single" w:sz="4" w:space="0" w:color="D9D9D9" w:themeColor="background1" w:themeShade="D9"/>
              <w:right w:val="single" w:sz="4" w:space="0" w:color="D9D9D9" w:themeColor="background1" w:themeShade="D9"/>
            </w:tcBorders>
            <w:vAlign w:val="center"/>
          </w:tcPr>
          <w:p w14:paraId="6A8A31A0" w14:textId="77777777" w:rsidR="00DC7B2A" w:rsidRDefault="00DC7B2A" w:rsidP="00DC7B2A">
            <w:pPr>
              <w:spacing w:before="40" w:after="40"/>
              <w:jc w:val="right"/>
            </w:pPr>
            <w:r>
              <w:t>1546</w:t>
            </w:r>
          </w:p>
        </w:tc>
        <w:tc>
          <w:tcPr>
            <w:tcW w:w="1080" w:type="dxa"/>
            <w:tcBorders>
              <w:left w:val="single" w:sz="4" w:space="0" w:color="D9D9D9" w:themeColor="background1" w:themeShade="D9"/>
              <w:right w:val="single" w:sz="4" w:space="0" w:color="D9D9D9" w:themeColor="background1" w:themeShade="D9"/>
            </w:tcBorders>
            <w:vAlign w:val="center"/>
          </w:tcPr>
          <w:p w14:paraId="529EB738" w14:textId="77777777" w:rsidR="00DC7B2A" w:rsidRPr="00186A1D" w:rsidRDefault="00DC7B2A" w:rsidP="00DC7B2A">
            <w:pPr>
              <w:spacing w:before="40" w:after="40"/>
              <w:jc w:val="right"/>
            </w:pPr>
            <w:r w:rsidRPr="00186A1D">
              <w:t>10,848</w:t>
            </w:r>
          </w:p>
        </w:tc>
        <w:tc>
          <w:tcPr>
            <w:tcW w:w="900" w:type="dxa"/>
            <w:tcBorders>
              <w:left w:val="single" w:sz="4" w:space="0" w:color="D9D9D9" w:themeColor="background1" w:themeShade="D9"/>
            </w:tcBorders>
            <w:vAlign w:val="center"/>
          </w:tcPr>
          <w:p w14:paraId="2DE7AEFE" w14:textId="77777777" w:rsidR="00DC7B2A" w:rsidRPr="00186A1D" w:rsidRDefault="00DC7B2A" w:rsidP="00DC7B2A">
            <w:pPr>
              <w:spacing w:before="40" w:after="40"/>
              <w:jc w:val="right"/>
            </w:pPr>
            <w:r w:rsidRPr="00186A1D">
              <w:t>1584</w:t>
            </w:r>
          </w:p>
        </w:tc>
        <w:tc>
          <w:tcPr>
            <w:tcW w:w="1260" w:type="dxa"/>
            <w:vAlign w:val="center"/>
          </w:tcPr>
          <w:p w14:paraId="2C312356" w14:textId="77777777" w:rsidR="00DC7B2A" w:rsidRPr="00186A1D" w:rsidRDefault="00DC7B2A" w:rsidP="00DC7B2A">
            <w:pPr>
              <w:spacing w:before="40" w:after="40"/>
              <w:jc w:val="right"/>
              <w:rPr>
                <w:b/>
              </w:rPr>
            </w:pPr>
            <w:r w:rsidRPr="00186A1D">
              <w:rPr>
                <w:b/>
              </w:rPr>
              <w:t>877</w:t>
            </w:r>
          </w:p>
        </w:tc>
        <w:tc>
          <w:tcPr>
            <w:tcW w:w="1440" w:type="dxa"/>
            <w:vAlign w:val="center"/>
          </w:tcPr>
          <w:p w14:paraId="742564A5" w14:textId="77777777" w:rsidR="00DC7B2A" w:rsidRPr="00BA04B6" w:rsidRDefault="00DC7B2A" w:rsidP="00DC7B2A">
            <w:pPr>
              <w:spacing w:before="40" w:after="40"/>
              <w:jc w:val="right"/>
              <w:rPr>
                <w:b/>
              </w:rPr>
            </w:pPr>
            <w:r w:rsidRPr="00BA04B6">
              <w:rPr>
                <w:b/>
              </w:rPr>
              <w:t>55.4</w:t>
            </w:r>
          </w:p>
        </w:tc>
      </w:tr>
      <w:tr w:rsidR="00DC7B2A" w14:paraId="17F88DA4" w14:textId="77777777" w:rsidTr="00DC7B2A">
        <w:tc>
          <w:tcPr>
            <w:tcW w:w="781" w:type="dxa"/>
          </w:tcPr>
          <w:p w14:paraId="75F1FCE2" w14:textId="64213963" w:rsidR="00DC7B2A" w:rsidRPr="00BA04B6" w:rsidRDefault="00DC7B2A" w:rsidP="00DC7B2A">
            <w:pPr>
              <w:spacing w:before="40" w:after="40"/>
              <w:rPr>
                <w:b/>
              </w:rPr>
            </w:pPr>
            <w:r>
              <w:rPr>
                <w:b/>
              </w:rPr>
              <w:t>2018</w:t>
            </w:r>
          </w:p>
        </w:tc>
        <w:tc>
          <w:tcPr>
            <w:tcW w:w="1080" w:type="dxa"/>
          </w:tcPr>
          <w:p w14:paraId="2721BFF2" w14:textId="625C0DCD" w:rsidR="00DC7B2A" w:rsidRDefault="00DC7B2A" w:rsidP="00DC7B2A">
            <w:pPr>
              <w:contextualSpacing/>
            </w:pPr>
            <w:r>
              <w:t>6MF 14</w:t>
            </w:r>
            <w:r w:rsidRPr="00BA04B6">
              <w:rPr>
                <w:b/>
              </w:rPr>
              <w:t xml:space="preserve"> </w:t>
            </w:r>
            <w:r w:rsidRPr="009B07C4">
              <w:t>(Nov</w:t>
            </w:r>
            <w:r w:rsidRPr="009B07C4">
              <w:rPr>
                <w:rFonts w:cstheme="minorHAnsi"/>
              </w:rPr>
              <w:t>^</w:t>
            </w:r>
            <w:r w:rsidRPr="009B07C4">
              <w:t xml:space="preserve">) </w:t>
            </w:r>
          </w:p>
        </w:tc>
        <w:tc>
          <w:tcPr>
            <w:tcW w:w="900" w:type="dxa"/>
          </w:tcPr>
          <w:p w14:paraId="54808B05" w14:textId="5AB88A91" w:rsidR="00DC7B2A" w:rsidRDefault="00DC7B2A" w:rsidP="00DC7B2A">
            <w:pPr>
              <w:contextualSpacing/>
            </w:pPr>
            <w:r>
              <w:t>92-97</w:t>
            </w:r>
          </w:p>
        </w:tc>
        <w:tc>
          <w:tcPr>
            <w:tcW w:w="1260" w:type="dxa"/>
            <w:tcBorders>
              <w:left w:val="single" w:sz="4" w:space="0" w:color="auto"/>
              <w:right w:val="single" w:sz="4" w:space="0" w:color="D9D9D9" w:themeColor="background1" w:themeShade="D9"/>
            </w:tcBorders>
            <w:vAlign w:val="center"/>
          </w:tcPr>
          <w:p w14:paraId="5E49C176" w14:textId="77777777" w:rsidR="00DC7B2A" w:rsidRDefault="00DC7B2A" w:rsidP="00DC7B2A">
            <w:pPr>
              <w:spacing w:before="40" w:after="40"/>
              <w:jc w:val="right"/>
            </w:pPr>
            <w:r>
              <w:t>9304</w:t>
            </w:r>
          </w:p>
        </w:tc>
        <w:tc>
          <w:tcPr>
            <w:tcW w:w="1260" w:type="dxa"/>
            <w:tcBorders>
              <w:left w:val="single" w:sz="4" w:space="0" w:color="D9D9D9" w:themeColor="background1" w:themeShade="D9"/>
              <w:right w:val="single" w:sz="4" w:space="0" w:color="D9D9D9" w:themeColor="background1" w:themeShade="D9"/>
            </w:tcBorders>
            <w:vAlign w:val="center"/>
          </w:tcPr>
          <w:p w14:paraId="4E8FA242" w14:textId="77777777" w:rsidR="00DC7B2A" w:rsidRDefault="00DC7B2A" w:rsidP="00DC7B2A">
            <w:pPr>
              <w:spacing w:before="40" w:after="40"/>
              <w:jc w:val="right"/>
            </w:pPr>
            <w:r>
              <w:t>1570</w:t>
            </w:r>
          </w:p>
        </w:tc>
        <w:tc>
          <w:tcPr>
            <w:tcW w:w="1080" w:type="dxa"/>
            <w:tcBorders>
              <w:left w:val="single" w:sz="4" w:space="0" w:color="D9D9D9" w:themeColor="background1" w:themeShade="D9"/>
              <w:right w:val="single" w:sz="4" w:space="0" w:color="D9D9D9" w:themeColor="background1" w:themeShade="D9"/>
            </w:tcBorders>
            <w:vAlign w:val="center"/>
          </w:tcPr>
          <w:p w14:paraId="7750A85F" w14:textId="77777777" w:rsidR="00DC7B2A" w:rsidRPr="00186A1D" w:rsidRDefault="00DC7B2A" w:rsidP="00DC7B2A">
            <w:pPr>
              <w:spacing w:before="40" w:after="40"/>
              <w:jc w:val="right"/>
            </w:pPr>
            <w:r w:rsidRPr="00186A1D">
              <w:t>10,874</w:t>
            </w:r>
          </w:p>
        </w:tc>
        <w:tc>
          <w:tcPr>
            <w:tcW w:w="900" w:type="dxa"/>
            <w:tcBorders>
              <w:left w:val="single" w:sz="4" w:space="0" w:color="D9D9D9" w:themeColor="background1" w:themeShade="D9"/>
            </w:tcBorders>
            <w:vAlign w:val="center"/>
          </w:tcPr>
          <w:p w14:paraId="6C584204" w14:textId="77777777" w:rsidR="00DC7B2A" w:rsidRPr="00186A1D" w:rsidRDefault="00DC7B2A" w:rsidP="00DC7B2A">
            <w:pPr>
              <w:spacing w:before="40" w:after="40"/>
              <w:jc w:val="right"/>
            </w:pPr>
            <w:r w:rsidRPr="00186A1D">
              <w:t>1558</w:t>
            </w:r>
          </w:p>
        </w:tc>
        <w:tc>
          <w:tcPr>
            <w:tcW w:w="1260" w:type="dxa"/>
            <w:vAlign w:val="center"/>
          </w:tcPr>
          <w:p w14:paraId="10E976E3" w14:textId="77777777" w:rsidR="00DC7B2A" w:rsidRPr="00186A1D" w:rsidRDefault="00DC7B2A" w:rsidP="00DC7B2A">
            <w:pPr>
              <w:spacing w:before="40" w:after="40"/>
              <w:jc w:val="right"/>
              <w:rPr>
                <w:b/>
              </w:rPr>
            </w:pPr>
            <w:r w:rsidRPr="00186A1D">
              <w:rPr>
                <w:b/>
              </w:rPr>
              <w:t>403</w:t>
            </w:r>
          </w:p>
        </w:tc>
        <w:tc>
          <w:tcPr>
            <w:tcW w:w="1440" w:type="dxa"/>
            <w:vAlign w:val="center"/>
          </w:tcPr>
          <w:p w14:paraId="67829770" w14:textId="3CAF20CA" w:rsidR="00DC7B2A" w:rsidRPr="00BA04B6" w:rsidRDefault="00DC7B2A" w:rsidP="00DC7B2A">
            <w:pPr>
              <w:spacing w:before="40" w:after="40"/>
              <w:jc w:val="right"/>
              <w:rPr>
                <w:b/>
              </w:rPr>
            </w:pPr>
            <w:r w:rsidRPr="00BA04B6">
              <w:rPr>
                <w:b/>
              </w:rPr>
              <w:t>25.9</w:t>
            </w:r>
            <w:r>
              <w:rPr>
                <w:rFonts w:cstheme="minorHAnsi"/>
                <w:b/>
              </w:rPr>
              <w:t>^</w:t>
            </w:r>
          </w:p>
        </w:tc>
      </w:tr>
    </w:tbl>
    <w:p w14:paraId="70D66917" w14:textId="0F7AD38F" w:rsidR="00EB3950" w:rsidRPr="00DC4FB8" w:rsidRDefault="00EB3950" w:rsidP="00DD4D47">
      <w:pPr>
        <w:spacing w:after="0" w:line="240" w:lineRule="auto"/>
        <w:ind w:left="-284" w:hanging="142"/>
        <w:rPr>
          <w:sz w:val="20"/>
          <w:szCs w:val="20"/>
        </w:rPr>
      </w:pPr>
      <w:r w:rsidRPr="00DC4FB8">
        <w:rPr>
          <w:sz w:val="20"/>
          <w:szCs w:val="20"/>
        </w:rPr>
        <w:t>*</w:t>
      </w:r>
      <w:r>
        <w:rPr>
          <w:sz w:val="20"/>
          <w:szCs w:val="20"/>
        </w:rPr>
        <w:t>This is the nominal closing date, and is also when the next 6MF survey is deployed (however, if a participant returns</w:t>
      </w:r>
      <w:r w:rsidR="00DD4D47">
        <w:rPr>
          <w:sz w:val="20"/>
          <w:szCs w:val="20"/>
        </w:rPr>
        <w:t xml:space="preserve"> </w:t>
      </w:r>
      <w:r>
        <w:rPr>
          <w:sz w:val="20"/>
          <w:szCs w:val="20"/>
        </w:rPr>
        <w:t>their survey after this date, it is still accepted).</w:t>
      </w:r>
    </w:p>
    <w:p w14:paraId="268E5CAA" w14:textId="2F6E4D59" w:rsidR="004E2109" w:rsidRDefault="00EB3950" w:rsidP="00E90470">
      <w:pPr>
        <w:spacing w:after="0" w:line="240" w:lineRule="auto"/>
        <w:ind w:hanging="426"/>
      </w:pPr>
      <w:r w:rsidRPr="00DC4FB8">
        <w:rPr>
          <w:rFonts w:cstheme="minorHAnsi"/>
          <w:sz w:val="20"/>
          <w:szCs w:val="20"/>
        </w:rPr>
        <w:t>^</w:t>
      </w:r>
      <w:r w:rsidRPr="00DC4FB8">
        <w:rPr>
          <w:sz w:val="20"/>
          <w:szCs w:val="20"/>
        </w:rPr>
        <w:t xml:space="preserve"> </w:t>
      </w:r>
      <w:r w:rsidR="00CA706D">
        <w:rPr>
          <w:sz w:val="20"/>
          <w:szCs w:val="20"/>
        </w:rPr>
        <w:t>This survey period is still open</w:t>
      </w:r>
      <w:r w:rsidR="00001A13">
        <w:rPr>
          <w:sz w:val="20"/>
          <w:szCs w:val="20"/>
        </w:rPr>
        <w:t>, and death data are incomplete.</w:t>
      </w:r>
      <w:r w:rsidR="00B6303E">
        <w:br w:type="page"/>
      </w:r>
      <w:r w:rsidR="004E2109">
        <w:lastRenderedPageBreak/>
        <w:t xml:space="preserve">Complete data for every survey, including questions and responses, are </w:t>
      </w:r>
      <w:r w:rsidR="003E0D26">
        <w:t>listed</w:t>
      </w:r>
      <w:r w:rsidR="004E2109">
        <w:t xml:space="preserve"> in the ALSWH data</w:t>
      </w:r>
      <w:r w:rsidR="006C4681">
        <w:t xml:space="preserve"> </w:t>
      </w:r>
      <w:r w:rsidR="004E2109">
        <w:t xml:space="preserve">books, available </w:t>
      </w:r>
      <w:r w:rsidR="004E2109" w:rsidRPr="00EB158C">
        <w:rPr>
          <w:rFonts w:cs="Arial"/>
        </w:rPr>
        <w:t xml:space="preserve">at: </w:t>
      </w:r>
      <w:hyperlink r:id="rId10" w:history="1">
        <w:r w:rsidR="003E0D26">
          <w:rPr>
            <w:rStyle w:val="Hyperlink"/>
            <w:rFonts w:ascii="Arial" w:hAnsi="Arial" w:cs="Arial"/>
          </w:rPr>
          <w:t>here</w:t>
        </w:r>
      </w:hyperlink>
    </w:p>
    <w:p w14:paraId="3E68DBC5" w14:textId="30F559D2" w:rsidR="00DD4D47" w:rsidRPr="00DD581D" w:rsidRDefault="00DD4D47" w:rsidP="00DD4D47">
      <w:pPr>
        <w:spacing w:line="240" w:lineRule="auto"/>
      </w:pPr>
      <w:r w:rsidRPr="00DD581D">
        <w:t xml:space="preserve">ALSWH will continue to provide support for women to complete </w:t>
      </w:r>
      <w:r>
        <w:t xml:space="preserve">six-monthly follow-up </w:t>
      </w:r>
      <w:r w:rsidRPr="00DD581D">
        <w:t>surveys. These support activities include:</w:t>
      </w:r>
    </w:p>
    <w:p w14:paraId="57C3FC0B" w14:textId="77777777" w:rsidR="00DD4D47" w:rsidRPr="007E0320" w:rsidRDefault="00DD4D47" w:rsidP="00020D3F">
      <w:pPr>
        <w:pStyle w:val="ListParagraph"/>
        <w:numPr>
          <w:ilvl w:val="0"/>
          <w:numId w:val="3"/>
        </w:numPr>
        <w:spacing w:after="200" w:line="276" w:lineRule="auto"/>
        <w:rPr>
          <w:rFonts w:ascii="Arial" w:hAnsi="Arial" w:cs="Arial"/>
          <w:sz w:val="22"/>
          <w:szCs w:val="22"/>
        </w:rPr>
      </w:pPr>
      <w:r w:rsidRPr="007E0320">
        <w:rPr>
          <w:rFonts w:ascii="Arial" w:hAnsi="Arial" w:cs="Arial"/>
          <w:sz w:val="22"/>
          <w:szCs w:val="22"/>
        </w:rPr>
        <w:t>The option to complete the survey by telephone in one or two sessions. It is anticipated that the proportion of telephone interviews will increase over time.</w:t>
      </w:r>
    </w:p>
    <w:p w14:paraId="14A905EB" w14:textId="77777777" w:rsidR="00DD4D47" w:rsidRPr="007E0320" w:rsidRDefault="00DD4D47" w:rsidP="00020D3F">
      <w:pPr>
        <w:pStyle w:val="ListParagraph"/>
        <w:numPr>
          <w:ilvl w:val="0"/>
          <w:numId w:val="3"/>
        </w:numPr>
        <w:spacing w:after="200" w:line="276" w:lineRule="auto"/>
        <w:rPr>
          <w:rFonts w:ascii="Arial" w:hAnsi="Arial" w:cs="Arial"/>
          <w:sz w:val="22"/>
          <w:szCs w:val="22"/>
        </w:rPr>
      </w:pPr>
      <w:r w:rsidRPr="007E0320">
        <w:rPr>
          <w:rFonts w:ascii="Arial" w:hAnsi="Arial" w:cs="Arial"/>
          <w:sz w:val="22"/>
          <w:szCs w:val="22"/>
        </w:rPr>
        <w:t>The option for the participant to ask a family member, carer or other trusted person to complete the survey on their behalf (a proxy completion).</w:t>
      </w:r>
    </w:p>
    <w:p w14:paraId="3354CCA2" w14:textId="77777777" w:rsidR="00DD4D47" w:rsidRPr="007E0320" w:rsidRDefault="00DD4D47" w:rsidP="00020D3F">
      <w:pPr>
        <w:pStyle w:val="ListParagraph"/>
        <w:numPr>
          <w:ilvl w:val="0"/>
          <w:numId w:val="3"/>
        </w:numPr>
        <w:spacing w:after="200" w:line="276" w:lineRule="auto"/>
        <w:rPr>
          <w:rFonts w:ascii="Arial" w:hAnsi="Arial" w:cs="Arial"/>
          <w:sz w:val="22"/>
          <w:szCs w:val="22"/>
        </w:rPr>
      </w:pPr>
      <w:r w:rsidRPr="007E0320">
        <w:rPr>
          <w:rFonts w:ascii="Arial" w:hAnsi="Arial" w:cs="Arial"/>
          <w:sz w:val="22"/>
          <w:szCs w:val="22"/>
        </w:rPr>
        <w:t>Provision of a ‘not this time’ option, whereby participants who are not feeling well enough at one survey time point can elect to skip a survey and do the next.</w:t>
      </w:r>
    </w:p>
    <w:p w14:paraId="422CF8E9" w14:textId="2DA4289F" w:rsidR="00612F1A" w:rsidRDefault="00DD4D47" w:rsidP="00020D3F">
      <w:pPr>
        <w:pStyle w:val="ListParagraph"/>
        <w:numPr>
          <w:ilvl w:val="0"/>
          <w:numId w:val="3"/>
        </w:numPr>
        <w:spacing w:after="120"/>
        <w:ind w:left="760" w:hanging="357"/>
      </w:pPr>
      <w:r w:rsidRPr="007E0320">
        <w:rPr>
          <w:rFonts w:ascii="Arial" w:hAnsi="Arial" w:cs="Arial"/>
          <w:sz w:val="22"/>
          <w:szCs w:val="22"/>
        </w:rPr>
        <w:t>Provision of surveys to women living in residential aged care</w:t>
      </w:r>
      <w:r w:rsidR="00B6303E" w:rsidRPr="007E0320">
        <w:rPr>
          <w:rFonts w:ascii="Arial" w:hAnsi="Arial" w:cs="Arial"/>
          <w:sz w:val="22"/>
          <w:szCs w:val="22"/>
        </w:rPr>
        <w:t>,</w:t>
      </w:r>
      <w:r w:rsidR="00012F17" w:rsidRPr="007E0320">
        <w:rPr>
          <w:rFonts w:ascii="Arial" w:hAnsi="Arial" w:cs="Arial"/>
          <w:sz w:val="22"/>
          <w:szCs w:val="22"/>
        </w:rPr>
        <w:t xml:space="preserve"> wherever possible.</w:t>
      </w:r>
      <w:r w:rsidR="00612F1A">
        <w:br w:type="page"/>
      </w:r>
    </w:p>
    <w:p w14:paraId="54C2D935" w14:textId="04EF1156" w:rsidR="00612F1A" w:rsidRPr="005A55FF" w:rsidRDefault="0006784C" w:rsidP="005A55FF">
      <w:pPr>
        <w:pStyle w:val="Heading1"/>
      </w:pPr>
      <w:bookmarkStart w:id="9" w:name="_Toc530561248"/>
      <w:r w:rsidRPr="005A55FF">
        <w:lastRenderedPageBreak/>
        <w:t xml:space="preserve">SURVIVAL </w:t>
      </w:r>
      <w:r w:rsidR="009868C9" w:rsidRPr="005A55FF">
        <w:t>CURVE</w:t>
      </w:r>
      <w:r w:rsidRPr="005A55FF">
        <w:t xml:space="preserve">S AND </w:t>
      </w:r>
      <w:r w:rsidR="00552DDF" w:rsidRPr="005A55FF">
        <w:t xml:space="preserve">COHORT TRAJECTORIES 1996 – </w:t>
      </w:r>
      <w:r w:rsidRPr="005A55FF">
        <w:t>2018</w:t>
      </w:r>
      <w:bookmarkEnd w:id="9"/>
    </w:p>
    <w:p w14:paraId="168884AF" w14:textId="6677C4D4" w:rsidR="003C2548" w:rsidRPr="005A55FF" w:rsidRDefault="003C2548" w:rsidP="00091A0A">
      <w:pPr>
        <w:pStyle w:val="Heading2"/>
        <w:ind w:left="578" w:hanging="578"/>
      </w:pPr>
      <w:bookmarkStart w:id="10" w:name="_Toc530561249"/>
      <w:r w:rsidRPr="005A55FF">
        <w:t xml:space="preserve">Explanation of survival </w:t>
      </w:r>
      <w:r w:rsidR="009868C9" w:rsidRPr="005A55FF">
        <w:t>curve</w:t>
      </w:r>
      <w:r w:rsidRPr="005A55FF">
        <w:t>s</w:t>
      </w:r>
      <w:bookmarkEnd w:id="10"/>
    </w:p>
    <w:p w14:paraId="42FD5264" w14:textId="1DB0FB3A" w:rsidR="004E2109" w:rsidRDefault="009868C9" w:rsidP="002D155A">
      <w:r>
        <w:t>Survival curves</w:t>
      </w:r>
      <w:r w:rsidR="00FA72C1">
        <w:t xml:space="preserve"> for women </w:t>
      </w:r>
      <w:r>
        <w:t>grouped according to</w:t>
      </w:r>
      <w:r w:rsidR="00FA72C1">
        <w:t xml:space="preserve"> characteristics recorded at Survey 1 in 1996 show the associations between these characteristics and</w:t>
      </w:r>
      <w:r w:rsidR="00612F1A">
        <w:t xml:space="preserve"> how much longer the</w:t>
      </w:r>
      <w:r>
        <w:t xml:space="preserve"> women</w:t>
      </w:r>
      <w:r w:rsidR="00612F1A">
        <w:t xml:space="preserve"> lived, on average.</w:t>
      </w:r>
      <w:r w:rsidR="00012F17">
        <w:t xml:space="preserve"> </w:t>
      </w:r>
      <w:r w:rsidR="00612F1A">
        <w:t>For example, Figure 3-1 shows the survival curves for women with different levels of education.</w:t>
      </w:r>
    </w:p>
    <w:p w14:paraId="4A62E087" w14:textId="3D708E1A" w:rsidR="00612F1A" w:rsidRDefault="008A43C0" w:rsidP="00012F17">
      <w:r>
        <w:rPr>
          <w:noProof/>
          <w:sz w:val="24"/>
          <w:szCs w:val="24"/>
          <w:lang w:eastAsia="en-AU"/>
        </w:rPr>
        <w:drawing>
          <wp:inline distT="0" distB="0" distL="0" distR="0" wp14:anchorId="056FC357" wp14:editId="4F33E28E">
            <wp:extent cx="5731510" cy="4298315"/>
            <wp:effectExtent l="0" t="0" r="2540" b="6985"/>
            <wp:docPr id="1" name="Picture 1" descr="Graph illustrating survival curves for the period 1996-2016 for groups of women defined by the highest level of education reported at Survey 1. See below for more information." title="Fig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r w:rsidR="00663924">
        <w:t xml:space="preserve">Figure </w:t>
      </w:r>
      <w:r w:rsidR="00AE362D">
        <w:rPr>
          <w:noProof/>
        </w:rPr>
        <w:fldChar w:fldCharType="begin"/>
      </w:r>
      <w:r w:rsidR="00AE362D">
        <w:rPr>
          <w:noProof/>
        </w:rPr>
        <w:instrText xml:space="preserve"> STYLEREF 1 \s </w:instrText>
      </w:r>
      <w:r w:rsidR="00AE362D">
        <w:rPr>
          <w:noProof/>
        </w:rPr>
        <w:fldChar w:fldCharType="separate"/>
      </w:r>
      <w:r w:rsidR="00592779">
        <w:rPr>
          <w:noProof/>
        </w:rPr>
        <w:t>3</w:t>
      </w:r>
      <w:r w:rsidR="00AE362D">
        <w:rPr>
          <w:noProof/>
        </w:rPr>
        <w:fldChar w:fldCharType="end"/>
      </w:r>
      <w:r w:rsidR="00BA31AA">
        <w:noBreakHyphen/>
      </w:r>
      <w:r w:rsidR="00AE362D">
        <w:rPr>
          <w:noProof/>
        </w:rPr>
        <w:fldChar w:fldCharType="begin"/>
      </w:r>
      <w:r w:rsidR="00AE362D">
        <w:rPr>
          <w:noProof/>
        </w:rPr>
        <w:instrText xml:space="preserve"> SEQ Figure \* ARABIC \s 1 </w:instrText>
      </w:r>
      <w:r w:rsidR="00AE362D">
        <w:rPr>
          <w:noProof/>
        </w:rPr>
        <w:fldChar w:fldCharType="separate"/>
      </w:r>
      <w:r w:rsidR="00592779">
        <w:rPr>
          <w:noProof/>
        </w:rPr>
        <w:t>1</w:t>
      </w:r>
      <w:r w:rsidR="00AE362D">
        <w:rPr>
          <w:noProof/>
        </w:rPr>
        <w:fldChar w:fldCharType="end"/>
      </w:r>
      <w:r w:rsidR="00612F1A">
        <w:t xml:space="preserve"> Survival curves for the period 1996-2016 for groups of women defined by the highest level of education reported at Survey 1.</w:t>
      </w:r>
    </w:p>
    <w:p w14:paraId="5B85E190" w14:textId="78998041" w:rsidR="00994523" w:rsidRDefault="00612F1A" w:rsidP="002D155A">
      <w:r>
        <w:t>At Survey 1 100% of the women were alive,</w:t>
      </w:r>
      <w:r w:rsidR="003C2548">
        <w:t xml:space="preserve"> </w:t>
      </w:r>
      <w:r>
        <w:t>but gradually over time some died.</w:t>
      </w:r>
      <w:r w:rsidR="003C2548">
        <w:t xml:space="preserve"> </w:t>
      </w:r>
      <w:r w:rsidR="009E3F8E">
        <w:t>Twenty years later</w:t>
      </w:r>
      <w:r>
        <w:t xml:space="preserve"> </w:t>
      </w:r>
      <w:r w:rsidR="003C2548">
        <w:t>about 30% of those with no formal qualifications (the lowest d</w:t>
      </w:r>
      <w:r w:rsidR="009868C9">
        <w:t>ash</w:t>
      </w:r>
      <w:r w:rsidR="003C2548">
        <w:t xml:space="preserve">ed line) were still alive and 70% had died. This compares with 40% alive (and 60% had died) among the women </w:t>
      </w:r>
      <w:r w:rsidR="009868C9">
        <w:t xml:space="preserve">with university education (top line with long dashes). In this example, the difference in survival was only statistically significantly different for the women with no formal qualifications; the </w:t>
      </w:r>
      <w:r w:rsidR="00012F17">
        <w:t>other groups were more similar.</w:t>
      </w:r>
    </w:p>
    <w:p w14:paraId="72DA35DE" w14:textId="35C2F351" w:rsidR="009E3F8E" w:rsidRDefault="009E3F8E" w:rsidP="002D155A">
      <w:r>
        <w:t>The survival curves were produced using the Kaplan Meier method and are shown for a period of twenty years from Survey</w:t>
      </w:r>
      <w:r w:rsidR="00DB1551">
        <w:t xml:space="preserve"> </w:t>
      </w:r>
      <w:r>
        <w:t>1.</w:t>
      </w:r>
    </w:p>
    <w:p w14:paraId="0F5BDD79" w14:textId="0EB92569" w:rsidR="009868C9" w:rsidRDefault="009868C9" w:rsidP="00091A0A">
      <w:pPr>
        <w:pStyle w:val="Heading2"/>
        <w:ind w:left="578" w:hanging="578"/>
      </w:pPr>
      <w:bookmarkStart w:id="11" w:name="_Toc530561250"/>
      <w:r>
        <w:lastRenderedPageBreak/>
        <w:t>Explanation of cohort trajectories</w:t>
      </w:r>
      <w:bookmarkEnd w:id="11"/>
    </w:p>
    <w:p w14:paraId="6E00AFE7" w14:textId="0A0F45F2" w:rsidR="00D30F0C" w:rsidRDefault="00552DDF" w:rsidP="002D155A">
      <w:r>
        <w:t xml:space="preserve">The </w:t>
      </w:r>
      <w:r w:rsidR="00D30F0C">
        <w:t xml:space="preserve">cohort </w:t>
      </w:r>
      <w:r>
        <w:t xml:space="preserve">trajectories reflect the </w:t>
      </w:r>
      <w:r w:rsidR="00D30F0C">
        <w:t xml:space="preserve">women’s </w:t>
      </w:r>
      <w:r>
        <w:t xml:space="preserve">responses to questions asked in </w:t>
      </w:r>
      <w:r w:rsidR="00D30F0C">
        <w:t xml:space="preserve">the three-yearly </w:t>
      </w:r>
      <w:r>
        <w:t>surveys during the years 1996 to 2013</w:t>
      </w:r>
      <w:r w:rsidR="00D30F0C">
        <w:t xml:space="preserve"> and the six-monthly follow-up </w:t>
      </w:r>
      <w:r w:rsidR="00075F00">
        <w:t xml:space="preserve">(6M FU) </w:t>
      </w:r>
      <w:r w:rsidR="00D30F0C">
        <w:t>surveys since then. The trajectories are only shown for those questions that were asked at all these surveys.</w:t>
      </w:r>
    </w:p>
    <w:p w14:paraId="5CD1C9ED" w14:textId="67C1AB30" w:rsidR="00116B46" w:rsidRDefault="00D30F0C" w:rsidP="002D155A">
      <w:r>
        <w:t>Two trajectories are shown. One is based on the responses from women who responded to every survey, that is, they were still alive and completing surveys up until the most recent one. The other is based on the responses from every woman who completed that survey. These two trajectories are illustrated in Figure 3-2 which shows the p</w:t>
      </w:r>
      <w:r w:rsidR="00116B46">
        <w:t>ercentage</w:t>
      </w:r>
      <w:r>
        <w:t xml:space="preserve"> of</w:t>
      </w:r>
      <w:r w:rsidR="00116B46">
        <w:t xml:space="preserve"> women who were married </w:t>
      </w:r>
      <w:r>
        <w:t>or in a de-facto relationship, as opposed to those who were widowed, divorced or separated.</w:t>
      </w:r>
    </w:p>
    <w:p w14:paraId="08869A51" w14:textId="4644A83B" w:rsidR="00116B46" w:rsidRPr="00012F17" w:rsidRDefault="00624A2C" w:rsidP="00012F17">
      <w:pPr>
        <w:rPr>
          <w:b/>
        </w:rPr>
      </w:pPr>
      <w:r>
        <w:rPr>
          <w:noProof/>
          <w:sz w:val="24"/>
          <w:szCs w:val="24"/>
          <w:lang w:eastAsia="en-AU"/>
        </w:rPr>
        <w:drawing>
          <wp:inline distT="0" distB="0" distL="0" distR="0" wp14:anchorId="6D21026A" wp14:editId="4F221159">
            <wp:extent cx="5731510" cy="4298315"/>
            <wp:effectExtent l="0" t="0" r="2540" b="6985"/>
            <wp:docPr id="2" name="Picture 2" descr="Line graph illustrating the percentages of women who were married or in a de-facto relationship for all women who completed each survey (open circles) and for the women who completed every survey (+ signs). See below for more information." title="Fig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r w:rsidR="00663924"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2</w:t>
      </w:r>
      <w:r w:rsidR="00AE362D" w:rsidRPr="00012F17">
        <w:rPr>
          <w:b/>
          <w:noProof/>
        </w:rPr>
        <w:fldChar w:fldCharType="end"/>
      </w:r>
      <w:r w:rsidR="00663924" w:rsidRPr="00012F17">
        <w:rPr>
          <w:b/>
        </w:rPr>
        <w:t xml:space="preserve"> </w:t>
      </w:r>
      <w:r w:rsidR="00116B46" w:rsidRPr="00012F17">
        <w:rPr>
          <w:b/>
        </w:rPr>
        <w:t>Percentages of women who were married or in a de-facto relationship (as opposed to those who were widowed, divorced</w:t>
      </w:r>
      <w:r w:rsidR="00BF2D29" w:rsidRPr="00012F17">
        <w:rPr>
          <w:b/>
        </w:rPr>
        <w:t xml:space="preserve">, </w:t>
      </w:r>
      <w:r w:rsidR="00116B46" w:rsidRPr="00012F17">
        <w:rPr>
          <w:b/>
        </w:rPr>
        <w:t>separated</w:t>
      </w:r>
      <w:r w:rsidR="00BF2D29" w:rsidRPr="00012F17">
        <w:rPr>
          <w:b/>
        </w:rPr>
        <w:t xml:space="preserve"> or never married</w:t>
      </w:r>
      <w:r w:rsidR="00116B46" w:rsidRPr="00012F17">
        <w:rPr>
          <w:b/>
        </w:rPr>
        <w:t>) for all women who completed each survey (open circles) and for the women who completed every survey (+ signs).</w:t>
      </w:r>
    </w:p>
    <w:p w14:paraId="28BDC52F" w14:textId="25363A9A" w:rsidR="00BF2D29" w:rsidRDefault="00116B46" w:rsidP="002D155A">
      <w:r>
        <w:t xml:space="preserve">The open circles and plus signs show the percentages at each survey and the vertical lines are 95% confidence intervals. At Survey 1 in 1996 57% of the women were married (while 35% were widowed </w:t>
      </w:r>
      <w:r w:rsidR="00BF2D29">
        <w:t xml:space="preserve">and the </w:t>
      </w:r>
      <w:r>
        <w:t>others were divorced</w:t>
      </w:r>
      <w:r w:rsidR="00BF2D29">
        <w:t xml:space="preserve">, separated or never married). Among the much smaller group who continued to participate until the most recent survey (n=640), 64% were married and (28% were widowed) at Survey 1. Both trajectories go down over time as </w:t>
      </w:r>
      <w:r w:rsidR="00BF2D29">
        <w:lastRenderedPageBreak/>
        <w:t>fewer women remain married (as more are widowed). The lines converge as many of the women who completed the early surveys die or cease to participate in the surveys, and those who survive and continue to complete the surveys provide the data.</w:t>
      </w:r>
    </w:p>
    <w:p w14:paraId="5B9C515B" w14:textId="3569288C" w:rsidR="00075F00" w:rsidRDefault="00075F00" w:rsidP="002D155A">
      <w:r>
        <w:t xml:space="preserve">For some </w:t>
      </w:r>
      <w:r w:rsidR="00001A13">
        <w:t>other survey</w:t>
      </w:r>
      <w:r>
        <w:t xml:space="preserve"> variables</w:t>
      </w:r>
      <w:r w:rsidR="00001A13">
        <w:t>,</w:t>
      </w:r>
      <w:r>
        <w:t xml:space="preserve"> data from the six-month follow-up surveys are different from and more variable than the data from Surveys 1-6. This may be due to the surveys being shorter and more frequent as</w:t>
      </w:r>
      <w:r w:rsidR="00012F17">
        <w:t xml:space="preserve"> well as changes in the format.</w:t>
      </w:r>
    </w:p>
    <w:p w14:paraId="20FA97C6" w14:textId="6A916CFD" w:rsidR="002C17BC" w:rsidRDefault="00BF2D29" w:rsidP="002D155A">
      <w:r>
        <w:t xml:space="preserve">With </w:t>
      </w:r>
      <w:r w:rsidR="00552DDF">
        <w:t>each</w:t>
      </w:r>
      <w:r w:rsidR="00EA3DBF">
        <w:t xml:space="preserve"> survival curve or</w:t>
      </w:r>
      <w:r w:rsidR="00552DDF">
        <w:t xml:space="preserve"> </w:t>
      </w:r>
      <w:r w:rsidR="002C17BC">
        <w:t xml:space="preserve">cohort </w:t>
      </w:r>
      <w:r w:rsidR="00552DDF">
        <w:t>trajectory, an example survey question has been included – however, the wording of questions has sometimes changed from survey to survey, and the example question is intended as a guide only.</w:t>
      </w:r>
      <w:r w:rsidR="00001A13">
        <w:t xml:space="preserve"> Full surveys and summary data for each follow-up are available at alswh.org.au</w:t>
      </w:r>
    </w:p>
    <w:p w14:paraId="6753CDA7" w14:textId="237BF216" w:rsidR="00EC19EE" w:rsidRDefault="002C17BC" w:rsidP="00012F17">
      <w:r>
        <w:t xml:space="preserve">Some questions were only asked at Survey 1 as they could not change (e.g. country of birth) or were unlikely to change (e.g. highest level of education). Others were asked at several surveys but the responses did not change much over time (e.g. </w:t>
      </w:r>
      <w:hyperlink r:id="rId13" w:history="1">
        <w:r w:rsidRPr="000A37B1">
          <w:rPr>
            <w:rStyle w:val="Hyperlink"/>
            <w:rFonts w:asciiTheme="minorHAnsi" w:hAnsiTheme="minorHAnsi" w:cstheme="minorBidi"/>
          </w:rPr>
          <w:t>area of residence</w:t>
        </w:r>
      </w:hyperlink>
      <w:r>
        <w:t>). For these characteristics</w:t>
      </w:r>
      <w:r w:rsidR="00001A13">
        <w:t>,</w:t>
      </w:r>
      <w:r>
        <w:t xml:space="preserve"> </w:t>
      </w:r>
      <w:r w:rsidR="00DA6C88">
        <w:t>only survival curves are presented (for groups based on Survey 1 responses). For other characteristics which varied over time, both cohort trajectories and survival curves are presented.</w:t>
      </w:r>
      <w:r w:rsidR="00EC19EE">
        <w:br w:type="page"/>
      </w:r>
    </w:p>
    <w:p w14:paraId="5E7C819B" w14:textId="6118FB0E" w:rsidR="00663924" w:rsidRPr="00663924" w:rsidRDefault="001F7198" w:rsidP="00091A0A">
      <w:pPr>
        <w:pStyle w:val="Heading2"/>
        <w:ind w:left="578" w:hanging="578"/>
      </w:pPr>
      <w:bookmarkStart w:id="12" w:name="_Toc382408738"/>
      <w:bookmarkStart w:id="13" w:name="_Toc530561251"/>
      <w:r w:rsidRPr="00BA08A0">
        <w:lastRenderedPageBreak/>
        <w:t>Sociodemographic</w:t>
      </w:r>
      <w:r w:rsidR="00E95F02">
        <w:t xml:space="preserve"> factor</w:t>
      </w:r>
      <w:r w:rsidRPr="00BA08A0">
        <w:t>s</w:t>
      </w:r>
      <w:bookmarkEnd w:id="12"/>
      <w:bookmarkEnd w:id="13"/>
    </w:p>
    <w:p w14:paraId="4D9A21C5" w14:textId="4B925F19" w:rsidR="00A579DD" w:rsidRPr="00CA5AD6" w:rsidRDefault="000C768B" w:rsidP="00012F17">
      <w:pPr>
        <w:pStyle w:val="Heading3"/>
        <w:spacing w:after="40"/>
      </w:pPr>
      <w:bookmarkStart w:id="14" w:name="_Toc530561252"/>
      <w:r w:rsidRPr="00CA5AD6">
        <w:t>Area of residence</w:t>
      </w:r>
      <w:bookmarkEnd w:id="14"/>
    </w:p>
    <w:p w14:paraId="6981C227" w14:textId="5AEC4445" w:rsidR="00CE1093" w:rsidRDefault="00CE1093" w:rsidP="00EC19EE">
      <w:r>
        <w:t>QUESTION: What is your residential postcode?</w:t>
      </w:r>
    </w:p>
    <w:p w14:paraId="03EE2C40" w14:textId="25B788E1" w:rsidR="00DB1551" w:rsidRDefault="00CE1093" w:rsidP="00ED669B">
      <w:pPr>
        <w:rPr>
          <w:bCs/>
          <w:iCs/>
        </w:rPr>
      </w:pPr>
      <w:r>
        <w:t xml:space="preserve">From their </w:t>
      </w:r>
      <w:r w:rsidR="00ED669B">
        <w:t xml:space="preserve">Survey 1 </w:t>
      </w:r>
      <w:r>
        <w:t>responses women were categorised as living in a major city</w:t>
      </w:r>
      <w:r w:rsidR="00ED669B">
        <w:t xml:space="preserve"> (68%)</w:t>
      </w:r>
      <w:r>
        <w:t>, an inner regional area</w:t>
      </w:r>
      <w:r w:rsidR="00ED669B">
        <w:t xml:space="preserve"> (21%)</w:t>
      </w:r>
      <w:r>
        <w:t>, an outer regional area</w:t>
      </w:r>
      <w:r w:rsidR="00ED669B">
        <w:t xml:space="preserve"> (9%)</w:t>
      </w:r>
      <w:r>
        <w:t>, or a remote of very remote area</w:t>
      </w:r>
      <w:r w:rsidR="00ED669B">
        <w:t xml:space="preserve"> (1%)</w:t>
      </w:r>
      <w:r>
        <w:t xml:space="preserve"> according to the ARIA+ classification.</w:t>
      </w:r>
      <w:r w:rsidR="00DB1551">
        <w:rPr>
          <w:bCs/>
          <w:iCs/>
        </w:rPr>
        <w:t xml:space="preserve"> The percentages of women living in </w:t>
      </w:r>
      <w:r w:rsidR="00ED669B">
        <w:rPr>
          <w:bCs/>
          <w:iCs/>
        </w:rPr>
        <w:t xml:space="preserve">these </w:t>
      </w:r>
      <w:r w:rsidR="00DB1551">
        <w:rPr>
          <w:bCs/>
          <w:iCs/>
        </w:rPr>
        <w:t>a</w:t>
      </w:r>
      <w:r w:rsidR="00DB1551" w:rsidRPr="00242469">
        <w:rPr>
          <w:bCs/>
          <w:iCs/>
        </w:rPr>
        <w:t>rea of residence</w:t>
      </w:r>
      <w:r w:rsidR="00DB1551">
        <w:rPr>
          <w:bCs/>
          <w:iCs/>
        </w:rPr>
        <w:t xml:space="preserve"> categories</w:t>
      </w:r>
      <w:r w:rsidR="00DB1551" w:rsidRPr="003B64F6">
        <w:rPr>
          <w:rFonts w:cs="Arial"/>
          <w:bCs/>
          <w:iCs/>
        </w:rPr>
        <w:t xml:space="preserve"> </w:t>
      </w:r>
      <w:hyperlink r:id="rId14" w:history="1">
        <w:r w:rsidR="00DB1551" w:rsidRPr="003B64F6">
          <w:rPr>
            <w:rStyle w:val="Hyperlink"/>
            <w:rFonts w:ascii="Arial" w:hAnsi="Arial" w:cs="Arial"/>
            <w:bCs/>
            <w:iCs/>
          </w:rPr>
          <w:t>remained stable over time</w:t>
        </w:r>
      </w:hyperlink>
      <w:r w:rsidR="00DB1551">
        <w:rPr>
          <w:bCs/>
          <w:iCs/>
        </w:rPr>
        <w:t>, so no trajectories are shown.</w:t>
      </w:r>
      <w:r w:rsidR="00F2072A">
        <w:rPr>
          <w:bCs/>
          <w:iCs/>
        </w:rPr>
        <w:t xml:space="preserve"> </w:t>
      </w:r>
      <w:r w:rsidR="0050500C">
        <w:rPr>
          <w:bCs/>
          <w:iCs/>
        </w:rPr>
        <w:fldChar w:fldCharType="begin"/>
      </w:r>
      <w:r w:rsidR="0050500C">
        <w:rPr>
          <w:bCs/>
          <w:iCs/>
        </w:rPr>
        <w:instrText xml:space="preserve"> REF _Ref524948294 \h </w:instrText>
      </w:r>
      <w:r w:rsidR="0050500C">
        <w:rPr>
          <w:bCs/>
          <w:iCs/>
        </w:rPr>
      </w:r>
      <w:r w:rsidR="0050500C">
        <w:rPr>
          <w:bCs/>
          <w:iCs/>
        </w:rPr>
        <w:fldChar w:fldCharType="separate"/>
      </w:r>
      <w:r w:rsidR="00592779" w:rsidRPr="00012F17">
        <w:rPr>
          <w:b/>
        </w:rPr>
        <w:t xml:space="preserve">Figure </w:t>
      </w:r>
      <w:r w:rsidR="00592779">
        <w:rPr>
          <w:b/>
          <w:noProof/>
        </w:rPr>
        <w:t>3</w:t>
      </w:r>
      <w:r w:rsidR="00592779" w:rsidRPr="00012F17">
        <w:rPr>
          <w:b/>
        </w:rPr>
        <w:noBreakHyphen/>
      </w:r>
      <w:r w:rsidR="00592779">
        <w:rPr>
          <w:b/>
          <w:noProof/>
        </w:rPr>
        <w:t>3</w:t>
      </w:r>
      <w:r w:rsidR="0050500C">
        <w:rPr>
          <w:bCs/>
          <w:iCs/>
        </w:rPr>
        <w:fldChar w:fldCharType="end"/>
      </w:r>
      <w:r w:rsidR="0050500C">
        <w:rPr>
          <w:bCs/>
          <w:iCs/>
        </w:rPr>
        <w:t xml:space="preserve"> </w:t>
      </w:r>
      <w:r w:rsidR="00DB1551">
        <w:rPr>
          <w:bCs/>
          <w:iCs/>
        </w:rPr>
        <w:t>shows the survival curves for these women.</w:t>
      </w:r>
    </w:p>
    <w:p w14:paraId="2AD12298" w14:textId="3DCA4B71" w:rsidR="00DB1551" w:rsidRPr="00012F17" w:rsidRDefault="008A43C0" w:rsidP="00012F17">
      <w:pPr>
        <w:rPr>
          <w:b/>
        </w:rPr>
      </w:pPr>
      <w:r>
        <w:rPr>
          <w:noProof/>
          <w:sz w:val="24"/>
          <w:szCs w:val="24"/>
          <w:lang w:eastAsia="en-AU"/>
        </w:rPr>
        <w:drawing>
          <wp:inline distT="0" distB="0" distL="0" distR="0" wp14:anchorId="0924D3BC" wp14:editId="0C22A732">
            <wp:extent cx="5731510" cy="4298315"/>
            <wp:effectExtent l="0" t="0" r="2540" b="6985"/>
            <wp:docPr id="3" name="Picture 3" descr="Graph showing the survival curves for the period 1996-2016 for groups of women defined by area of residence at Survey 1. See above and below for more information." title="Fig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15" w:name="_Ref524948294"/>
      <w:r w:rsidR="00663924"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3</w:t>
      </w:r>
      <w:r w:rsidR="00AE362D" w:rsidRPr="00012F17">
        <w:rPr>
          <w:b/>
          <w:noProof/>
        </w:rPr>
        <w:fldChar w:fldCharType="end"/>
      </w:r>
      <w:bookmarkEnd w:id="15"/>
      <w:r w:rsidR="00663924" w:rsidRPr="00012F17">
        <w:rPr>
          <w:b/>
        </w:rPr>
        <w:t xml:space="preserve"> </w:t>
      </w:r>
      <w:r w:rsidR="00DB1551" w:rsidRPr="00012F17">
        <w:rPr>
          <w:b/>
        </w:rPr>
        <w:t>Survival curves for the period 1996-2016 for groups of women defined by area of residence at Survey 1.</w:t>
      </w:r>
    </w:p>
    <w:p w14:paraId="4D248D90" w14:textId="196E9DE1" w:rsidR="006E2EFA" w:rsidRDefault="00DB1551" w:rsidP="00012F17">
      <w:r>
        <w:t>Women living in major cities had slightly higher survival rates and those in remote or very remote areas had poorer survival, but the differences were not large.</w:t>
      </w:r>
      <w:r w:rsidR="006E2EFA">
        <w:br w:type="page"/>
      </w:r>
    </w:p>
    <w:p w14:paraId="341B2EF2" w14:textId="0A8080EA" w:rsidR="00CE1093" w:rsidRDefault="000F5A0F" w:rsidP="00012F17">
      <w:pPr>
        <w:pStyle w:val="Heading3"/>
        <w:spacing w:after="40"/>
      </w:pPr>
      <w:bookmarkStart w:id="16" w:name="_Toc530561253"/>
      <w:r w:rsidRPr="0050500C">
        <w:lastRenderedPageBreak/>
        <w:t>Country of Birth</w:t>
      </w:r>
      <w:bookmarkEnd w:id="16"/>
    </w:p>
    <w:p w14:paraId="3F8F8E32" w14:textId="38957099" w:rsidR="00DB1551" w:rsidRDefault="00DB1551" w:rsidP="00EB15A9">
      <w:r>
        <w:t>QUESTION: In which country were you born?</w:t>
      </w:r>
    </w:p>
    <w:p w14:paraId="580D759F" w14:textId="7BC9B942" w:rsidR="006B4FDF" w:rsidRDefault="006B4FDF" w:rsidP="00EB15A9">
      <w:r>
        <w:t>The responses were categorised as: Australian born (73%), born in another English-speaking country (14%), and born elsewhere (13%).</w:t>
      </w:r>
      <w:r w:rsidR="00012F17">
        <w:t xml:space="preserve"> </w:t>
      </w:r>
      <w:r w:rsidR="0050500C">
        <w:fldChar w:fldCharType="begin"/>
      </w:r>
      <w:r w:rsidR="0050500C">
        <w:instrText xml:space="preserve"> REF _Ref524948441 \h </w:instrText>
      </w:r>
      <w:r w:rsidR="0050500C">
        <w:fldChar w:fldCharType="separate"/>
      </w:r>
      <w:r w:rsidR="00592779" w:rsidRPr="00012F17">
        <w:rPr>
          <w:b/>
        </w:rPr>
        <w:t xml:space="preserve">Figure </w:t>
      </w:r>
      <w:r w:rsidR="00592779">
        <w:rPr>
          <w:b/>
          <w:noProof/>
        </w:rPr>
        <w:t>3</w:t>
      </w:r>
      <w:r w:rsidR="00592779" w:rsidRPr="00012F17">
        <w:rPr>
          <w:b/>
        </w:rPr>
        <w:noBreakHyphen/>
      </w:r>
      <w:r w:rsidR="00592779">
        <w:rPr>
          <w:b/>
          <w:noProof/>
        </w:rPr>
        <w:t>4</w:t>
      </w:r>
      <w:r w:rsidR="0050500C">
        <w:fldChar w:fldCharType="end"/>
      </w:r>
      <w:r w:rsidR="0050500C">
        <w:t xml:space="preserve"> </w:t>
      </w:r>
      <w:r>
        <w:t>shows the survival patterns over the subsequent 20 years.</w:t>
      </w:r>
    </w:p>
    <w:p w14:paraId="582096D2" w14:textId="2C026E61" w:rsidR="00E52122" w:rsidRPr="00012F17" w:rsidRDefault="008A43C0" w:rsidP="00012F17">
      <w:pPr>
        <w:rPr>
          <w:b/>
        </w:rPr>
      </w:pPr>
      <w:r>
        <w:rPr>
          <w:noProof/>
          <w:sz w:val="24"/>
          <w:szCs w:val="24"/>
          <w:lang w:eastAsia="en-AU"/>
        </w:rPr>
        <w:drawing>
          <wp:inline distT="0" distB="0" distL="0" distR="0" wp14:anchorId="378D16EC" wp14:editId="34C911F2">
            <wp:extent cx="5731510" cy="4298315"/>
            <wp:effectExtent l="0" t="0" r="2540" b="6985"/>
            <wp:docPr id="6" name="Picture 6" descr="Graph showing the survival curves for the period 1996-2016 for groups of women defined by area of residence at Survey 1. See more above and below" title="Fig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17" w:name="_Ref524948441"/>
      <w:r w:rsidR="0050500C"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4</w:t>
      </w:r>
      <w:r w:rsidR="00AE362D" w:rsidRPr="00012F17">
        <w:rPr>
          <w:b/>
          <w:noProof/>
        </w:rPr>
        <w:fldChar w:fldCharType="end"/>
      </w:r>
      <w:bookmarkEnd w:id="17"/>
      <w:r w:rsidR="006B4FDF" w:rsidRPr="00012F17">
        <w:rPr>
          <w:b/>
        </w:rPr>
        <w:t xml:space="preserve"> Survival curves for the period 1996-2016 for groups of women defined by</w:t>
      </w:r>
      <w:r w:rsidR="00012F17" w:rsidRPr="00012F17">
        <w:rPr>
          <w:b/>
        </w:rPr>
        <w:t xml:space="preserve"> area of residence at Survey 1.</w:t>
      </w:r>
    </w:p>
    <w:p w14:paraId="64339CB4" w14:textId="424E0506" w:rsidR="00EB15A9" w:rsidRDefault="00ED669B" w:rsidP="00012F17">
      <w:r>
        <w:t>Survival rates were similar for all country of birth categories.</w:t>
      </w:r>
      <w:r w:rsidR="00EB15A9">
        <w:br w:type="page"/>
      </w:r>
    </w:p>
    <w:p w14:paraId="000133C0" w14:textId="3BA2D1DF" w:rsidR="0050500C" w:rsidRDefault="005E1822" w:rsidP="00012F17">
      <w:pPr>
        <w:pStyle w:val="Heading3"/>
        <w:spacing w:after="40"/>
      </w:pPr>
      <w:bookmarkStart w:id="18" w:name="_Toc530561254"/>
      <w:r w:rsidRPr="0050500C">
        <w:lastRenderedPageBreak/>
        <w:t>Education</w:t>
      </w:r>
      <w:bookmarkEnd w:id="18"/>
    </w:p>
    <w:p w14:paraId="3DF46512" w14:textId="687C34C4" w:rsidR="001F7198" w:rsidRPr="0050500C" w:rsidRDefault="00B63CAA" w:rsidP="0050500C">
      <w:r w:rsidRPr="0050500C">
        <w:t xml:space="preserve">QUESTION: What is </w:t>
      </w:r>
      <w:r w:rsidR="00B1744B" w:rsidRPr="0050500C">
        <w:t>the highest qualification you have completed</w:t>
      </w:r>
      <w:r w:rsidR="001F7198" w:rsidRPr="0050500C">
        <w:t>?</w:t>
      </w:r>
    </w:p>
    <w:p w14:paraId="4AE9D53D" w14:textId="5955DF59" w:rsidR="00B1744B" w:rsidRDefault="00ED669B" w:rsidP="00ED669B">
      <w:r>
        <w:t xml:space="preserve">Survey 1 </w:t>
      </w:r>
      <w:r w:rsidR="00B1744B">
        <w:t>responses were grouped as follows: no formal qualification (33%), school certificate or higher school certificate (51%), certificate or trade qualification (12</w:t>
      </w:r>
      <w:r w:rsidR="00012F17">
        <w:t>%), and university degree (4%).</w:t>
      </w:r>
      <w:r w:rsidR="003B64F6">
        <w:t xml:space="preserve"> </w:t>
      </w:r>
      <w:r w:rsidR="00463778">
        <w:t xml:space="preserve">The </w:t>
      </w:r>
      <w:r w:rsidR="00B1744B">
        <w:t>survival curves are shown in</w:t>
      </w:r>
      <w:r w:rsidR="0050500C">
        <w:t xml:space="preserve"> </w:t>
      </w:r>
      <w:r w:rsidR="0050500C">
        <w:fldChar w:fldCharType="begin"/>
      </w:r>
      <w:r w:rsidR="0050500C">
        <w:instrText xml:space="preserve"> REF _Ref524948586 \h </w:instrText>
      </w:r>
      <w:r w:rsidR="0050500C">
        <w:fldChar w:fldCharType="separate"/>
      </w:r>
      <w:r w:rsidR="00592779" w:rsidRPr="00012F17">
        <w:rPr>
          <w:b/>
        </w:rPr>
        <w:t xml:space="preserve">Figure </w:t>
      </w:r>
      <w:r w:rsidR="00592779">
        <w:rPr>
          <w:b/>
          <w:noProof/>
        </w:rPr>
        <w:t>3</w:t>
      </w:r>
      <w:r w:rsidR="00592779" w:rsidRPr="00012F17">
        <w:rPr>
          <w:b/>
        </w:rPr>
        <w:noBreakHyphen/>
      </w:r>
      <w:r w:rsidR="00592779">
        <w:rPr>
          <w:b/>
          <w:noProof/>
        </w:rPr>
        <w:t>5</w:t>
      </w:r>
      <w:r w:rsidR="0050500C">
        <w:fldChar w:fldCharType="end"/>
      </w:r>
      <w:r w:rsidR="00B1744B">
        <w:t>.</w:t>
      </w:r>
    </w:p>
    <w:p w14:paraId="37AF4872" w14:textId="5BE694F3" w:rsidR="00463778" w:rsidRPr="00012F17" w:rsidRDefault="008A43C0" w:rsidP="00012F17">
      <w:pPr>
        <w:rPr>
          <w:b/>
        </w:rPr>
      </w:pPr>
      <w:r>
        <w:rPr>
          <w:noProof/>
          <w:sz w:val="24"/>
          <w:szCs w:val="24"/>
          <w:lang w:eastAsia="en-AU"/>
        </w:rPr>
        <w:drawing>
          <wp:inline distT="0" distB="0" distL="0" distR="0" wp14:anchorId="374393A0" wp14:editId="507C47BF">
            <wp:extent cx="5731510" cy="4298315"/>
            <wp:effectExtent l="0" t="0" r="2540" b="6985"/>
            <wp:docPr id="8" name="Picture 8" descr="Graph showing the survival curves for the period 1996-2016 for groups of women defined by highest qualification at Survey 1. See more information above and below." title="Fig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19" w:name="_Ref524948586"/>
      <w:r w:rsidR="0050500C"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5</w:t>
      </w:r>
      <w:r w:rsidR="00AE362D" w:rsidRPr="00012F17">
        <w:rPr>
          <w:b/>
          <w:noProof/>
        </w:rPr>
        <w:fldChar w:fldCharType="end"/>
      </w:r>
      <w:bookmarkEnd w:id="19"/>
      <w:r w:rsidR="00463778" w:rsidRPr="00012F17">
        <w:rPr>
          <w:b/>
        </w:rPr>
        <w:t xml:space="preserve"> Survival curves for the period 1996-2016 for groups of women defined by </w:t>
      </w:r>
      <w:r w:rsidR="009B4D09" w:rsidRPr="00012F17">
        <w:rPr>
          <w:b/>
        </w:rPr>
        <w:t xml:space="preserve">highest qualification </w:t>
      </w:r>
      <w:r w:rsidR="00463778" w:rsidRPr="00012F17">
        <w:rPr>
          <w:b/>
        </w:rPr>
        <w:t>at Survey 1</w:t>
      </w:r>
    </w:p>
    <w:p w14:paraId="480953B9" w14:textId="72DADBF0" w:rsidR="00250FB7" w:rsidRDefault="009B4D09" w:rsidP="00012F17">
      <w:pPr>
        <w:rPr>
          <w:rFonts w:eastAsiaTheme="majorEastAsia" w:cstheme="majorBidi"/>
          <w:b/>
          <w:bCs/>
        </w:rPr>
      </w:pPr>
      <w:r>
        <w:t>Women with no formal qualifications</w:t>
      </w:r>
      <w:r w:rsidR="009E2B6F">
        <w:t xml:space="preserve"> (lowest dotted line)</w:t>
      </w:r>
      <w:r>
        <w:t xml:space="preserve"> had significantly lower survival rates than those</w:t>
      </w:r>
      <w:r w:rsidR="009E2B6F">
        <w:t xml:space="preserve"> </w:t>
      </w:r>
      <w:r>
        <w:t>in the other groups. Whi</w:t>
      </w:r>
      <w:r w:rsidR="009E2B6F">
        <w:t>le survival rates improved with increasing levels of education, the differences between</w:t>
      </w:r>
      <w:r w:rsidR="007C2A37">
        <w:t xml:space="preserve"> the groups were not statistically significant.</w:t>
      </w:r>
      <w:bookmarkStart w:id="20" w:name="_Toc389225818"/>
      <w:r w:rsidR="00250FB7">
        <w:rPr>
          <w:rFonts w:eastAsiaTheme="majorEastAsia" w:cstheme="majorBidi"/>
          <w:b/>
          <w:bCs/>
        </w:rPr>
        <w:br w:type="page"/>
      </w:r>
    </w:p>
    <w:p w14:paraId="3A8F8D51" w14:textId="7B2FB76D" w:rsidR="0050500C" w:rsidRDefault="005E1822" w:rsidP="00012F17">
      <w:pPr>
        <w:pStyle w:val="Heading3"/>
        <w:spacing w:after="40"/>
      </w:pPr>
      <w:bookmarkStart w:id="21" w:name="_Toc530561255"/>
      <w:bookmarkEnd w:id="20"/>
      <w:r w:rsidRPr="0050500C">
        <w:lastRenderedPageBreak/>
        <w:t>Marital Status</w:t>
      </w:r>
      <w:bookmarkEnd w:id="21"/>
    </w:p>
    <w:p w14:paraId="16E831AB" w14:textId="3F4E513E" w:rsidR="00A5441E" w:rsidRDefault="00B63CAA" w:rsidP="00B63CAA">
      <w:r>
        <w:t>QUESTION:</w:t>
      </w:r>
      <w:r w:rsidRPr="00E577BD">
        <w:t xml:space="preserve"> What is </w:t>
      </w:r>
      <w:r>
        <w:t>your present</w:t>
      </w:r>
      <w:r w:rsidRPr="00E577BD">
        <w:t xml:space="preserve"> marital status?</w:t>
      </w:r>
    </w:p>
    <w:p w14:paraId="209836DA" w14:textId="77777777" w:rsidR="00A5441E" w:rsidRPr="00252CA5" w:rsidRDefault="00A5441E" w:rsidP="00020D3F">
      <w:pPr>
        <w:pStyle w:val="ListParagraph"/>
        <w:numPr>
          <w:ilvl w:val="0"/>
          <w:numId w:val="13"/>
        </w:numPr>
        <w:rPr>
          <w:rFonts w:ascii="Arial" w:hAnsi="Arial" w:cs="Arial"/>
          <w:sz w:val="22"/>
          <w:szCs w:val="22"/>
        </w:rPr>
      </w:pPr>
      <w:r w:rsidRPr="00252CA5">
        <w:rPr>
          <w:rFonts w:ascii="Arial" w:hAnsi="Arial" w:cs="Arial"/>
          <w:sz w:val="22"/>
          <w:szCs w:val="22"/>
        </w:rPr>
        <w:t>Married</w:t>
      </w:r>
    </w:p>
    <w:p w14:paraId="77FEC3C4" w14:textId="77777777" w:rsidR="00A5441E" w:rsidRPr="00252CA5" w:rsidRDefault="00A5441E" w:rsidP="00020D3F">
      <w:pPr>
        <w:pStyle w:val="ListParagraph"/>
        <w:numPr>
          <w:ilvl w:val="0"/>
          <w:numId w:val="13"/>
        </w:numPr>
        <w:rPr>
          <w:rFonts w:ascii="Arial" w:hAnsi="Arial" w:cs="Arial"/>
          <w:sz w:val="22"/>
          <w:szCs w:val="22"/>
        </w:rPr>
      </w:pPr>
      <w:r w:rsidRPr="00252CA5">
        <w:rPr>
          <w:rFonts w:ascii="Arial" w:hAnsi="Arial" w:cs="Arial"/>
          <w:sz w:val="22"/>
          <w:szCs w:val="22"/>
        </w:rPr>
        <w:t>De facto</w:t>
      </w:r>
    </w:p>
    <w:p w14:paraId="0BAD7B92" w14:textId="77777777" w:rsidR="00A5441E" w:rsidRPr="00252CA5" w:rsidRDefault="00A5441E" w:rsidP="00020D3F">
      <w:pPr>
        <w:pStyle w:val="ListParagraph"/>
        <w:numPr>
          <w:ilvl w:val="0"/>
          <w:numId w:val="13"/>
        </w:numPr>
        <w:rPr>
          <w:rFonts w:ascii="Arial" w:hAnsi="Arial" w:cs="Arial"/>
          <w:sz w:val="22"/>
          <w:szCs w:val="22"/>
        </w:rPr>
      </w:pPr>
      <w:r w:rsidRPr="00252CA5">
        <w:rPr>
          <w:rFonts w:ascii="Arial" w:hAnsi="Arial" w:cs="Arial"/>
          <w:sz w:val="22"/>
          <w:szCs w:val="22"/>
        </w:rPr>
        <w:t>Widowed</w:t>
      </w:r>
    </w:p>
    <w:p w14:paraId="1EBAF8F6" w14:textId="70B97DFD" w:rsidR="00A5441E" w:rsidRPr="00252CA5" w:rsidRDefault="00A5441E" w:rsidP="00020D3F">
      <w:pPr>
        <w:pStyle w:val="ListParagraph"/>
        <w:numPr>
          <w:ilvl w:val="0"/>
          <w:numId w:val="13"/>
        </w:numPr>
        <w:rPr>
          <w:rFonts w:ascii="Arial" w:hAnsi="Arial" w:cs="Arial"/>
          <w:sz w:val="22"/>
          <w:szCs w:val="22"/>
        </w:rPr>
      </w:pPr>
      <w:r w:rsidRPr="00252CA5">
        <w:rPr>
          <w:rFonts w:ascii="Arial" w:hAnsi="Arial" w:cs="Arial"/>
          <w:sz w:val="22"/>
          <w:szCs w:val="22"/>
        </w:rPr>
        <w:t>Separated</w:t>
      </w:r>
    </w:p>
    <w:p w14:paraId="17233A17" w14:textId="77777777" w:rsidR="00A5441E" w:rsidRPr="00252CA5" w:rsidRDefault="00A5441E" w:rsidP="00020D3F">
      <w:pPr>
        <w:pStyle w:val="ListParagraph"/>
        <w:numPr>
          <w:ilvl w:val="0"/>
          <w:numId w:val="13"/>
        </w:numPr>
        <w:rPr>
          <w:rFonts w:ascii="Arial" w:hAnsi="Arial" w:cs="Arial"/>
          <w:sz w:val="22"/>
          <w:szCs w:val="22"/>
        </w:rPr>
      </w:pPr>
      <w:r w:rsidRPr="00252CA5">
        <w:rPr>
          <w:rFonts w:ascii="Arial" w:hAnsi="Arial" w:cs="Arial"/>
          <w:sz w:val="22"/>
          <w:szCs w:val="22"/>
        </w:rPr>
        <w:t>Divorced</w:t>
      </w:r>
    </w:p>
    <w:p w14:paraId="0CEE9574" w14:textId="3D1120E7" w:rsidR="005B18D6" w:rsidRPr="00252CA5" w:rsidRDefault="00A5441E" w:rsidP="00020D3F">
      <w:pPr>
        <w:pStyle w:val="ListParagraph"/>
        <w:numPr>
          <w:ilvl w:val="0"/>
          <w:numId w:val="13"/>
        </w:numPr>
        <w:rPr>
          <w:rFonts w:ascii="Arial" w:hAnsi="Arial" w:cs="Arial"/>
          <w:sz w:val="22"/>
          <w:szCs w:val="22"/>
        </w:rPr>
      </w:pPr>
      <w:r w:rsidRPr="00252CA5">
        <w:rPr>
          <w:rFonts w:ascii="Arial" w:hAnsi="Arial" w:cs="Arial"/>
          <w:sz w:val="22"/>
          <w:szCs w:val="22"/>
        </w:rPr>
        <w:t>Never married</w:t>
      </w:r>
    </w:p>
    <w:p w14:paraId="676CB149" w14:textId="3B4E7C27" w:rsidR="00783C9F" w:rsidRDefault="00A41FD8" w:rsidP="00581E83">
      <w:r>
        <w:t>These categories were combined into two groups: women with partners (married or de facto), and those without partners (wido</w:t>
      </w:r>
      <w:r w:rsidR="00581E83">
        <w:t>wed, separated, divorced or neve</w:t>
      </w:r>
      <w:r w:rsidR="002D38F2">
        <w:t>r</w:t>
      </w:r>
      <w:r w:rsidR="00581E83">
        <w:t xml:space="preserve"> married).</w:t>
      </w:r>
      <w:r w:rsidR="00012F17">
        <w:t xml:space="preserve"> </w:t>
      </w:r>
      <w:r w:rsidR="001A1E4A">
        <w:fldChar w:fldCharType="begin"/>
      </w:r>
      <w:r w:rsidR="001A1E4A">
        <w:instrText xml:space="preserve"> REF _Ref524949157 \h </w:instrText>
      </w:r>
      <w:r w:rsidR="001A1E4A">
        <w:fldChar w:fldCharType="separate"/>
      </w:r>
      <w:r w:rsidR="00592779" w:rsidRPr="00012F17">
        <w:rPr>
          <w:b/>
        </w:rPr>
        <w:t xml:space="preserve">Figure </w:t>
      </w:r>
      <w:r w:rsidR="00592779">
        <w:rPr>
          <w:b/>
          <w:noProof/>
        </w:rPr>
        <w:t>3</w:t>
      </w:r>
      <w:r w:rsidR="00592779" w:rsidRPr="00012F17">
        <w:rPr>
          <w:b/>
        </w:rPr>
        <w:noBreakHyphen/>
      </w:r>
      <w:r w:rsidR="00592779">
        <w:rPr>
          <w:b/>
          <w:noProof/>
        </w:rPr>
        <w:t>6</w:t>
      </w:r>
      <w:r w:rsidR="001A1E4A">
        <w:fldChar w:fldCharType="end"/>
      </w:r>
      <w:r w:rsidR="001A1E4A">
        <w:t xml:space="preserve"> </w:t>
      </w:r>
      <w:r w:rsidR="002919B9">
        <w:t xml:space="preserve">shows the percentages of women in each of these groups </w:t>
      </w:r>
      <w:r w:rsidR="00BB6C3A">
        <w:t>at each survey</w:t>
      </w:r>
      <w:r w:rsidR="005B18D6">
        <w:t>.</w:t>
      </w:r>
    </w:p>
    <w:p w14:paraId="2D543090" w14:textId="430764D2" w:rsidR="002919B9" w:rsidRPr="00012F17" w:rsidRDefault="00624A2C" w:rsidP="00012F17">
      <w:pPr>
        <w:rPr>
          <w:b/>
        </w:rPr>
      </w:pPr>
      <w:r>
        <w:rPr>
          <w:noProof/>
          <w:sz w:val="24"/>
          <w:szCs w:val="24"/>
          <w:lang w:eastAsia="en-AU"/>
        </w:rPr>
        <w:drawing>
          <wp:inline distT="0" distB="0" distL="0" distR="0" wp14:anchorId="174FDB46" wp14:editId="48765293">
            <wp:extent cx="5731510" cy="4298315"/>
            <wp:effectExtent l="0" t="0" r="2540" b="6985"/>
            <wp:docPr id="4" name="Picture 4" descr="Graph illustrating the percentages of women who were married or in a de-facto relationship for all women who completed each survey (open circles) and for the women who completed every survey (+ signs). See above and below for more information." title="Fig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22" w:name="_Ref524949157"/>
      <w:r w:rsidR="0050500C"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6</w:t>
      </w:r>
      <w:r w:rsidR="00AE362D" w:rsidRPr="00012F17">
        <w:rPr>
          <w:b/>
          <w:noProof/>
        </w:rPr>
        <w:fldChar w:fldCharType="end"/>
      </w:r>
      <w:bookmarkEnd w:id="22"/>
      <w:r w:rsidR="002919B9" w:rsidRPr="00012F17">
        <w:rPr>
          <w:b/>
        </w:rPr>
        <w:t xml:space="preserve"> Percentages of women who were married or in a de-facto relationship (as opposed to those who were widowed, divorced, separated or never married) for all women who completed each survey (open circles) and for the women who completed every survey (+ signs).</w:t>
      </w:r>
    </w:p>
    <w:p w14:paraId="10FD395C" w14:textId="341CD803" w:rsidR="00BB6C3A" w:rsidRDefault="00BB6C3A" w:rsidP="00BB6C3A">
      <w:r>
        <w:t xml:space="preserve">At Survey 1 in 1996, 57% of the women were married (while 35% were widowed and the others were divorced, separated or never married). Among </w:t>
      </w:r>
      <w:r w:rsidR="00651B87">
        <w:t>those</w:t>
      </w:r>
      <w:r>
        <w:t xml:space="preserve"> who continued to participate until the most recent survey (n=640), 64% were married and (28% were widowed) at Survey 1. Both trajectories go down over time as fewer women remain married (as more are widowed). The </w:t>
      </w:r>
      <w:r w:rsidR="00651B87">
        <w:t>trajectories</w:t>
      </w:r>
      <w:r>
        <w:t xml:space="preserve"> converge as many of the women who completed the </w:t>
      </w:r>
      <w:r>
        <w:lastRenderedPageBreak/>
        <w:t>early surveys die or cease to participate in the surveys, and those who survive and continue to complet</w:t>
      </w:r>
      <w:r w:rsidR="00012F17">
        <w:t>e the surveys provide the data.</w:t>
      </w:r>
    </w:p>
    <w:p w14:paraId="4572ADEC" w14:textId="1EAAC8A2" w:rsidR="00B2380B" w:rsidRDefault="001A1E4A" w:rsidP="00BB6C3A">
      <w:r>
        <w:fldChar w:fldCharType="begin"/>
      </w:r>
      <w:r>
        <w:instrText xml:space="preserve"> REF _Ref524949144 \h </w:instrText>
      </w:r>
      <w:r>
        <w:fldChar w:fldCharType="separate"/>
      </w:r>
      <w:r w:rsidR="00592779">
        <w:t xml:space="preserve">Figure </w:t>
      </w:r>
      <w:r w:rsidR="00592779">
        <w:rPr>
          <w:noProof/>
        </w:rPr>
        <w:t>3</w:t>
      </w:r>
      <w:r w:rsidR="00592779">
        <w:noBreakHyphen/>
      </w:r>
      <w:r w:rsidR="00592779">
        <w:rPr>
          <w:noProof/>
        </w:rPr>
        <w:t>7</w:t>
      </w:r>
      <w:r>
        <w:fldChar w:fldCharType="end"/>
      </w:r>
      <w:r>
        <w:t xml:space="preserve"> </w:t>
      </w:r>
      <w:r w:rsidR="00B2380B">
        <w:t>shows the survival curves</w:t>
      </w:r>
      <w:r w:rsidR="00DE7446">
        <w:t>, comparing partnered women with those who were already widowed at Survey 1, or were never married, or separated or divorced.</w:t>
      </w:r>
    </w:p>
    <w:p w14:paraId="5BED32B9" w14:textId="120DF8FB" w:rsidR="00DE7446" w:rsidRDefault="008A43C0" w:rsidP="00BB6C3A">
      <w:r>
        <w:rPr>
          <w:noProof/>
          <w:sz w:val="24"/>
          <w:szCs w:val="24"/>
          <w:lang w:eastAsia="en-AU"/>
        </w:rPr>
        <w:drawing>
          <wp:inline distT="0" distB="0" distL="0" distR="0" wp14:anchorId="3D156D9B" wp14:editId="61C6E4FB">
            <wp:extent cx="5731510" cy="4298315"/>
            <wp:effectExtent l="0" t="0" r="2540" b="6985"/>
            <wp:docPr id="9" name="Picture 9" descr="Graph showing the survival curves for the period 1996-2016 for groups of women defined by marital status at Survey 1" title="Fig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19F60DDF" w14:textId="50F0AF08" w:rsidR="007C5E04" w:rsidRDefault="001A1E4A" w:rsidP="001A1E4A">
      <w:pPr>
        <w:pStyle w:val="Caption"/>
      </w:pPr>
      <w:bookmarkStart w:id="23" w:name="_Ref524949144"/>
      <w:r>
        <w:t xml:space="preserve">Figure </w:t>
      </w:r>
      <w:r w:rsidR="00AE362D">
        <w:rPr>
          <w:noProof/>
        </w:rPr>
        <w:fldChar w:fldCharType="begin"/>
      </w:r>
      <w:r w:rsidR="00AE362D">
        <w:rPr>
          <w:noProof/>
        </w:rPr>
        <w:instrText xml:space="preserve"> STYLEREF 1 \s </w:instrText>
      </w:r>
      <w:r w:rsidR="00AE362D">
        <w:rPr>
          <w:noProof/>
        </w:rPr>
        <w:fldChar w:fldCharType="separate"/>
      </w:r>
      <w:r w:rsidR="00592779">
        <w:rPr>
          <w:noProof/>
        </w:rPr>
        <w:t>3</w:t>
      </w:r>
      <w:r w:rsidR="00AE362D">
        <w:rPr>
          <w:noProof/>
        </w:rPr>
        <w:fldChar w:fldCharType="end"/>
      </w:r>
      <w:r w:rsidR="00BA31AA">
        <w:noBreakHyphen/>
      </w:r>
      <w:r w:rsidR="00AE362D">
        <w:rPr>
          <w:noProof/>
        </w:rPr>
        <w:fldChar w:fldCharType="begin"/>
      </w:r>
      <w:r w:rsidR="00AE362D">
        <w:rPr>
          <w:noProof/>
        </w:rPr>
        <w:instrText xml:space="preserve"> SEQ Figure \* ARABIC \s 1 </w:instrText>
      </w:r>
      <w:r w:rsidR="00AE362D">
        <w:rPr>
          <w:noProof/>
        </w:rPr>
        <w:fldChar w:fldCharType="separate"/>
      </w:r>
      <w:r w:rsidR="00592779">
        <w:rPr>
          <w:noProof/>
        </w:rPr>
        <w:t>7</w:t>
      </w:r>
      <w:r w:rsidR="00AE362D">
        <w:rPr>
          <w:noProof/>
        </w:rPr>
        <w:fldChar w:fldCharType="end"/>
      </w:r>
      <w:bookmarkEnd w:id="23"/>
      <w:r w:rsidR="007C5E04">
        <w:t xml:space="preserve"> Survival curves for the period 1996-2016 for groups of women defined by marital status at Survey 1</w:t>
      </w:r>
    </w:p>
    <w:p w14:paraId="1995BE5C" w14:textId="6893B884" w:rsidR="00EB1EB2" w:rsidRDefault="007C5E04" w:rsidP="00012F17">
      <w:r>
        <w:t xml:space="preserve">Women who were partnered at survey 1 had </w:t>
      </w:r>
      <w:r w:rsidR="00CC0447">
        <w:t xml:space="preserve">significantly higher survival rates </w:t>
      </w:r>
      <w:r w:rsidR="00012F17">
        <w:t>than women in the other groups.</w:t>
      </w:r>
      <w:r w:rsidR="00EB1EB2">
        <w:br w:type="page"/>
      </w:r>
    </w:p>
    <w:p w14:paraId="0B1BE795" w14:textId="24FAEC5C" w:rsidR="001A1E4A" w:rsidRDefault="00563236" w:rsidP="00012F17">
      <w:pPr>
        <w:pStyle w:val="Heading3"/>
        <w:spacing w:after="40"/>
      </w:pPr>
      <w:bookmarkStart w:id="24" w:name="_Toc530561256"/>
      <w:r w:rsidRPr="001A1E4A">
        <w:lastRenderedPageBreak/>
        <w:t>Manage on Income</w:t>
      </w:r>
      <w:bookmarkEnd w:id="24"/>
    </w:p>
    <w:p w14:paraId="07266950" w14:textId="188D9864" w:rsidR="00B63CAA" w:rsidRPr="00B63CAA" w:rsidRDefault="00B63CAA" w:rsidP="00B63CAA">
      <w:r>
        <w:t>QUESTION: How do you manage on the income you have available?</w:t>
      </w:r>
    </w:p>
    <w:p w14:paraId="1218FCE9" w14:textId="77777777" w:rsidR="00B63CAA" w:rsidRDefault="00B63CAA" w:rsidP="00020D3F">
      <w:pPr>
        <w:pStyle w:val="Questionbox"/>
        <w:numPr>
          <w:ilvl w:val="0"/>
          <w:numId w:val="4"/>
        </w:numPr>
        <w:shd w:val="clear" w:color="auto" w:fill="auto"/>
        <w:spacing w:before="40" w:after="40" w:line="240" w:lineRule="auto"/>
        <w:ind w:left="714" w:hanging="357"/>
      </w:pPr>
      <w:r>
        <w:t>It is impossible</w:t>
      </w:r>
    </w:p>
    <w:p w14:paraId="63AB43F8" w14:textId="77777777" w:rsidR="00B63CAA" w:rsidRDefault="00B63CAA" w:rsidP="00020D3F">
      <w:pPr>
        <w:pStyle w:val="Questionbox"/>
        <w:numPr>
          <w:ilvl w:val="0"/>
          <w:numId w:val="4"/>
        </w:numPr>
        <w:shd w:val="clear" w:color="auto" w:fill="auto"/>
        <w:spacing w:before="40" w:after="40" w:line="240" w:lineRule="auto"/>
        <w:ind w:left="714" w:hanging="357"/>
      </w:pPr>
      <w:r>
        <w:t xml:space="preserve">Difficult all the time </w:t>
      </w:r>
    </w:p>
    <w:p w14:paraId="3C5B6C51" w14:textId="77777777" w:rsidR="00B63CAA" w:rsidRDefault="00B63CAA" w:rsidP="00020D3F">
      <w:pPr>
        <w:pStyle w:val="Questionbox"/>
        <w:numPr>
          <w:ilvl w:val="0"/>
          <w:numId w:val="4"/>
        </w:numPr>
        <w:shd w:val="clear" w:color="auto" w:fill="auto"/>
        <w:spacing w:before="40" w:after="40" w:line="240" w:lineRule="auto"/>
        <w:ind w:left="714" w:hanging="357"/>
      </w:pPr>
      <w:r>
        <w:t xml:space="preserve">Difficult some of the time </w:t>
      </w:r>
    </w:p>
    <w:p w14:paraId="1A57367F" w14:textId="77777777" w:rsidR="00B63CAA" w:rsidRDefault="00B63CAA" w:rsidP="00020D3F">
      <w:pPr>
        <w:pStyle w:val="Questionbox"/>
        <w:numPr>
          <w:ilvl w:val="0"/>
          <w:numId w:val="4"/>
        </w:numPr>
        <w:shd w:val="clear" w:color="auto" w:fill="auto"/>
        <w:spacing w:before="40" w:after="40" w:line="240" w:lineRule="auto"/>
        <w:ind w:left="714" w:hanging="357"/>
      </w:pPr>
      <w:r>
        <w:t>Not too bad</w:t>
      </w:r>
    </w:p>
    <w:p w14:paraId="0CFEA223" w14:textId="3C5D9874" w:rsidR="001900DE" w:rsidRDefault="00B63CAA" w:rsidP="00020D3F">
      <w:pPr>
        <w:pStyle w:val="Questionbox"/>
        <w:numPr>
          <w:ilvl w:val="0"/>
          <w:numId w:val="4"/>
        </w:numPr>
        <w:shd w:val="clear" w:color="auto" w:fill="auto"/>
        <w:spacing w:before="40" w:after="0" w:line="240" w:lineRule="auto"/>
        <w:ind w:left="714" w:hanging="357"/>
      </w:pPr>
      <w:r>
        <w:t>It is easy</w:t>
      </w:r>
    </w:p>
    <w:p w14:paraId="11DDF3C9" w14:textId="59299684" w:rsidR="00177915" w:rsidRDefault="001900DE" w:rsidP="00EE2A19">
      <w:r>
        <w:t xml:space="preserve">At Survey 1 </w:t>
      </w:r>
      <w:r w:rsidR="007553F3">
        <w:t>in 1996</w:t>
      </w:r>
      <w:r w:rsidR="00EC62AA">
        <w:t>, when the women were aged 70-75</w:t>
      </w:r>
      <w:r w:rsidR="007553F3">
        <w:t>, 22% responded ’easy’, 51% ‘not too bad’, 20% ‘</w:t>
      </w:r>
      <w:r w:rsidR="003E2299">
        <w:t xml:space="preserve">difficult some of the time’ and 7% said ‘difficult all of the time’ or ‘impossible. </w:t>
      </w:r>
      <w:r w:rsidR="00460392">
        <w:t>Over time these proportions did not vary greatly</w:t>
      </w:r>
      <w:r w:rsidR="00491CD5">
        <w:t>,</w:t>
      </w:r>
      <w:r w:rsidR="00DA2645">
        <w:t xml:space="preserve"> so trajectories over time are not shown.</w:t>
      </w:r>
    </w:p>
    <w:p w14:paraId="48F36753" w14:textId="1CF0376F" w:rsidR="00B84521" w:rsidRDefault="001A1E4A" w:rsidP="00B84521">
      <w:pPr>
        <w:spacing w:after="0"/>
      </w:pPr>
      <w:r>
        <w:fldChar w:fldCharType="begin"/>
      </w:r>
      <w:r>
        <w:instrText xml:space="preserve"> REF _Ref524949132 \h </w:instrText>
      </w:r>
      <w:r>
        <w:fldChar w:fldCharType="separate"/>
      </w:r>
      <w:r w:rsidR="00592779" w:rsidRPr="00012F17">
        <w:rPr>
          <w:b/>
        </w:rPr>
        <w:t xml:space="preserve">Figure </w:t>
      </w:r>
      <w:r w:rsidR="00592779">
        <w:rPr>
          <w:b/>
          <w:noProof/>
        </w:rPr>
        <w:t>3</w:t>
      </w:r>
      <w:r w:rsidR="00592779" w:rsidRPr="00012F17">
        <w:rPr>
          <w:b/>
        </w:rPr>
        <w:noBreakHyphen/>
      </w:r>
      <w:r w:rsidR="00592779">
        <w:rPr>
          <w:b/>
          <w:noProof/>
        </w:rPr>
        <w:t>8</w:t>
      </w:r>
      <w:r>
        <w:fldChar w:fldCharType="end"/>
      </w:r>
      <w:r>
        <w:t xml:space="preserve"> </w:t>
      </w:r>
      <w:r w:rsidR="00575FFE">
        <w:t xml:space="preserve">shows the survival curves, comparing women </w:t>
      </w:r>
      <w:r w:rsidR="00795933">
        <w:t>who responded ‘easy</w:t>
      </w:r>
      <w:r w:rsidR="00C31FBB">
        <w:t>/</w:t>
      </w:r>
      <w:r w:rsidR="00795933">
        <w:t xml:space="preserve">not too bad’, </w:t>
      </w:r>
      <w:r w:rsidR="00C31FBB">
        <w:t>‘</w:t>
      </w:r>
      <w:r w:rsidR="00795933">
        <w:t>sometimes</w:t>
      </w:r>
      <w:r w:rsidR="00C31FBB">
        <w:t xml:space="preserve"> difficult’ or ‘difficult always/impossible’</w:t>
      </w:r>
      <w:r w:rsidR="00795933">
        <w:t xml:space="preserve"> at Survey 1</w:t>
      </w:r>
      <w:r w:rsidR="00012F17">
        <w:t>.</w:t>
      </w:r>
    </w:p>
    <w:p w14:paraId="358EAB74" w14:textId="2970E18D" w:rsidR="00E52122" w:rsidRPr="00012F17" w:rsidRDefault="008A43C0" w:rsidP="00012F17">
      <w:pPr>
        <w:rPr>
          <w:b/>
        </w:rPr>
      </w:pPr>
      <w:r>
        <w:rPr>
          <w:noProof/>
          <w:sz w:val="24"/>
          <w:szCs w:val="24"/>
          <w:lang w:eastAsia="en-AU"/>
        </w:rPr>
        <w:drawing>
          <wp:inline distT="0" distB="0" distL="0" distR="0" wp14:anchorId="411D27E3" wp14:editId="5DD705AF">
            <wp:extent cx="5731510" cy="4298315"/>
            <wp:effectExtent l="0" t="0" r="2540" b="6985"/>
            <wp:docPr id="10" name="Picture 10" descr="Graph illustrating the survival curves for the period 1996-2016 for groups of women defined by their responses at Survey 1 to the question about managing on their available income. See above and below for more information." title="Fig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25" w:name="_Ref524949132"/>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8</w:t>
      </w:r>
      <w:r w:rsidR="00AE362D" w:rsidRPr="00012F17">
        <w:rPr>
          <w:b/>
          <w:noProof/>
        </w:rPr>
        <w:fldChar w:fldCharType="end"/>
      </w:r>
      <w:bookmarkEnd w:id="25"/>
      <w:r w:rsidR="001A1E4A" w:rsidRPr="00012F17">
        <w:rPr>
          <w:b/>
        </w:rPr>
        <w:t xml:space="preserve"> </w:t>
      </w:r>
      <w:r w:rsidR="004C5924" w:rsidRPr="00012F17">
        <w:rPr>
          <w:b/>
        </w:rPr>
        <w:t xml:space="preserve">Survival curves for the period 1996-2016 for groups of women defined by </w:t>
      </w:r>
      <w:r w:rsidR="00DD5C38" w:rsidRPr="00012F17">
        <w:rPr>
          <w:b/>
        </w:rPr>
        <w:t>their responses at Survey 1 to the question about managing on their available income.</w:t>
      </w:r>
    </w:p>
    <w:p w14:paraId="53EBEE01" w14:textId="245D8246" w:rsidR="00985038" w:rsidRPr="0074414D" w:rsidRDefault="00916859">
      <w:r w:rsidRPr="0074414D">
        <w:t>Women who reported ‘easy/not too bad’ (the top dashed-dotted line) had signif</w:t>
      </w:r>
      <w:r w:rsidR="0074414D" w:rsidRPr="0074414D">
        <w:t>icantly better survival rates than</w:t>
      </w:r>
      <w:r w:rsidR="00252CA5">
        <w:t xml:space="preserve"> those in the other categories.</w:t>
      </w:r>
      <w:r w:rsidR="00985038" w:rsidRPr="0074414D">
        <w:br w:type="page"/>
      </w:r>
    </w:p>
    <w:p w14:paraId="573C2B91" w14:textId="49AA639F" w:rsidR="001A1E4A" w:rsidRPr="001A1E4A" w:rsidRDefault="00B63CAA" w:rsidP="00091A0A">
      <w:pPr>
        <w:pStyle w:val="Heading2"/>
        <w:ind w:left="578" w:hanging="578"/>
      </w:pPr>
      <w:bookmarkStart w:id="26" w:name="_Toc530561257"/>
      <w:r w:rsidRPr="001A1E4A">
        <w:lastRenderedPageBreak/>
        <w:t>Lifestyle</w:t>
      </w:r>
      <w:bookmarkEnd w:id="26"/>
    </w:p>
    <w:p w14:paraId="7D8B8857" w14:textId="7E6BBB4F" w:rsidR="001A1E4A" w:rsidRDefault="00563236" w:rsidP="00012F17">
      <w:pPr>
        <w:pStyle w:val="Heading3"/>
        <w:spacing w:before="40" w:after="40"/>
      </w:pPr>
      <w:bookmarkStart w:id="27" w:name="_Toc530561258"/>
      <w:r w:rsidRPr="001A1E4A">
        <w:t>Weight and Body Mass</w:t>
      </w:r>
      <w:r w:rsidR="00400A9F" w:rsidRPr="001A1E4A">
        <w:t xml:space="preserve"> Index (BMI)</w:t>
      </w:r>
      <w:bookmarkEnd w:id="27"/>
    </w:p>
    <w:p w14:paraId="70589F95" w14:textId="00C66EC9" w:rsidR="00E1704D" w:rsidRDefault="00446681" w:rsidP="00E1704D">
      <w:pPr>
        <w:pStyle w:val="Questionbox"/>
        <w:shd w:val="clear" w:color="auto" w:fill="auto"/>
        <w:spacing w:before="40" w:after="0" w:line="240" w:lineRule="auto"/>
        <w:jc w:val="both"/>
      </w:pPr>
      <w:r>
        <w:t xml:space="preserve">QUESTION: </w:t>
      </w:r>
      <w:r w:rsidR="00012F17">
        <w:t>How tall are you without shoes?</w:t>
      </w:r>
    </w:p>
    <w:p w14:paraId="163C1986" w14:textId="2ABC0078" w:rsidR="00E1704D" w:rsidRDefault="00446681" w:rsidP="00012F17">
      <w:pPr>
        <w:pStyle w:val="Questionbox"/>
        <w:shd w:val="clear" w:color="auto" w:fill="auto"/>
        <w:spacing w:before="40" w:after="0" w:line="240" w:lineRule="auto"/>
        <w:jc w:val="both"/>
      </w:pPr>
      <w:r>
        <w:t xml:space="preserve">QUESTION: How much do you </w:t>
      </w:r>
      <w:r w:rsidR="00012F17">
        <w:t>weigh without clothes or shoes?</w:t>
      </w:r>
    </w:p>
    <w:p w14:paraId="2984AD81" w14:textId="29B566F0" w:rsidR="009736A0" w:rsidRDefault="00552DDF" w:rsidP="00EE2A19">
      <w:r>
        <w:t xml:space="preserve">BMI </w:t>
      </w:r>
      <w:r w:rsidR="00770768">
        <w:t>[</w:t>
      </w:r>
      <w:r>
        <w:t>weight (kg)/height (m</w:t>
      </w:r>
      <w:proofErr w:type="gramStart"/>
      <w:r>
        <w:t>)</w:t>
      </w:r>
      <w:r w:rsidRPr="00552DDF">
        <w:rPr>
          <w:vertAlign w:val="superscript"/>
        </w:rPr>
        <w:t>2</w:t>
      </w:r>
      <w:proofErr w:type="gramEnd"/>
      <w:r w:rsidR="00770768">
        <w:t>]</w:t>
      </w:r>
      <w:r>
        <w:t xml:space="preserve"> is calculated from responses to both questions</w:t>
      </w:r>
      <w:r w:rsidR="00CB5827">
        <w:t xml:space="preserve"> and categorised (according to the World Health Organisation classification) as</w:t>
      </w:r>
      <w:r w:rsidR="00E14BB0">
        <w:t>:</w:t>
      </w:r>
      <w:r w:rsidR="00CB5827">
        <w:t xml:space="preserve"> underweight, BMI &lt; 18.5</w:t>
      </w:r>
      <w:r w:rsidR="00104883">
        <w:t>;</w:t>
      </w:r>
      <w:r w:rsidR="00CB5827">
        <w:t xml:space="preserve"> healthy weight, 18.5&lt;=</w:t>
      </w:r>
      <w:r w:rsidR="00E14BB0">
        <w:t xml:space="preserve"> BMI &lt; 25</w:t>
      </w:r>
      <w:r w:rsidR="00104883">
        <w:t>;</w:t>
      </w:r>
      <w:r w:rsidR="00E14BB0">
        <w:t xml:space="preserve"> overweight 25 &lt;= BMI &lt; 30</w:t>
      </w:r>
      <w:r w:rsidR="00104883">
        <w:t>;</w:t>
      </w:r>
      <w:r w:rsidR="00012F17">
        <w:t xml:space="preserve"> or obese BMI&gt;=30.</w:t>
      </w:r>
    </w:p>
    <w:p w14:paraId="5A6AF95A" w14:textId="59951B4E" w:rsidR="00B32CFF" w:rsidRDefault="009736A0" w:rsidP="00EE2A19">
      <w:r>
        <w:t>At Survey 1 in 1996, 3% of the women were underweight, 50% were in the healthy weight range, 33% were overweight, and 14% were obese. These proportion did not change much over time and the mean</w:t>
      </w:r>
      <w:r w:rsidR="0007134D">
        <w:t xml:space="preserve"> </w:t>
      </w:r>
      <w:r>
        <w:t xml:space="preserve">BMI </w:t>
      </w:r>
      <w:r w:rsidR="00935426">
        <w:t>remained constant, so trajectories over time are not shown.</w:t>
      </w:r>
    </w:p>
    <w:p w14:paraId="225CB025" w14:textId="291AE977" w:rsidR="00177915" w:rsidRDefault="001A1E4A" w:rsidP="00177915">
      <w:r>
        <w:fldChar w:fldCharType="begin"/>
      </w:r>
      <w:r>
        <w:instrText xml:space="preserve"> REF _Ref524949117 \h </w:instrText>
      </w:r>
      <w:r>
        <w:fldChar w:fldCharType="separate"/>
      </w:r>
      <w:r w:rsidR="00592779" w:rsidRPr="00012F17">
        <w:rPr>
          <w:b/>
        </w:rPr>
        <w:t xml:space="preserve">Figure </w:t>
      </w:r>
      <w:r w:rsidR="00592779">
        <w:rPr>
          <w:b/>
          <w:noProof/>
        </w:rPr>
        <w:t>3</w:t>
      </w:r>
      <w:r w:rsidR="00592779" w:rsidRPr="00012F17">
        <w:rPr>
          <w:b/>
        </w:rPr>
        <w:noBreakHyphen/>
      </w:r>
      <w:r w:rsidR="00592779">
        <w:rPr>
          <w:b/>
          <w:noProof/>
        </w:rPr>
        <w:t>9</w:t>
      </w:r>
      <w:r>
        <w:fldChar w:fldCharType="end"/>
      </w:r>
      <w:r>
        <w:t xml:space="preserve"> </w:t>
      </w:r>
      <w:r w:rsidR="00177915">
        <w:t xml:space="preserve">shows the survival curves, comparing women </w:t>
      </w:r>
      <w:r w:rsidR="00B84521">
        <w:t xml:space="preserve">in each of the BMI categories </w:t>
      </w:r>
      <w:r w:rsidR="00012F17">
        <w:t>at Survey 1.</w:t>
      </w:r>
    </w:p>
    <w:p w14:paraId="59F29B1E" w14:textId="4EEC7EF5" w:rsidR="00406AED" w:rsidRPr="00012F17" w:rsidRDefault="008A43C0" w:rsidP="00012F17">
      <w:pPr>
        <w:rPr>
          <w:b/>
        </w:rPr>
      </w:pPr>
      <w:r>
        <w:rPr>
          <w:noProof/>
          <w:sz w:val="24"/>
          <w:szCs w:val="24"/>
          <w:lang w:eastAsia="en-AU"/>
        </w:rPr>
        <w:drawing>
          <wp:inline distT="0" distB="0" distL="0" distR="0" wp14:anchorId="24078FFD" wp14:editId="498A9682">
            <wp:extent cx="5731510" cy="4298315"/>
            <wp:effectExtent l="0" t="0" r="2540" b="6985"/>
            <wp:docPr id="11" name="Picture 11" descr="Graph illustrating the survival curves for the period 1996-2016 for groups of women defined by their BMI category at Survey 1. See above and below for more information." title="Fig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28" w:name="_Ref524949117"/>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9</w:t>
      </w:r>
      <w:r w:rsidR="00AE362D" w:rsidRPr="00012F17">
        <w:rPr>
          <w:b/>
          <w:noProof/>
        </w:rPr>
        <w:fldChar w:fldCharType="end"/>
      </w:r>
      <w:bookmarkEnd w:id="28"/>
      <w:r w:rsidR="001A1E4A" w:rsidRPr="00012F17">
        <w:rPr>
          <w:b/>
        </w:rPr>
        <w:t xml:space="preserve"> </w:t>
      </w:r>
      <w:r w:rsidR="00406AED" w:rsidRPr="00012F17">
        <w:rPr>
          <w:b/>
        </w:rPr>
        <w:t xml:space="preserve">Survival curves for the period 1996-2016 for groups of women defined by their </w:t>
      </w:r>
      <w:r w:rsidR="00AC6207" w:rsidRPr="00012F17">
        <w:rPr>
          <w:b/>
        </w:rPr>
        <w:t>BMI category</w:t>
      </w:r>
      <w:r w:rsidR="00406AED" w:rsidRPr="00012F17">
        <w:rPr>
          <w:b/>
        </w:rPr>
        <w:t xml:space="preserve"> at Survey 1</w:t>
      </w:r>
      <w:r w:rsidR="00AC6207" w:rsidRPr="00012F17">
        <w:rPr>
          <w:b/>
        </w:rPr>
        <w:t>.</w:t>
      </w:r>
    </w:p>
    <w:p w14:paraId="3EAD6542" w14:textId="57CE9B6B" w:rsidR="000776A9" w:rsidRPr="00012F17" w:rsidRDefault="00AE286B" w:rsidP="00012F17">
      <w:pPr>
        <w:pStyle w:val="Questionbox"/>
        <w:shd w:val="clear" w:color="auto" w:fill="auto"/>
        <w:spacing w:before="40" w:after="40" w:line="240" w:lineRule="auto"/>
        <w:jc w:val="both"/>
      </w:pPr>
      <w:r>
        <w:t xml:space="preserve">Underweight women (long dashed lines) had significantly poorer survival than the other groups. However women in the obese category (short dashed lines) also </w:t>
      </w:r>
      <w:r w:rsidR="00D9309F">
        <w:t>had poorer survival than the other two groups (healthy weigh and overweight) who</w:t>
      </w:r>
      <w:r w:rsidR="00012F17">
        <w:t xml:space="preserve"> had similar survival rates.</w:t>
      </w:r>
    </w:p>
    <w:p w14:paraId="519FBA8C" w14:textId="03173A31" w:rsidR="001A1E4A" w:rsidRDefault="00E1704D" w:rsidP="00012F17">
      <w:pPr>
        <w:pStyle w:val="Heading3"/>
        <w:spacing w:after="40"/>
      </w:pPr>
      <w:bookmarkStart w:id="29" w:name="_Toc530561259"/>
      <w:bookmarkStart w:id="30" w:name="_Toc389225823"/>
      <w:r w:rsidRPr="001A1E4A">
        <w:lastRenderedPageBreak/>
        <w:t>S</w:t>
      </w:r>
      <w:r w:rsidR="00FA5679" w:rsidRPr="001A1E4A">
        <w:t>moking</w:t>
      </w:r>
      <w:bookmarkEnd w:id="29"/>
    </w:p>
    <w:p w14:paraId="2FB6D879" w14:textId="75336A38" w:rsidR="00C044A3" w:rsidRDefault="001D0F33" w:rsidP="00572B4D">
      <w:r>
        <w:t>QUESTION</w:t>
      </w:r>
      <w:r w:rsidR="004F4247">
        <w:t>S</w:t>
      </w:r>
      <w:r>
        <w:t xml:space="preserve">: </w:t>
      </w:r>
      <w:r w:rsidR="00AC0C59">
        <w:t>W</w:t>
      </w:r>
      <w:r>
        <w:t>omen were a</w:t>
      </w:r>
      <w:r w:rsidR="00382791">
        <w:t>sked a series of questions including:</w:t>
      </w:r>
      <w:r>
        <w:t xml:space="preserve"> whether they had ever smoked</w:t>
      </w:r>
      <w:r w:rsidR="00211DB9">
        <w:t>;</w:t>
      </w:r>
      <w:r>
        <w:t xml:space="preserve"> </w:t>
      </w:r>
      <w:r w:rsidR="00744776">
        <w:t>if they ha</w:t>
      </w:r>
      <w:r w:rsidR="00AC0C59">
        <w:t>ve</w:t>
      </w:r>
      <w:r w:rsidR="00744776">
        <w:t xml:space="preserve"> ever smoked, at what age they started; </w:t>
      </w:r>
      <w:r w:rsidR="00211DB9">
        <w:t>if they used to smoke when they had</w:t>
      </w:r>
      <w:r w:rsidR="00744776">
        <w:t xml:space="preserve"> given up</w:t>
      </w:r>
      <w:r w:rsidR="00382791">
        <w:t>; if they currently smoked</w:t>
      </w:r>
      <w:r w:rsidR="00C044A3">
        <w:t xml:space="preserve">, how many cigarettes </w:t>
      </w:r>
      <w:r w:rsidR="00012F17">
        <w:t>they smoked and how frequently.</w:t>
      </w:r>
    </w:p>
    <w:p w14:paraId="549D1AE5" w14:textId="78F0FB4B" w:rsidR="00BA2AEF" w:rsidRDefault="00C044A3" w:rsidP="00572B4D">
      <w:r>
        <w:t xml:space="preserve">From their answers to these questions at Survey 1 women were classified as </w:t>
      </w:r>
      <w:r w:rsidR="00BA2AEF">
        <w:t xml:space="preserve">current smokers, ex-smokers or never smokers. </w:t>
      </w:r>
      <w:r w:rsidR="003D06FB">
        <w:t>At Survey 1</w:t>
      </w:r>
      <w:r w:rsidR="00E52122">
        <w:t>,</w:t>
      </w:r>
      <w:r w:rsidR="003D06FB">
        <w:t xml:space="preserve"> 62% of women reported never smoking, 30% were ex-smokers and 8% smoked regularly or occasionally. The questions were not asked at every survey</w:t>
      </w:r>
      <w:r w:rsidR="00B8425B">
        <w:t>, but among those women who responded to Survey 6 the percentages were: 71% never smokers, 27% ex-smokers and 2% current smoker</w:t>
      </w:r>
      <w:r w:rsidR="003A3E55">
        <w:t>s</w:t>
      </w:r>
      <w:r w:rsidR="00B8425B">
        <w:t xml:space="preserve">. </w:t>
      </w:r>
      <w:r w:rsidR="001A1E4A">
        <w:fldChar w:fldCharType="begin"/>
      </w:r>
      <w:r w:rsidR="001A1E4A">
        <w:instrText xml:space="preserve"> REF _Ref524949094 \h </w:instrText>
      </w:r>
      <w:r w:rsidR="001A1E4A">
        <w:fldChar w:fldCharType="separate"/>
      </w:r>
      <w:r w:rsidR="00592779" w:rsidRPr="00012F17">
        <w:rPr>
          <w:b/>
        </w:rPr>
        <w:t xml:space="preserve">Figure </w:t>
      </w:r>
      <w:r w:rsidR="00592779">
        <w:rPr>
          <w:b/>
          <w:noProof/>
        </w:rPr>
        <w:t>3</w:t>
      </w:r>
      <w:r w:rsidR="00592779" w:rsidRPr="00012F17">
        <w:rPr>
          <w:b/>
        </w:rPr>
        <w:noBreakHyphen/>
      </w:r>
      <w:r w:rsidR="00592779">
        <w:rPr>
          <w:b/>
          <w:noProof/>
        </w:rPr>
        <w:t>10</w:t>
      </w:r>
      <w:r w:rsidR="001A1E4A">
        <w:fldChar w:fldCharType="end"/>
      </w:r>
      <w:r w:rsidR="001A1E4A">
        <w:t xml:space="preserve"> </w:t>
      </w:r>
      <w:r w:rsidR="003A3E55">
        <w:t xml:space="preserve">shows that earlier deaths among smokers could explain </w:t>
      </w:r>
      <w:r w:rsidR="00B94FEE">
        <w:t>these changes as those who never smoked became a larger proportion of those alive and able to respond to Surv</w:t>
      </w:r>
      <w:r w:rsidR="00572B4D">
        <w:t>e</w:t>
      </w:r>
      <w:r w:rsidR="00012F17">
        <w:t>y 6.</w:t>
      </w:r>
    </w:p>
    <w:p w14:paraId="00E3AD9D" w14:textId="762F69E2" w:rsidR="00572B4D" w:rsidRPr="00012F17" w:rsidRDefault="008A43C0" w:rsidP="00012F17">
      <w:pPr>
        <w:rPr>
          <w:b/>
        </w:rPr>
      </w:pPr>
      <w:r>
        <w:rPr>
          <w:noProof/>
          <w:sz w:val="24"/>
          <w:szCs w:val="24"/>
          <w:lang w:eastAsia="en-AU"/>
        </w:rPr>
        <w:drawing>
          <wp:inline distT="0" distB="0" distL="0" distR="0" wp14:anchorId="787281C1" wp14:editId="4DD1E6E5">
            <wp:extent cx="5731510" cy="4298315"/>
            <wp:effectExtent l="0" t="0" r="2540" b="6985"/>
            <wp:docPr id="12" name="Picture 12" descr="Graph showing the survival curves for the period 1996-2016 for groups of women defined by their smoking status at Survey 1. See above and below for more information." title="Fig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31" w:name="_Ref524949094"/>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10</w:t>
      </w:r>
      <w:r w:rsidR="00AE362D" w:rsidRPr="00012F17">
        <w:rPr>
          <w:b/>
          <w:noProof/>
        </w:rPr>
        <w:fldChar w:fldCharType="end"/>
      </w:r>
      <w:bookmarkEnd w:id="31"/>
      <w:r w:rsidR="00572B4D" w:rsidRPr="00012F17">
        <w:rPr>
          <w:b/>
        </w:rPr>
        <w:t xml:space="preserve"> Survival curves for the period 1996-2016 for groups of women defined by their smoking status at Survey 1.</w:t>
      </w:r>
    </w:p>
    <w:p w14:paraId="34963C1C" w14:textId="7AAF4D85" w:rsidR="00BA2AEF" w:rsidRDefault="00552756" w:rsidP="00012F17">
      <w:r>
        <w:t xml:space="preserve">Survival </w:t>
      </w:r>
      <w:r w:rsidR="007D573D">
        <w:t>rates were lowest for women who smoked at Survey 1</w:t>
      </w:r>
      <w:r w:rsidR="002B56A7">
        <w:t xml:space="preserve">, </w:t>
      </w:r>
      <w:r w:rsidR="004A763C">
        <w:t>higher for ex-smokers</w:t>
      </w:r>
      <w:r w:rsidR="007D573D">
        <w:t xml:space="preserve"> and significantly </w:t>
      </w:r>
      <w:r w:rsidR="004A763C">
        <w:t>highe</w:t>
      </w:r>
      <w:r w:rsidR="007D573D">
        <w:t>r for never smokers</w:t>
      </w:r>
      <w:r w:rsidR="004A763C">
        <w:t>.</w:t>
      </w:r>
      <w:r w:rsidR="00BA2AEF">
        <w:br w:type="page"/>
      </w:r>
    </w:p>
    <w:p w14:paraId="6547CE61" w14:textId="0722ED5C" w:rsidR="000776A9" w:rsidRPr="001A1E4A" w:rsidRDefault="000776A9" w:rsidP="00084B2B">
      <w:pPr>
        <w:pStyle w:val="Heading3"/>
      </w:pPr>
      <w:bookmarkStart w:id="32" w:name="_Toc530561260"/>
      <w:r w:rsidRPr="001A1E4A">
        <w:lastRenderedPageBreak/>
        <w:t>Physical Activity</w:t>
      </w:r>
      <w:bookmarkEnd w:id="30"/>
      <w:bookmarkEnd w:id="32"/>
    </w:p>
    <w:p w14:paraId="0EC55CF9" w14:textId="77777777" w:rsidR="000776A9" w:rsidRPr="00F424C4" w:rsidRDefault="000776A9" w:rsidP="00F424C4">
      <w:r w:rsidRPr="00F424C4">
        <w:t>QUESTION: How many times did you do each type of activity last week? Only count the number of times when the activity lasted for 10 minutes or more.</w:t>
      </w:r>
    </w:p>
    <w:p w14:paraId="448C67FE" w14:textId="77777777" w:rsidR="000776A9" w:rsidRPr="003D0829" w:rsidRDefault="000776A9" w:rsidP="00020D3F">
      <w:pPr>
        <w:pStyle w:val="Questionbox"/>
        <w:numPr>
          <w:ilvl w:val="0"/>
          <w:numId w:val="6"/>
        </w:numPr>
        <w:shd w:val="clear" w:color="auto" w:fill="auto"/>
        <w:spacing w:before="0" w:after="0" w:line="240" w:lineRule="auto"/>
        <w:jc w:val="both"/>
        <w:rPr>
          <w:rFonts w:cs="Arial"/>
        </w:rPr>
      </w:pPr>
      <w:r w:rsidRPr="003D0829">
        <w:rPr>
          <w:rFonts w:cs="Arial"/>
        </w:rPr>
        <w:t>Walking briskly (for recreation or exercise, or to get from place to place)</w:t>
      </w:r>
    </w:p>
    <w:p w14:paraId="597E4334" w14:textId="77777777" w:rsidR="000776A9" w:rsidRPr="003D0829" w:rsidRDefault="000776A9" w:rsidP="00020D3F">
      <w:pPr>
        <w:pStyle w:val="ListParagraph"/>
        <w:numPr>
          <w:ilvl w:val="0"/>
          <w:numId w:val="6"/>
        </w:numPr>
        <w:rPr>
          <w:rFonts w:ascii="Arial" w:hAnsi="Arial" w:cs="Arial"/>
          <w:sz w:val="22"/>
          <w:szCs w:val="22"/>
        </w:rPr>
      </w:pPr>
      <w:r w:rsidRPr="003D0829">
        <w:rPr>
          <w:rFonts w:ascii="Arial" w:hAnsi="Arial" w:cs="Arial"/>
          <w:sz w:val="22"/>
          <w:szCs w:val="22"/>
        </w:rPr>
        <w:t>Moderate leisure activity (like social tennis, moderate exercise classes, recreational swimming, dancing), or more vigorous leisure activity (that makes you breathe harder or puff and pant)</w:t>
      </w:r>
    </w:p>
    <w:p w14:paraId="309DBE01" w14:textId="70235A25" w:rsidR="008929B9" w:rsidRPr="003D0829" w:rsidRDefault="000776A9" w:rsidP="00020D3F">
      <w:pPr>
        <w:pStyle w:val="ListParagraph"/>
        <w:numPr>
          <w:ilvl w:val="0"/>
          <w:numId w:val="6"/>
        </w:numPr>
        <w:rPr>
          <w:rFonts w:ascii="Arial" w:hAnsi="Arial" w:cs="Arial"/>
          <w:sz w:val="22"/>
          <w:szCs w:val="22"/>
        </w:rPr>
      </w:pPr>
      <w:r w:rsidRPr="003D0829">
        <w:rPr>
          <w:rFonts w:ascii="Arial" w:hAnsi="Arial" w:cs="Arial"/>
          <w:sz w:val="22"/>
          <w:szCs w:val="22"/>
        </w:rPr>
        <w:t>Vigorous work in the house or garden (like vacuuming, mopping, cleaning windows, digging, mowing, etc.)</w:t>
      </w:r>
    </w:p>
    <w:p w14:paraId="61872DA8" w14:textId="32C4507F" w:rsidR="004033CD" w:rsidRPr="00B5118D" w:rsidRDefault="00BA6742" w:rsidP="00012F17">
      <w:pPr>
        <w:rPr>
          <w:rFonts w:asciiTheme="minorHAnsi" w:hAnsiTheme="minorHAnsi"/>
        </w:rPr>
      </w:pPr>
      <w:r>
        <w:t xml:space="preserve">Questions were asked consistently from Survey 2 and the responses were used to </w:t>
      </w:r>
      <w:r w:rsidR="004622E6">
        <w:t>categorise women as: inactive, low level of physical activity, moderate level, or high level of physical activity.</w:t>
      </w:r>
      <w:r w:rsidR="00012F17">
        <w:t xml:space="preserve"> </w:t>
      </w:r>
      <w:r w:rsidR="00EE5123">
        <w:t xml:space="preserve">Physical activity </w:t>
      </w:r>
      <w:r w:rsidR="00671615">
        <w:t>q</w:t>
      </w:r>
      <w:r w:rsidR="00624576">
        <w:t>uestions are</w:t>
      </w:r>
      <w:r w:rsidR="00671615">
        <w:t xml:space="preserve"> </w:t>
      </w:r>
      <w:r w:rsidR="00EE5123">
        <w:t>not asked in the six-monthly surveys.</w:t>
      </w:r>
      <w:r w:rsidR="00012F17">
        <w:t xml:space="preserve"> </w:t>
      </w:r>
      <w:r w:rsidR="00EA4890">
        <w:t xml:space="preserve">The percentage of women in each category </w:t>
      </w:r>
      <w:r w:rsidR="009C748B">
        <w:t>over S</w:t>
      </w:r>
      <w:r w:rsidR="00690CAB">
        <w:t>urveys 2 -</w:t>
      </w:r>
      <w:r w:rsidR="00D96529">
        <w:t xml:space="preserve"> </w:t>
      </w:r>
      <w:r w:rsidR="00690CAB">
        <w:t xml:space="preserve">6 are </w:t>
      </w:r>
      <w:r w:rsidR="00690CAB" w:rsidRPr="001A1E4A">
        <w:rPr>
          <w:rFonts w:cstheme="minorHAnsi"/>
        </w:rPr>
        <w:t xml:space="preserve">shown in </w:t>
      </w:r>
      <w:r w:rsidR="001A1E4A" w:rsidRPr="001A1E4A">
        <w:rPr>
          <w:rFonts w:cstheme="minorHAnsi"/>
        </w:rPr>
        <w:fldChar w:fldCharType="begin"/>
      </w:r>
      <w:r w:rsidR="001A1E4A" w:rsidRPr="00084B2B">
        <w:rPr>
          <w:rFonts w:cstheme="minorHAnsi"/>
        </w:rPr>
        <w:instrText xml:space="preserve"> REF _Ref524949252 \h  \* MERGEFORMAT </w:instrText>
      </w:r>
      <w:r w:rsidR="001A1E4A" w:rsidRPr="001A1E4A">
        <w:rPr>
          <w:rFonts w:cstheme="minorHAnsi"/>
        </w:rPr>
      </w:r>
      <w:r w:rsidR="001A1E4A" w:rsidRPr="001A1E4A">
        <w:rPr>
          <w:rFonts w:cstheme="minorHAnsi"/>
        </w:rPr>
        <w:fldChar w:fldCharType="separate"/>
      </w:r>
      <w:r w:rsidR="00592779" w:rsidRPr="00592779">
        <w:rPr>
          <w:rFonts w:cstheme="minorHAnsi"/>
        </w:rPr>
        <w:t xml:space="preserve">Figure </w:t>
      </w:r>
      <w:r w:rsidR="00592779" w:rsidRPr="00592779">
        <w:rPr>
          <w:rFonts w:cstheme="minorHAnsi"/>
          <w:noProof/>
        </w:rPr>
        <w:t>3</w:t>
      </w:r>
      <w:r w:rsidR="00592779" w:rsidRPr="00592779">
        <w:rPr>
          <w:rFonts w:cstheme="minorHAnsi"/>
          <w:noProof/>
        </w:rPr>
        <w:noBreakHyphen/>
        <w:t>11</w:t>
      </w:r>
      <w:r w:rsidR="001A1E4A" w:rsidRPr="001A1E4A">
        <w:rPr>
          <w:rFonts w:cstheme="minorHAnsi"/>
        </w:rPr>
        <w:fldChar w:fldCharType="end"/>
      </w:r>
      <w:r w:rsidR="001A1E4A" w:rsidRPr="001A1E4A">
        <w:rPr>
          <w:rFonts w:cstheme="minorHAnsi"/>
        </w:rPr>
        <w:t xml:space="preserve"> </w:t>
      </w:r>
      <w:r w:rsidR="00690CAB" w:rsidRPr="001A1E4A">
        <w:rPr>
          <w:rFonts w:cstheme="minorHAnsi"/>
        </w:rPr>
        <w:t>(from</w:t>
      </w:r>
      <w:r w:rsidR="00690CAB">
        <w:t xml:space="preserve"> the</w:t>
      </w:r>
      <w:r w:rsidR="00012F17">
        <w:t xml:space="preserve"> 2014 summary for this cohort).</w:t>
      </w:r>
    </w:p>
    <w:p w14:paraId="41FF3D06" w14:textId="56606072" w:rsidR="009475C7" w:rsidRPr="00012F17" w:rsidRDefault="009475C7" w:rsidP="00012F17">
      <w:pPr>
        <w:rPr>
          <w:rFonts w:ascii="Calibri" w:eastAsia="Times New Roman" w:hAnsi="Calibri" w:cs="Times New Roman"/>
          <w:b/>
          <w:color w:val="000000"/>
          <w:lang w:eastAsia="en-AU"/>
        </w:rPr>
      </w:pPr>
      <w:r w:rsidRPr="00600D9D">
        <w:rPr>
          <w:noProof/>
          <w:sz w:val="24"/>
          <w:szCs w:val="24"/>
          <w:lang w:eastAsia="en-AU"/>
        </w:rPr>
        <w:drawing>
          <wp:inline distT="0" distB="0" distL="0" distR="0" wp14:anchorId="6B316CD8" wp14:editId="14071061">
            <wp:extent cx="5725795" cy="4298315"/>
            <wp:effectExtent l="0" t="0" r="8255" b="6985"/>
            <wp:docPr id="7" name="Picture 3" descr="Figure comparing the amount of physical activity from Survey 2 to Survey 6. See above and below for more information." title="Fig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5795" cy="4298315"/>
                    </a:xfrm>
                    <a:prstGeom prst="rect">
                      <a:avLst/>
                    </a:prstGeom>
                    <a:noFill/>
                    <a:ln>
                      <a:noFill/>
                    </a:ln>
                  </pic:spPr>
                </pic:pic>
              </a:graphicData>
            </a:graphic>
          </wp:inline>
        </w:drawing>
      </w:r>
      <w:bookmarkStart w:id="33" w:name="_Ref524949252"/>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11</w:t>
      </w:r>
      <w:r w:rsidR="00AE362D" w:rsidRPr="00012F17">
        <w:rPr>
          <w:b/>
          <w:noProof/>
        </w:rPr>
        <w:fldChar w:fldCharType="end"/>
      </w:r>
      <w:bookmarkEnd w:id="33"/>
      <w:r w:rsidR="001A1E4A" w:rsidRPr="00012F17">
        <w:rPr>
          <w:b/>
        </w:rPr>
        <w:t xml:space="preserve"> </w:t>
      </w:r>
      <w:r w:rsidR="00250FB7" w:rsidRPr="00012F17">
        <w:rPr>
          <w:b/>
        </w:rPr>
        <w:t xml:space="preserve">Physical activity from Survey </w:t>
      </w:r>
      <w:r w:rsidR="00A11418" w:rsidRPr="00012F17">
        <w:rPr>
          <w:b/>
        </w:rPr>
        <w:t>2</w:t>
      </w:r>
      <w:r w:rsidR="00250FB7" w:rsidRPr="00012F17">
        <w:rPr>
          <w:b/>
        </w:rPr>
        <w:t xml:space="preserve"> to Survey 6.</w:t>
      </w:r>
    </w:p>
    <w:p w14:paraId="57B744A2" w14:textId="200AB48F" w:rsidR="00FE1524" w:rsidRDefault="00EA4618" w:rsidP="007D6EA7">
      <w:r>
        <w:rPr>
          <w:bCs/>
          <w:iCs/>
        </w:rPr>
        <w:t xml:space="preserve">The </w:t>
      </w:r>
      <w:r w:rsidR="00AF378C">
        <w:t>percentage of women classified as inactive</w:t>
      </w:r>
      <w:r>
        <w:t xml:space="preserve"> increased </w:t>
      </w:r>
      <w:r w:rsidR="00AF378C">
        <w:t xml:space="preserve">from 34% </w:t>
      </w:r>
      <w:r w:rsidR="0081725A">
        <w:t xml:space="preserve">at </w:t>
      </w:r>
      <w:r w:rsidR="00AF378C">
        <w:t>age 73 to 78 years</w:t>
      </w:r>
      <w:r w:rsidR="00D96529">
        <w:t xml:space="preserve"> (Survey 2)</w:t>
      </w:r>
      <w:r w:rsidR="00AF378C">
        <w:t xml:space="preserve"> to </w:t>
      </w:r>
      <w:r w:rsidR="00D14A83">
        <w:t>59</w:t>
      </w:r>
      <w:r w:rsidR="00AF378C">
        <w:t>% by 85 to 90 years</w:t>
      </w:r>
      <w:r w:rsidR="00D96529">
        <w:t xml:space="preserve"> (Survey 6)</w:t>
      </w:r>
      <w:r w:rsidR="00AF378C">
        <w:t xml:space="preserve">. </w:t>
      </w:r>
      <w:r>
        <w:rPr>
          <w:bCs/>
          <w:iCs/>
        </w:rPr>
        <w:t xml:space="preserve">Although the figure </w:t>
      </w:r>
      <w:r w:rsidR="00F61181">
        <w:rPr>
          <w:bCs/>
          <w:iCs/>
        </w:rPr>
        <w:t xml:space="preserve">for moderate or high levels of physical activity </w:t>
      </w:r>
      <w:r>
        <w:rPr>
          <w:bCs/>
          <w:iCs/>
        </w:rPr>
        <w:t>declined over the study period, a</w:t>
      </w:r>
      <w:r w:rsidR="0081725A">
        <w:rPr>
          <w:bCs/>
          <w:iCs/>
        </w:rPr>
        <w:t>lmost</w:t>
      </w:r>
      <w:r w:rsidR="00AF378C">
        <w:rPr>
          <w:bCs/>
          <w:iCs/>
        </w:rPr>
        <w:t xml:space="preserve"> 20% of women </w:t>
      </w:r>
      <w:r w:rsidR="00F61181">
        <w:rPr>
          <w:bCs/>
          <w:iCs/>
        </w:rPr>
        <w:t>were still in this category at age</w:t>
      </w:r>
      <w:r w:rsidR="00AF378C">
        <w:rPr>
          <w:bCs/>
          <w:iCs/>
        </w:rPr>
        <w:t xml:space="preserve"> 85 to 90 years.</w:t>
      </w:r>
    </w:p>
    <w:p w14:paraId="3CCCC22C" w14:textId="4227FBC0" w:rsidR="00FE1524" w:rsidRPr="00CF0274" w:rsidRDefault="001A1E4A" w:rsidP="007D6EA7">
      <w:r>
        <w:lastRenderedPageBreak/>
        <w:fldChar w:fldCharType="begin"/>
      </w:r>
      <w:r>
        <w:instrText xml:space="preserve"> REF _Ref524949317 \h </w:instrText>
      </w:r>
      <w:r w:rsidR="00E52122">
        <w:instrText xml:space="preserve"> \* MERGEFORMAT </w:instrText>
      </w:r>
      <w:r>
        <w:fldChar w:fldCharType="separate"/>
      </w:r>
      <w:r w:rsidR="00592779" w:rsidRPr="00592779">
        <w:t xml:space="preserve">Figure </w:t>
      </w:r>
      <w:r w:rsidR="00592779" w:rsidRPr="00592779">
        <w:rPr>
          <w:noProof/>
        </w:rPr>
        <w:t>3</w:t>
      </w:r>
      <w:r w:rsidR="00592779" w:rsidRPr="00592779">
        <w:rPr>
          <w:noProof/>
        </w:rPr>
        <w:noBreakHyphen/>
        <w:t>12</w:t>
      </w:r>
      <w:r>
        <w:fldChar w:fldCharType="end"/>
      </w:r>
      <w:r>
        <w:t xml:space="preserve"> </w:t>
      </w:r>
      <w:r w:rsidR="004033CD" w:rsidRPr="00CF0274">
        <w:t>shows the survival curves for women classified by their level of physical activit</w:t>
      </w:r>
      <w:r w:rsidR="00B94ABB" w:rsidRPr="00CF0274">
        <w:t>y</w:t>
      </w:r>
      <w:r w:rsidR="004033CD" w:rsidRPr="00CF0274">
        <w:t xml:space="preserve"> at Survey 2</w:t>
      </w:r>
      <w:r w:rsidR="00E52122">
        <w:t>.</w:t>
      </w:r>
    </w:p>
    <w:p w14:paraId="59D4380C" w14:textId="02C71C46" w:rsidR="00E52122" w:rsidRPr="00012F17" w:rsidRDefault="008A43C0" w:rsidP="00012F17">
      <w:pPr>
        <w:rPr>
          <w:b/>
        </w:rPr>
      </w:pPr>
      <w:r>
        <w:rPr>
          <w:noProof/>
          <w:sz w:val="24"/>
          <w:szCs w:val="24"/>
          <w:lang w:eastAsia="en-AU"/>
        </w:rPr>
        <w:drawing>
          <wp:inline distT="0" distB="0" distL="0" distR="0" wp14:anchorId="39137CF2" wp14:editId="2FED06E6">
            <wp:extent cx="5731510" cy="4298315"/>
            <wp:effectExtent l="0" t="0" r="2540" b="6985"/>
            <wp:docPr id="13" name="Picture 13" descr="Graph showing the survival curves for the period 1996-2016 for groups of women defined by their level of physical activity at Survey 2. See above and below for more information." title="Fig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34" w:name="_Ref524949317"/>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12</w:t>
      </w:r>
      <w:r w:rsidR="00AE362D" w:rsidRPr="00012F17">
        <w:rPr>
          <w:b/>
          <w:noProof/>
        </w:rPr>
        <w:fldChar w:fldCharType="end"/>
      </w:r>
      <w:bookmarkEnd w:id="34"/>
      <w:r w:rsidR="001A1E4A" w:rsidRPr="00012F17">
        <w:rPr>
          <w:b/>
        </w:rPr>
        <w:t xml:space="preserve"> </w:t>
      </w:r>
      <w:r w:rsidR="00B94ABB" w:rsidRPr="00012F17">
        <w:rPr>
          <w:b/>
        </w:rPr>
        <w:t>Survival curves for the period 1996-2016 for groups of women defined by their level of physical activity at Survey 2.</w:t>
      </w:r>
    </w:p>
    <w:p w14:paraId="42E027A2" w14:textId="12F1428D" w:rsidR="006A6F66" w:rsidRPr="00CF0274" w:rsidRDefault="00D461F1" w:rsidP="007D6EA7">
      <w:r w:rsidRPr="007D6EA7">
        <w:t>Women who were inactive (the nil/sedentary group) at Survey 2 has substantially lower survival</w:t>
      </w:r>
      <w:r w:rsidR="00E50366" w:rsidRPr="007D6EA7">
        <w:t xml:space="preserve"> rates</w:t>
      </w:r>
      <w:r w:rsidRPr="007D6EA7">
        <w:t xml:space="preserve"> than </w:t>
      </w:r>
      <w:r w:rsidR="00E50366" w:rsidRPr="007D6EA7">
        <w:t xml:space="preserve">women in the other groups, and those in the high activity group had slightly </w:t>
      </w:r>
      <w:r w:rsidR="00CF0274" w:rsidRPr="007D6EA7">
        <w:t>higher survival than women in the intermediate groups</w:t>
      </w:r>
      <w:r w:rsidR="00CF0274">
        <w:t>.</w:t>
      </w:r>
      <w:r w:rsidR="006A6F66" w:rsidRPr="00CF0274">
        <w:br w:type="page"/>
      </w:r>
    </w:p>
    <w:p w14:paraId="29C31861" w14:textId="70AAA247" w:rsidR="001F7198" w:rsidRDefault="00446681" w:rsidP="00091A0A">
      <w:pPr>
        <w:pStyle w:val="Heading2"/>
        <w:ind w:left="578" w:hanging="578"/>
      </w:pPr>
      <w:bookmarkStart w:id="35" w:name="_Toc530561261"/>
      <w:r w:rsidRPr="00446681">
        <w:lastRenderedPageBreak/>
        <w:t>Health</w:t>
      </w:r>
      <w:bookmarkEnd w:id="35"/>
    </w:p>
    <w:p w14:paraId="3FE5301C" w14:textId="13CB2EA8" w:rsidR="00985038" w:rsidRPr="001A1E4A" w:rsidRDefault="00985038" w:rsidP="00084B2B">
      <w:pPr>
        <w:pStyle w:val="Heading3"/>
      </w:pPr>
      <w:bookmarkStart w:id="36" w:name="_Toc530561262"/>
      <w:r w:rsidRPr="001A1E4A">
        <w:t>S</w:t>
      </w:r>
      <w:r w:rsidR="009475C7" w:rsidRPr="001A1E4A">
        <w:t>elf-</w:t>
      </w:r>
      <w:r w:rsidRPr="001A1E4A">
        <w:t>R</w:t>
      </w:r>
      <w:r w:rsidR="009475C7" w:rsidRPr="001A1E4A">
        <w:t xml:space="preserve">ated </w:t>
      </w:r>
      <w:r w:rsidRPr="001A1E4A">
        <w:t>H</w:t>
      </w:r>
      <w:r w:rsidR="009475C7" w:rsidRPr="001A1E4A">
        <w:t>ealth</w:t>
      </w:r>
      <w:bookmarkEnd w:id="36"/>
    </w:p>
    <w:p w14:paraId="63203EAE" w14:textId="3C015EB8" w:rsidR="00250FB7" w:rsidRPr="00250FB7" w:rsidRDefault="00250FB7" w:rsidP="00250FB7">
      <w:r w:rsidRPr="00250FB7">
        <w:t>QUESTION: In general</w:t>
      </w:r>
      <w:r w:rsidR="00012F17">
        <w:t>, would you say your health is:</w:t>
      </w:r>
    </w:p>
    <w:p w14:paraId="67118209" w14:textId="77777777" w:rsidR="00250FB7" w:rsidRPr="00250FB7" w:rsidRDefault="00250FB7" w:rsidP="00020D3F">
      <w:pPr>
        <w:numPr>
          <w:ilvl w:val="0"/>
          <w:numId w:val="10"/>
        </w:numPr>
        <w:spacing w:after="0" w:line="240" w:lineRule="auto"/>
        <w:contextualSpacing/>
        <w:rPr>
          <w:rFonts w:eastAsia="Times New Roman" w:cs="Times New Roman"/>
          <w:lang w:eastAsia="en-AU"/>
        </w:rPr>
      </w:pPr>
      <w:r w:rsidRPr="00250FB7">
        <w:rPr>
          <w:rFonts w:eastAsia="Times New Roman" w:cs="Times New Roman"/>
          <w:lang w:eastAsia="en-AU"/>
        </w:rPr>
        <w:t>Excellent</w:t>
      </w:r>
    </w:p>
    <w:p w14:paraId="25B67FEB" w14:textId="77777777" w:rsidR="00250FB7" w:rsidRPr="00250FB7" w:rsidRDefault="00250FB7" w:rsidP="00020D3F">
      <w:pPr>
        <w:numPr>
          <w:ilvl w:val="0"/>
          <w:numId w:val="10"/>
        </w:numPr>
        <w:spacing w:after="0" w:line="240" w:lineRule="auto"/>
        <w:contextualSpacing/>
        <w:rPr>
          <w:rFonts w:eastAsia="Times New Roman" w:cs="Times New Roman"/>
          <w:lang w:eastAsia="en-AU"/>
        </w:rPr>
      </w:pPr>
      <w:r w:rsidRPr="00250FB7">
        <w:rPr>
          <w:rFonts w:eastAsia="Times New Roman" w:cs="Times New Roman"/>
          <w:lang w:eastAsia="en-AU"/>
        </w:rPr>
        <w:t>Very good</w:t>
      </w:r>
    </w:p>
    <w:p w14:paraId="65561C62" w14:textId="77777777" w:rsidR="00250FB7" w:rsidRPr="00250FB7" w:rsidRDefault="00250FB7" w:rsidP="00020D3F">
      <w:pPr>
        <w:numPr>
          <w:ilvl w:val="0"/>
          <w:numId w:val="10"/>
        </w:numPr>
        <w:spacing w:after="0" w:line="240" w:lineRule="auto"/>
        <w:contextualSpacing/>
        <w:rPr>
          <w:rFonts w:eastAsia="Times New Roman" w:cs="Times New Roman"/>
          <w:lang w:eastAsia="en-AU"/>
        </w:rPr>
      </w:pPr>
      <w:r w:rsidRPr="00250FB7">
        <w:rPr>
          <w:rFonts w:eastAsia="Times New Roman" w:cs="Times New Roman"/>
          <w:lang w:eastAsia="en-AU"/>
        </w:rPr>
        <w:t xml:space="preserve">Good </w:t>
      </w:r>
    </w:p>
    <w:p w14:paraId="338BB66A" w14:textId="77777777" w:rsidR="00250FB7" w:rsidRPr="00250FB7" w:rsidRDefault="00250FB7" w:rsidP="00020D3F">
      <w:pPr>
        <w:numPr>
          <w:ilvl w:val="0"/>
          <w:numId w:val="10"/>
        </w:numPr>
        <w:spacing w:after="0" w:line="240" w:lineRule="auto"/>
        <w:contextualSpacing/>
        <w:rPr>
          <w:rFonts w:eastAsia="Times New Roman" w:cs="Times New Roman"/>
          <w:lang w:eastAsia="en-AU"/>
        </w:rPr>
      </w:pPr>
      <w:r w:rsidRPr="00250FB7">
        <w:rPr>
          <w:rFonts w:eastAsia="Times New Roman" w:cs="Times New Roman"/>
          <w:lang w:eastAsia="en-AU"/>
        </w:rPr>
        <w:t xml:space="preserve">Fair </w:t>
      </w:r>
    </w:p>
    <w:p w14:paraId="1F86F85A" w14:textId="2BFDFB0E" w:rsidR="00094318" w:rsidRPr="00012F17" w:rsidRDefault="00250FB7" w:rsidP="00020D3F">
      <w:pPr>
        <w:numPr>
          <w:ilvl w:val="0"/>
          <w:numId w:val="10"/>
        </w:numPr>
        <w:spacing w:after="0" w:line="240" w:lineRule="auto"/>
        <w:contextualSpacing/>
        <w:rPr>
          <w:rFonts w:eastAsia="Times New Roman" w:cs="Times New Roman"/>
          <w:lang w:eastAsia="en-AU"/>
        </w:rPr>
      </w:pPr>
      <w:r w:rsidRPr="00250FB7">
        <w:rPr>
          <w:rFonts w:eastAsia="Times New Roman" w:cs="Times New Roman"/>
          <w:lang w:eastAsia="en-AU"/>
        </w:rPr>
        <w:t>Poor</w:t>
      </w:r>
    </w:p>
    <w:p w14:paraId="62950195" w14:textId="4FA1A9C5" w:rsidR="0014629A" w:rsidRDefault="00C41DB0" w:rsidP="007D6EA7">
      <w:pPr>
        <w:rPr>
          <w:bCs/>
          <w:iCs/>
        </w:rPr>
      </w:pPr>
      <w:r>
        <w:rPr>
          <w:rFonts w:eastAsia="Times New Roman" w:cs="Times New Roman"/>
          <w:lang w:eastAsia="en-AU"/>
        </w:rPr>
        <w:t xml:space="preserve">These categories were grouped into: excellent/very good, goof, fair/poor. </w:t>
      </w:r>
      <w:r w:rsidR="00AF4B86">
        <w:rPr>
          <w:bCs/>
          <w:iCs/>
        </w:rPr>
        <w:t xml:space="preserve">At </w:t>
      </w:r>
      <w:r w:rsidR="0014629A">
        <w:rPr>
          <w:bCs/>
          <w:iCs/>
        </w:rPr>
        <w:t>Survey 1</w:t>
      </w:r>
      <w:r w:rsidR="00AF4B86">
        <w:rPr>
          <w:bCs/>
          <w:iCs/>
        </w:rPr>
        <w:t>, 33% of women rated their health as ‘excellent’ or ‘very good’,</w:t>
      </w:r>
      <w:r w:rsidR="0014629A">
        <w:rPr>
          <w:bCs/>
          <w:iCs/>
        </w:rPr>
        <w:t xml:space="preserve"> 39% as ‘good’, and 28% as ‘fair’ or ‘poor’.</w:t>
      </w:r>
      <w:r w:rsidR="00012F17">
        <w:rPr>
          <w:bCs/>
          <w:iCs/>
        </w:rPr>
        <w:t xml:space="preserve"> </w:t>
      </w:r>
      <w:r w:rsidR="0014629A">
        <w:rPr>
          <w:bCs/>
          <w:iCs/>
        </w:rPr>
        <w:t>B</w:t>
      </w:r>
      <w:r w:rsidR="00AF4B86">
        <w:rPr>
          <w:bCs/>
          <w:iCs/>
        </w:rPr>
        <w:t xml:space="preserve">y </w:t>
      </w:r>
      <w:r w:rsidR="0014629A">
        <w:rPr>
          <w:bCs/>
          <w:iCs/>
        </w:rPr>
        <w:t>the most recent follow-up survey these percentages were 18%, 41% and 41% respectively.</w:t>
      </w:r>
    </w:p>
    <w:p w14:paraId="71F75F8F" w14:textId="44BA6EBA" w:rsidR="00094318" w:rsidRDefault="001A1E4A" w:rsidP="00B85C77">
      <w:pPr>
        <w:rPr>
          <w:rFonts w:eastAsia="Times New Roman" w:cs="Times New Roman"/>
          <w:lang w:eastAsia="en-AU"/>
        </w:rPr>
      </w:pPr>
      <w:r>
        <w:rPr>
          <w:rFonts w:eastAsia="Times New Roman" w:cs="Times New Roman"/>
          <w:lang w:eastAsia="en-AU"/>
        </w:rPr>
        <w:fldChar w:fldCharType="begin"/>
      </w:r>
      <w:r>
        <w:rPr>
          <w:rFonts w:eastAsia="Times New Roman" w:cs="Times New Roman"/>
          <w:lang w:eastAsia="en-AU"/>
        </w:rPr>
        <w:instrText xml:space="preserve"> REF _Ref524949379 \h </w:instrText>
      </w:r>
      <w:r>
        <w:rPr>
          <w:rFonts w:eastAsia="Times New Roman" w:cs="Times New Roman"/>
          <w:lang w:eastAsia="en-AU"/>
        </w:rPr>
      </w:r>
      <w:r>
        <w:rPr>
          <w:rFonts w:eastAsia="Times New Roman" w:cs="Times New Roman"/>
          <w:lang w:eastAsia="en-AU"/>
        </w:rPr>
        <w:fldChar w:fldCharType="separate"/>
      </w:r>
      <w:r w:rsidR="00592779" w:rsidRPr="00012F17">
        <w:rPr>
          <w:b/>
        </w:rPr>
        <w:t xml:space="preserve">Figure </w:t>
      </w:r>
      <w:r w:rsidR="00592779">
        <w:rPr>
          <w:b/>
          <w:noProof/>
        </w:rPr>
        <w:t>3</w:t>
      </w:r>
      <w:r w:rsidR="00592779" w:rsidRPr="00012F17">
        <w:rPr>
          <w:b/>
        </w:rPr>
        <w:noBreakHyphen/>
      </w:r>
      <w:r w:rsidR="00592779">
        <w:rPr>
          <w:b/>
          <w:noProof/>
        </w:rPr>
        <w:t>13</w:t>
      </w:r>
      <w:r>
        <w:rPr>
          <w:rFonts w:eastAsia="Times New Roman" w:cs="Times New Roman"/>
          <w:lang w:eastAsia="en-AU"/>
        </w:rPr>
        <w:fldChar w:fldCharType="end"/>
      </w:r>
      <w:r>
        <w:rPr>
          <w:rFonts w:eastAsia="Times New Roman" w:cs="Times New Roman"/>
          <w:lang w:eastAsia="en-AU"/>
        </w:rPr>
        <w:t xml:space="preserve"> </w:t>
      </w:r>
      <w:r w:rsidR="00C41DB0">
        <w:rPr>
          <w:rFonts w:eastAsia="Times New Roman" w:cs="Times New Roman"/>
          <w:lang w:eastAsia="en-AU"/>
        </w:rPr>
        <w:t xml:space="preserve">shows </w:t>
      </w:r>
      <w:r w:rsidR="00C86D40">
        <w:rPr>
          <w:rFonts w:eastAsia="Times New Roman" w:cs="Times New Roman"/>
          <w:lang w:eastAsia="en-AU"/>
        </w:rPr>
        <w:t xml:space="preserve">the trajectories for the </w:t>
      </w:r>
      <w:r w:rsidR="00AA24E6">
        <w:rPr>
          <w:rFonts w:eastAsia="Times New Roman" w:cs="Times New Roman"/>
          <w:lang w:eastAsia="en-AU"/>
        </w:rPr>
        <w:t xml:space="preserve">women who rated their health as </w:t>
      </w:r>
      <w:r w:rsidR="00C86D40">
        <w:rPr>
          <w:rFonts w:eastAsia="Times New Roman" w:cs="Times New Roman"/>
          <w:lang w:eastAsia="en-AU"/>
        </w:rPr>
        <w:t>‘fair’ or ‘poor’.</w:t>
      </w:r>
    </w:p>
    <w:p w14:paraId="67B4053F" w14:textId="273C3695" w:rsidR="008929B9" w:rsidRPr="00012F17" w:rsidRDefault="00624A2C" w:rsidP="00012F17">
      <w:pPr>
        <w:spacing w:after="0" w:line="240" w:lineRule="auto"/>
        <w:contextualSpacing/>
        <w:rPr>
          <w:rFonts w:eastAsia="Times New Roman" w:cs="Times New Roman"/>
          <w:b/>
          <w:lang w:eastAsia="en-AU"/>
        </w:rPr>
      </w:pPr>
      <w:r>
        <w:rPr>
          <w:noProof/>
          <w:sz w:val="24"/>
          <w:szCs w:val="24"/>
          <w:lang w:eastAsia="en-AU"/>
        </w:rPr>
        <w:drawing>
          <wp:inline distT="0" distB="0" distL="0" distR="0" wp14:anchorId="6373A8C3" wp14:editId="391ED19D">
            <wp:extent cx="5731510" cy="4298315"/>
            <wp:effectExtent l="0" t="0" r="2540" b="6985"/>
            <wp:docPr id="5" name="Picture 5" descr="Graph illustrating the percentages of women who rated their health as ‘fair’ or ‘poor’, for all women who completed each survey (open circles) and for the women who completed every survey (+ signs)." title="Fig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37" w:name="_Ref524949379"/>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13</w:t>
      </w:r>
      <w:r w:rsidR="00AE362D" w:rsidRPr="00012F17">
        <w:rPr>
          <w:b/>
          <w:noProof/>
        </w:rPr>
        <w:fldChar w:fldCharType="end"/>
      </w:r>
      <w:bookmarkEnd w:id="37"/>
      <w:r w:rsidR="001A1E4A" w:rsidRPr="00012F17">
        <w:rPr>
          <w:b/>
        </w:rPr>
        <w:t xml:space="preserve"> </w:t>
      </w:r>
      <w:r w:rsidR="00AC7F15" w:rsidRPr="00012F17">
        <w:rPr>
          <w:b/>
        </w:rPr>
        <w:t>Percentages of women who rated their health as ‘fair’ or ‘poor’</w:t>
      </w:r>
      <w:r w:rsidR="00160BF0" w:rsidRPr="00012F17">
        <w:rPr>
          <w:b/>
        </w:rPr>
        <w:t>,</w:t>
      </w:r>
      <w:r w:rsidR="00AC7F15" w:rsidRPr="00012F17">
        <w:rPr>
          <w:b/>
        </w:rPr>
        <w:t xml:space="preserve"> for all women who completed each survey (open circles) and for the women who co</w:t>
      </w:r>
      <w:r w:rsidR="00012F17" w:rsidRPr="00012F17">
        <w:rPr>
          <w:b/>
        </w:rPr>
        <w:t>mpleted every survey (+ signs).</w:t>
      </w:r>
    </w:p>
    <w:p w14:paraId="1CEAF0EB" w14:textId="0831D2BA" w:rsidR="00E52122" w:rsidRDefault="00AA24E6" w:rsidP="00E52122">
      <w:pPr>
        <w:rPr>
          <w:lang w:eastAsia="en-AU"/>
        </w:rPr>
      </w:pPr>
      <w:r>
        <w:rPr>
          <w:lang w:eastAsia="en-AU"/>
        </w:rPr>
        <w:t>T</w:t>
      </w:r>
      <w:r w:rsidR="00AF4B86">
        <w:rPr>
          <w:lang w:eastAsia="en-AU"/>
        </w:rPr>
        <w:t>he percentage of women who classified</w:t>
      </w:r>
      <w:r>
        <w:rPr>
          <w:lang w:eastAsia="en-AU"/>
        </w:rPr>
        <w:t xml:space="preserve"> their health</w:t>
      </w:r>
      <w:r w:rsidR="00AF4B86">
        <w:rPr>
          <w:lang w:eastAsia="en-AU"/>
        </w:rPr>
        <w:t xml:space="preserve"> as ‘fair’ or ‘poor’ increased steadily over the study period</w:t>
      </w:r>
      <w:r w:rsidR="00B6261F">
        <w:rPr>
          <w:lang w:eastAsia="en-AU"/>
        </w:rPr>
        <w:t>, with a sharp increase in the percentage “fair/poor” between Survey 6 and Six-month follow-up 1</w:t>
      </w:r>
      <w:r w:rsidR="00AF4B86">
        <w:rPr>
          <w:lang w:eastAsia="en-AU"/>
        </w:rPr>
        <w:t>.</w:t>
      </w:r>
      <w:r w:rsidR="008D7083">
        <w:rPr>
          <w:lang w:eastAsia="en-AU"/>
        </w:rPr>
        <w:t xml:space="preserve"> </w:t>
      </w:r>
      <w:r w:rsidR="00B6261F">
        <w:rPr>
          <w:lang w:eastAsia="en-AU"/>
        </w:rPr>
        <w:t>Compared to all the women who completed Survey 1,</w:t>
      </w:r>
      <w:r w:rsidR="008D7083">
        <w:rPr>
          <w:lang w:eastAsia="en-AU"/>
        </w:rPr>
        <w:t xml:space="preserve"> women who went on to complete every survey</w:t>
      </w:r>
      <w:r w:rsidR="00B925E4">
        <w:rPr>
          <w:lang w:eastAsia="en-AU"/>
        </w:rPr>
        <w:t xml:space="preserve"> were less likely to report ‘fair’ or ‘poor’ health</w:t>
      </w:r>
      <w:r w:rsidR="00012F17">
        <w:rPr>
          <w:lang w:eastAsia="en-AU"/>
        </w:rPr>
        <w:t>.</w:t>
      </w:r>
    </w:p>
    <w:p w14:paraId="4CDC283A" w14:textId="3470B03B" w:rsidR="00AF4B86" w:rsidRDefault="00E52122" w:rsidP="009B58B7">
      <w:pPr>
        <w:rPr>
          <w:bCs/>
          <w:iCs/>
        </w:rPr>
      </w:pPr>
      <w:r>
        <w:lastRenderedPageBreak/>
        <w:t xml:space="preserve">Self-rated health is a very good predictor of survival, as shown in </w:t>
      </w:r>
      <w:r>
        <w:fldChar w:fldCharType="begin"/>
      </w:r>
      <w:r>
        <w:instrText xml:space="preserve"> REF _Ref524949420 \h </w:instrText>
      </w:r>
      <w:r>
        <w:fldChar w:fldCharType="separate"/>
      </w:r>
      <w:r w:rsidR="00592779" w:rsidRPr="00012F17">
        <w:rPr>
          <w:b/>
        </w:rPr>
        <w:t xml:space="preserve">Figure </w:t>
      </w:r>
      <w:r w:rsidR="00592779">
        <w:rPr>
          <w:b/>
          <w:noProof/>
        </w:rPr>
        <w:t>3</w:t>
      </w:r>
      <w:r w:rsidR="00592779" w:rsidRPr="00012F17">
        <w:rPr>
          <w:b/>
        </w:rPr>
        <w:noBreakHyphen/>
      </w:r>
      <w:r w:rsidR="00592779">
        <w:rPr>
          <w:b/>
          <w:noProof/>
        </w:rPr>
        <w:t>14</w:t>
      </w:r>
      <w:r>
        <w:fldChar w:fldCharType="end"/>
      </w:r>
      <w:r w:rsidR="00012F17">
        <w:t>.</w:t>
      </w:r>
    </w:p>
    <w:p w14:paraId="5008E655" w14:textId="7E1D3421" w:rsidR="00106D5F" w:rsidRPr="00012F17" w:rsidRDefault="008A43C0" w:rsidP="00012F17">
      <w:pPr>
        <w:rPr>
          <w:b/>
        </w:rPr>
      </w:pPr>
      <w:r>
        <w:rPr>
          <w:noProof/>
          <w:sz w:val="24"/>
          <w:szCs w:val="24"/>
          <w:lang w:eastAsia="en-AU"/>
        </w:rPr>
        <w:drawing>
          <wp:inline distT="0" distB="0" distL="0" distR="0" wp14:anchorId="4398D220" wp14:editId="68E9C4CD">
            <wp:extent cx="5731510" cy="4298315"/>
            <wp:effectExtent l="0" t="0" r="2540" b="6985"/>
            <wp:docPr id="14" name="Picture 14" descr="Graph showing the survival curves for the period 1996-2016 for women grouped by their self-rated health at Survey 1. See above and below for more information." title="Fig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r w:rsidR="001A1E4A">
        <w:t xml:space="preserve"> </w:t>
      </w:r>
      <w:bookmarkStart w:id="38" w:name="_Ref524949420"/>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14</w:t>
      </w:r>
      <w:r w:rsidR="00AE362D" w:rsidRPr="00012F17">
        <w:rPr>
          <w:b/>
          <w:noProof/>
        </w:rPr>
        <w:fldChar w:fldCharType="end"/>
      </w:r>
      <w:bookmarkEnd w:id="38"/>
      <w:r w:rsidR="001A1E4A" w:rsidRPr="00012F17">
        <w:rPr>
          <w:b/>
        </w:rPr>
        <w:t xml:space="preserve"> </w:t>
      </w:r>
      <w:r w:rsidR="00106D5F" w:rsidRPr="00012F17">
        <w:rPr>
          <w:b/>
        </w:rPr>
        <w:t xml:space="preserve">Survival curves for the period 1996-2016 for women </w:t>
      </w:r>
      <w:r w:rsidR="00FF47B5" w:rsidRPr="00012F17">
        <w:rPr>
          <w:b/>
        </w:rPr>
        <w:t>grouped by their self-rated health at Survey 1.</w:t>
      </w:r>
    </w:p>
    <w:p w14:paraId="2281C42E" w14:textId="0C280952" w:rsidR="00E52122" w:rsidRPr="00012F17" w:rsidRDefault="00E52122" w:rsidP="007D6EA7">
      <w:pPr>
        <w:rPr>
          <w:rFonts w:cs="Times New Roman"/>
        </w:rPr>
      </w:pPr>
      <w:r>
        <w:t>W</w:t>
      </w:r>
      <w:r w:rsidR="00423E39">
        <w:t xml:space="preserve">omen who rated their health as ‘fair’ or ‘poor’ </w:t>
      </w:r>
      <w:r w:rsidR="00B6261F">
        <w:t xml:space="preserve">at Survey 1 </w:t>
      </w:r>
      <w:r w:rsidR="00423E39">
        <w:t xml:space="preserve">had the significantly lowest survival rates, and those who rated their health as </w:t>
      </w:r>
      <w:r w:rsidR="00904756">
        <w:t>‘excellent’ or ‘very good’ had significantly higher survival rates.</w:t>
      </w:r>
    </w:p>
    <w:p w14:paraId="2F569F6C" w14:textId="27005560" w:rsidR="00DC0603" w:rsidRPr="001A1E4A" w:rsidRDefault="00DC0603" w:rsidP="001A1E4A">
      <w:pPr>
        <w:pStyle w:val="Heading3"/>
      </w:pPr>
      <w:bookmarkStart w:id="39" w:name="_Toc530561263"/>
      <w:r w:rsidRPr="001A1E4A">
        <w:t xml:space="preserve">Health-related Quality of Life – </w:t>
      </w:r>
      <w:r w:rsidR="00CA7697" w:rsidRPr="001A1E4A">
        <w:t>physical functioning and mental health scores</w:t>
      </w:r>
      <w:bookmarkEnd w:id="39"/>
    </w:p>
    <w:p w14:paraId="292EBAEB" w14:textId="7F1BD93D" w:rsidR="00DC0603" w:rsidRPr="00DD0B46" w:rsidRDefault="00DC0603" w:rsidP="007D6EA7">
      <w:r w:rsidRPr="00DD0B46">
        <w:t>Scores on the SF-36 are used to measure Health-related quality of life</w:t>
      </w:r>
      <w:r w:rsidR="00B6261F">
        <w:t>,</w:t>
      </w:r>
      <w:r w:rsidR="00DD0B46" w:rsidRPr="00DD0B46">
        <w:t xml:space="preserve"> with two of the main sub-scales being </w:t>
      </w:r>
      <w:r w:rsidRPr="00DD0B46">
        <w:t>physical functioning</w:t>
      </w:r>
      <w:r w:rsidR="00B6261F">
        <w:t xml:space="preserve"> (</w:t>
      </w:r>
      <w:r w:rsidR="00160BA7">
        <w:t>as a marker of physical health</w:t>
      </w:r>
      <w:r w:rsidR="00B6261F">
        <w:t>)</w:t>
      </w:r>
      <w:r w:rsidR="00DD0B46" w:rsidRPr="00DD0B46">
        <w:t xml:space="preserve"> </w:t>
      </w:r>
      <w:r w:rsidRPr="00DD0B46">
        <w:t>and mental health</w:t>
      </w:r>
      <w:r w:rsidR="00DD0B46" w:rsidRPr="00DD0B46">
        <w:t xml:space="preserve"> </w:t>
      </w:r>
      <w:r w:rsidR="00DD0B46">
        <w:t>(Ware et al, 1993)</w:t>
      </w:r>
      <w:r w:rsidRPr="00DD0B46">
        <w:t>. All scales are positively scored so that higher scores represent better</w:t>
      </w:r>
      <w:r w:rsidR="00DD0B46" w:rsidRPr="00DD0B46">
        <w:t xml:space="preserve"> outcomes</w:t>
      </w:r>
      <w:r w:rsidRPr="00DD0B46">
        <w:t>.</w:t>
      </w:r>
    </w:p>
    <w:p w14:paraId="6C47FF73" w14:textId="77777777" w:rsidR="009866E2" w:rsidRPr="00D3035E" w:rsidRDefault="009866E2" w:rsidP="009866E2">
      <w:pPr>
        <w:rPr>
          <w:b/>
        </w:rPr>
      </w:pPr>
      <w:r w:rsidRPr="00D3035E">
        <w:rPr>
          <w:b/>
        </w:rPr>
        <w:t>Physical functioning</w:t>
      </w:r>
    </w:p>
    <w:p w14:paraId="3C7F0C62" w14:textId="0D01462E" w:rsidR="009866E2" w:rsidRPr="009866E2" w:rsidRDefault="009866E2" w:rsidP="009866E2">
      <w:r w:rsidRPr="009866E2">
        <w:t>QUESTION: The following questions are about activities you might do during a typical day.</w:t>
      </w:r>
      <w:r w:rsidR="00012F17">
        <w:t xml:space="preserve"> </w:t>
      </w:r>
      <w:r w:rsidRPr="009866E2">
        <w:t>Does your health now limit you in the</w:t>
      </w:r>
      <w:r w:rsidR="00012F17">
        <w:t>se activities? If so, how much?</w:t>
      </w:r>
    </w:p>
    <w:p w14:paraId="710AD421"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Vigorous activities such as running, lifting heavy objects, participating in strenuous sports</w:t>
      </w:r>
    </w:p>
    <w:p w14:paraId="4778EF99"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lastRenderedPageBreak/>
        <w:t>Moderate activities, such as moving a table, pushing a vacuum cleaner, bowling or playing golf</w:t>
      </w:r>
    </w:p>
    <w:p w14:paraId="058C92EF"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Lifting or carrying groceries</w:t>
      </w:r>
    </w:p>
    <w:p w14:paraId="7CED7FD6"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Climbing several flights of stairs</w:t>
      </w:r>
    </w:p>
    <w:p w14:paraId="3E4E2A9B"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Climbing one flight of stairs</w:t>
      </w:r>
    </w:p>
    <w:p w14:paraId="57C54B82"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Bending, kneeling or stooping</w:t>
      </w:r>
    </w:p>
    <w:p w14:paraId="46EE93D7"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Walking more than one kilometre</w:t>
      </w:r>
    </w:p>
    <w:p w14:paraId="49AA823C"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Walking half a kilometre</w:t>
      </w:r>
    </w:p>
    <w:p w14:paraId="2D531D8D"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Walking 100 metres</w:t>
      </w:r>
    </w:p>
    <w:p w14:paraId="68A17752" w14:textId="77777777" w:rsidR="009866E2" w:rsidRPr="009866E2" w:rsidRDefault="009866E2" w:rsidP="00020D3F">
      <w:pPr>
        <w:numPr>
          <w:ilvl w:val="0"/>
          <w:numId w:val="11"/>
        </w:numPr>
        <w:spacing w:after="0"/>
        <w:ind w:left="714" w:hanging="357"/>
        <w:contextualSpacing/>
        <w:rPr>
          <w:rFonts w:eastAsia="Times New Roman" w:cs="Times New Roman"/>
          <w:lang w:eastAsia="en-AU"/>
        </w:rPr>
      </w:pPr>
      <w:r w:rsidRPr="009866E2">
        <w:rPr>
          <w:rFonts w:eastAsia="Times New Roman" w:cs="Times New Roman"/>
          <w:lang w:eastAsia="en-AU"/>
        </w:rPr>
        <w:t>Bathing or dressing yourself</w:t>
      </w:r>
    </w:p>
    <w:p w14:paraId="156B8179" w14:textId="2E5D0EC4" w:rsidR="009866E2" w:rsidRDefault="008929B9" w:rsidP="009866E2">
      <w:r>
        <w:t>(</w:t>
      </w:r>
      <w:r w:rsidR="009866E2" w:rsidRPr="009866E2">
        <w:t xml:space="preserve">Response options: Yes, limited a lot; </w:t>
      </w:r>
      <w:proofErr w:type="gramStart"/>
      <w:r w:rsidR="009866E2" w:rsidRPr="009866E2">
        <w:t>Yes</w:t>
      </w:r>
      <w:proofErr w:type="gramEnd"/>
      <w:r w:rsidR="009866E2" w:rsidRPr="009866E2">
        <w:t>, limited a little; No, not limited at all</w:t>
      </w:r>
      <w:r>
        <w:t>)</w:t>
      </w:r>
      <w:r w:rsidR="009866E2" w:rsidRPr="009866E2">
        <w:t>.</w:t>
      </w:r>
    </w:p>
    <w:p w14:paraId="05E2C783" w14:textId="73F4776A" w:rsidR="001A1E4A" w:rsidRDefault="00084424" w:rsidP="005D4FA2">
      <w:r>
        <w:t xml:space="preserve">The </w:t>
      </w:r>
      <w:r w:rsidR="009B2D2B">
        <w:t xml:space="preserve">responses </w:t>
      </w:r>
      <w:r>
        <w:t xml:space="preserve">are used to calculate a </w:t>
      </w:r>
      <w:r w:rsidR="009B2D2B">
        <w:t xml:space="preserve">summary </w:t>
      </w:r>
      <w:r>
        <w:t>score ranging from 0 to 100 with higher scores indicating better physical functioning.</w:t>
      </w:r>
      <w:r w:rsidR="00012F17">
        <w:t xml:space="preserve"> </w:t>
      </w:r>
      <w:r w:rsidR="001A1E4A">
        <w:fldChar w:fldCharType="begin"/>
      </w:r>
      <w:r w:rsidR="001A1E4A">
        <w:instrText xml:space="preserve"> REF _Ref524949508 \h </w:instrText>
      </w:r>
      <w:r w:rsidR="001A1E4A">
        <w:fldChar w:fldCharType="separate"/>
      </w:r>
      <w:r w:rsidR="00592779" w:rsidRPr="00012F17">
        <w:rPr>
          <w:b/>
        </w:rPr>
        <w:t xml:space="preserve">Figure </w:t>
      </w:r>
      <w:r w:rsidR="00592779">
        <w:rPr>
          <w:b/>
          <w:noProof/>
        </w:rPr>
        <w:t>3</w:t>
      </w:r>
      <w:r w:rsidR="00592779" w:rsidRPr="00012F17">
        <w:rPr>
          <w:b/>
        </w:rPr>
        <w:noBreakHyphen/>
      </w:r>
      <w:r w:rsidR="00592779">
        <w:rPr>
          <w:b/>
          <w:noProof/>
        </w:rPr>
        <w:t>15</w:t>
      </w:r>
      <w:r w:rsidR="001A1E4A">
        <w:fldChar w:fldCharType="end"/>
      </w:r>
      <w:r w:rsidR="001A1E4A">
        <w:t xml:space="preserve"> </w:t>
      </w:r>
      <w:r w:rsidR="008E62E8">
        <w:t>shows the trajectories for mean scores over time</w:t>
      </w:r>
      <w:r w:rsidR="0079443D">
        <w:t>.</w:t>
      </w:r>
    </w:p>
    <w:p w14:paraId="637944B7" w14:textId="4B207482" w:rsidR="0079443D" w:rsidRPr="00012F17" w:rsidRDefault="00624A2C" w:rsidP="00012F17">
      <w:pPr>
        <w:rPr>
          <w:b/>
          <w:bCs/>
          <w:iCs/>
        </w:rPr>
      </w:pPr>
      <w:r>
        <w:rPr>
          <w:noProof/>
          <w:sz w:val="24"/>
          <w:szCs w:val="24"/>
          <w:lang w:eastAsia="en-AU"/>
        </w:rPr>
        <w:drawing>
          <wp:inline distT="0" distB="0" distL="0" distR="0" wp14:anchorId="46DF58D7" wp14:editId="3C89E059">
            <wp:extent cx="5731510" cy="4298315"/>
            <wp:effectExtent l="0" t="0" r="2540" b="6985"/>
            <wp:docPr id="26" name="Picture 26" descr="Graph illustrating the mean scores for physical functioning for all women who completed each survey (open circles) and for the women who completed every survey (+ signs)." title="Fig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40" w:name="_Ref524949508"/>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15</w:t>
      </w:r>
      <w:r w:rsidR="00AE362D" w:rsidRPr="00012F17">
        <w:rPr>
          <w:b/>
          <w:noProof/>
        </w:rPr>
        <w:fldChar w:fldCharType="end"/>
      </w:r>
      <w:bookmarkEnd w:id="40"/>
      <w:r w:rsidR="0079443D" w:rsidRPr="00012F17">
        <w:rPr>
          <w:b/>
        </w:rPr>
        <w:t xml:space="preserve"> Mean scores for physical functioning for all women who completed each survey (open circles) and for the women who completed every survey (+ signs).</w:t>
      </w:r>
    </w:p>
    <w:p w14:paraId="3589AD85" w14:textId="51F3309C" w:rsidR="007D6EA7" w:rsidRDefault="00E76B2B" w:rsidP="00012F17">
      <w:pPr>
        <w:rPr>
          <w:bCs/>
          <w:iCs/>
        </w:rPr>
      </w:pPr>
      <w:r w:rsidRPr="00624576">
        <w:t>Mean scores for p</w:t>
      </w:r>
      <w:r w:rsidR="001520A6" w:rsidRPr="00624576">
        <w:t xml:space="preserve">hysical functioning declined </w:t>
      </w:r>
      <w:r w:rsidRPr="00624576">
        <w:t xml:space="preserve">at each survey and also </w:t>
      </w:r>
      <w:r w:rsidR="001520A6" w:rsidRPr="00624576">
        <w:t xml:space="preserve">over time </w:t>
      </w:r>
      <w:r w:rsidRPr="00624576">
        <w:t xml:space="preserve">for women who responded to every survey. </w:t>
      </w:r>
      <w:r w:rsidR="007A011B">
        <w:t>Women who completed all surveys had better physical functioning at earlier surveys when compared to all</w:t>
      </w:r>
      <w:r w:rsidR="00012F17">
        <w:t xml:space="preserve"> women who commenced the study.</w:t>
      </w:r>
      <w:r w:rsidR="007D6EA7">
        <w:rPr>
          <w:bCs/>
          <w:iCs/>
        </w:rPr>
        <w:br w:type="page"/>
      </w:r>
    </w:p>
    <w:p w14:paraId="40DCD0C2" w14:textId="4FB2B3F5" w:rsidR="00E76B2B" w:rsidRPr="00624576" w:rsidRDefault="001A1E4A">
      <w:pPr>
        <w:rPr>
          <w:bCs/>
          <w:iCs/>
        </w:rPr>
      </w:pPr>
      <w:r>
        <w:rPr>
          <w:bCs/>
          <w:iCs/>
        </w:rPr>
        <w:lastRenderedPageBreak/>
        <w:fldChar w:fldCharType="begin"/>
      </w:r>
      <w:r>
        <w:rPr>
          <w:bCs/>
          <w:iCs/>
        </w:rPr>
        <w:instrText xml:space="preserve"> REF _Ref524949548 \h </w:instrText>
      </w:r>
      <w:r>
        <w:rPr>
          <w:bCs/>
          <w:iCs/>
        </w:rPr>
      </w:r>
      <w:r>
        <w:rPr>
          <w:bCs/>
          <w:iCs/>
        </w:rPr>
        <w:fldChar w:fldCharType="separate"/>
      </w:r>
      <w:r w:rsidR="00592779">
        <w:t xml:space="preserve"> </w:t>
      </w:r>
      <w:r w:rsidR="00592779" w:rsidRPr="00012F17">
        <w:rPr>
          <w:b/>
        </w:rPr>
        <w:t xml:space="preserve">Figure </w:t>
      </w:r>
      <w:r w:rsidR="00592779">
        <w:rPr>
          <w:b/>
          <w:noProof/>
        </w:rPr>
        <w:t>3</w:t>
      </w:r>
      <w:r w:rsidR="00592779" w:rsidRPr="00012F17">
        <w:rPr>
          <w:b/>
        </w:rPr>
        <w:noBreakHyphen/>
      </w:r>
      <w:r w:rsidR="00592779">
        <w:rPr>
          <w:b/>
          <w:noProof/>
        </w:rPr>
        <w:t>16</w:t>
      </w:r>
      <w:r>
        <w:rPr>
          <w:bCs/>
          <w:iCs/>
        </w:rPr>
        <w:fldChar w:fldCharType="end"/>
      </w:r>
      <w:r>
        <w:rPr>
          <w:bCs/>
          <w:iCs/>
        </w:rPr>
        <w:t xml:space="preserve"> </w:t>
      </w:r>
      <w:r w:rsidR="00E76B2B" w:rsidRPr="00624576">
        <w:rPr>
          <w:bCs/>
          <w:iCs/>
        </w:rPr>
        <w:t>shows the survival curves for women grouped into quintiles based on their scores at Survey 1.</w:t>
      </w:r>
    </w:p>
    <w:p w14:paraId="4F1488E7" w14:textId="3E1D1FDB" w:rsidR="002A3687" w:rsidRPr="00012F17" w:rsidRDefault="008A43C0" w:rsidP="00012F17">
      <w:pPr>
        <w:rPr>
          <w:b/>
          <w:bCs/>
          <w:iCs/>
          <w:u w:val="single"/>
        </w:rPr>
      </w:pPr>
      <w:r>
        <w:rPr>
          <w:noProof/>
          <w:sz w:val="24"/>
          <w:szCs w:val="24"/>
          <w:lang w:eastAsia="en-AU"/>
        </w:rPr>
        <w:drawing>
          <wp:inline distT="0" distB="0" distL="0" distR="0" wp14:anchorId="6625ABE9" wp14:editId="39AEEEE4">
            <wp:extent cx="5731510" cy="4298315"/>
            <wp:effectExtent l="0" t="0" r="2540" b="6985"/>
            <wp:docPr id="15" name="Picture 15" descr="Graph showing the survival curves for the period 1996-2016 women grouped by quintiles of their physical functioning scores health at Survey 1 (1 = lowest 20% of scores, and 5 = highest 20% of scores). See above and below for more information." title="Fig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41" w:name="_Ref524949548"/>
      <w:r w:rsidR="00012F17">
        <w:t xml:space="preserve"> </w:t>
      </w:r>
      <w:r w:rsidR="001A1E4A"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16</w:t>
      </w:r>
      <w:r w:rsidR="00AE362D" w:rsidRPr="00012F17">
        <w:rPr>
          <w:b/>
          <w:noProof/>
        </w:rPr>
        <w:fldChar w:fldCharType="end"/>
      </w:r>
      <w:bookmarkEnd w:id="41"/>
      <w:r w:rsidR="001A1E4A" w:rsidRPr="00012F17">
        <w:rPr>
          <w:b/>
        </w:rPr>
        <w:t xml:space="preserve"> </w:t>
      </w:r>
      <w:r w:rsidR="002A3687" w:rsidRPr="00012F17">
        <w:rPr>
          <w:b/>
        </w:rPr>
        <w:t xml:space="preserve">Survival curves for the period 1996-2016 women grouped by </w:t>
      </w:r>
      <w:r w:rsidR="00CD3871" w:rsidRPr="00012F17">
        <w:rPr>
          <w:b/>
        </w:rPr>
        <w:t>quintiles of their physical functioning scores</w:t>
      </w:r>
      <w:r w:rsidR="002A3687" w:rsidRPr="00012F17">
        <w:rPr>
          <w:b/>
        </w:rPr>
        <w:t xml:space="preserve"> health at Survey 1</w:t>
      </w:r>
      <w:r w:rsidR="00CD3871" w:rsidRPr="00012F17">
        <w:rPr>
          <w:b/>
        </w:rPr>
        <w:t xml:space="preserve"> (1 = lowest 20% of scores</w:t>
      </w:r>
      <w:r w:rsidR="00276CD2" w:rsidRPr="00012F17">
        <w:rPr>
          <w:b/>
        </w:rPr>
        <w:t>, and 5 = highest 20% of scores)</w:t>
      </w:r>
      <w:r w:rsidR="002A3687" w:rsidRPr="00012F17">
        <w:rPr>
          <w:b/>
        </w:rPr>
        <w:t>.</w:t>
      </w:r>
      <w:r w:rsidR="00012F17" w:rsidRPr="00012F17">
        <w:rPr>
          <w:b/>
        </w:rPr>
        <w:t xml:space="preserve"> </w:t>
      </w:r>
    </w:p>
    <w:p w14:paraId="47EC873C" w14:textId="29877A13" w:rsidR="00E76B2B" w:rsidRDefault="004F0138" w:rsidP="00012F17">
      <w:pPr>
        <w:rPr>
          <w:bCs/>
          <w:iCs/>
          <w:u w:val="single"/>
        </w:rPr>
      </w:pPr>
      <w:r>
        <w:t xml:space="preserve">Survival rates strongly reflected the physical functioning scores with each </w:t>
      </w:r>
      <w:r w:rsidR="00C91399">
        <w:t xml:space="preserve">quintile </w:t>
      </w:r>
      <w:r>
        <w:t xml:space="preserve">group having statistically significantly poorer survival </w:t>
      </w:r>
      <w:r w:rsidR="00C91399">
        <w:t>than the higher quintile group (except that groups 3 and 4 we</w:t>
      </w:r>
      <w:r w:rsidR="00012F17">
        <w:t>re not significantly different.</w:t>
      </w:r>
      <w:r w:rsidR="00E76B2B">
        <w:rPr>
          <w:bCs/>
          <w:iCs/>
          <w:u w:val="single"/>
        </w:rPr>
        <w:br w:type="page"/>
      </w:r>
    </w:p>
    <w:p w14:paraId="5D78236A" w14:textId="75AB4E6C" w:rsidR="009866E2" w:rsidRPr="00D3035E" w:rsidRDefault="009866E2" w:rsidP="009866E2">
      <w:pPr>
        <w:rPr>
          <w:b/>
          <w:bCs/>
          <w:iCs/>
        </w:rPr>
      </w:pPr>
      <w:r w:rsidRPr="00D3035E">
        <w:rPr>
          <w:b/>
          <w:bCs/>
          <w:iCs/>
        </w:rPr>
        <w:lastRenderedPageBreak/>
        <w:t>Mental health</w:t>
      </w:r>
    </w:p>
    <w:p w14:paraId="067159E3" w14:textId="0BF74CFE" w:rsidR="009866E2" w:rsidRPr="009866E2" w:rsidRDefault="009866E2" w:rsidP="009866E2">
      <w:pPr>
        <w:rPr>
          <w:bCs/>
          <w:iCs/>
        </w:rPr>
      </w:pPr>
      <w:r w:rsidRPr="009866E2">
        <w:rPr>
          <w:bCs/>
          <w:iCs/>
        </w:rPr>
        <w:t>QUESTION: For each question, please give the one answer that comes closest to the way you have been feeling.</w:t>
      </w:r>
      <w:r w:rsidR="00012F17">
        <w:rPr>
          <w:bCs/>
          <w:iCs/>
        </w:rPr>
        <w:t xml:space="preserve"> </w:t>
      </w:r>
      <w:r w:rsidRPr="009866E2">
        <w:rPr>
          <w:bCs/>
          <w:iCs/>
        </w:rPr>
        <w:t>How much of the time during the past four weeks:</w:t>
      </w:r>
    </w:p>
    <w:p w14:paraId="45920513" w14:textId="77777777" w:rsidR="009866E2" w:rsidRPr="009866E2" w:rsidRDefault="009866E2" w:rsidP="00020D3F">
      <w:pPr>
        <w:numPr>
          <w:ilvl w:val="0"/>
          <w:numId w:val="12"/>
        </w:numPr>
        <w:spacing w:after="0"/>
        <w:contextualSpacing/>
        <w:rPr>
          <w:rFonts w:eastAsia="Times New Roman" w:cs="Times New Roman"/>
          <w:bCs/>
          <w:iCs/>
          <w:lang w:eastAsia="en-AU"/>
        </w:rPr>
      </w:pPr>
      <w:r w:rsidRPr="009866E2">
        <w:rPr>
          <w:rFonts w:eastAsia="Times New Roman" w:cs="Times New Roman"/>
          <w:bCs/>
          <w:iCs/>
          <w:lang w:eastAsia="en-AU"/>
        </w:rPr>
        <w:t>Have you been a very nervous person</w:t>
      </w:r>
    </w:p>
    <w:p w14:paraId="0DD978CE" w14:textId="77777777" w:rsidR="009866E2" w:rsidRPr="009866E2" w:rsidRDefault="009866E2" w:rsidP="00020D3F">
      <w:pPr>
        <w:numPr>
          <w:ilvl w:val="0"/>
          <w:numId w:val="12"/>
        </w:numPr>
        <w:spacing w:after="0"/>
        <w:contextualSpacing/>
        <w:rPr>
          <w:rFonts w:eastAsia="Times New Roman" w:cs="Times New Roman"/>
          <w:bCs/>
          <w:iCs/>
          <w:lang w:eastAsia="en-AU"/>
        </w:rPr>
      </w:pPr>
      <w:r w:rsidRPr="009866E2">
        <w:rPr>
          <w:rFonts w:eastAsia="Times New Roman" w:cs="Times New Roman"/>
          <w:bCs/>
          <w:iCs/>
          <w:lang w:eastAsia="en-AU"/>
        </w:rPr>
        <w:t>Have you felt so down in the dumps that nothing could cheer you up</w:t>
      </w:r>
    </w:p>
    <w:p w14:paraId="6AFC3493" w14:textId="77777777" w:rsidR="009866E2" w:rsidRPr="009866E2" w:rsidRDefault="009866E2" w:rsidP="00020D3F">
      <w:pPr>
        <w:numPr>
          <w:ilvl w:val="0"/>
          <w:numId w:val="12"/>
        </w:numPr>
        <w:spacing w:after="0"/>
        <w:contextualSpacing/>
        <w:rPr>
          <w:rFonts w:eastAsia="Times New Roman" w:cs="Times New Roman"/>
          <w:bCs/>
          <w:iCs/>
          <w:lang w:eastAsia="en-AU"/>
        </w:rPr>
      </w:pPr>
      <w:r w:rsidRPr="009866E2">
        <w:rPr>
          <w:rFonts w:eastAsia="Times New Roman" w:cs="Times New Roman"/>
          <w:bCs/>
          <w:iCs/>
          <w:lang w:eastAsia="en-AU"/>
        </w:rPr>
        <w:t>Have you felt calm and peaceful</w:t>
      </w:r>
    </w:p>
    <w:p w14:paraId="6879DF04" w14:textId="77777777" w:rsidR="009866E2" w:rsidRPr="009866E2" w:rsidRDefault="009866E2" w:rsidP="00020D3F">
      <w:pPr>
        <w:numPr>
          <w:ilvl w:val="0"/>
          <w:numId w:val="12"/>
        </w:numPr>
        <w:spacing w:after="0"/>
        <w:contextualSpacing/>
        <w:rPr>
          <w:rFonts w:eastAsia="Times New Roman" w:cs="Times New Roman"/>
          <w:bCs/>
          <w:iCs/>
          <w:lang w:eastAsia="en-AU"/>
        </w:rPr>
      </w:pPr>
      <w:r w:rsidRPr="009866E2">
        <w:rPr>
          <w:rFonts w:eastAsia="Times New Roman" w:cs="Times New Roman"/>
          <w:bCs/>
          <w:iCs/>
          <w:lang w:eastAsia="en-AU"/>
        </w:rPr>
        <w:t>Have you felt down</w:t>
      </w:r>
    </w:p>
    <w:p w14:paraId="266D80C9" w14:textId="77777777" w:rsidR="009866E2" w:rsidRPr="009866E2" w:rsidRDefault="009866E2" w:rsidP="00020D3F">
      <w:pPr>
        <w:numPr>
          <w:ilvl w:val="0"/>
          <w:numId w:val="12"/>
        </w:numPr>
        <w:spacing w:after="0"/>
        <w:contextualSpacing/>
        <w:rPr>
          <w:rFonts w:ascii="Times New Roman" w:eastAsia="Times New Roman" w:hAnsi="Times New Roman" w:cs="Times New Roman"/>
          <w:bCs/>
          <w:iCs/>
          <w:sz w:val="24"/>
          <w:szCs w:val="24"/>
          <w:lang w:eastAsia="en-AU"/>
        </w:rPr>
      </w:pPr>
      <w:r w:rsidRPr="009866E2">
        <w:rPr>
          <w:rFonts w:eastAsia="Times New Roman" w:cs="Times New Roman"/>
          <w:bCs/>
          <w:iCs/>
          <w:lang w:eastAsia="en-AU"/>
        </w:rPr>
        <w:t>Have you been a happy person</w:t>
      </w:r>
    </w:p>
    <w:p w14:paraId="5992B574" w14:textId="019EB1F6" w:rsidR="009866E2" w:rsidRPr="009866E2" w:rsidRDefault="008929B9" w:rsidP="007D6EA7">
      <w:pPr>
        <w:rPr>
          <w:bCs/>
          <w:iCs/>
        </w:rPr>
      </w:pPr>
      <w:r w:rsidRPr="009866E2" w:rsidDel="008929B9">
        <w:rPr>
          <w:bCs/>
          <w:iCs/>
        </w:rPr>
        <w:t xml:space="preserve"> </w:t>
      </w:r>
      <w:r w:rsidR="009866E2" w:rsidRPr="009866E2">
        <w:rPr>
          <w:bCs/>
          <w:iCs/>
        </w:rPr>
        <w:t>(Response options: All of the time, most of the time, a good bit of the time, some of the time, a little of the time, none of the time)</w:t>
      </w:r>
    </w:p>
    <w:p w14:paraId="1578EE61" w14:textId="4D7C21EB" w:rsidR="00FB712F" w:rsidRDefault="00B53F3F" w:rsidP="00B53F3F">
      <w:r>
        <w:t>The responses are used to calculate a summary score ranging from 0 to 100. S</w:t>
      </w:r>
      <w:r w:rsidR="00D07C0C">
        <w:t>cores &lt;=</w:t>
      </w:r>
      <w:r w:rsidR="00801869">
        <w:t xml:space="preserve"> 52 indicate</w:t>
      </w:r>
      <w:r w:rsidR="00D07C0C">
        <w:t xml:space="preserve"> psychological distress</w:t>
      </w:r>
      <w:r w:rsidR="00D80AE5" w:rsidRPr="00D80AE5">
        <w:rPr>
          <w:vertAlign w:val="superscript"/>
        </w:rPr>
        <w:t>2</w:t>
      </w:r>
      <w:proofErr w:type="gramStart"/>
      <w:r w:rsidR="00D80AE5" w:rsidRPr="00D80AE5">
        <w:rPr>
          <w:vertAlign w:val="superscript"/>
        </w:rPr>
        <w:t>,3</w:t>
      </w:r>
      <w:proofErr w:type="gramEnd"/>
      <w:r w:rsidR="00D07C0C">
        <w:t xml:space="preserve">. </w:t>
      </w:r>
      <w:r w:rsidR="007B37F9">
        <w:t xml:space="preserve">The trajectories are shown in </w:t>
      </w:r>
      <w:r w:rsidR="00164899">
        <w:fldChar w:fldCharType="begin"/>
      </w:r>
      <w:r w:rsidR="00164899">
        <w:instrText xml:space="preserve"> REF _Ref524949608 \h </w:instrText>
      </w:r>
      <w:r w:rsidR="00164899">
        <w:fldChar w:fldCharType="separate"/>
      </w:r>
      <w:r w:rsidR="00592779" w:rsidRPr="00012F17">
        <w:rPr>
          <w:b/>
        </w:rPr>
        <w:t xml:space="preserve">Figure </w:t>
      </w:r>
      <w:r w:rsidR="00592779">
        <w:rPr>
          <w:b/>
          <w:noProof/>
        </w:rPr>
        <w:t>3</w:t>
      </w:r>
      <w:r w:rsidR="00592779" w:rsidRPr="00012F17">
        <w:rPr>
          <w:b/>
        </w:rPr>
        <w:noBreakHyphen/>
      </w:r>
      <w:r w:rsidR="00592779">
        <w:rPr>
          <w:b/>
          <w:noProof/>
        </w:rPr>
        <w:t>17</w:t>
      </w:r>
      <w:r w:rsidR="00164899">
        <w:fldChar w:fldCharType="end"/>
      </w:r>
      <w:r w:rsidR="007D6EA7">
        <w:t>.</w:t>
      </w:r>
    </w:p>
    <w:p w14:paraId="2B742ED9" w14:textId="1BA48E8E" w:rsidR="00157905" w:rsidRPr="00012F17" w:rsidRDefault="00624A2C" w:rsidP="00012F17">
      <w:pPr>
        <w:rPr>
          <w:b/>
        </w:rPr>
      </w:pPr>
      <w:r>
        <w:rPr>
          <w:noProof/>
          <w:sz w:val="24"/>
          <w:szCs w:val="24"/>
          <w:lang w:eastAsia="en-AU"/>
        </w:rPr>
        <w:drawing>
          <wp:inline distT="0" distB="0" distL="0" distR="0" wp14:anchorId="30193EA4" wp14:editId="13559C2B">
            <wp:extent cx="5731510" cy="4298315"/>
            <wp:effectExtent l="0" t="0" r="2540" b="6985"/>
            <wp:docPr id="29" name="Picture 29" descr="Graph illustrating the percentages of women with low mental health index scores; for all women who completed each survey (open circles) and for the women who completed every survey (+ signs). See above and below for more information." title="Fig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42" w:name="_Ref524949608"/>
      <w:r w:rsidR="00164899"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17</w:t>
      </w:r>
      <w:r w:rsidR="00AE362D" w:rsidRPr="00012F17">
        <w:rPr>
          <w:b/>
          <w:noProof/>
        </w:rPr>
        <w:fldChar w:fldCharType="end"/>
      </w:r>
      <w:bookmarkEnd w:id="42"/>
      <w:r w:rsidR="00157905" w:rsidRPr="00012F17">
        <w:rPr>
          <w:b/>
        </w:rPr>
        <w:t xml:space="preserve"> Percentages of women with low mental health index sc</w:t>
      </w:r>
      <w:r w:rsidR="007276E4" w:rsidRPr="00012F17">
        <w:rPr>
          <w:b/>
        </w:rPr>
        <w:t>ores;</w:t>
      </w:r>
      <w:r w:rsidR="00157905" w:rsidRPr="00012F17">
        <w:rPr>
          <w:b/>
        </w:rPr>
        <w:t xml:space="preserve"> for all women who completed each survey (open circles) and for the women who completed every survey (+ signs).</w:t>
      </w:r>
    </w:p>
    <w:p w14:paraId="3FB90CBD" w14:textId="2D63EA32" w:rsidR="00164899" w:rsidRDefault="007276E4" w:rsidP="00157905">
      <w:r>
        <w:t>Over time the pe</w:t>
      </w:r>
      <w:r w:rsidR="005249D4">
        <w:t>r</w:t>
      </w:r>
      <w:r>
        <w:t xml:space="preserve">centages of women with </w:t>
      </w:r>
      <w:r w:rsidR="005249D4">
        <w:t xml:space="preserve">low mental health scores (i.e. scores </w:t>
      </w:r>
      <w:r w:rsidR="00624A2C">
        <w:rPr>
          <w:rFonts w:cstheme="minorHAnsi"/>
        </w:rPr>
        <w:t>≤</w:t>
      </w:r>
      <w:r w:rsidR="005249D4">
        <w:t>52 which indicate psychological distress) increased. Notably</w:t>
      </w:r>
      <w:r w:rsidR="00AF2A70">
        <w:t>,</w:t>
      </w:r>
      <w:r w:rsidR="005249D4">
        <w:t xml:space="preserve"> women who completed every survey were much less likely to have low </w:t>
      </w:r>
      <w:r w:rsidR="00AF2A70">
        <w:t>mental health scores</w:t>
      </w:r>
      <w:r w:rsidR="00D42039">
        <w:t xml:space="preserve"> </w:t>
      </w:r>
      <w:r w:rsidR="00E67225">
        <w:t>at the early surveys</w:t>
      </w:r>
      <w:r w:rsidR="00AF2A70">
        <w:t>.</w:t>
      </w:r>
    </w:p>
    <w:p w14:paraId="0FC175A7" w14:textId="7B730A34" w:rsidR="00AF2A70" w:rsidRDefault="00164899" w:rsidP="00157905">
      <w:r>
        <w:lastRenderedPageBreak/>
        <w:fldChar w:fldCharType="begin"/>
      </w:r>
      <w:r>
        <w:instrText xml:space="preserve"> REF _Ref524949703 \h </w:instrText>
      </w:r>
      <w:r>
        <w:fldChar w:fldCharType="separate"/>
      </w:r>
      <w:r w:rsidR="00592779" w:rsidRPr="00012F17">
        <w:rPr>
          <w:b/>
        </w:rPr>
        <w:t xml:space="preserve">Figure </w:t>
      </w:r>
      <w:r w:rsidR="00592779">
        <w:rPr>
          <w:b/>
          <w:noProof/>
        </w:rPr>
        <w:t>3</w:t>
      </w:r>
      <w:r w:rsidR="00592779" w:rsidRPr="00012F17">
        <w:rPr>
          <w:b/>
        </w:rPr>
        <w:noBreakHyphen/>
      </w:r>
      <w:r w:rsidR="00592779">
        <w:rPr>
          <w:b/>
          <w:noProof/>
        </w:rPr>
        <w:t>18</w:t>
      </w:r>
      <w:r>
        <w:fldChar w:fldCharType="end"/>
      </w:r>
      <w:r>
        <w:t xml:space="preserve"> </w:t>
      </w:r>
      <w:r w:rsidR="00AF2A70">
        <w:t>shows the survival curves for women categorised by their mental health scores at Survey 1.</w:t>
      </w:r>
    </w:p>
    <w:p w14:paraId="0FEABC9F" w14:textId="73D76E94" w:rsidR="008929B9" w:rsidRPr="00012F17" w:rsidRDefault="008A43C0" w:rsidP="00012F17">
      <w:pPr>
        <w:rPr>
          <w:b/>
        </w:rPr>
      </w:pPr>
      <w:r>
        <w:rPr>
          <w:noProof/>
          <w:sz w:val="24"/>
          <w:szCs w:val="24"/>
          <w:lang w:eastAsia="en-AU"/>
        </w:rPr>
        <w:drawing>
          <wp:inline distT="0" distB="0" distL="0" distR="0" wp14:anchorId="6AAE5685" wp14:editId="0BA49F96">
            <wp:extent cx="5731510" cy="4298315"/>
            <wp:effectExtent l="0" t="0" r="2540" b="6985"/>
            <wp:docPr id="16" name="Picture 16" descr="Graph showing the survival curves for women with mental health scores &lt;= 52 and &gt;52 at Survey 1. See above and below for more information." title="Fig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43" w:name="_Ref524949703"/>
      <w:r w:rsidR="00164899"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18</w:t>
      </w:r>
      <w:r w:rsidR="00AE362D" w:rsidRPr="00012F17">
        <w:rPr>
          <w:b/>
          <w:noProof/>
        </w:rPr>
        <w:fldChar w:fldCharType="end"/>
      </w:r>
      <w:bookmarkEnd w:id="43"/>
      <w:r w:rsidR="00164899" w:rsidRPr="00012F17">
        <w:rPr>
          <w:b/>
        </w:rPr>
        <w:t xml:space="preserve"> S</w:t>
      </w:r>
      <w:r w:rsidR="002E5E4D" w:rsidRPr="00012F17">
        <w:rPr>
          <w:b/>
        </w:rPr>
        <w:t>urvival curves for women with mental health scores &lt;= 52 and &gt;52 at Survey</w:t>
      </w:r>
      <w:r w:rsidR="001801E0" w:rsidRPr="00012F17">
        <w:rPr>
          <w:b/>
        </w:rPr>
        <w:t xml:space="preserve"> </w:t>
      </w:r>
      <w:r w:rsidR="002E5E4D" w:rsidRPr="00012F17">
        <w:rPr>
          <w:b/>
        </w:rPr>
        <w:t xml:space="preserve">1. </w:t>
      </w:r>
    </w:p>
    <w:p w14:paraId="1AD5F6E5" w14:textId="49693A0A" w:rsidR="00953D67" w:rsidRPr="00164899" w:rsidRDefault="001801E0" w:rsidP="00164899">
      <w:pPr>
        <w:rPr>
          <w:rStyle w:val="Heading2Char"/>
        </w:rPr>
      </w:pPr>
      <w:r w:rsidRPr="00164899">
        <w:t>Women with mental health scores &lt; 52 at Survey 1 had poorer survival rates.</w:t>
      </w:r>
      <w:r w:rsidR="00583B55" w:rsidRPr="00164899">
        <w:br w:type="page"/>
      </w:r>
    </w:p>
    <w:p w14:paraId="10A98593" w14:textId="0F1BA1DA" w:rsidR="00164899" w:rsidRDefault="00164899" w:rsidP="00091A0A">
      <w:pPr>
        <w:pStyle w:val="Heading2"/>
        <w:ind w:left="578" w:hanging="578"/>
      </w:pPr>
      <w:bookmarkStart w:id="44" w:name="_Toc530561264"/>
      <w:r>
        <w:lastRenderedPageBreak/>
        <w:t>Needing help and providing care to others</w:t>
      </w:r>
      <w:bookmarkEnd w:id="44"/>
    </w:p>
    <w:p w14:paraId="7DAA32DF" w14:textId="4760B0CE" w:rsidR="008864F3" w:rsidRPr="00164899" w:rsidRDefault="002C6643" w:rsidP="00164899">
      <w:pPr>
        <w:pStyle w:val="Heading3"/>
      </w:pPr>
      <w:bookmarkStart w:id="45" w:name="_Toc530561265"/>
      <w:r w:rsidRPr="00164899">
        <w:t>Needing help</w:t>
      </w:r>
      <w:bookmarkEnd w:id="45"/>
    </w:p>
    <w:p w14:paraId="229F4BCD" w14:textId="4C77D723" w:rsidR="00D8268D" w:rsidRPr="00164899" w:rsidRDefault="00D8268D" w:rsidP="00164899">
      <w:r w:rsidRPr="00164899">
        <w:t>QUESTION: Do you regularly NEED help with daily tasks because of long-term illness, disability or frailty (e</w:t>
      </w:r>
      <w:r w:rsidR="00691EC0" w:rsidRPr="00164899">
        <w:t>.</w:t>
      </w:r>
      <w:r w:rsidRPr="00164899">
        <w:t>g</w:t>
      </w:r>
      <w:r w:rsidR="00691EC0" w:rsidRPr="00164899">
        <w:t>.,</w:t>
      </w:r>
      <w:r w:rsidRPr="00164899">
        <w:t xml:space="preserve"> personal care, getting around, preparing meals etc</w:t>
      </w:r>
      <w:r w:rsidR="00691EC0" w:rsidRPr="00164899">
        <w:t>.</w:t>
      </w:r>
      <w:r w:rsidR="00012F17">
        <w:t>)?</w:t>
      </w:r>
    </w:p>
    <w:p w14:paraId="708C0C48" w14:textId="6F90E0D4" w:rsidR="00164899" w:rsidRDefault="00164899" w:rsidP="00164899">
      <w:r>
        <w:fldChar w:fldCharType="begin"/>
      </w:r>
      <w:r>
        <w:instrText xml:space="preserve"> REF _Ref524950169 \h </w:instrText>
      </w:r>
      <w:r>
        <w:fldChar w:fldCharType="separate"/>
      </w:r>
      <w:r w:rsidR="00592779" w:rsidRPr="00012F17">
        <w:rPr>
          <w:b/>
        </w:rPr>
        <w:t xml:space="preserve">Figure </w:t>
      </w:r>
      <w:r w:rsidR="00592779">
        <w:rPr>
          <w:b/>
          <w:noProof/>
        </w:rPr>
        <w:t>3</w:t>
      </w:r>
      <w:r w:rsidR="00592779" w:rsidRPr="00012F17">
        <w:rPr>
          <w:b/>
        </w:rPr>
        <w:noBreakHyphen/>
      </w:r>
      <w:r w:rsidR="00592779">
        <w:rPr>
          <w:b/>
          <w:noProof/>
        </w:rPr>
        <w:t>19</w:t>
      </w:r>
      <w:r>
        <w:fldChar w:fldCharType="end"/>
      </w:r>
      <w:r>
        <w:t xml:space="preserve"> </w:t>
      </w:r>
      <w:r w:rsidR="00050C81" w:rsidRPr="00164899">
        <w:t>shows the trajectories for the percentages of women ne</w:t>
      </w:r>
      <w:r w:rsidR="00B13CE3" w:rsidRPr="00164899">
        <w:t>e</w:t>
      </w:r>
      <w:r w:rsidR="00050C81" w:rsidRPr="00164899">
        <w:t>ding help with daily tasks</w:t>
      </w:r>
      <w:r w:rsidR="00732347" w:rsidRPr="00164899">
        <w:t xml:space="preserve">. The reason for the increase associated with the change to six-monthly surveys is unknown but possibly relates to the change </w:t>
      </w:r>
      <w:r w:rsidR="007D6EA7" w:rsidRPr="00164899">
        <w:t>i</w:t>
      </w:r>
      <w:r w:rsidR="007D6EA7">
        <w:t>n</w:t>
      </w:r>
      <w:r w:rsidR="007D6EA7" w:rsidRPr="00164899">
        <w:t xml:space="preserve"> </w:t>
      </w:r>
      <w:r w:rsidR="00732347" w:rsidRPr="00164899">
        <w:t>format.</w:t>
      </w:r>
    </w:p>
    <w:p w14:paraId="5A524328" w14:textId="03847661" w:rsidR="00691EC0" w:rsidRPr="00012F17" w:rsidRDefault="00624A2C" w:rsidP="00012F17">
      <w:pPr>
        <w:rPr>
          <w:b/>
        </w:rPr>
      </w:pPr>
      <w:r>
        <w:rPr>
          <w:noProof/>
          <w:sz w:val="24"/>
          <w:szCs w:val="24"/>
          <w:lang w:eastAsia="en-AU"/>
        </w:rPr>
        <w:drawing>
          <wp:inline distT="0" distB="0" distL="0" distR="0" wp14:anchorId="5F2A9A85" wp14:editId="35A27803">
            <wp:extent cx="5731510" cy="4298315"/>
            <wp:effectExtent l="0" t="0" r="2540" b="6985"/>
            <wp:docPr id="28" name="Picture 28" descr="Graph illustrating the percentage of women needing help with daily tasks because of long term illness, disability or frailty; for all women who completed each survey (open circles) and for the women who completed every survey (+ signs). See above and below for more information." title="Fig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46" w:name="_Ref524950169"/>
      <w:r w:rsidR="00164899"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19</w:t>
      </w:r>
      <w:r w:rsidR="00AE362D" w:rsidRPr="00012F17">
        <w:rPr>
          <w:b/>
          <w:noProof/>
        </w:rPr>
        <w:fldChar w:fldCharType="end"/>
      </w:r>
      <w:bookmarkEnd w:id="46"/>
      <w:r w:rsidR="00164899" w:rsidRPr="00012F17">
        <w:rPr>
          <w:b/>
        </w:rPr>
        <w:t xml:space="preserve"> </w:t>
      </w:r>
      <w:r w:rsidR="00691EC0" w:rsidRPr="00012F17">
        <w:rPr>
          <w:b/>
        </w:rPr>
        <w:t xml:space="preserve">Percentage of women </w:t>
      </w:r>
      <w:r w:rsidR="00D353A1" w:rsidRPr="00012F17">
        <w:rPr>
          <w:b/>
        </w:rPr>
        <w:t xml:space="preserve">needing </w:t>
      </w:r>
      <w:r w:rsidR="00691EC0" w:rsidRPr="00012F17">
        <w:rPr>
          <w:b/>
        </w:rPr>
        <w:t>help with daily tasks because of long term illness, disability or frailty</w:t>
      </w:r>
      <w:r w:rsidR="00D353A1" w:rsidRPr="00012F17">
        <w:rPr>
          <w:b/>
        </w:rPr>
        <w:t xml:space="preserve">; </w:t>
      </w:r>
      <w:r w:rsidR="00B13CE3" w:rsidRPr="00012F17">
        <w:rPr>
          <w:b/>
        </w:rPr>
        <w:t>for all women who completed each survey (open circles) and for the women who completed every survey (+ signs).</w:t>
      </w:r>
    </w:p>
    <w:p w14:paraId="299E581D" w14:textId="3F772EB5" w:rsidR="0051060B" w:rsidRDefault="00F67BF8" w:rsidP="00012F17">
      <w:r w:rsidRPr="00164899">
        <w:t>The percentage of women who reported needing help for daily tasks due to long</w:t>
      </w:r>
      <w:r w:rsidR="003C18BA" w:rsidRPr="00164899">
        <w:t>-</w:t>
      </w:r>
      <w:r w:rsidRPr="00164899">
        <w:t>term illness</w:t>
      </w:r>
      <w:r w:rsidR="003C18BA" w:rsidRPr="00164899">
        <w:t>, disability or fr</w:t>
      </w:r>
      <w:r w:rsidR="00193A8E" w:rsidRPr="00164899">
        <w:t>ail</w:t>
      </w:r>
      <w:r w:rsidR="003C18BA" w:rsidRPr="00164899">
        <w:t>ty</w:t>
      </w:r>
      <w:r w:rsidRPr="00164899">
        <w:t xml:space="preserve"> rose from </w:t>
      </w:r>
      <w:r w:rsidR="00D372ED" w:rsidRPr="00164899">
        <w:t>9</w:t>
      </w:r>
      <w:r w:rsidRPr="00164899">
        <w:t xml:space="preserve">% at </w:t>
      </w:r>
      <w:r w:rsidR="00294996" w:rsidRPr="00164899">
        <w:t xml:space="preserve">Survey 1 when they were </w:t>
      </w:r>
      <w:r w:rsidRPr="00164899">
        <w:t>age</w:t>
      </w:r>
      <w:r w:rsidR="00294996" w:rsidRPr="00164899">
        <w:t>d</w:t>
      </w:r>
      <w:r w:rsidR="00C91842" w:rsidRPr="00164899">
        <w:t xml:space="preserve"> 70 to 75 years to 3</w:t>
      </w:r>
      <w:r w:rsidR="00294996" w:rsidRPr="00164899">
        <w:t>9</w:t>
      </w:r>
      <w:r w:rsidR="00C91842" w:rsidRPr="00164899">
        <w:t xml:space="preserve">% </w:t>
      </w:r>
      <w:r w:rsidR="00294996" w:rsidRPr="00164899">
        <w:t xml:space="preserve">at the most recent </w:t>
      </w:r>
      <w:r w:rsidR="00B56695" w:rsidRPr="00164899">
        <w:t>six-monthly survey.</w:t>
      </w:r>
      <w:r w:rsidR="00012F17">
        <w:t xml:space="preserve"> </w:t>
      </w:r>
      <w:r w:rsidR="007A011B">
        <w:t>Women who completed all</w:t>
      </w:r>
      <w:r w:rsidR="006C01F0">
        <w:t xml:space="preserve"> surveys had less need for help</w:t>
      </w:r>
      <w:r w:rsidR="007A011B">
        <w:t xml:space="preserve"> when compared to all women in the cohort.</w:t>
      </w:r>
      <w:r w:rsidR="0051060B">
        <w:br w:type="page"/>
      </w:r>
    </w:p>
    <w:p w14:paraId="48BD1EE3" w14:textId="75669BC6" w:rsidR="00B56695" w:rsidRPr="00691EC0" w:rsidRDefault="00B56695" w:rsidP="00F32190">
      <w:r>
        <w:lastRenderedPageBreak/>
        <w:t>Women who needed help with daily tasks at Survey 1 had much poorer survival than</w:t>
      </w:r>
      <w:r w:rsidR="00E76F7C">
        <w:t xml:space="preserve"> other women</w:t>
      </w:r>
      <w:r w:rsidR="0051060B">
        <w:t>,</w:t>
      </w:r>
      <w:r w:rsidR="00E76F7C">
        <w:t xml:space="preserve"> as shown in </w:t>
      </w:r>
      <w:r w:rsidR="00340B0D">
        <w:fldChar w:fldCharType="begin"/>
      </w:r>
      <w:r w:rsidR="00340B0D">
        <w:instrText xml:space="preserve"> REF _Ref524950227 \h </w:instrText>
      </w:r>
      <w:r w:rsidR="00340B0D">
        <w:fldChar w:fldCharType="separate"/>
      </w:r>
      <w:r w:rsidR="00592779" w:rsidRPr="00012F17">
        <w:rPr>
          <w:b/>
        </w:rPr>
        <w:t xml:space="preserve">Figure </w:t>
      </w:r>
      <w:r w:rsidR="00592779">
        <w:rPr>
          <w:b/>
          <w:noProof/>
        </w:rPr>
        <w:t>3</w:t>
      </w:r>
      <w:r w:rsidR="00592779" w:rsidRPr="00012F17">
        <w:rPr>
          <w:b/>
        </w:rPr>
        <w:noBreakHyphen/>
      </w:r>
      <w:r w:rsidR="00592779">
        <w:rPr>
          <w:b/>
          <w:noProof/>
        </w:rPr>
        <w:t>20</w:t>
      </w:r>
      <w:r w:rsidR="00340B0D">
        <w:fldChar w:fldCharType="end"/>
      </w:r>
      <w:r w:rsidR="00340B0D">
        <w:t>.</w:t>
      </w:r>
    </w:p>
    <w:p w14:paraId="0A2E05C0" w14:textId="7D5DD565" w:rsidR="00080ACA" w:rsidRPr="00012F17" w:rsidRDefault="008A43C0" w:rsidP="00012F17">
      <w:pPr>
        <w:rPr>
          <w:b/>
        </w:rPr>
      </w:pPr>
      <w:r>
        <w:rPr>
          <w:noProof/>
          <w:sz w:val="24"/>
          <w:szCs w:val="24"/>
          <w:lang w:eastAsia="en-AU"/>
        </w:rPr>
        <w:drawing>
          <wp:inline distT="0" distB="0" distL="0" distR="0" wp14:anchorId="34FBE0CE" wp14:editId="0855199E">
            <wp:extent cx="5731510" cy="4298315"/>
            <wp:effectExtent l="0" t="0" r="2540" b="6985"/>
            <wp:docPr id="17" name="Picture 17" descr="Graph showing the survival curves for the period 1996-2016 for women grouped according to whether or not they needed help with daily tasks because of long term illness, disability or frailty at Survey 1. See above and below for more information." title="Fig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47" w:name="_Ref524950227"/>
      <w:r w:rsidR="00340B0D"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20</w:t>
      </w:r>
      <w:r w:rsidR="00AE362D" w:rsidRPr="00012F17">
        <w:rPr>
          <w:b/>
          <w:noProof/>
        </w:rPr>
        <w:fldChar w:fldCharType="end"/>
      </w:r>
      <w:bookmarkEnd w:id="47"/>
      <w:r w:rsidR="00012F17" w:rsidRPr="00012F17">
        <w:rPr>
          <w:b/>
        </w:rPr>
        <w:t xml:space="preserve"> </w:t>
      </w:r>
      <w:r w:rsidR="00E76F7C" w:rsidRPr="00012F17">
        <w:rPr>
          <w:b/>
        </w:rPr>
        <w:t xml:space="preserve">Survival curves for the period 1996-2016 for women grouped </w:t>
      </w:r>
      <w:r w:rsidR="00ED77C8" w:rsidRPr="00012F17">
        <w:rPr>
          <w:b/>
        </w:rPr>
        <w:t xml:space="preserve">according to </w:t>
      </w:r>
      <w:r w:rsidR="003A7359" w:rsidRPr="00012F17">
        <w:rPr>
          <w:b/>
        </w:rPr>
        <w:t xml:space="preserve">whether or not </w:t>
      </w:r>
      <w:r w:rsidR="00D353A1" w:rsidRPr="00012F17">
        <w:rPr>
          <w:b/>
        </w:rPr>
        <w:t>they needed</w:t>
      </w:r>
      <w:r w:rsidR="00E76F7C" w:rsidRPr="00012F17">
        <w:rPr>
          <w:b/>
        </w:rPr>
        <w:t xml:space="preserve"> </w:t>
      </w:r>
      <w:r w:rsidR="00D353A1" w:rsidRPr="00012F17">
        <w:rPr>
          <w:b/>
        </w:rPr>
        <w:t>help with daily tasks because of long term illness, disability or frailty at Survey 1.</w:t>
      </w:r>
      <w:r w:rsidR="00080ACA" w:rsidRPr="00012F17">
        <w:rPr>
          <w:b/>
        </w:rPr>
        <w:br w:type="page"/>
      </w:r>
    </w:p>
    <w:p w14:paraId="36C990A8" w14:textId="0C97A027" w:rsidR="00531A49" w:rsidRDefault="002C6643" w:rsidP="00012F17">
      <w:pPr>
        <w:pStyle w:val="Heading3"/>
        <w:spacing w:after="40"/>
      </w:pPr>
      <w:bookmarkStart w:id="48" w:name="_Toc530561266"/>
      <w:r w:rsidRPr="00340B0D">
        <w:lastRenderedPageBreak/>
        <w:t>Providing care for others</w:t>
      </w:r>
      <w:bookmarkEnd w:id="48"/>
    </w:p>
    <w:p w14:paraId="784014E7" w14:textId="4F4FAFAC" w:rsidR="00D8268D" w:rsidRPr="00D8268D" w:rsidRDefault="00D8268D" w:rsidP="00C96B3F">
      <w:pPr>
        <w:spacing w:after="0" w:line="240" w:lineRule="auto"/>
        <w:rPr>
          <w:bCs/>
        </w:rPr>
      </w:pPr>
      <w:bookmarkStart w:id="49" w:name="IDX"/>
      <w:bookmarkEnd w:id="49"/>
      <w:r>
        <w:rPr>
          <w:bCs/>
        </w:rPr>
        <w:t xml:space="preserve">QUESTION: </w:t>
      </w:r>
      <w:r w:rsidRPr="00D8268D">
        <w:rPr>
          <w:bCs/>
        </w:rPr>
        <w:t>Do you regularly PROVIDE care or assistance (e</w:t>
      </w:r>
      <w:r w:rsidR="00CF3600">
        <w:rPr>
          <w:bCs/>
        </w:rPr>
        <w:t>.</w:t>
      </w:r>
      <w:r w:rsidRPr="00D8268D">
        <w:rPr>
          <w:bCs/>
        </w:rPr>
        <w:t>g</w:t>
      </w:r>
      <w:r w:rsidR="00CF3600">
        <w:rPr>
          <w:bCs/>
        </w:rPr>
        <w:t>.,</w:t>
      </w:r>
      <w:r w:rsidRPr="00D8268D">
        <w:rPr>
          <w:bCs/>
        </w:rPr>
        <w:t xml:space="preserve"> personal care, transport) to any other person because of their long-term illness, disability or frailty?</w:t>
      </w:r>
    </w:p>
    <w:p w14:paraId="4D6EDFA6" w14:textId="77777777" w:rsidR="00D8268D" w:rsidRPr="00B93724" w:rsidRDefault="00D8268D" w:rsidP="00020D3F">
      <w:pPr>
        <w:pStyle w:val="ListParagraph"/>
        <w:numPr>
          <w:ilvl w:val="0"/>
          <w:numId w:val="5"/>
        </w:numPr>
        <w:rPr>
          <w:rFonts w:ascii="Arial" w:hAnsi="Arial" w:cs="Arial"/>
          <w:sz w:val="22"/>
          <w:szCs w:val="22"/>
        </w:rPr>
      </w:pPr>
      <w:r w:rsidRPr="00B93724">
        <w:rPr>
          <w:rFonts w:ascii="Arial" w:hAnsi="Arial" w:cs="Arial"/>
          <w:sz w:val="22"/>
          <w:szCs w:val="22"/>
        </w:rPr>
        <w:t>Yes, for someone who lives with me</w:t>
      </w:r>
    </w:p>
    <w:p w14:paraId="3186B534" w14:textId="77777777" w:rsidR="00D8268D" w:rsidRPr="00B93724" w:rsidRDefault="00D8268D" w:rsidP="00020D3F">
      <w:pPr>
        <w:pStyle w:val="ListParagraph"/>
        <w:numPr>
          <w:ilvl w:val="0"/>
          <w:numId w:val="5"/>
        </w:numPr>
        <w:rPr>
          <w:rFonts w:ascii="Arial" w:hAnsi="Arial" w:cs="Arial"/>
          <w:sz w:val="22"/>
          <w:szCs w:val="22"/>
        </w:rPr>
      </w:pPr>
      <w:r w:rsidRPr="00B93724">
        <w:rPr>
          <w:rFonts w:ascii="Arial" w:hAnsi="Arial" w:cs="Arial"/>
          <w:sz w:val="22"/>
          <w:szCs w:val="22"/>
        </w:rPr>
        <w:t>Yes, for someone who lives elsewhere</w:t>
      </w:r>
    </w:p>
    <w:p w14:paraId="15881283" w14:textId="12CC0A5F" w:rsidR="0004085C" w:rsidRPr="00B93724" w:rsidRDefault="00D8268D" w:rsidP="00020D3F">
      <w:pPr>
        <w:pStyle w:val="ListParagraph"/>
        <w:numPr>
          <w:ilvl w:val="0"/>
          <w:numId w:val="5"/>
        </w:numPr>
        <w:rPr>
          <w:rFonts w:ascii="Arial" w:hAnsi="Arial" w:cs="Arial"/>
          <w:sz w:val="22"/>
          <w:szCs w:val="22"/>
        </w:rPr>
      </w:pPr>
      <w:r w:rsidRPr="00B93724">
        <w:rPr>
          <w:rFonts w:ascii="Arial" w:hAnsi="Arial" w:cs="Arial"/>
          <w:sz w:val="22"/>
          <w:szCs w:val="22"/>
        </w:rPr>
        <w:t>No, I do not provide care</w:t>
      </w:r>
    </w:p>
    <w:p w14:paraId="130041AE" w14:textId="4B8DE278" w:rsidR="002F01F3" w:rsidRPr="002F01F3" w:rsidRDefault="0004085C" w:rsidP="00340B0D">
      <w:r>
        <w:t xml:space="preserve">Over time the percentage of women who reported </w:t>
      </w:r>
      <w:r w:rsidR="00094B69">
        <w:t>regularly providing</w:t>
      </w:r>
      <w:r>
        <w:t xml:space="preserve"> for someone </w:t>
      </w:r>
      <w:r w:rsidR="00094B69" w:rsidRPr="00D8268D">
        <w:rPr>
          <w:bCs/>
        </w:rPr>
        <w:t>because of their long-term illness, disability or frailty</w:t>
      </w:r>
      <w:r w:rsidR="00C25CD2">
        <w:rPr>
          <w:bCs/>
        </w:rPr>
        <w:t xml:space="preserve"> increased and then declined – see </w:t>
      </w:r>
      <w:r w:rsidR="00340B0D">
        <w:rPr>
          <w:bCs/>
        </w:rPr>
        <w:fldChar w:fldCharType="begin"/>
      </w:r>
      <w:r w:rsidR="00340B0D">
        <w:rPr>
          <w:bCs/>
        </w:rPr>
        <w:instrText xml:space="preserve"> REF _Ref524950318 \h </w:instrText>
      </w:r>
      <w:r w:rsidR="00340B0D">
        <w:rPr>
          <w:bCs/>
        </w:rPr>
      </w:r>
      <w:r w:rsidR="00340B0D">
        <w:rPr>
          <w:bCs/>
        </w:rPr>
        <w:fldChar w:fldCharType="separate"/>
      </w:r>
      <w:r w:rsidR="00592779" w:rsidRPr="00012F17">
        <w:rPr>
          <w:b/>
        </w:rPr>
        <w:t xml:space="preserve">Figure </w:t>
      </w:r>
      <w:r w:rsidR="00592779">
        <w:rPr>
          <w:b/>
          <w:noProof/>
        </w:rPr>
        <w:t>3</w:t>
      </w:r>
      <w:r w:rsidR="00592779" w:rsidRPr="00012F17">
        <w:rPr>
          <w:b/>
        </w:rPr>
        <w:noBreakHyphen/>
      </w:r>
      <w:r w:rsidR="00592779">
        <w:rPr>
          <w:b/>
          <w:noProof/>
        </w:rPr>
        <w:t>22</w:t>
      </w:r>
      <w:r w:rsidR="00340B0D">
        <w:rPr>
          <w:bCs/>
        </w:rPr>
        <w:fldChar w:fldCharType="end"/>
      </w:r>
      <w:r w:rsidR="00BA31AA">
        <w:rPr>
          <w:bCs/>
        </w:rPr>
        <w:t xml:space="preserve"> and 3-22</w:t>
      </w:r>
      <w:r w:rsidR="00340B0D">
        <w:rPr>
          <w:bCs/>
        </w:rPr>
        <w:t>.</w:t>
      </w:r>
    </w:p>
    <w:p w14:paraId="09715C8F" w14:textId="4FB4F9BA" w:rsidR="00BA31AA" w:rsidRPr="00012F17" w:rsidRDefault="00BA31AA" w:rsidP="00012F17">
      <w:pPr>
        <w:rPr>
          <w:b/>
          <w:sz w:val="24"/>
          <w:szCs w:val="24"/>
        </w:rPr>
      </w:pPr>
      <w:r>
        <w:rPr>
          <w:noProof/>
          <w:sz w:val="24"/>
          <w:szCs w:val="24"/>
          <w:lang w:eastAsia="en-AU"/>
        </w:rPr>
        <w:drawing>
          <wp:inline distT="0" distB="0" distL="0" distR="0" wp14:anchorId="4740D16F" wp14:editId="29F70397">
            <wp:extent cx="5731510" cy="4299585"/>
            <wp:effectExtent l="0" t="0" r="2540" b="5715"/>
            <wp:docPr id="18" name="Picture 18" descr="Graph illustrating the percentage of women who reported caring for another person because of long term illness, disability or frailty who lives with them; for all women who completed each survey (open circles) and for the women who completed every survey (+ signs)." title="Fig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r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21</w:t>
      </w:r>
      <w:r w:rsidR="00AE362D" w:rsidRPr="00012F17">
        <w:rPr>
          <w:b/>
          <w:noProof/>
        </w:rPr>
        <w:fldChar w:fldCharType="end"/>
      </w:r>
      <w:r w:rsidRPr="00012F17">
        <w:rPr>
          <w:b/>
        </w:rPr>
        <w:t xml:space="preserve"> Percentage of women who reported caring for another person because of long term illness, disability or frailty who lives with them; for all women who completed each survey (open circles) and for the women who completed every survey (+ signs).</w:t>
      </w:r>
    </w:p>
    <w:p w14:paraId="78C39A8B" w14:textId="5449F6E7" w:rsidR="00BA31AA" w:rsidRPr="00012F17" w:rsidRDefault="00BA31AA" w:rsidP="00012F17">
      <w:pPr>
        <w:rPr>
          <w:bCs/>
          <w:iCs/>
        </w:rPr>
      </w:pPr>
      <w:r w:rsidRPr="0058221B">
        <w:rPr>
          <w:bCs/>
          <w:iCs/>
        </w:rPr>
        <w:t xml:space="preserve">The percentage of women who reported caring for another person </w:t>
      </w:r>
      <w:r>
        <w:rPr>
          <w:bCs/>
          <w:iCs/>
        </w:rPr>
        <w:t xml:space="preserve">living with them </w:t>
      </w:r>
      <w:r w:rsidRPr="0058221B">
        <w:rPr>
          <w:bCs/>
          <w:iCs/>
        </w:rPr>
        <w:t xml:space="preserve">increased from </w:t>
      </w:r>
      <w:r>
        <w:rPr>
          <w:bCs/>
          <w:iCs/>
        </w:rPr>
        <w:t>7</w:t>
      </w:r>
      <w:r w:rsidRPr="0058221B">
        <w:rPr>
          <w:bCs/>
          <w:iCs/>
        </w:rPr>
        <w:t xml:space="preserve">% at Survey </w:t>
      </w:r>
      <w:r>
        <w:rPr>
          <w:bCs/>
          <w:iCs/>
        </w:rPr>
        <w:t>2</w:t>
      </w:r>
      <w:r w:rsidRPr="0058221B">
        <w:rPr>
          <w:bCs/>
          <w:iCs/>
        </w:rPr>
        <w:t xml:space="preserve"> to </w:t>
      </w:r>
      <w:r>
        <w:rPr>
          <w:bCs/>
          <w:iCs/>
        </w:rPr>
        <w:t>13</w:t>
      </w:r>
      <w:r w:rsidRPr="0058221B">
        <w:rPr>
          <w:bCs/>
          <w:iCs/>
        </w:rPr>
        <w:t>% at Survey 4 when they were aged 79 to 84 years, followed by a consistent decrease</w:t>
      </w:r>
      <w:r w:rsidR="00012F17">
        <w:rPr>
          <w:bCs/>
          <w:iCs/>
        </w:rPr>
        <w:t xml:space="preserve"> in later years.</w:t>
      </w:r>
    </w:p>
    <w:p w14:paraId="7087F4B6" w14:textId="7C1C5F3E" w:rsidR="00C96B3F" w:rsidRPr="00012F17" w:rsidRDefault="00624A2C" w:rsidP="00012F17">
      <w:pPr>
        <w:rPr>
          <w:b/>
        </w:rPr>
      </w:pPr>
      <w:r>
        <w:rPr>
          <w:noProof/>
          <w:sz w:val="24"/>
          <w:szCs w:val="24"/>
          <w:lang w:eastAsia="en-AU"/>
        </w:rPr>
        <w:lastRenderedPageBreak/>
        <w:drawing>
          <wp:inline distT="0" distB="0" distL="0" distR="0" wp14:anchorId="08AAA22A" wp14:editId="48208208">
            <wp:extent cx="5731510" cy="4298315"/>
            <wp:effectExtent l="0" t="0" r="2540" b="6985"/>
            <wp:docPr id="30" name="Picture 30" descr="Graph illustrating the percentage of women who reported caring for another person because of long term illness, disability or frailty; for all women who completed each survey (open circles) and for the women who completed every survey (+ signs). See above and below for more information." title="Fig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50" w:name="_Ref524950318"/>
      <w:r w:rsidR="00340B0D"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22</w:t>
      </w:r>
      <w:r w:rsidR="00AE362D" w:rsidRPr="00012F17">
        <w:rPr>
          <w:b/>
          <w:noProof/>
        </w:rPr>
        <w:fldChar w:fldCharType="end"/>
      </w:r>
      <w:bookmarkEnd w:id="50"/>
      <w:r w:rsidR="00340B0D" w:rsidRPr="00012F17">
        <w:rPr>
          <w:b/>
        </w:rPr>
        <w:t xml:space="preserve"> </w:t>
      </w:r>
      <w:r w:rsidR="001E4857" w:rsidRPr="00012F17">
        <w:rPr>
          <w:b/>
        </w:rPr>
        <w:t>Percentage of women who reported caring for another person because of long term illness, disability or frailty; for all women who completed each survey (open circles) and for the women who completed every survey (+ signs).</w:t>
      </w:r>
    </w:p>
    <w:p w14:paraId="4B89418E" w14:textId="6A9DE8F0" w:rsidR="00C03347" w:rsidRDefault="00F67BF8" w:rsidP="00F67BF8">
      <w:pPr>
        <w:rPr>
          <w:bCs/>
          <w:iCs/>
        </w:rPr>
      </w:pPr>
      <w:r w:rsidRPr="0058221B">
        <w:rPr>
          <w:bCs/>
          <w:iCs/>
        </w:rPr>
        <w:t xml:space="preserve">The percentage of women who reported caring for another person </w:t>
      </w:r>
      <w:r w:rsidR="00D372ED" w:rsidRPr="0058221B">
        <w:rPr>
          <w:bCs/>
          <w:iCs/>
        </w:rPr>
        <w:t xml:space="preserve">increased </w:t>
      </w:r>
      <w:r w:rsidRPr="0058221B">
        <w:rPr>
          <w:bCs/>
          <w:iCs/>
        </w:rPr>
        <w:t xml:space="preserve">from </w:t>
      </w:r>
      <w:r w:rsidR="00D372ED" w:rsidRPr="0058221B">
        <w:rPr>
          <w:bCs/>
          <w:iCs/>
        </w:rPr>
        <w:t>17</w:t>
      </w:r>
      <w:r w:rsidRPr="0058221B">
        <w:rPr>
          <w:bCs/>
          <w:iCs/>
        </w:rPr>
        <w:t xml:space="preserve">% at </w:t>
      </w:r>
      <w:r w:rsidR="001E4857" w:rsidRPr="0058221B">
        <w:rPr>
          <w:bCs/>
          <w:iCs/>
        </w:rPr>
        <w:t xml:space="preserve">Survey </w:t>
      </w:r>
      <w:r w:rsidR="00F16A90">
        <w:rPr>
          <w:bCs/>
          <w:iCs/>
        </w:rPr>
        <w:t>2</w:t>
      </w:r>
      <w:r w:rsidR="00F16A90" w:rsidRPr="0058221B">
        <w:rPr>
          <w:bCs/>
          <w:iCs/>
        </w:rPr>
        <w:t xml:space="preserve"> </w:t>
      </w:r>
      <w:r w:rsidRPr="0058221B">
        <w:rPr>
          <w:bCs/>
          <w:iCs/>
        </w:rPr>
        <w:t xml:space="preserve">to </w:t>
      </w:r>
      <w:r w:rsidR="00D372ED" w:rsidRPr="0058221B">
        <w:rPr>
          <w:bCs/>
          <w:iCs/>
        </w:rPr>
        <w:t>26</w:t>
      </w:r>
      <w:r w:rsidRPr="0058221B">
        <w:rPr>
          <w:bCs/>
          <w:iCs/>
        </w:rPr>
        <w:t>% at</w:t>
      </w:r>
      <w:r w:rsidR="00C96B3F" w:rsidRPr="0058221B">
        <w:rPr>
          <w:bCs/>
          <w:iCs/>
        </w:rPr>
        <w:t xml:space="preserve"> Survey 4 when they were</w:t>
      </w:r>
      <w:r w:rsidRPr="0058221B">
        <w:rPr>
          <w:bCs/>
          <w:iCs/>
        </w:rPr>
        <w:t xml:space="preserve"> age</w:t>
      </w:r>
      <w:r w:rsidR="00C96B3F" w:rsidRPr="0058221B">
        <w:rPr>
          <w:bCs/>
          <w:iCs/>
        </w:rPr>
        <w:t>d</w:t>
      </w:r>
      <w:r w:rsidRPr="0058221B">
        <w:rPr>
          <w:bCs/>
          <w:iCs/>
        </w:rPr>
        <w:t xml:space="preserve"> 79 to </w:t>
      </w:r>
      <w:r w:rsidR="003361EA" w:rsidRPr="0058221B">
        <w:rPr>
          <w:bCs/>
          <w:iCs/>
        </w:rPr>
        <w:t>84 years, followed</w:t>
      </w:r>
      <w:r w:rsidR="00A74271" w:rsidRPr="0058221B">
        <w:rPr>
          <w:bCs/>
          <w:iCs/>
        </w:rPr>
        <w:t xml:space="preserve"> by </w:t>
      </w:r>
      <w:r w:rsidR="00D372ED" w:rsidRPr="0058221B">
        <w:rPr>
          <w:bCs/>
          <w:iCs/>
        </w:rPr>
        <w:t>a</w:t>
      </w:r>
      <w:r w:rsidR="00F52A92" w:rsidRPr="0058221B">
        <w:rPr>
          <w:bCs/>
          <w:iCs/>
        </w:rPr>
        <w:t xml:space="preserve"> consistent</w:t>
      </w:r>
      <w:r w:rsidR="00D372ED" w:rsidRPr="0058221B">
        <w:rPr>
          <w:bCs/>
          <w:iCs/>
        </w:rPr>
        <w:t xml:space="preserve"> decrease</w:t>
      </w:r>
      <w:r w:rsidR="006C01F0">
        <w:rPr>
          <w:bCs/>
          <w:iCs/>
        </w:rPr>
        <w:t xml:space="preserve"> in later years.</w:t>
      </w:r>
    </w:p>
    <w:p w14:paraId="23BC91FC" w14:textId="34743303" w:rsidR="00F67BF8" w:rsidRDefault="00C03347" w:rsidP="00F67BF8">
      <w:pPr>
        <w:rPr>
          <w:bCs/>
          <w:iCs/>
        </w:rPr>
      </w:pPr>
      <w:r>
        <w:rPr>
          <w:bCs/>
          <w:iCs/>
        </w:rPr>
        <w:t>Survival curves for women who did or did not provide care to someone else at Survey 1 are shown in</w:t>
      </w:r>
      <w:r w:rsidR="00BA31AA">
        <w:rPr>
          <w:bCs/>
          <w:iCs/>
        </w:rPr>
        <w:t xml:space="preserve"> </w:t>
      </w:r>
      <w:r w:rsidR="00BA31AA">
        <w:rPr>
          <w:bCs/>
          <w:iCs/>
        </w:rPr>
        <w:fldChar w:fldCharType="begin"/>
      </w:r>
      <w:r w:rsidR="00BA31AA">
        <w:rPr>
          <w:bCs/>
          <w:iCs/>
        </w:rPr>
        <w:instrText xml:space="preserve"> REF _Ref525814388 \h </w:instrText>
      </w:r>
      <w:r w:rsidR="00BA31AA">
        <w:rPr>
          <w:bCs/>
          <w:iCs/>
        </w:rPr>
      </w:r>
      <w:r w:rsidR="00BA31AA">
        <w:rPr>
          <w:bCs/>
          <w:iCs/>
        </w:rPr>
        <w:fldChar w:fldCharType="separate"/>
      </w:r>
      <w:r w:rsidR="00592779" w:rsidRPr="00012F17">
        <w:rPr>
          <w:b/>
        </w:rPr>
        <w:t xml:space="preserve">Figure </w:t>
      </w:r>
      <w:r w:rsidR="00592779">
        <w:rPr>
          <w:b/>
          <w:noProof/>
        </w:rPr>
        <w:t>3</w:t>
      </w:r>
      <w:r w:rsidR="00592779" w:rsidRPr="00012F17">
        <w:rPr>
          <w:b/>
        </w:rPr>
        <w:noBreakHyphen/>
      </w:r>
      <w:r w:rsidR="00592779">
        <w:rPr>
          <w:b/>
          <w:noProof/>
        </w:rPr>
        <w:t>23</w:t>
      </w:r>
      <w:r w:rsidR="00BA31AA">
        <w:rPr>
          <w:bCs/>
          <w:iCs/>
        </w:rPr>
        <w:fldChar w:fldCharType="end"/>
      </w:r>
      <w:r w:rsidR="00BA31AA">
        <w:rPr>
          <w:bCs/>
          <w:iCs/>
        </w:rPr>
        <w:t xml:space="preserve"> and </w:t>
      </w:r>
      <w:r w:rsidR="00BA31AA">
        <w:rPr>
          <w:bCs/>
          <w:iCs/>
        </w:rPr>
        <w:fldChar w:fldCharType="begin"/>
      </w:r>
      <w:r w:rsidR="00BA31AA">
        <w:rPr>
          <w:bCs/>
          <w:iCs/>
        </w:rPr>
        <w:instrText xml:space="preserve"> REF _Ref524950357 \h </w:instrText>
      </w:r>
      <w:r w:rsidR="00BA31AA">
        <w:rPr>
          <w:bCs/>
          <w:iCs/>
        </w:rPr>
      </w:r>
      <w:r w:rsidR="00BA31AA">
        <w:rPr>
          <w:bCs/>
          <w:iCs/>
        </w:rPr>
        <w:fldChar w:fldCharType="separate"/>
      </w:r>
      <w:r w:rsidR="00592779" w:rsidRPr="00012F17">
        <w:rPr>
          <w:b/>
        </w:rPr>
        <w:t xml:space="preserve">Figure </w:t>
      </w:r>
      <w:r w:rsidR="00592779">
        <w:rPr>
          <w:b/>
          <w:noProof/>
        </w:rPr>
        <w:t>3</w:t>
      </w:r>
      <w:r w:rsidR="00592779" w:rsidRPr="00012F17">
        <w:rPr>
          <w:b/>
        </w:rPr>
        <w:noBreakHyphen/>
      </w:r>
      <w:r w:rsidR="00592779">
        <w:rPr>
          <w:b/>
          <w:noProof/>
        </w:rPr>
        <w:t>24</w:t>
      </w:r>
      <w:r w:rsidR="00BA31AA">
        <w:rPr>
          <w:bCs/>
          <w:iCs/>
        </w:rPr>
        <w:fldChar w:fldCharType="end"/>
      </w:r>
      <w:r w:rsidR="00BA31AA">
        <w:rPr>
          <w:bCs/>
          <w:iCs/>
        </w:rPr>
        <w:t>.</w:t>
      </w:r>
    </w:p>
    <w:p w14:paraId="4BCE5420" w14:textId="4C90727D" w:rsidR="00BA31AA" w:rsidRPr="00012F17" w:rsidRDefault="00BA31AA" w:rsidP="00012F17">
      <w:pPr>
        <w:rPr>
          <w:b/>
          <w:bCs/>
          <w:iCs/>
        </w:rPr>
      </w:pPr>
      <w:r>
        <w:rPr>
          <w:noProof/>
          <w:sz w:val="24"/>
          <w:szCs w:val="24"/>
          <w:lang w:eastAsia="en-AU"/>
        </w:rPr>
        <w:lastRenderedPageBreak/>
        <w:drawing>
          <wp:inline distT="0" distB="0" distL="0" distR="0" wp14:anchorId="75E12745" wp14:editId="65F4B907">
            <wp:extent cx="5731510" cy="4299585"/>
            <wp:effectExtent l="0" t="0" r="2540" b="5715"/>
            <wp:docPr id="19" name="Picture 19" descr="Graph showing the survival curves for the period 1996-2016 for women grouped according to whether or not at Survey 2 they provided care to someone because of long term illness, disability or frailty, who lived with them. See above and below for more information." title="Fig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bookmarkStart w:id="51" w:name="_Ref525814388"/>
      <w:r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23</w:t>
      </w:r>
      <w:r w:rsidR="00AE362D" w:rsidRPr="00012F17">
        <w:rPr>
          <w:b/>
          <w:noProof/>
        </w:rPr>
        <w:fldChar w:fldCharType="end"/>
      </w:r>
      <w:bookmarkEnd w:id="51"/>
      <w:r w:rsidRPr="00012F17">
        <w:rPr>
          <w:b/>
        </w:rPr>
        <w:t xml:space="preserve"> Survival curves for the period 1996-2016 for women grouped according to whether or not at Survey 2 they provided care to someone because of long term illness, disability or frailty, who lived with them.</w:t>
      </w:r>
    </w:p>
    <w:p w14:paraId="2A48DCFA" w14:textId="64E7E272" w:rsidR="006C01F0" w:rsidRPr="00012F17" w:rsidRDefault="00624A2C" w:rsidP="00012F17">
      <w:pPr>
        <w:rPr>
          <w:b/>
        </w:rPr>
      </w:pPr>
      <w:r>
        <w:rPr>
          <w:noProof/>
          <w:sz w:val="24"/>
          <w:szCs w:val="24"/>
          <w:lang w:eastAsia="en-AU"/>
        </w:rPr>
        <w:lastRenderedPageBreak/>
        <w:drawing>
          <wp:inline distT="0" distB="0" distL="0" distR="0" wp14:anchorId="3AFE1DB7" wp14:editId="530BFA8E">
            <wp:extent cx="5731510" cy="4298315"/>
            <wp:effectExtent l="0" t="0" r="2540" b="6985"/>
            <wp:docPr id="31" name="Picture 31" descr="Graph showing the survival curves for the period 1996-2016 for women grouped according to whether or not at Survey 2 they provided care to someone because of long term illness, disability or frailty, who lived elsewhere. See above and below for more information." title="Fig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bookmarkStart w:id="52" w:name="_Ref524950357"/>
      <w:r w:rsidR="00340B0D" w:rsidRPr="00012F17">
        <w:rPr>
          <w:b/>
        </w:rPr>
        <w:t xml:space="preserve">Figure </w:t>
      </w:r>
      <w:r w:rsidR="00AE362D" w:rsidRPr="00012F17">
        <w:rPr>
          <w:b/>
          <w:noProof/>
        </w:rPr>
        <w:fldChar w:fldCharType="begin"/>
      </w:r>
      <w:r w:rsidR="00AE362D" w:rsidRPr="00012F17">
        <w:rPr>
          <w:b/>
          <w:noProof/>
        </w:rPr>
        <w:instrText xml:space="preserve"> STYLEREF 1 \s </w:instrText>
      </w:r>
      <w:r w:rsidR="00AE362D" w:rsidRPr="00012F17">
        <w:rPr>
          <w:b/>
          <w:noProof/>
        </w:rPr>
        <w:fldChar w:fldCharType="separate"/>
      </w:r>
      <w:r w:rsidR="00592779">
        <w:rPr>
          <w:b/>
          <w:noProof/>
        </w:rPr>
        <w:t>3</w:t>
      </w:r>
      <w:r w:rsidR="00AE362D" w:rsidRPr="00012F17">
        <w:rPr>
          <w:b/>
          <w:noProof/>
        </w:rPr>
        <w:fldChar w:fldCharType="end"/>
      </w:r>
      <w:r w:rsidR="00BA31AA" w:rsidRPr="00012F17">
        <w:rPr>
          <w:b/>
        </w:rPr>
        <w:noBreakHyphen/>
      </w:r>
      <w:r w:rsidR="00AE362D" w:rsidRPr="00012F17">
        <w:rPr>
          <w:b/>
          <w:noProof/>
        </w:rPr>
        <w:fldChar w:fldCharType="begin"/>
      </w:r>
      <w:r w:rsidR="00AE362D" w:rsidRPr="00012F17">
        <w:rPr>
          <w:b/>
          <w:noProof/>
        </w:rPr>
        <w:instrText xml:space="preserve"> SEQ Figure \* ARABIC \s 1 </w:instrText>
      </w:r>
      <w:r w:rsidR="00AE362D" w:rsidRPr="00012F17">
        <w:rPr>
          <w:b/>
          <w:noProof/>
        </w:rPr>
        <w:fldChar w:fldCharType="separate"/>
      </w:r>
      <w:r w:rsidR="00592779">
        <w:rPr>
          <w:b/>
          <w:noProof/>
        </w:rPr>
        <w:t>24</w:t>
      </w:r>
      <w:r w:rsidR="00AE362D" w:rsidRPr="00012F17">
        <w:rPr>
          <w:b/>
          <w:noProof/>
        </w:rPr>
        <w:fldChar w:fldCharType="end"/>
      </w:r>
      <w:bookmarkEnd w:id="52"/>
      <w:r w:rsidR="00340B0D" w:rsidRPr="00012F17">
        <w:rPr>
          <w:b/>
        </w:rPr>
        <w:t xml:space="preserve"> </w:t>
      </w:r>
      <w:r w:rsidR="00ED77C8" w:rsidRPr="00012F17">
        <w:rPr>
          <w:b/>
        </w:rPr>
        <w:t xml:space="preserve">Survival curves for the period 1996-2016 for women grouped according to whether or not </w:t>
      </w:r>
      <w:r w:rsidRPr="00012F17">
        <w:rPr>
          <w:b/>
        </w:rPr>
        <w:t xml:space="preserve">at Survey 2 </w:t>
      </w:r>
      <w:r w:rsidR="00ED77C8" w:rsidRPr="00012F17">
        <w:rPr>
          <w:b/>
        </w:rPr>
        <w:t>they provided care to someone because of long term illness, disability or frailty</w:t>
      </w:r>
      <w:r w:rsidRPr="00012F17">
        <w:rPr>
          <w:b/>
        </w:rPr>
        <w:t>, who lived elsewhere.</w:t>
      </w:r>
    </w:p>
    <w:p w14:paraId="1286B696" w14:textId="1800A393" w:rsidR="00583B55" w:rsidRDefault="00BA31AA" w:rsidP="00012F17">
      <w:r>
        <w:t>There is a slight, but statistically significant, survival advantage for women who were carers for someone living elsewhere at Survey 2. There was no difference in survival for women caring for someone living with them. However given the large amount of change in carer role over the women’s later lives, these comparisons do not reflect the true differences in survival for carers and non-carers.</w:t>
      </w:r>
      <w:r w:rsidR="00583B55">
        <w:br w:type="page"/>
      </w:r>
    </w:p>
    <w:p w14:paraId="172A08F3" w14:textId="01CEF57A" w:rsidR="00404D78" w:rsidRDefault="00FF3A3F" w:rsidP="00B102A4">
      <w:pPr>
        <w:pStyle w:val="Heading1"/>
      </w:pPr>
      <w:bookmarkStart w:id="53" w:name="_Toc530561267"/>
      <w:r>
        <w:lastRenderedPageBreak/>
        <w:t>KEY RESEARCH ACHIEVEMENTS</w:t>
      </w:r>
      <w:bookmarkEnd w:id="53"/>
      <w:r>
        <w:t xml:space="preserve"> </w:t>
      </w:r>
    </w:p>
    <w:p w14:paraId="78D83085" w14:textId="3A829A3C" w:rsidR="00404D78" w:rsidRDefault="00404D78" w:rsidP="00091A0A">
      <w:pPr>
        <w:pStyle w:val="Heading2"/>
        <w:ind w:left="578" w:hanging="578"/>
      </w:pPr>
      <w:bookmarkStart w:id="54" w:name="_Toc389145778"/>
      <w:bookmarkStart w:id="55" w:name="_Toc530561268"/>
      <w:r>
        <w:t>Publications</w:t>
      </w:r>
      <w:bookmarkEnd w:id="54"/>
      <w:r w:rsidR="00D47D5D">
        <w:t xml:space="preserve"> using data from the 1921-26 cohort</w:t>
      </w:r>
      <w:bookmarkEnd w:id="55"/>
    </w:p>
    <w:p w14:paraId="437B16E2" w14:textId="48EBA602" w:rsidR="00084B2B" w:rsidRPr="00084B2B" w:rsidRDefault="008B7D9E" w:rsidP="00084B2B">
      <w:r>
        <w:t>Since 1996</w:t>
      </w:r>
      <w:r w:rsidR="00084B2B" w:rsidRPr="00084B2B">
        <w:t xml:space="preserve">, </w:t>
      </w:r>
      <w:r>
        <w:t>over 200 papers using data from the ALSWH 1921-26 cohort have been published.</w:t>
      </w:r>
      <w:r w:rsidR="00012F17">
        <w:t xml:space="preserve"> </w:t>
      </w:r>
      <w:r w:rsidR="00084B2B" w:rsidRPr="00084B2B">
        <w:t>The major themes in these publications are:</w:t>
      </w:r>
    </w:p>
    <w:p w14:paraId="6429BF4E" w14:textId="315F8FA8" w:rsidR="00084B2B" w:rsidRPr="00084B2B" w:rsidRDefault="00084B2B" w:rsidP="00020D3F">
      <w:pPr>
        <w:numPr>
          <w:ilvl w:val="0"/>
          <w:numId w:val="7"/>
        </w:numPr>
        <w:spacing w:after="80" w:line="240" w:lineRule="auto"/>
        <w:ind w:left="714" w:hanging="357"/>
      </w:pPr>
      <w:r w:rsidRPr="00084B2B">
        <w:t>Survival, frailty, and physical health (</w:t>
      </w:r>
      <w:r w:rsidR="00836344">
        <w:t>68</w:t>
      </w:r>
      <w:r w:rsidRPr="00084B2B">
        <w:t xml:space="preserve"> papers)</w:t>
      </w:r>
    </w:p>
    <w:p w14:paraId="309D000F" w14:textId="6190AD25" w:rsidR="00084B2B" w:rsidRPr="00084B2B" w:rsidRDefault="00836344" w:rsidP="00020D3F">
      <w:pPr>
        <w:numPr>
          <w:ilvl w:val="0"/>
          <w:numId w:val="7"/>
        </w:numPr>
        <w:spacing w:after="80" w:line="240" w:lineRule="auto"/>
        <w:ind w:left="714" w:hanging="357"/>
      </w:pPr>
      <w:r>
        <w:t>Non-communicable disease (chronic</w:t>
      </w:r>
      <w:r w:rsidR="00084B2B" w:rsidRPr="00084B2B">
        <w:t xml:space="preserve"> conditions</w:t>
      </w:r>
      <w:r>
        <w:t>)</w:t>
      </w:r>
      <w:r w:rsidR="00084B2B" w:rsidRPr="00084B2B">
        <w:t xml:space="preserve"> (</w:t>
      </w:r>
      <w:r>
        <w:t>49</w:t>
      </w:r>
      <w:r w:rsidR="00084B2B" w:rsidRPr="00084B2B">
        <w:t xml:space="preserve"> papers)</w:t>
      </w:r>
    </w:p>
    <w:p w14:paraId="1218086F" w14:textId="1B92AEC7" w:rsidR="00084B2B" w:rsidRPr="00084B2B" w:rsidRDefault="00084B2B" w:rsidP="00020D3F">
      <w:pPr>
        <w:numPr>
          <w:ilvl w:val="0"/>
          <w:numId w:val="7"/>
        </w:numPr>
        <w:spacing w:after="80" w:line="240" w:lineRule="auto"/>
        <w:ind w:left="714" w:hanging="357"/>
      </w:pPr>
      <w:r w:rsidRPr="00084B2B">
        <w:t>Health service use and systems (4</w:t>
      </w:r>
      <w:r w:rsidR="00836344">
        <w:t>9</w:t>
      </w:r>
      <w:r w:rsidRPr="00084B2B">
        <w:t xml:space="preserve"> papers)</w:t>
      </w:r>
    </w:p>
    <w:p w14:paraId="39BEF894" w14:textId="6420F9C2" w:rsidR="00084B2B" w:rsidRPr="00084B2B" w:rsidRDefault="00084B2B" w:rsidP="00020D3F">
      <w:pPr>
        <w:numPr>
          <w:ilvl w:val="0"/>
          <w:numId w:val="7"/>
        </w:numPr>
        <w:spacing w:after="80" w:line="240" w:lineRule="auto"/>
        <w:ind w:left="714" w:hanging="357"/>
      </w:pPr>
      <w:r w:rsidRPr="00084B2B">
        <w:t>Mental health (</w:t>
      </w:r>
      <w:r w:rsidR="00836344">
        <w:t>44</w:t>
      </w:r>
      <w:r w:rsidRPr="00084B2B">
        <w:t xml:space="preserve"> papers)</w:t>
      </w:r>
    </w:p>
    <w:p w14:paraId="684B0C15" w14:textId="651D2E6A" w:rsidR="00836344" w:rsidRDefault="00836344" w:rsidP="00020D3F">
      <w:pPr>
        <w:numPr>
          <w:ilvl w:val="0"/>
          <w:numId w:val="7"/>
        </w:numPr>
        <w:spacing w:after="80" w:line="240" w:lineRule="auto"/>
        <w:ind w:left="714" w:hanging="357"/>
      </w:pPr>
      <w:r>
        <w:t>Linked data (41 papers)</w:t>
      </w:r>
    </w:p>
    <w:p w14:paraId="4CFF7C2E" w14:textId="338B9515" w:rsidR="00836344" w:rsidRPr="00084B2B" w:rsidRDefault="00836344" w:rsidP="00020D3F">
      <w:pPr>
        <w:numPr>
          <w:ilvl w:val="0"/>
          <w:numId w:val="7"/>
        </w:numPr>
        <w:spacing w:after="80" w:line="240" w:lineRule="auto"/>
        <w:ind w:left="714" w:hanging="357"/>
      </w:pPr>
      <w:r w:rsidRPr="00084B2B">
        <w:t>Social fac</w:t>
      </w:r>
      <w:r>
        <w:t xml:space="preserve">tors in health and wellbeing (39 </w:t>
      </w:r>
      <w:r w:rsidRPr="00084B2B">
        <w:t>papers)</w:t>
      </w:r>
    </w:p>
    <w:p w14:paraId="1605B2E7" w14:textId="2F4499A7" w:rsidR="00836344" w:rsidRPr="00084B2B" w:rsidRDefault="00836344" w:rsidP="00020D3F">
      <w:pPr>
        <w:numPr>
          <w:ilvl w:val="0"/>
          <w:numId w:val="7"/>
        </w:numPr>
        <w:spacing w:after="80" w:line="240" w:lineRule="auto"/>
        <w:ind w:left="714" w:hanging="357"/>
      </w:pPr>
      <w:r w:rsidRPr="00084B2B">
        <w:t>Methodology (</w:t>
      </w:r>
      <w:r>
        <w:t>35</w:t>
      </w:r>
      <w:r w:rsidRPr="00084B2B">
        <w:t xml:space="preserve"> papers)</w:t>
      </w:r>
    </w:p>
    <w:p w14:paraId="0E1F6A6F" w14:textId="54FB1074" w:rsidR="00836344" w:rsidRPr="00084B2B" w:rsidRDefault="00836344" w:rsidP="00020D3F">
      <w:pPr>
        <w:numPr>
          <w:ilvl w:val="0"/>
          <w:numId w:val="7"/>
        </w:numPr>
        <w:spacing w:after="80" w:line="240" w:lineRule="auto"/>
        <w:ind w:left="714" w:hanging="357"/>
      </w:pPr>
      <w:r w:rsidRPr="00084B2B">
        <w:t>Weight, nut</w:t>
      </w:r>
      <w:r>
        <w:t>rition and physical activity (32</w:t>
      </w:r>
      <w:r w:rsidRPr="00084B2B">
        <w:t xml:space="preserve"> papers)</w:t>
      </w:r>
    </w:p>
    <w:p w14:paraId="6E530C6C" w14:textId="6C371DE5" w:rsidR="00084B2B" w:rsidRPr="00084B2B" w:rsidRDefault="00084B2B" w:rsidP="00020D3F">
      <w:pPr>
        <w:numPr>
          <w:ilvl w:val="0"/>
          <w:numId w:val="7"/>
        </w:numPr>
        <w:spacing w:after="80" w:line="240" w:lineRule="auto"/>
        <w:ind w:left="714" w:hanging="357"/>
      </w:pPr>
      <w:r w:rsidRPr="00084B2B">
        <w:t>Intergenerational issues (</w:t>
      </w:r>
      <w:r w:rsidR="00836344">
        <w:t>29</w:t>
      </w:r>
      <w:r w:rsidRPr="00084B2B">
        <w:t xml:space="preserve"> papers)</w:t>
      </w:r>
    </w:p>
    <w:p w14:paraId="28A8E8B7" w14:textId="532A74B5" w:rsidR="00084B2B" w:rsidRPr="00084B2B" w:rsidRDefault="00084B2B" w:rsidP="00020D3F">
      <w:pPr>
        <w:numPr>
          <w:ilvl w:val="0"/>
          <w:numId w:val="7"/>
        </w:numPr>
        <w:spacing w:after="80" w:line="240" w:lineRule="auto"/>
        <w:ind w:left="714" w:hanging="357"/>
      </w:pPr>
      <w:r w:rsidRPr="00084B2B">
        <w:t>Medications (2</w:t>
      </w:r>
      <w:r w:rsidR="00836344">
        <w:t>2</w:t>
      </w:r>
      <w:r w:rsidRPr="00084B2B">
        <w:t xml:space="preserve"> papers)</w:t>
      </w:r>
    </w:p>
    <w:p w14:paraId="6D731160" w14:textId="23562125" w:rsidR="00836344" w:rsidRPr="00084B2B" w:rsidRDefault="00836344" w:rsidP="00020D3F">
      <w:pPr>
        <w:numPr>
          <w:ilvl w:val="0"/>
          <w:numId w:val="7"/>
        </w:numPr>
        <w:spacing w:after="80" w:line="240" w:lineRule="auto"/>
        <w:ind w:left="714" w:hanging="357"/>
      </w:pPr>
      <w:r>
        <w:t>Quality of Life (16</w:t>
      </w:r>
      <w:r w:rsidRPr="00084B2B">
        <w:t xml:space="preserve"> papers)</w:t>
      </w:r>
    </w:p>
    <w:p w14:paraId="72F47D76" w14:textId="77777777" w:rsidR="00084B2B" w:rsidRPr="00084B2B" w:rsidRDefault="00084B2B" w:rsidP="00020D3F">
      <w:pPr>
        <w:numPr>
          <w:ilvl w:val="0"/>
          <w:numId w:val="7"/>
        </w:numPr>
        <w:spacing w:after="80" w:line="240" w:lineRule="auto"/>
        <w:ind w:left="714" w:hanging="357"/>
      </w:pPr>
      <w:r w:rsidRPr="00084B2B">
        <w:t>Health in rural and remote areas (15 papers)</w:t>
      </w:r>
    </w:p>
    <w:p w14:paraId="22189204" w14:textId="2D2B6007" w:rsidR="00084B2B" w:rsidRPr="00084B2B" w:rsidRDefault="00084B2B" w:rsidP="00020D3F">
      <w:pPr>
        <w:numPr>
          <w:ilvl w:val="0"/>
          <w:numId w:val="7"/>
        </w:numPr>
        <w:spacing w:after="80" w:line="240" w:lineRule="auto"/>
        <w:ind w:left="714" w:hanging="357"/>
      </w:pPr>
      <w:r w:rsidRPr="00084B2B">
        <w:t>Toba</w:t>
      </w:r>
      <w:r w:rsidR="00836344">
        <w:t>cco, alcohol and other drugs (13</w:t>
      </w:r>
      <w:r w:rsidRPr="00084B2B">
        <w:t xml:space="preserve"> papers)</w:t>
      </w:r>
    </w:p>
    <w:p w14:paraId="23A661DF" w14:textId="77777777" w:rsidR="00084B2B" w:rsidRPr="00084B2B" w:rsidRDefault="00084B2B" w:rsidP="00020D3F">
      <w:pPr>
        <w:numPr>
          <w:ilvl w:val="0"/>
          <w:numId w:val="7"/>
        </w:numPr>
        <w:spacing w:after="80" w:line="240" w:lineRule="auto"/>
        <w:ind w:left="714" w:hanging="357"/>
      </w:pPr>
      <w:r w:rsidRPr="00084B2B">
        <w:t>Social determinants of health (8 papers)</w:t>
      </w:r>
    </w:p>
    <w:p w14:paraId="1D7CF891" w14:textId="3D34403B" w:rsidR="00836344" w:rsidRPr="00084B2B" w:rsidRDefault="00836344" w:rsidP="00020D3F">
      <w:pPr>
        <w:numPr>
          <w:ilvl w:val="0"/>
          <w:numId w:val="7"/>
        </w:numPr>
        <w:spacing w:after="80" w:line="240" w:lineRule="auto"/>
        <w:ind w:left="714" w:hanging="357"/>
      </w:pPr>
      <w:r>
        <w:t>Comorbidity/</w:t>
      </w:r>
      <w:proofErr w:type="spellStart"/>
      <w:r>
        <w:t>multimorbidity</w:t>
      </w:r>
      <w:proofErr w:type="spellEnd"/>
      <w:r>
        <w:t xml:space="preserve"> (7</w:t>
      </w:r>
      <w:r w:rsidRPr="00084B2B">
        <w:t xml:space="preserve"> papers) </w:t>
      </w:r>
    </w:p>
    <w:p w14:paraId="41056740" w14:textId="22A39552" w:rsidR="00084B2B" w:rsidRPr="00084B2B" w:rsidRDefault="00012F17" w:rsidP="00020D3F">
      <w:pPr>
        <w:numPr>
          <w:ilvl w:val="0"/>
          <w:numId w:val="7"/>
        </w:numPr>
        <w:spacing w:after="80" w:line="240" w:lineRule="auto"/>
        <w:ind w:left="714" w:hanging="357"/>
      </w:pPr>
      <w:r>
        <w:t>Abuse (6 papers)</w:t>
      </w:r>
    </w:p>
    <w:p w14:paraId="2C069BDB" w14:textId="76ED053D" w:rsidR="00084B2B" w:rsidRPr="00084B2B" w:rsidRDefault="00084B2B" w:rsidP="00020D3F">
      <w:pPr>
        <w:numPr>
          <w:ilvl w:val="0"/>
          <w:numId w:val="7"/>
        </w:numPr>
        <w:spacing w:after="80" w:line="240" w:lineRule="auto"/>
        <w:ind w:left="714" w:hanging="357"/>
      </w:pPr>
      <w:r w:rsidRPr="00084B2B">
        <w:t>Caring (</w:t>
      </w:r>
      <w:r w:rsidR="00836344">
        <w:t>6</w:t>
      </w:r>
      <w:r w:rsidRPr="00084B2B">
        <w:t xml:space="preserve"> papers)</w:t>
      </w:r>
    </w:p>
    <w:p w14:paraId="1495DCE1" w14:textId="37AA0E92" w:rsidR="00084B2B" w:rsidRPr="00084B2B" w:rsidRDefault="00084B2B" w:rsidP="00084B2B">
      <w:pPr>
        <w:rPr>
          <w:sz w:val="20"/>
          <w:szCs w:val="20"/>
        </w:rPr>
      </w:pPr>
      <w:r w:rsidRPr="00084B2B" w:rsidDel="00BE7AA6">
        <w:t xml:space="preserve"> </w:t>
      </w:r>
      <w:r w:rsidRPr="00084B2B">
        <w:rPr>
          <w:sz w:val="20"/>
          <w:szCs w:val="20"/>
        </w:rPr>
        <w:t>(</w:t>
      </w:r>
      <w:r w:rsidRPr="00084B2B">
        <w:rPr>
          <w:i/>
          <w:sz w:val="20"/>
          <w:szCs w:val="20"/>
        </w:rPr>
        <w:t>Note:</w:t>
      </w:r>
      <w:r w:rsidR="00012F17">
        <w:rPr>
          <w:sz w:val="20"/>
          <w:szCs w:val="20"/>
        </w:rPr>
        <w:t xml:space="preserve"> </w:t>
      </w:r>
      <w:r w:rsidRPr="00084B2B">
        <w:rPr>
          <w:sz w:val="20"/>
          <w:szCs w:val="20"/>
        </w:rPr>
        <w:t>A publication may reflect more than one major theme).</w:t>
      </w:r>
    </w:p>
    <w:p w14:paraId="54475FAE" w14:textId="664B7229" w:rsidR="00084B2B" w:rsidRPr="00084B2B" w:rsidRDefault="00084B2B" w:rsidP="007D6EA7">
      <w:r w:rsidRPr="00084B2B">
        <w:t xml:space="preserve">Themes with high rates of citations (i.e., in peer reviewed journals, reports for government etc., as recorded by Google Scholar) were </w:t>
      </w:r>
      <w:r w:rsidRPr="008B7D9E">
        <w:rPr>
          <w:i/>
        </w:rPr>
        <w:t>Social factors in health</w:t>
      </w:r>
      <w:r w:rsidRPr="00084B2B">
        <w:t xml:space="preserve"> (14 papers cited more than 40 times); </w:t>
      </w:r>
      <w:r w:rsidRPr="008B7D9E">
        <w:rPr>
          <w:i/>
        </w:rPr>
        <w:t>Health service use and systems</w:t>
      </w:r>
      <w:r w:rsidRPr="00084B2B">
        <w:t xml:space="preserve"> (12 papers cited more than 40 times); </w:t>
      </w:r>
      <w:r w:rsidRPr="008B7D9E">
        <w:rPr>
          <w:i/>
        </w:rPr>
        <w:t>Mental health</w:t>
      </w:r>
      <w:r w:rsidRPr="00084B2B">
        <w:t xml:space="preserve"> (10 papers with more than 40 citations); </w:t>
      </w:r>
      <w:r w:rsidRPr="008475FD">
        <w:t>Weight, nutrition and physical activity (8 papers cited more than 40 times); and Survival, frailty and physical health (</w:t>
      </w:r>
      <w:r w:rsidRPr="00084B2B">
        <w:t>7 pap</w:t>
      </w:r>
      <w:r w:rsidR="00836344">
        <w:t>ers with more than 40 citations</w:t>
      </w:r>
      <w:r w:rsidRPr="00084B2B">
        <w:t>).</w:t>
      </w:r>
    </w:p>
    <w:p w14:paraId="512E7C0A" w14:textId="1906151D" w:rsidR="00084B2B" w:rsidRPr="00084B2B" w:rsidRDefault="0062079D" w:rsidP="0062079D">
      <w:pPr>
        <w:pStyle w:val="Heading3"/>
      </w:pPr>
      <w:bookmarkStart w:id="56" w:name="_Toc530561269"/>
      <w:r>
        <w:t xml:space="preserve">Highly cited publications since </w:t>
      </w:r>
      <w:r w:rsidR="00084B2B" w:rsidRPr="00084B2B">
        <w:t>1996:</w:t>
      </w:r>
      <w:bookmarkEnd w:id="56"/>
    </w:p>
    <w:p w14:paraId="7F595FB3" w14:textId="288FC2CB" w:rsidR="00084B2B" w:rsidRPr="008475FD" w:rsidRDefault="00084B2B" w:rsidP="008E2516">
      <w:pPr>
        <w:spacing w:after="0" w:line="240" w:lineRule="auto"/>
        <w:contextualSpacing/>
        <w:rPr>
          <w:rFonts w:eastAsia="Times New Roman" w:cs="Times New Roman"/>
          <w:color w:val="000000"/>
          <w:lang w:eastAsia="en-AU"/>
        </w:rPr>
      </w:pPr>
      <w:r w:rsidRPr="00084B2B">
        <w:rPr>
          <w:rFonts w:eastAsia="Times New Roman" w:cs="Times New Roman"/>
          <w:color w:val="000000"/>
          <w:lang w:eastAsia="en-AU"/>
        </w:rPr>
        <w:t>Leaking urine: Prevalence and associated factors in Australian women. 1</w:t>
      </w:r>
      <w:r w:rsidRPr="008475FD">
        <w:rPr>
          <w:rFonts w:eastAsia="Times New Roman" w:cs="Times New Roman"/>
          <w:color w:val="000000"/>
          <w:lang w:eastAsia="en-AU"/>
        </w:rPr>
        <w:t xml:space="preserve">999. </w:t>
      </w:r>
      <w:proofErr w:type="spellStart"/>
      <w:r w:rsidRPr="008475FD">
        <w:rPr>
          <w:rFonts w:eastAsia="Times New Roman" w:cs="Times New Roman"/>
          <w:iCs/>
          <w:color w:val="000000"/>
          <w:lang w:eastAsia="en-AU"/>
        </w:rPr>
        <w:t>Neurourology</w:t>
      </w:r>
      <w:proofErr w:type="spellEnd"/>
      <w:r w:rsidRPr="008475FD">
        <w:rPr>
          <w:rFonts w:eastAsia="Times New Roman" w:cs="Times New Roman"/>
          <w:iCs/>
          <w:color w:val="000000"/>
          <w:lang w:eastAsia="en-AU"/>
        </w:rPr>
        <w:t xml:space="preserve"> and </w:t>
      </w:r>
      <w:proofErr w:type="spellStart"/>
      <w:r w:rsidRPr="008475FD">
        <w:rPr>
          <w:rFonts w:eastAsia="Times New Roman" w:cs="Times New Roman"/>
          <w:iCs/>
          <w:color w:val="000000"/>
          <w:lang w:eastAsia="en-AU"/>
        </w:rPr>
        <w:t>Urodynamics</w:t>
      </w:r>
      <w:proofErr w:type="spellEnd"/>
      <w:r w:rsidRPr="008475FD">
        <w:rPr>
          <w:rFonts w:eastAsia="Times New Roman" w:cs="Times New Roman"/>
          <w:iCs/>
          <w:color w:val="000000"/>
          <w:lang w:eastAsia="en-AU"/>
        </w:rPr>
        <w:t>,</w:t>
      </w:r>
      <w:r w:rsidRPr="008475FD">
        <w:rPr>
          <w:rFonts w:eastAsia="Times New Roman" w:cs="Times New Roman"/>
          <w:color w:val="000000"/>
          <w:lang w:eastAsia="en-AU"/>
        </w:rPr>
        <w:t xml:space="preserve"> 1</w:t>
      </w:r>
      <w:r w:rsidR="00012F17" w:rsidRPr="008475FD">
        <w:rPr>
          <w:rFonts w:eastAsia="Times New Roman" w:cs="Times New Roman"/>
          <w:color w:val="000000"/>
          <w:lang w:eastAsia="en-AU"/>
        </w:rPr>
        <w:t>8(6); 567-577. Citations = 243.</w:t>
      </w:r>
    </w:p>
    <w:p w14:paraId="22B94E97" w14:textId="77777777" w:rsidR="00084B2B" w:rsidRPr="0062079D" w:rsidRDefault="00084B2B" w:rsidP="00084B2B">
      <w:pPr>
        <w:spacing w:before="80"/>
        <w:ind w:left="357"/>
        <w:rPr>
          <w:rFonts w:cs="Times New Roman"/>
          <w:color w:val="000000"/>
          <w:lang w:eastAsia="en-AU"/>
        </w:rPr>
      </w:pPr>
      <w:r w:rsidRPr="00084B2B">
        <w:rPr>
          <w:rFonts w:cs="Times New Roman"/>
          <w:color w:val="000000"/>
          <w:lang w:eastAsia="en-AU"/>
        </w:rPr>
        <w:t xml:space="preserve">This paper presented data on the prevalence of urinary incontinence across the original three cohorts of women. The proportion of women with reporting leaking urine was 13% (18-23 years), 36% (45-50 years), </w:t>
      </w:r>
      <w:proofErr w:type="gramStart"/>
      <w:r w:rsidRPr="00084B2B">
        <w:rPr>
          <w:rFonts w:cs="Times New Roman"/>
          <w:color w:val="000000"/>
          <w:lang w:eastAsia="en-AU"/>
        </w:rPr>
        <w:t>35</w:t>
      </w:r>
      <w:proofErr w:type="gramEnd"/>
      <w:r w:rsidRPr="00084B2B">
        <w:rPr>
          <w:rFonts w:cs="Times New Roman"/>
          <w:color w:val="000000"/>
          <w:lang w:eastAsia="en-AU"/>
        </w:rPr>
        <w:t xml:space="preserve">% (70-75 years). Subsequent papers have looked at the incidence and impact </w:t>
      </w:r>
      <w:r w:rsidRPr="0062079D">
        <w:rPr>
          <w:rFonts w:cs="Times New Roman"/>
          <w:color w:val="000000"/>
          <w:lang w:eastAsia="en-AU"/>
        </w:rPr>
        <w:t>of urinary incontinence.</w:t>
      </w:r>
    </w:p>
    <w:p w14:paraId="3A08B45F" w14:textId="5B327F28" w:rsidR="00084B2B" w:rsidRPr="008475FD" w:rsidRDefault="00084B2B" w:rsidP="00D3035E">
      <w:pPr>
        <w:spacing w:after="0" w:line="240" w:lineRule="auto"/>
        <w:contextualSpacing/>
        <w:rPr>
          <w:rFonts w:eastAsia="Times New Roman" w:cstheme="minorHAnsi"/>
          <w:lang w:eastAsia="en-AU"/>
        </w:rPr>
      </w:pPr>
      <w:r w:rsidRPr="00D3035E">
        <w:rPr>
          <w:rFonts w:eastAsia="Times New Roman" w:cs="Times New Roman"/>
          <w:color w:val="000000"/>
          <w:lang w:eastAsia="en-AU"/>
        </w:rPr>
        <w:t xml:space="preserve">Updating the evidence on physical activity and health in women. 2007. </w:t>
      </w:r>
      <w:r w:rsidRPr="008475FD">
        <w:rPr>
          <w:rFonts w:eastAsia="Times New Roman" w:cs="Times New Roman"/>
          <w:color w:val="000000"/>
          <w:lang w:eastAsia="en-AU"/>
        </w:rPr>
        <w:t>American</w:t>
      </w:r>
      <w:r w:rsidRPr="008475FD">
        <w:rPr>
          <w:rFonts w:eastAsia="Times New Roman" w:cstheme="minorHAnsi"/>
          <w:iCs/>
          <w:color w:val="000000"/>
          <w:lang w:eastAsia="en-AU"/>
        </w:rPr>
        <w:t xml:space="preserve"> Journal of Preventive Medicine, 14</w:t>
      </w:r>
      <w:r w:rsidRPr="008475FD">
        <w:rPr>
          <w:rFonts w:eastAsia="Times New Roman" w:cstheme="minorHAnsi"/>
          <w:color w:val="000000"/>
          <w:lang w:eastAsia="en-AU"/>
        </w:rPr>
        <w:t>(4); 380-391.</w:t>
      </w:r>
      <w:r w:rsidR="00012F17" w:rsidRPr="008475FD">
        <w:rPr>
          <w:rFonts w:eastAsia="Times New Roman" w:cstheme="minorHAnsi"/>
          <w:iCs/>
          <w:color w:val="000000"/>
          <w:lang w:eastAsia="en-AU"/>
        </w:rPr>
        <w:t xml:space="preserve"> </w:t>
      </w:r>
      <w:r w:rsidRPr="008475FD">
        <w:rPr>
          <w:rFonts w:eastAsia="Times New Roman" w:cstheme="minorHAnsi"/>
          <w:iCs/>
          <w:color w:val="000000"/>
          <w:lang w:eastAsia="en-AU"/>
        </w:rPr>
        <w:t>Citations = 199</w:t>
      </w:r>
    </w:p>
    <w:p w14:paraId="7AFC7F38" w14:textId="0FC18890" w:rsidR="00084B2B" w:rsidRPr="00084B2B" w:rsidRDefault="00084B2B" w:rsidP="00084B2B">
      <w:pPr>
        <w:spacing w:before="80"/>
        <w:ind w:left="357"/>
        <w:rPr>
          <w:rFonts w:cs="Times New Roman"/>
          <w:color w:val="000000"/>
          <w:lang w:eastAsia="en-AU"/>
        </w:rPr>
      </w:pPr>
      <w:r w:rsidRPr="0062079D">
        <w:rPr>
          <w:rFonts w:cs="Times New Roman"/>
          <w:color w:val="000000"/>
          <w:lang w:eastAsia="en-AU"/>
        </w:rPr>
        <w:t>This paper</w:t>
      </w:r>
      <w:r w:rsidR="00AD1D6A" w:rsidRPr="0062079D">
        <w:rPr>
          <w:rFonts w:cs="Times New Roman"/>
          <w:color w:val="000000"/>
          <w:lang w:eastAsia="en-AU"/>
        </w:rPr>
        <w:t xml:space="preserve"> </w:t>
      </w:r>
      <w:r w:rsidR="0062079D" w:rsidRPr="0062079D">
        <w:rPr>
          <w:rFonts w:cs="Times New Roman"/>
          <w:color w:val="000000"/>
          <w:lang w:eastAsia="en-AU"/>
        </w:rPr>
        <w:t>reviewed findings on physical activity and prevention of cardiovascular disease, diabetes and cancer in women from prospective cohort studies conducted 1997-2006.</w:t>
      </w:r>
      <w:r w:rsidR="00012F17">
        <w:rPr>
          <w:rFonts w:cs="Times New Roman"/>
          <w:color w:val="000000"/>
          <w:lang w:eastAsia="en-AU"/>
        </w:rPr>
        <w:t xml:space="preserve"> </w:t>
      </w:r>
      <w:r w:rsidR="0062079D" w:rsidRPr="0062079D">
        <w:rPr>
          <w:rFonts w:cs="Times New Roman"/>
          <w:color w:val="000000"/>
          <w:lang w:eastAsia="en-AU"/>
        </w:rPr>
        <w:t>They found strong evidence that physical activity has a role in prevention, but no evidence of additional benefits of vigoro</w:t>
      </w:r>
      <w:r w:rsidR="00012F17">
        <w:rPr>
          <w:rFonts w:cs="Times New Roman"/>
          <w:color w:val="000000"/>
          <w:lang w:eastAsia="en-AU"/>
        </w:rPr>
        <w:t>us intensity physical activity.</w:t>
      </w:r>
    </w:p>
    <w:p w14:paraId="43A977F6" w14:textId="30F9D235" w:rsidR="00084B2B" w:rsidRPr="00AD1D6A" w:rsidRDefault="00084B2B" w:rsidP="00D3035E">
      <w:pPr>
        <w:spacing w:before="80" w:after="0" w:line="240" w:lineRule="auto"/>
        <w:contextualSpacing/>
        <w:rPr>
          <w:rFonts w:eastAsia="Times New Roman" w:cstheme="minorHAnsi"/>
          <w:color w:val="000000"/>
          <w:lang w:eastAsia="en-AU"/>
        </w:rPr>
      </w:pPr>
      <w:r w:rsidRPr="00AD1D6A">
        <w:rPr>
          <w:rFonts w:eastAsia="Times New Roman" w:cstheme="minorHAnsi"/>
          <w:lang w:eastAsia="en-AU"/>
        </w:rPr>
        <w:lastRenderedPageBreak/>
        <w:t>The World report on ageing and health: A policy framework for healthy ageing.</w:t>
      </w:r>
      <w:r w:rsidRPr="008475FD">
        <w:rPr>
          <w:rFonts w:eastAsia="Times New Roman" w:cstheme="minorHAnsi"/>
          <w:lang w:eastAsia="en-AU"/>
        </w:rPr>
        <w:t xml:space="preserve"> The Lancet, </w:t>
      </w:r>
      <w:r w:rsidRPr="00AD1D6A">
        <w:rPr>
          <w:rFonts w:eastAsia="Times New Roman" w:cstheme="minorHAnsi"/>
          <w:lang w:eastAsia="en-AU"/>
        </w:rPr>
        <w:t>2016, 2145-2154.</w:t>
      </w:r>
      <w:r w:rsidR="00012F17">
        <w:rPr>
          <w:rFonts w:eastAsia="Times New Roman" w:cstheme="minorHAnsi"/>
          <w:lang w:eastAsia="en-AU"/>
        </w:rPr>
        <w:t xml:space="preserve"> </w:t>
      </w:r>
      <w:r w:rsidRPr="00AD1D6A">
        <w:rPr>
          <w:rFonts w:eastAsia="Times New Roman" w:cstheme="minorHAnsi"/>
          <w:lang w:eastAsia="en-AU"/>
        </w:rPr>
        <w:t>Citations = 194</w:t>
      </w:r>
    </w:p>
    <w:p w14:paraId="138525C0" w14:textId="1609B791" w:rsidR="00AD1D6A" w:rsidRDefault="00084B2B" w:rsidP="00AD1D6A">
      <w:pPr>
        <w:spacing w:before="80"/>
        <w:ind w:left="357"/>
        <w:rPr>
          <w:rFonts w:cs="Times New Roman"/>
          <w:color w:val="000000"/>
          <w:lang w:eastAsia="en-AU"/>
        </w:rPr>
      </w:pPr>
      <w:r w:rsidRPr="00AD1D6A">
        <w:rPr>
          <w:rFonts w:cs="Times New Roman"/>
          <w:color w:val="000000"/>
          <w:lang w:eastAsia="en-AU"/>
        </w:rPr>
        <w:t>This paper</w:t>
      </w:r>
      <w:r w:rsidR="0062079D">
        <w:rPr>
          <w:rFonts w:cs="Times New Roman"/>
          <w:color w:val="000000"/>
          <w:lang w:eastAsia="en-AU"/>
        </w:rPr>
        <w:t xml:space="preserve"> </w:t>
      </w:r>
      <w:r w:rsidR="00AD1D6A" w:rsidRPr="00AD1D6A">
        <w:rPr>
          <w:rFonts w:cs="Times New Roman"/>
          <w:color w:val="000000"/>
          <w:lang w:eastAsia="en-AU"/>
        </w:rPr>
        <w:t xml:space="preserve">highlights key findings and recommendations from the </w:t>
      </w:r>
      <w:r w:rsidR="0062079D">
        <w:rPr>
          <w:rFonts w:cs="Times New Roman"/>
          <w:color w:val="000000"/>
          <w:lang w:eastAsia="en-AU"/>
        </w:rPr>
        <w:t xml:space="preserve">2015 </w:t>
      </w:r>
      <w:r w:rsidR="00AD1D6A" w:rsidRPr="00AD1D6A">
        <w:rPr>
          <w:rFonts w:cs="Times New Roman"/>
          <w:color w:val="000000"/>
          <w:lang w:eastAsia="en-AU"/>
        </w:rPr>
        <w:t>WHO report</w:t>
      </w:r>
      <w:r w:rsidR="0062079D">
        <w:rPr>
          <w:rFonts w:cs="Times New Roman"/>
          <w:color w:val="000000"/>
          <w:lang w:eastAsia="en-AU"/>
        </w:rPr>
        <w:t xml:space="preserve"> on ageing and health</w:t>
      </w:r>
      <w:r w:rsidR="00AD1D6A" w:rsidRPr="00AD1D6A">
        <w:rPr>
          <w:rFonts w:cs="Times New Roman"/>
          <w:color w:val="000000"/>
          <w:lang w:eastAsia="en-AU"/>
        </w:rPr>
        <w:t>.</w:t>
      </w:r>
      <w:r w:rsidR="00012F17">
        <w:rPr>
          <w:rFonts w:cs="Times New Roman"/>
          <w:color w:val="000000"/>
          <w:lang w:eastAsia="en-AU"/>
        </w:rPr>
        <w:t xml:space="preserve"> </w:t>
      </w:r>
      <w:r w:rsidR="00AD1D6A" w:rsidRPr="00AD1D6A">
        <w:rPr>
          <w:rFonts w:cs="Times New Roman"/>
          <w:color w:val="000000"/>
          <w:lang w:eastAsia="en-AU"/>
        </w:rPr>
        <w:t>Four priority areas for action are noted – aligning health systems to the older populations they serve, ensuring the systems are developed to provide long-term care, providing opportunities for growing old in age-friendly environments, and improving measurement, monitoring and u</w:t>
      </w:r>
      <w:r w:rsidR="00012F17">
        <w:rPr>
          <w:rFonts w:cs="Times New Roman"/>
          <w:color w:val="000000"/>
          <w:lang w:eastAsia="en-AU"/>
        </w:rPr>
        <w:t>nderstanding of healthy ageing.</w:t>
      </w:r>
    </w:p>
    <w:p w14:paraId="1A16E47C" w14:textId="7373F47C" w:rsidR="0062079D" w:rsidRDefault="00084B2B" w:rsidP="00D3035E">
      <w:pPr>
        <w:spacing w:after="0" w:line="240" w:lineRule="auto"/>
        <w:contextualSpacing/>
        <w:rPr>
          <w:rFonts w:eastAsia="Times New Roman" w:cs="Times New Roman"/>
          <w:color w:val="000000"/>
          <w:lang w:eastAsia="en-AU"/>
        </w:rPr>
      </w:pPr>
      <w:r w:rsidRPr="00084B2B">
        <w:rPr>
          <w:rFonts w:eastAsia="Times New Roman" w:cs="Times New Roman"/>
          <w:color w:val="000000"/>
          <w:lang w:eastAsia="en-AU"/>
        </w:rPr>
        <w:t xml:space="preserve">Attrition in longitudinal studies: Who do you lose? 2006. </w:t>
      </w:r>
      <w:r w:rsidRPr="0062079D">
        <w:rPr>
          <w:rFonts w:eastAsia="Times New Roman" w:cs="Times New Roman"/>
          <w:color w:val="000000"/>
          <w:lang w:eastAsia="en-AU"/>
        </w:rPr>
        <w:t>Australian and New Zealand Journal of Public Health, 30</w:t>
      </w:r>
      <w:r w:rsidR="00012F17">
        <w:rPr>
          <w:rFonts w:eastAsia="Times New Roman" w:cs="Times New Roman"/>
          <w:color w:val="000000"/>
          <w:lang w:eastAsia="en-AU"/>
        </w:rPr>
        <w:t>(4); 353-361. Citations = 182.</w:t>
      </w:r>
    </w:p>
    <w:p w14:paraId="63432C68" w14:textId="3053CE1C" w:rsidR="00084B2B" w:rsidRPr="00084B2B" w:rsidRDefault="00084B2B" w:rsidP="0062079D">
      <w:pPr>
        <w:spacing w:after="0" w:line="40" w:lineRule="exact"/>
        <w:ind w:left="720"/>
        <w:contextualSpacing/>
        <w:rPr>
          <w:rFonts w:eastAsia="Times New Roman" w:cs="Times New Roman"/>
          <w:color w:val="000000"/>
          <w:lang w:eastAsia="en-AU"/>
        </w:rPr>
      </w:pPr>
      <w:r w:rsidRPr="00084B2B">
        <w:rPr>
          <w:rFonts w:eastAsia="Times New Roman" w:cs="Times New Roman"/>
          <w:color w:val="000000"/>
          <w:lang w:eastAsia="en-AU"/>
        </w:rPr>
        <w:t xml:space="preserve"> </w:t>
      </w:r>
    </w:p>
    <w:p w14:paraId="230B810D" w14:textId="6AA81296" w:rsidR="00084B2B" w:rsidRPr="00084B2B" w:rsidRDefault="00084B2B" w:rsidP="00084B2B">
      <w:pPr>
        <w:spacing w:before="80"/>
        <w:ind w:left="357"/>
        <w:rPr>
          <w:rFonts w:cs="Times New Roman"/>
          <w:color w:val="000000"/>
          <w:lang w:eastAsia="en-AU"/>
        </w:rPr>
      </w:pPr>
      <w:r w:rsidRPr="00084B2B">
        <w:rPr>
          <w:rFonts w:cs="Times New Roman"/>
          <w:color w:val="000000"/>
          <w:lang w:eastAsia="en-AU"/>
        </w:rPr>
        <w:t>This paper examined loss to follow-up in the three original cohorts. The findings were used to target follow-up procedures, and to understand the effect of non-death attrition on the representativeness of the cohort. The analyses have been repeated and updated to provide good characterisation of the cohort over time and to reduce the eff</w:t>
      </w:r>
      <w:r w:rsidR="00012F17">
        <w:rPr>
          <w:rFonts w:cs="Times New Roman"/>
          <w:color w:val="000000"/>
          <w:lang w:eastAsia="en-AU"/>
        </w:rPr>
        <w:t>ects of bias in study findings.</w:t>
      </w:r>
    </w:p>
    <w:p w14:paraId="0B629F73" w14:textId="5ACC7818" w:rsidR="00084B2B" w:rsidRPr="008475FD" w:rsidRDefault="00084B2B" w:rsidP="00D3035E">
      <w:pPr>
        <w:spacing w:after="0" w:line="240" w:lineRule="auto"/>
        <w:contextualSpacing/>
        <w:rPr>
          <w:rFonts w:eastAsia="Times New Roman" w:cs="Times New Roman"/>
          <w:color w:val="000000"/>
          <w:lang w:eastAsia="en-AU"/>
        </w:rPr>
      </w:pPr>
      <w:r w:rsidRPr="00084B2B">
        <w:rPr>
          <w:rFonts w:eastAsia="Times New Roman" w:cs="Times New Roman"/>
          <w:color w:val="000000"/>
          <w:lang w:eastAsia="en-AU"/>
        </w:rPr>
        <w:t xml:space="preserve">Disorders of breathing and continence have a stronger association with back pain than obesity and physical activity. 2006. </w:t>
      </w:r>
      <w:r w:rsidRPr="008475FD">
        <w:rPr>
          <w:rFonts w:eastAsia="Times New Roman" w:cs="Times New Roman"/>
          <w:color w:val="000000"/>
          <w:lang w:eastAsia="en-AU"/>
        </w:rPr>
        <w:t>Australian Journal of Physiotherapy, 52</w:t>
      </w:r>
      <w:r w:rsidR="00012F17" w:rsidRPr="008475FD">
        <w:rPr>
          <w:rFonts w:eastAsia="Times New Roman" w:cs="Times New Roman"/>
          <w:color w:val="000000"/>
          <w:lang w:eastAsia="en-AU"/>
        </w:rPr>
        <w:t>(1); 11-16. Citations = 172.</w:t>
      </w:r>
    </w:p>
    <w:p w14:paraId="618BBC71" w14:textId="77777777" w:rsidR="00084B2B" w:rsidRPr="00084B2B" w:rsidRDefault="00084B2B" w:rsidP="00084B2B">
      <w:pPr>
        <w:spacing w:before="80"/>
        <w:ind w:left="357"/>
        <w:rPr>
          <w:rFonts w:cs="Times New Roman"/>
          <w:color w:val="000000"/>
          <w:lang w:eastAsia="en-AU"/>
        </w:rPr>
      </w:pPr>
      <w:r w:rsidRPr="00084B2B">
        <w:rPr>
          <w:rFonts w:cs="Times New Roman"/>
          <w:color w:val="000000"/>
          <w:lang w:eastAsia="en-AU"/>
        </w:rPr>
        <w:t>This paper examined associations between back pain, breathing difficulty and incontinence, with the suggestion of a common pathophysiological link between these three common symptoms.</w:t>
      </w:r>
    </w:p>
    <w:p w14:paraId="48C927B2" w14:textId="61423267" w:rsidR="00084B2B" w:rsidRPr="00084B2B" w:rsidRDefault="00084B2B" w:rsidP="00D3035E">
      <w:pPr>
        <w:spacing w:after="0" w:line="240" w:lineRule="auto"/>
        <w:contextualSpacing/>
        <w:rPr>
          <w:rFonts w:eastAsia="Times New Roman" w:cs="Times New Roman"/>
          <w:color w:val="000000"/>
          <w:lang w:eastAsia="en-AU"/>
        </w:rPr>
      </w:pPr>
      <w:r w:rsidRPr="00084B2B">
        <w:rPr>
          <w:rFonts w:eastAsia="Times New Roman" w:cs="Times New Roman"/>
          <w:color w:val="000000"/>
          <w:lang w:eastAsia="en-AU"/>
        </w:rPr>
        <w:t>The profile of women who consult alternative health practitioners in Australia. 2003</w:t>
      </w:r>
      <w:r w:rsidRPr="008475FD">
        <w:rPr>
          <w:rFonts w:eastAsia="Times New Roman" w:cs="Times New Roman"/>
          <w:color w:val="000000"/>
          <w:lang w:eastAsia="en-AU"/>
        </w:rPr>
        <w:t>. Medical Journal of Australia, 179</w:t>
      </w:r>
      <w:r w:rsidR="00012F17">
        <w:rPr>
          <w:rFonts w:eastAsia="Times New Roman" w:cs="Times New Roman"/>
          <w:color w:val="000000"/>
          <w:lang w:eastAsia="en-AU"/>
        </w:rPr>
        <w:t>(6); 297-300. Citations = 158.</w:t>
      </w:r>
    </w:p>
    <w:p w14:paraId="6804C009" w14:textId="77777777" w:rsidR="00084B2B" w:rsidRPr="00084B2B" w:rsidRDefault="00084B2B" w:rsidP="00084B2B">
      <w:pPr>
        <w:spacing w:before="80"/>
        <w:ind w:left="357"/>
        <w:rPr>
          <w:rFonts w:cs="Times New Roman"/>
          <w:color w:val="000000"/>
          <w:lang w:eastAsia="en-AU"/>
        </w:rPr>
      </w:pPr>
      <w:r w:rsidRPr="00084B2B">
        <w:rPr>
          <w:rFonts w:cs="Times New Roman"/>
          <w:color w:val="000000"/>
          <w:lang w:eastAsia="en-AU"/>
        </w:rPr>
        <w:t>This study identified the high prevalence use of complementary and alternative practitioners by women across Australia. Many subsequent studies have provided more in-depth analyses of how and why women use these services.</w:t>
      </w:r>
    </w:p>
    <w:p w14:paraId="19481A73" w14:textId="417CB18C" w:rsidR="00084B2B" w:rsidRPr="008475FD" w:rsidRDefault="00084B2B" w:rsidP="00D3035E">
      <w:pPr>
        <w:spacing w:after="0" w:line="240" w:lineRule="auto"/>
        <w:contextualSpacing/>
        <w:rPr>
          <w:rFonts w:eastAsia="Times New Roman" w:cs="Times New Roman"/>
          <w:color w:val="000000"/>
          <w:lang w:eastAsia="en-AU"/>
        </w:rPr>
      </w:pPr>
      <w:r w:rsidRPr="00084B2B">
        <w:rPr>
          <w:rFonts w:eastAsia="Times New Roman" w:cs="Times New Roman"/>
          <w:color w:val="000000"/>
          <w:lang w:eastAsia="en-AU"/>
        </w:rPr>
        <w:t>Validity of self-report screening scale for elder abuse: Women's Health Australia study</w:t>
      </w:r>
      <w:r w:rsidRPr="008475FD">
        <w:rPr>
          <w:rFonts w:eastAsia="Times New Roman" w:cs="Times New Roman"/>
          <w:color w:val="000000"/>
          <w:lang w:eastAsia="en-AU"/>
        </w:rPr>
        <w:t>. The Gerontologist, 2003; 43(1): 110-120. Citations = 123.</w:t>
      </w:r>
    </w:p>
    <w:p w14:paraId="7E2B66F2" w14:textId="77777777" w:rsidR="00084B2B" w:rsidRPr="00084B2B" w:rsidRDefault="00084B2B" w:rsidP="00084B2B">
      <w:pPr>
        <w:spacing w:before="80"/>
        <w:ind w:left="357"/>
        <w:rPr>
          <w:rFonts w:cs="Times New Roman"/>
          <w:color w:val="000000"/>
          <w:lang w:eastAsia="en-AU"/>
        </w:rPr>
      </w:pPr>
      <w:r w:rsidRPr="00084B2B">
        <w:rPr>
          <w:rFonts w:cs="Times New Roman"/>
          <w:color w:val="000000"/>
          <w:lang w:eastAsia="en-AU"/>
        </w:rPr>
        <w:t xml:space="preserve">This paper established the methods for assessing vulnerability to elder abuse which are used in ALSWH. </w:t>
      </w:r>
    </w:p>
    <w:p w14:paraId="62194274" w14:textId="5BC3526A" w:rsidR="00084B2B" w:rsidRPr="00084B2B" w:rsidRDefault="00084B2B" w:rsidP="00D3035E">
      <w:pPr>
        <w:spacing w:after="0" w:line="240" w:lineRule="auto"/>
        <w:contextualSpacing/>
        <w:rPr>
          <w:rFonts w:eastAsia="Times New Roman" w:cs="Times New Roman"/>
          <w:color w:val="000000"/>
          <w:lang w:eastAsia="en-AU"/>
        </w:rPr>
      </w:pPr>
      <w:r w:rsidRPr="00084B2B">
        <w:rPr>
          <w:rFonts w:eastAsia="Times New Roman" w:cs="Times New Roman"/>
          <w:color w:val="000000"/>
          <w:lang w:eastAsia="en-AU"/>
        </w:rPr>
        <w:t>Self-rated health and a healthy lifestyle are the most important predictors of survival in elderly women. 2008</w:t>
      </w:r>
      <w:r w:rsidRPr="008475FD">
        <w:rPr>
          <w:rFonts w:eastAsia="Times New Roman" w:cs="Times New Roman"/>
          <w:color w:val="000000"/>
          <w:lang w:eastAsia="en-AU"/>
        </w:rPr>
        <w:t>. Age &amp; Ageing, 37</w:t>
      </w:r>
      <w:r w:rsidR="00012F17" w:rsidRPr="008475FD">
        <w:rPr>
          <w:rFonts w:eastAsia="Times New Roman" w:cs="Times New Roman"/>
          <w:color w:val="000000"/>
          <w:lang w:eastAsia="en-AU"/>
        </w:rPr>
        <w:t xml:space="preserve">(2); </w:t>
      </w:r>
      <w:r w:rsidR="00012F17">
        <w:rPr>
          <w:rFonts w:eastAsia="Times New Roman" w:cs="Times New Roman"/>
          <w:color w:val="000000"/>
          <w:lang w:eastAsia="en-AU"/>
        </w:rPr>
        <w:t>194-200. Citations = 127.</w:t>
      </w:r>
    </w:p>
    <w:p w14:paraId="7E1755BF" w14:textId="77777777" w:rsidR="00084B2B" w:rsidRPr="00084B2B" w:rsidRDefault="00084B2B" w:rsidP="00084B2B">
      <w:pPr>
        <w:spacing w:before="80"/>
        <w:ind w:left="357"/>
        <w:rPr>
          <w:rFonts w:cs="Times New Roman"/>
          <w:color w:val="000000"/>
          <w:lang w:eastAsia="en-AU"/>
        </w:rPr>
      </w:pPr>
      <w:r w:rsidRPr="00084B2B">
        <w:rPr>
          <w:rFonts w:cs="Times New Roman"/>
          <w:color w:val="000000"/>
          <w:lang w:eastAsia="en-AU"/>
        </w:rPr>
        <w:t>This paper showed that current health and health related behaviours were stronger predictors than social factors of relatively early mortality among older women. The results underscored the importance of adopting a healthier lifestyle, by doing more exercise and not smoking, and showed how these health behaviours can continue to be of benefit even in later life. Subsequent papers further quantified the mortality risks for particular conditions and comorbidities and modifiable health behaviours in later life.</w:t>
      </w:r>
    </w:p>
    <w:p w14:paraId="60417905" w14:textId="6A7D678D" w:rsidR="00084B2B" w:rsidRPr="008475FD" w:rsidRDefault="00084B2B" w:rsidP="00D3035E">
      <w:pPr>
        <w:spacing w:after="0" w:line="240" w:lineRule="auto"/>
        <w:contextualSpacing/>
        <w:rPr>
          <w:rFonts w:eastAsia="Times New Roman" w:cs="Times New Roman"/>
          <w:color w:val="000000"/>
          <w:lang w:eastAsia="en-AU"/>
        </w:rPr>
      </w:pPr>
      <w:r w:rsidRPr="00084B2B">
        <w:rPr>
          <w:rFonts w:eastAsia="Times New Roman" w:cs="Times New Roman"/>
          <w:color w:val="000000"/>
          <w:lang w:eastAsia="en-AU"/>
        </w:rPr>
        <w:t>The problems of sleep for older women: Changes in health outcomes. 20</w:t>
      </w:r>
      <w:r w:rsidRPr="008475FD">
        <w:rPr>
          <w:rFonts w:eastAsia="Times New Roman" w:cs="Times New Roman"/>
          <w:color w:val="000000"/>
          <w:lang w:eastAsia="en-AU"/>
        </w:rPr>
        <w:t>03. Age and Ageing, 32(2); 154-163. Citations = 79.</w:t>
      </w:r>
      <w:r w:rsidR="00012F17" w:rsidRPr="008475FD">
        <w:rPr>
          <w:rFonts w:eastAsia="Times New Roman" w:cs="Times New Roman"/>
          <w:color w:val="000000"/>
          <w:lang w:eastAsia="en-AU"/>
        </w:rPr>
        <w:t xml:space="preserve"> </w:t>
      </w:r>
    </w:p>
    <w:p w14:paraId="4ACC9FBD" w14:textId="77777777" w:rsidR="00084B2B" w:rsidRPr="00084B2B" w:rsidRDefault="00084B2B" w:rsidP="00084B2B">
      <w:pPr>
        <w:spacing w:before="80"/>
        <w:ind w:left="357"/>
        <w:rPr>
          <w:rFonts w:cs="Times New Roman"/>
          <w:color w:val="000000"/>
          <w:lang w:eastAsia="en-AU"/>
        </w:rPr>
      </w:pPr>
      <w:r w:rsidRPr="00084B2B">
        <w:rPr>
          <w:rFonts w:cs="Times New Roman"/>
          <w:color w:val="000000"/>
          <w:lang w:eastAsia="en-AU"/>
        </w:rPr>
        <w:t xml:space="preserve">This paper is one in a series which examined the prevalence, incidence and health impacts of sleeping difficulties among older women. The paper underscored the importance of sleeping difficulties for older women and the impact on their health-related quality of life. Further studies of the association between sleeping difficulty and mortality </w:t>
      </w:r>
      <w:r w:rsidRPr="00084B2B">
        <w:rPr>
          <w:rFonts w:cs="Times New Roman"/>
          <w:color w:val="000000"/>
          <w:lang w:eastAsia="en-AU"/>
        </w:rPr>
        <w:lastRenderedPageBreak/>
        <w:t>suggest that much of the mortality risk associated with sleeping difficulty can be explained by comorbid conditions.</w:t>
      </w:r>
    </w:p>
    <w:p w14:paraId="4EFA2DFC" w14:textId="13B1C8A5" w:rsidR="00084B2B" w:rsidRPr="00084B2B" w:rsidRDefault="00084B2B" w:rsidP="0062079D">
      <w:pPr>
        <w:pStyle w:val="Heading3"/>
        <w:rPr>
          <w:lang w:eastAsia="en-AU"/>
        </w:rPr>
      </w:pPr>
      <w:bookmarkStart w:id="57" w:name="_Toc530561270"/>
      <w:r w:rsidRPr="00084B2B">
        <w:rPr>
          <w:lang w:eastAsia="en-AU"/>
        </w:rPr>
        <w:t xml:space="preserve">Highly cited </w:t>
      </w:r>
      <w:r w:rsidR="0062079D">
        <w:rPr>
          <w:lang w:eastAsia="en-AU"/>
        </w:rPr>
        <w:t xml:space="preserve">publications </w:t>
      </w:r>
      <w:r w:rsidRPr="00084B2B">
        <w:rPr>
          <w:lang w:eastAsia="en-AU"/>
        </w:rPr>
        <w:t>in the last five years include:</w:t>
      </w:r>
      <w:bookmarkEnd w:id="57"/>
    </w:p>
    <w:p w14:paraId="6EC2FD34" w14:textId="45B64C58" w:rsidR="00084B2B" w:rsidRPr="008475FD" w:rsidRDefault="00084B2B" w:rsidP="00020D3F">
      <w:pPr>
        <w:numPr>
          <w:ilvl w:val="0"/>
          <w:numId w:val="17"/>
        </w:numPr>
        <w:spacing w:after="160" w:line="259" w:lineRule="auto"/>
        <w:ind w:left="714" w:hanging="357"/>
        <w:rPr>
          <w:rFonts w:eastAsia="Times New Roman" w:cstheme="minorHAnsi"/>
          <w:lang w:eastAsia="en-AU"/>
        </w:rPr>
      </w:pPr>
      <w:proofErr w:type="gramStart"/>
      <w:r w:rsidRPr="00084B2B">
        <w:rPr>
          <w:rFonts w:eastAsia="Times New Roman" w:cstheme="minorHAnsi"/>
          <w:lang w:eastAsia="en-AU"/>
        </w:rPr>
        <w:t>van</w:t>
      </w:r>
      <w:proofErr w:type="gramEnd"/>
      <w:r w:rsidRPr="00084B2B">
        <w:rPr>
          <w:rFonts w:eastAsia="Times New Roman" w:cstheme="minorHAnsi"/>
          <w:lang w:eastAsia="en-AU"/>
        </w:rPr>
        <w:t xml:space="preserve"> der Hoorn M, </w:t>
      </w:r>
      <w:proofErr w:type="spellStart"/>
      <w:r w:rsidRPr="00084B2B">
        <w:rPr>
          <w:rFonts w:eastAsia="Times New Roman" w:cstheme="minorHAnsi"/>
          <w:lang w:eastAsia="en-AU"/>
        </w:rPr>
        <w:t>Tett</w:t>
      </w:r>
      <w:proofErr w:type="spellEnd"/>
      <w:r w:rsidRPr="00084B2B">
        <w:rPr>
          <w:rFonts w:eastAsia="Times New Roman" w:cstheme="minorHAnsi"/>
          <w:lang w:eastAsia="en-AU"/>
        </w:rPr>
        <w:t xml:space="preserve"> S, de </w:t>
      </w:r>
      <w:proofErr w:type="spellStart"/>
      <w:r w:rsidRPr="00084B2B">
        <w:rPr>
          <w:rFonts w:eastAsia="Times New Roman" w:cstheme="minorHAnsi"/>
          <w:lang w:eastAsia="en-AU"/>
        </w:rPr>
        <w:t>Vries</w:t>
      </w:r>
      <w:proofErr w:type="spellEnd"/>
      <w:r w:rsidRPr="00084B2B">
        <w:rPr>
          <w:rFonts w:eastAsia="Times New Roman" w:cstheme="minorHAnsi"/>
          <w:lang w:eastAsia="en-AU"/>
        </w:rPr>
        <w:t xml:space="preserve"> O, Dobson A &amp; Peeters G. The effect of dose and type of proton pump inhibitor use on risk of fractures and osteoporosis treatment in older Australian women: A prospective cohort stu</w:t>
      </w:r>
      <w:r w:rsidRPr="008475FD">
        <w:rPr>
          <w:rFonts w:eastAsia="Times New Roman" w:cstheme="minorHAnsi"/>
          <w:lang w:eastAsia="en-AU"/>
        </w:rPr>
        <w:t>dy. Bone, 2015, 81, 675-682.</w:t>
      </w:r>
      <w:r w:rsidR="00012F17" w:rsidRPr="008475FD">
        <w:rPr>
          <w:rFonts w:eastAsia="Times New Roman" w:cstheme="minorHAnsi"/>
          <w:lang w:eastAsia="en-AU"/>
        </w:rPr>
        <w:t xml:space="preserve"> </w:t>
      </w:r>
      <w:r w:rsidRPr="008475FD">
        <w:rPr>
          <w:rFonts w:eastAsia="Times New Roman" w:cstheme="minorHAnsi"/>
          <w:lang w:eastAsia="en-AU"/>
        </w:rPr>
        <w:t>(31 citations)</w:t>
      </w:r>
    </w:p>
    <w:p w14:paraId="4978A781" w14:textId="3F212077" w:rsidR="00084B2B" w:rsidRPr="008475FD" w:rsidRDefault="00084B2B" w:rsidP="00020D3F">
      <w:pPr>
        <w:numPr>
          <w:ilvl w:val="0"/>
          <w:numId w:val="17"/>
        </w:numPr>
        <w:spacing w:after="160" w:line="259" w:lineRule="auto"/>
        <w:ind w:left="714" w:hanging="357"/>
        <w:rPr>
          <w:rFonts w:eastAsia="Times New Roman" w:cstheme="minorHAnsi"/>
          <w:lang w:eastAsia="en-AU"/>
        </w:rPr>
      </w:pPr>
      <w:r w:rsidRPr="00084B2B">
        <w:rPr>
          <w:rFonts w:eastAsia="Times New Roman" w:cstheme="minorHAnsi"/>
          <w:color w:val="000000"/>
          <w:lang w:eastAsia="en-AU"/>
        </w:rPr>
        <w:t xml:space="preserve">Brown W, </w:t>
      </w:r>
      <w:proofErr w:type="spellStart"/>
      <w:r w:rsidRPr="00084B2B">
        <w:rPr>
          <w:rFonts w:eastAsia="Times New Roman" w:cstheme="minorHAnsi"/>
          <w:color w:val="000000"/>
          <w:lang w:eastAsia="en-AU"/>
        </w:rPr>
        <w:t>Pavey</w:t>
      </w:r>
      <w:proofErr w:type="spellEnd"/>
      <w:r w:rsidRPr="00084B2B">
        <w:rPr>
          <w:rFonts w:eastAsia="Times New Roman" w:cstheme="minorHAnsi"/>
          <w:color w:val="000000"/>
          <w:lang w:eastAsia="en-AU"/>
        </w:rPr>
        <w:t xml:space="preserve"> T &amp; Bauman A.</w:t>
      </w:r>
      <w:r w:rsidR="00012F17">
        <w:rPr>
          <w:rFonts w:eastAsia="Times New Roman" w:cstheme="minorHAnsi"/>
          <w:color w:val="000000"/>
          <w:lang w:eastAsia="en-AU"/>
        </w:rPr>
        <w:t xml:space="preserve"> </w:t>
      </w:r>
      <w:r w:rsidRPr="00084B2B">
        <w:rPr>
          <w:rFonts w:eastAsia="Times New Roman" w:cstheme="minorHAnsi"/>
          <w:lang w:eastAsia="en-AU"/>
        </w:rPr>
        <w:t>Comparing population attributable risks for heart disease across the adult lifespan in wome</w:t>
      </w:r>
      <w:r w:rsidRPr="008475FD">
        <w:rPr>
          <w:rFonts w:eastAsia="Times New Roman" w:cstheme="minorHAnsi"/>
          <w:lang w:eastAsia="en-AU"/>
        </w:rPr>
        <w:t>n. British Journal of Sports Medicine, 2015, 49</w:t>
      </w:r>
      <w:r w:rsidR="00012F17" w:rsidRPr="008475FD">
        <w:rPr>
          <w:rFonts w:eastAsia="Times New Roman" w:cstheme="minorHAnsi"/>
          <w:lang w:eastAsia="en-AU"/>
        </w:rPr>
        <w:t>(16); 1069-1076. (33 citations)</w:t>
      </w:r>
    </w:p>
    <w:p w14:paraId="34BEE431" w14:textId="605D9B0B" w:rsidR="00084B2B" w:rsidRPr="008475FD" w:rsidRDefault="00084B2B" w:rsidP="00020D3F">
      <w:pPr>
        <w:numPr>
          <w:ilvl w:val="0"/>
          <w:numId w:val="17"/>
        </w:numPr>
        <w:spacing w:after="160" w:line="259" w:lineRule="auto"/>
        <w:ind w:left="714" w:hanging="357"/>
        <w:rPr>
          <w:rFonts w:eastAsia="Times New Roman" w:cstheme="minorHAnsi"/>
          <w:lang w:eastAsia="en-AU"/>
        </w:rPr>
      </w:pPr>
      <w:r w:rsidRPr="00084B2B">
        <w:rPr>
          <w:rFonts w:eastAsia="Times New Roman" w:cstheme="minorHAnsi"/>
          <w:color w:val="000000"/>
          <w:lang w:eastAsia="en-AU"/>
        </w:rPr>
        <w:t>Schofield M, Powers J &amp; Loxton L.</w:t>
      </w:r>
      <w:r w:rsidRPr="00084B2B">
        <w:rPr>
          <w:rFonts w:eastAsia="Times New Roman" w:cstheme="minorHAnsi"/>
          <w:lang w:eastAsia="en-AU"/>
        </w:rPr>
        <w:t xml:space="preserve"> </w:t>
      </w:r>
      <w:r w:rsidRPr="00084B2B">
        <w:rPr>
          <w:rFonts w:eastAsia="Times New Roman" w:cstheme="minorHAnsi"/>
          <w:color w:val="000000"/>
          <w:lang w:eastAsia="en-AU"/>
        </w:rPr>
        <w:t>Mortality and disability outcomes of self-reported elder abuse: A 12-year prospective investigatio</w:t>
      </w:r>
      <w:r w:rsidRPr="008475FD">
        <w:rPr>
          <w:rFonts w:eastAsia="Times New Roman" w:cstheme="minorHAnsi"/>
          <w:color w:val="000000"/>
          <w:lang w:eastAsia="en-AU"/>
        </w:rPr>
        <w:t>n. Journal of the American Geriatric Society, 2013; 61(5): 679-685.</w:t>
      </w:r>
      <w:r w:rsidR="00012F17" w:rsidRPr="008475FD">
        <w:rPr>
          <w:rFonts w:eastAsia="Times New Roman" w:cstheme="minorHAnsi"/>
          <w:color w:val="000000"/>
          <w:lang w:eastAsia="en-AU"/>
        </w:rPr>
        <w:t xml:space="preserve"> </w:t>
      </w:r>
      <w:r w:rsidRPr="008475FD">
        <w:t>(</w:t>
      </w:r>
      <w:r w:rsidR="003D6BF4" w:rsidRPr="008475FD">
        <w:t xml:space="preserve">57 </w:t>
      </w:r>
      <w:r w:rsidRPr="008475FD">
        <w:t>citations)</w:t>
      </w:r>
    </w:p>
    <w:p w14:paraId="1A450DF6" w14:textId="02F5B418" w:rsidR="00084B2B" w:rsidRPr="008475FD" w:rsidRDefault="00084B2B" w:rsidP="00020D3F">
      <w:pPr>
        <w:numPr>
          <w:ilvl w:val="0"/>
          <w:numId w:val="17"/>
        </w:numPr>
        <w:spacing w:after="160" w:line="259" w:lineRule="auto"/>
        <w:ind w:left="714" w:hanging="357"/>
        <w:rPr>
          <w:rFonts w:eastAsia="Times New Roman" w:cstheme="minorHAnsi"/>
          <w:lang w:eastAsia="en-AU"/>
        </w:rPr>
      </w:pPr>
      <w:r w:rsidRPr="00084B2B">
        <w:rPr>
          <w:rFonts w:eastAsia="Times New Roman" w:cstheme="minorHAnsi"/>
          <w:color w:val="000000"/>
          <w:lang w:eastAsia="en-AU"/>
        </w:rPr>
        <w:t>Rich J, Chojenta C &amp; Loxton D. Quality, rigour and usefulness of free-text comments collected by a large population based longitudinal s</w:t>
      </w:r>
      <w:r w:rsidRPr="008475FD">
        <w:rPr>
          <w:rFonts w:eastAsia="Times New Roman" w:cstheme="minorHAnsi"/>
          <w:color w:val="000000"/>
          <w:lang w:eastAsia="en-AU"/>
        </w:rPr>
        <w:t>tudy - ALSWH.</w:t>
      </w:r>
      <w:r w:rsidRPr="008475FD">
        <w:rPr>
          <w:rFonts w:eastAsia="Times New Roman" w:cstheme="minorHAnsi"/>
          <w:iCs/>
          <w:color w:val="000000"/>
          <w:lang w:eastAsia="en-AU"/>
        </w:rPr>
        <w:t xml:space="preserve"> </w:t>
      </w:r>
      <w:r w:rsidRPr="008475FD">
        <w:rPr>
          <w:rFonts w:eastAsia="Times New Roman" w:cstheme="minorHAnsi"/>
          <w:color w:val="000000"/>
          <w:lang w:eastAsia="en-AU"/>
        </w:rPr>
        <w:t>2013.</w:t>
      </w:r>
      <w:r w:rsidRPr="008475FD">
        <w:rPr>
          <w:rFonts w:eastAsia="Times New Roman" w:cstheme="minorHAnsi"/>
          <w:iCs/>
          <w:color w:val="000000"/>
          <w:lang w:eastAsia="en-AU"/>
        </w:rPr>
        <w:t xml:space="preserve"> </w:t>
      </w:r>
      <w:proofErr w:type="spellStart"/>
      <w:r w:rsidRPr="008475FD">
        <w:rPr>
          <w:rFonts w:eastAsia="Times New Roman" w:cstheme="minorHAnsi"/>
          <w:iCs/>
          <w:color w:val="000000"/>
          <w:lang w:eastAsia="en-AU"/>
        </w:rPr>
        <w:t>PLoS</w:t>
      </w:r>
      <w:proofErr w:type="spellEnd"/>
      <w:r w:rsidRPr="008475FD">
        <w:rPr>
          <w:rFonts w:eastAsia="Times New Roman" w:cstheme="minorHAnsi"/>
          <w:iCs/>
          <w:color w:val="000000"/>
          <w:lang w:eastAsia="en-AU"/>
        </w:rPr>
        <w:t xml:space="preserve"> ONE, 8;</w:t>
      </w:r>
      <w:r w:rsidRPr="008475FD">
        <w:rPr>
          <w:rFonts w:eastAsia="Times New Roman" w:cstheme="minorHAnsi"/>
          <w:color w:val="000000"/>
          <w:lang w:eastAsia="en-AU"/>
        </w:rPr>
        <w:t xml:space="preserve"> Art. No e68832.</w:t>
      </w:r>
      <w:r w:rsidR="00012F17" w:rsidRPr="008475FD">
        <w:rPr>
          <w:rFonts w:eastAsia="Times New Roman" w:cstheme="minorHAnsi"/>
          <w:iCs/>
          <w:color w:val="000000"/>
          <w:lang w:eastAsia="en-AU"/>
        </w:rPr>
        <w:t xml:space="preserve"> </w:t>
      </w:r>
      <w:r w:rsidRPr="008475FD">
        <w:rPr>
          <w:rFonts w:eastAsia="Times New Roman" w:cstheme="minorHAnsi"/>
          <w:color w:val="000000"/>
          <w:lang w:eastAsia="en-AU"/>
        </w:rPr>
        <w:t>(</w:t>
      </w:r>
      <w:r w:rsidRPr="008475FD">
        <w:rPr>
          <w:rFonts w:eastAsia="Times New Roman" w:cstheme="minorHAnsi"/>
          <w:lang w:eastAsia="en-AU"/>
        </w:rPr>
        <w:t>34 citations)</w:t>
      </w:r>
    </w:p>
    <w:p w14:paraId="663547E5" w14:textId="77777777" w:rsidR="00084B2B" w:rsidRPr="008475FD" w:rsidRDefault="00084B2B" w:rsidP="00020D3F">
      <w:pPr>
        <w:numPr>
          <w:ilvl w:val="0"/>
          <w:numId w:val="17"/>
        </w:numPr>
        <w:spacing w:after="160" w:line="259" w:lineRule="auto"/>
        <w:ind w:left="714" w:hanging="357"/>
        <w:rPr>
          <w:rFonts w:eastAsia="Times New Roman" w:cstheme="minorHAnsi"/>
          <w:lang w:eastAsia="en-AU"/>
        </w:rPr>
      </w:pPr>
      <w:proofErr w:type="spellStart"/>
      <w:r w:rsidRPr="00084B2B">
        <w:rPr>
          <w:rFonts w:eastAsia="Times New Roman" w:cstheme="minorHAnsi"/>
          <w:color w:val="000000"/>
          <w:lang w:eastAsia="en-AU"/>
        </w:rPr>
        <w:t>Koloski</w:t>
      </w:r>
      <w:proofErr w:type="spellEnd"/>
      <w:r w:rsidRPr="00084B2B">
        <w:rPr>
          <w:rFonts w:eastAsia="Times New Roman" w:cstheme="minorHAnsi"/>
          <w:color w:val="000000"/>
          <w:lang w:eastAsia="en-AU"/>
        </w:rPr>
        <w:t xml:space="preserve"> N, Jones M, </w:t>
      </w:r>
      <w:proofErr w:type="spellStart"/>
      <w:r w:rsidRPr="00084B2B">
        <w:rPr>
          <w:rFonts w:eastAsia="Times New Roman" w:cstheme="minorHAnsi"/>
          <w:color w:val="000000"/>
          <w:lang w:eastAsia="en-AU"/>
        </w:rPr>
        <w:t>Wai</w:t>
      </w:r>
      <w:proofErr w:type="spellEnd"/>
      <w:r w:rsidRPr="00084B2B">
        <w:rPr>
          <w:rFonts w:eastAsia="Times New Roman" w:cstheme="minorHAnsi"/>
          <w:color w:val="000000"/>
          <w:lang w:eastAsia="en-AU"/>
        </w:rPr>
        <w:t xml:space="preserve"> R, Gill R, Byles J &amp; Talley N.</w:t>
      </w:r>
      <w:r w:rsidRPr="00084B2B">
        <w:rPr>
          <w:rFonts w:eastAsia="Times New Roman" w:cstheme="minorHAnsi"/>
          <w:i/>
          <w:iCs/>
          <w:color w:val="000000"/>
          <w:lang w:eastAsia="en-AU"/>
        </w:rPr>
        <w:t xml:space="preserve"> </w:t>
      </w:r>
      <w:r w:rsidRPr="00084B2B">
        <w:rPr>
          <w:rFonts w:eastAsia="Times New Roman" w:cstheme="minorHAnsi"/>
          <w:color w:val="000000"/>
          <w:lang w:eastAsia="en-AU"/>
        </w:rPr>
        <w:t>Impact of persistent constipation on health related quality of life and mortality in older community dwelling women</w:t>
      </w:r>
      <w:r w:rsidRPr="008475FD">
        <w:rPr>
          <w:rFonts w:eastAsia="Times New Roman" w:cstheme="minorHAnsi"/>
          <w:iCs/>
          <w:color w:val="000000"/>
          <w:lang w:eastAsia="en-AU"/>
        </w:rPr>
        <w:t xml:space="preserve">. </w:t>
      </w:r>
      <w:r w:rsidRPr="008475FD">
        <w:rPr>
          <w:rFonts w:eastAsia="Times New Roman" w:cstheme="minorHAnsi"/>
          <w:color w:val="000000"/>
          <w:lang w:eastAsia="en-AU"/>
        </w:rPr>
        <w:t>2013</w:t>
      </w:r>
      <w:r w:rsidRPr="008475FD">
        <w:rPr>
          <w:rFonts w:eastAsia="Times New Roman" w:cstheme="minorHAnsi"/>
          <w:iCs/>
          <w:color w:val="000000"/>
          <w:lang w:eastAsia="en-AU"/>
        </w:rPr>
        <w:t>. American Journal of Gastroenterology, 108</w:t>
      </w:r>
      <w:r w:rsidRPr="008475FD">
        <w:rPr>
          <w:rFonts w:eastAsia="Times New Roman" w:cstheme="minorHAnsi"/>
          <w:color w:val="000000"/>
          <w:lang w:eastAsia="en-AU"/>
        </w:rPr>
        <w:t>(7); 1152-1158.</w:t>
      </w:r>
      <w:r w:rsidRPr="008475FD">
        <w:rPr>
          <w:rFonts w:eastAsia="Times New Roman" w:cstheme="minorHAnsi"/>
          <w:lang w:eastAsia="en-AU"/>
        </w:rPr>
        <w:t xml:space="preserve"> (52 citations)</w:t>
      </w:r>
    </w:p>
    <w:p w14:paraId="2513F881" w14:textId="77777777" w:rsidR="00084B2B" w:rsidRPr="008475FD" w:rsidRDefault="00084B2B" w:rsidP="00020D3F">
      <w:pPr>
        <w:numPr>
          <w:ilvl w:val="0"/>
          <w:numId w:val="17"/>
        </w:numPr>
        <w:spacing w:after="160" w:line="259" w:lineRule="auto"/>
        <w:ind w:left="714" w:hanging="357"/>
        <w:rPr>
          <w:rFonts w:eastAsia="Times New Roman" w:cstheme="minorHAnsi"/>
          <w:lang w:eastAsia="en-AU"/>
        </w:rPr>
      </w:pPr>
      <w:r w:rsidRPr="00084B2B">
        <w:rPr>
          <w:rFonts w:eastAsia="Times New Roman" w:cstheme="minorHAnsi"/>
          <w:color w:val="000000"/>
          <w:lang w:eastAsia="en-AU"/>
        </w:rPr>
        <w:t xml:space="preserve">Peeters G, Dobson A, </w:t>
      </w:r>
      <w:proofErr w:type="spellStart"/>
      <w:r w:rsidRPr="00084B2B">
        <w:rPr>
          <w:rFonts w:eastAsia="Times New Roman" w:cstheme="minorHAnsi"/>
          <w:color w:val="000000"/>
          <w:lang w:eastAsia="en-AU"/>
        </w:rPr>
        <w:t>Deeg</w:t>
      </w:r>
      <w:proofErr w:type="spellEnd"/>
      <w:r w:rsidRPr="00084B2B">
        <w:rPr>
          <w:rFonts w:eastAsia="Times New Roman" w:cstheme="minorHAnsi"/>
          <w:color w:val="000000"/>
          <w:lang w:eastAsia="en-AU"/>
        </w:rPr>
        <w:t xml:space="preserve"> D &amp; Brown WJ. A life-course perspective on physical functioning in women. 20</w:t>
      </w:r>
      <w:r w:rsidRPr="008475FD">
        <w:rPr>
          <w:rFonts w:eastAsia="Times New Roman" w:cstheme="minorHAnsi"/>
          <w:color w:val="000000"/>
          <w:lang w:eastAsia="en-AU"/>
        </w:rPr>
        <w:t xml:space="preserve">13. </w:t>
      </w:r>
      <w:r w:rsidRPr="008475FD">
        <w:rPr>
          <w:rFonts w:eastAsia="Times New Roman" w:cstheme="minorHAnsi"/>
          <w:iCs/>
          <w:color w:val="000000"/>
          <w:lang w:eastAsia="en-AU"/>
        </w:rPr>
        <w:t>Bulletin of the World Health Organization</w:t>
      </w:r>
      <w:r w:rsidRPr="008475FD">
        <w:rPr>
          <w:rFonts w:eastAsia="Times New Roman" w:cstheme="minorHAnsi"/>
          <w:color w:val="000000"/>
          <w:lang w:eastAsia="en-AU"/>
        </w:rPr>
        <w:t xml:space="preserve">, </w:t>
      </w:r>
      <w:r w:rsidRPr="008475FD">
        <w:rPr>
          <w:rFonts w:eastAsia="Times New Roman" w:cstheme="minorHAnsi"/>
          <w:iCs/>
          <w:color w:val="000000"/>
          <w:lang w:eastAsia="en-AU"/>
        </w:rPr>
        <w:t>91</w:t>
      </w:r>
      <w:r w:rsidRPr="008475FD">
        <w:rPr>
          <w:rFonts w:eastAsia="Times New Roman" w:cstheme="minorHAnsi"/>
          <w:color w:val="000000"/>
          <w:lang w:eastAsia="en-AU"/>
        </w:rPr>
        <w:t>(9): 661-670. (</w:t>
      </w:r>
      <w:r w:rsidRPr="008475FD">
        <w:rPr>
          <w:rFonts w:eastAsia="Times New Roman" w:cstheme="minorHAnsi"/>
          <w:lang w:eastAsia="en-AU"/>
        </w:rPr>
        <w:t>42 citations)</w:t>
      </w:r>
    </w:p>
    <w:p w14:paraId="42202F1C" w14:textId="3A0F6467" w:rsidR="00084B2B" w:rsidRDefault="008B7D9E" w:rsidP="00404D78">
      <w:r>
        <w:t>All</w:t>
      </w:r>
      <w:r w:rsidRPr="00084B2B">
        <w:t xml:space="preserve"> publications </w:t>
      </w:r>
      <w:r>
        <w:t xml:space="preserve">using data from the 1921-21 cohort </w:t>
      </w:r>
      <w:r w:rsidRPr="00084B2B">
        <w:t>are listed in in Appendix A.</w:t>
      </w:r>
    </w:p>
    <w:p w14:paraId="521787F9" w14:textId="33E9B7BC" w:rsidR="00F32190" w:rsidRPr="00F32190" w:rsidRDefault="00404D78" w:rsidP="00091A0A">
      <w:pPr>
        <w:pStyle w:val="Heading2"/>
        <w:ind w:left="578" w:hanging="578"/>
      </w:pPr>
      <w:bookmarkStart w:id="58" w:name="_Toc530561271"/>
      <w:bookmarkStart w:id="59" w:name="_Toc389145779"/>
      <w:r>
        <w:t xml:space="preserve">Reports </w:t>
      </w:r>
      <w:r w:rsidR="00D47D5D">
        <w:t>prepared using data from the 1921-26 cohort</w:t>
      </w:r>
      <w:bookmarkEnd w:id="58"/>
      <w:r w:rsidR="00D47D5D">
        <w:t xml:space="preserve"> </w:t>
      </w:r>
      <w:bookmarkEnd w:id="59"/>
    </w:p>
    <w:p w14:paraId="3BA74AE7" w14:textId="16B4B85C" w:rsidR="008F3670" w:rsidRDefault="008F3670" w:rsidP="008F3670">
      <w:pPr>
        <w:pStyle w:val="Heading3"/>
      </w:pPr>
      <w:bookmarkStart w:id="60" w:name="_Toc530561272"/>
      <w:r>
        <w:t>Major Reports:</w:t>
      </w:r>
      <w:bookmarkEnd w:id="60"/>
    </w:p>
    <w:p w14:paraId="37031AA5" w14:textId="2CFB3183" w:rsidR="00084B2B" w:rsidRDefault="00084B2B" w:rsidP="00084B2B">
      <w:r w:rsidRPr="00084B2B">
        <w:t xml:space="preserve">Since 2001, ALSWH has </w:t>
      </w:r>
      <w:r w:rsidR="008A43C0">
        <w:t>prepared</w:t>
      </w:r>
      <w:r w:rsidR="008A43C0" w:rsidRPr="00084B2B">
        <w:t xml:space="preserve"> </w:t>
      </w:r>
      <w:r w:rsidR="008A43C0">
        <w:t xml:space="preserve">over 30 </w:t>
      </w:r>
      <w:r w:rsidRPr="00084B2B">
        <w:t>reports for the Department of Health that have used data from the 1921-26 cohort, including 11 major reports. One major report in 2010, focussed on the health of older women in Australia. These reports, listed in full in Appendix B, have included the following research areas:</w:t>
      </w:r>
    </w:p>
    <w:p w14:paraId="7BFC5623" w14:textId="14F885CC" w:rsidR="005160B6" w:rsidRPr="00E64051" w:rsidRDefault="005160B6" w:rsidP="00084B2B">
      <w:r>
        <w:rPr>
          <w:b/>
        </w:rPr>
        <w:t>Informal caregiving</w:t>
      </w:r>
      <w:r w:rsidRPr="00E64051">
        <w:rPr>
          <w:b/>
        </w:rPr>
        <w:t xml:space="preserve">: </w:t>
      </w:r>
      <w:r w:rsidR="00A535ED" w:rsidRPr="00E64051">
        <w:t>This</w:t>
      </w:r>
      <w:r w:rsidR="00A535ED">
        <w:t xml:space="preserve"> report examined patterns of caregiving across the </w:t>
      </w:r>
      <w:proofErr w:type="spellStart"/>
      <w:r w:rsidR="00A535ED">
        <w:t>lifecourse</w:t>
      </w:r>
      <w:proofErr w:type="spellEnd"/>
      <w:r w:rsidR="00A535ED">
        <w:t>.</w:t>
      </w:r>
      <w:r w:rsidR="00012F17">
        <w:t xml:space="preserve"> </w:t>
      </w:r>
      <w:r w:rsidR="00A535ED">
        <w:t xml:space="preserve">Older women (from the 1921-26 cohort) provided care for grandchildren, </w:t>
      </w:r>
      <w:r w:rsidR="006C01F0">
        <w:t>as well as providing care to another because of illness, disability or frailty.</w:t>
      </w:r>
      <w:r w:rsidR="00012F17">
        <w:t xml:space="preserve"> </w:t>
      </w:r>
      <w:r w:rsidR="006C01F0">
        <w:t>T</w:t>
      </w:r>
      <w:r w:rsidR="00A535ED">
        <w:t xml:space="preserve">he socio-demographic factors associated with </w:t>
      </w:r>
      <w:r w:rsidR="006C01F0">
        <w:t>patterns of care giving across women’s later life,</w:t>
      </w:r>
      <w:r w:rsidR="00A535ED">
        <w:t xml:space="preserve"> and the impact of caregiving on </w:t>
      </w:r>
      <w:r w:rsidR="006C01F0">
        <w:t>the wellbeing of</w:t>
      </w:r>
      <w:r w:rsidR="00A535ED">
        <w:t xml:space="preserve"> caregivers</w:t>
      </w:r>
      <w:r w:rsidR="006C01F0">
        <w:t xml:space="preserve"> and their </w:t>
      </w:r>
      <w:r w:rsidR="00A535ED">
        <w:t>health service use</w:t>
      </w:r>
      <w:r w:rsidR="006C01F0">
        <w:t xml:space="preserve"> was also presented. </w:t>
      </w:r>
      <w:r w:rsidR="008B7D9E">
        <w:t>(This report will be formally released in October 2018).</w:t>
      </w:r>
    </w:p>
    <w:p w14:paraId="0D220855" w14:textId="71A0A3C9" w:rsidR="00084B2B" w:rsidRPr="00084B2B" w:rsidRDefault="00084B2B" w:rsidP="00084B2B">
      <w:pPr>
        <w:rPr>
          <w:b/>
        </w:rPr>
      </w:pPr>
      <w:r w:rsidRPr="00084B2B">
        <w:rPr>
          <w:b/>
        </w:rPr>
        <w:t xml:space="preserve">Future health service use and cost: </w:t>
      </w:r>
      <w:r w:rsidRPr="00C11198">
        <w:t>Data from the cohort was used to identify trends in women’s health status, risk and behaviour over the next twenty years, and to pre</w:t>
      </w:r>
      <w:r w:rsidRPr="008475FD">
        <w:rPr>
          <w:rFonts w:cs="Arial"/>
        </w:rPr>
        <w:t xml:space="preserve">dict </w:t>
      </w:r>
      <w:r w:rsidR="006C01F0" w:rsidRPr="008475FD">
        <w:rPr>
          <w:rFonts w:cs="Arial"/>
        </w:rPr>
        <w:t xml:space="preserve">need for care and </w:t>
      </w:r>
      <w:r w:rsidRPr="008475FD">
        <w:rPr>
          <w:rFonts w:cs="Arial"/>
        </w:rPr>
        <w:t>potential health service use in 2013.</w:t>
      </w:r>
      <w:r w:rsidR="00012F17" w:rsidRPr="008475FD">
        <w:rPr>
          <w:rFonts w:cs="Arial"/>
        </w:rPr>
        <w:t xml:space="preserve"> </w:t>
      </w:r>
      <w:r w:rsidR="00C11198" w:rsidRPr="008475FD">
        <w:rPr>
          <w:rFonts w:cs="Arial"/>
        </w:rPr>
        <w:t xml:space="preserve">A summary of the report </w:t>
      </w:r>
      <w:r w:rsidRPr="008475FD">
        <w:rPr>
          <w:rFonts w:cs="Arial"/>
        </w:rPr>
        <w:t xml:space="preserve">is </w:t>
      </w:r>
      <w:r w:rsidR="00C11198" w:rsidRPr="008475FD">
        <w:rPr>
          <w:rFonts w:cs="Arial"/>
        </w:rPr>
        <w:t xml:space="preserve">available </w:t>
      </w:r>
      <w:hyperlink r:id="rId35" w:history="1">
        <w:r w:rsidRPr="008475FD">
          <w:rPr>
            <w:rFonts w:cs="Arial"/>
            <w:color w:val="0000FF"/>
            <w:u w:val="single"/>
          </w:rPr>
          <w:t>here</w:t>
        </w:r>
      </w:hyperlink>
    </w:p>
    <w:p w14:paraId="6DA656EE" w14:textId="60232890" w:rsidR="00084B2B" w:rsidRPr="00C11198" w:rsidRDefault="008D77C4" w:rsidP="00084B2B">
      <w:r>
        <w:rPr>
          <w:b/>
        </w:rPr>
        <w:lastRenderedPageBreak/>
        <w:t xml:space="preserve">Use, access to, and impact of Medicare services for Australian women: </w:t>
      </w:r>
      <w:r>
        <w:t>Understanding how Medicare services are used at different life stages can guide and improve the provision of health services.</w:t>
      </w:r>
      <w:r w:rsidR="00012F17">
        <w:t xml:space="preserve"> </w:t>
      </w:r>
      <w:r>
        <w:t>In this report, women’s survey data were linked to Medicare Benefits Scheme (MBS) data to provide detailed information on how and when women use health services, and the</w:t>
      </w:r>
      <w:r w:rsidRPr="008475FD">
        <w:rPr>
          <w:rFonts w:cs="Arial"/>
        </w:rPr>
        <w:t xml:space="preserve"> costs of these services, throughout the life course. </w:t>
      </w:r>
      <w:r w:rsidR="00C11198" w:rsidRPr="008475FD">
        <w:rPr>
          <w:rFonts w:cs="Arial"/>
        </w:rPr>
        <w:t xml:space="preserve">A summary of the report findings is available </w:t>
      </w:r>
      <w:hyperlink r:id="rId36" w:history="1">
        <w:r w:rsidR="00C11198" w:rsidRPr="008475FD">
          <w:rPr>
            <w:rStyle w:val="Hyperlink"/>
            <w:rFonts w:ascii="Arial" w:hAnsi="Arial" w:cs="Arial"/>
          </w:rPr>
          <w:t>here</w:t>
        </w:r>
      </w:hyperlink>
      <w:r w:rsidR="00012F17" w:rsidRPr="008475FD">
        <w:rPr>
          <w:rFonts w:cs="Arial"/>
        </w:rPr>
        <w:t>.</w:t>
      </w:r>
    </w:p>
    <w:p w14:paraId="2161CF31" w14:textId="6CAA0287" w:rsidR="00084B2B" w:rsidRPr="00084B2B" w:rsidRDefault="00084B2B" w:rsidP="00084B2B">
      <w:pPr>
        <w:rPr>
          <w:b/>
        </w:rPr>
      </w:pPr>
      <w:r w:rsidRPr="00084B2B">
        <w:rPr>
          <w:b/>
        </w:rPr>
        <w:t xml:space="preserve">Chronic conditions, physical function and health care use: </w:t>
      </w:r>
      <w:r w:rsidRPr="00084B2B">
        <w:t>Presented data on the increasing prevalence of several major chronic conditions as women age, including arthritis, asthma, diabetes, and cardiovascular conditions. The relationship between chronic disease and decline in women’s physical and mental health related quality of life was examined, as well as related increases in use of general practice consultations. The report also considered the prevalence or comorbidities and the increased rate of death associated with some chronic conditions.</w:t>
      </w:r>
      <w:r w:rsidR="006C01F0">
        <w:t xml:space="preserve"> </w:t>
      </w:r>
      <w:r w:rsidR="0058221B">
        <w:t xml:space="preserve">The </w:t>
      </w:r>
      <w:r w:rsidR="006C01F0">
        <w:t>report is av</w:t>
      </w:r>
      <w:r w:rsidR="006C01F0" w:rsidRPr="008475FD">
        <w:rPr>
          <w:rFonts w:cs="Arial"/>
        </w:rPr>
        <w:t xml:space="preserve">ailable </w:t>
      </w:r>
      <w:hyperlink r:id="rId37" w:history="1">
        <w:r w:rsidR="006C01F0" w:rsidRPr="008475FD">
          <w:rPr>
            <w:rStyle w:val="Hyperlink"/>
            <w:rFonts w:ascii="Arial" w:hAnsi="Arial" w:cs="Arial"/>
          </w:rPr>
          <w:t>here</w:t>
        </w:r>
      </w:hyperlink>
    </w:p>
    <w:p w14:paraId="40563F7A" w14:textId="10942E8A" w:rsidR="00084B2B" w:rsidRPr="0058221B" w:rsidRDefault="00084B2B" w:rsidP="00084B2B">
      <w:pPr>
        <w:rPr>
          <w:b/>
        </w:rPr>
      </w:pPr>
      <w:r w:rsidRPr="00084B2B">
        <w:rPr>
          <w:b/>
        </w:rPr>
        <w:t xml:space="preserve">Women, health and ageing: </w:t>
      </w:r>
      <w:r w:rsidRPr="00084B2B">
        <w:t>This report examined changes in women’s health as they aged from their 70s to their 80’s. Over this time, more than half of the women maintained good physical health. Women whose health started low and continued low had lower socio-economic status, were more likely to be overweight or obese, undertook little physical activity, and were current or ex-smokers. These women also had multiple chronic conditions and were heavy users of health services. A small group of women had clear improvements in their physical health, and many of these women had restorative surgery, or were recovering from acute conditions or events. The report also contrasted the effects of different chronic conditions o</w:t>
      </w:r>
      <w:r w:rsidRPr="008475FD">
        <w:rPr>
          <w:rFonts w:cs="Arial"/>
        </w:rPr>
        <w:t>n physical and mental health, social engagement, and health care use.</w:t>
      </w:r>
      <w:r w:rsidR="006C01F0" w:rsidRPr="008475FD">
        <w:rPr>
          <w:rFonts w:cs="Arial"/>
        </w:rPr>
        <w:t xml:space="preserve"> </w:t>
      </w:r>
      <w:r w:rsidR="0058221B" w:rsidRPr="008475FD">
        <w:rPr>
          <w:rFonts w:cs="Arial"/>
        </w:rPr>
        <w:t>T</w:t>
      </w:r>
      <w:r w:rsidR="006C01F0" w:rsidRPr="008475FD">
        <w:rPr>
          <w:rFonts w:cs="Arial"/>
        </w:rPr>
        <w:t xml:space="preserve">he report is available </w:t>
      </w:r>
      <w:hyperlink r:id="rId38" w:history="1">
        <w:r w:rsidR="006C01F0" w:rsidRPr="008475FD">
          <w:rPr>
            <w:rStyle w:val="Hyperlink"/>
            <w:rFonts w:ascii="Arial" w:hAnsi="Arial" w:cs="Arial"/>
          </w:rPr>
          <w:t>here</w:t>
        </w:r>
      </w:hyperlink>
    </w:p>
    <w:p w14:paraId="17ABDD0D" w14:textId="573A371A" w:rsidR="006C01F0" w:rsidRPr="00084B2B" w:rsidRDefault="00084B2B" w:rsidP="006C01F0">
      <w:pPr>
        <w:rPr>
          <w:b/>
        </w:rPr>
      </w:pPr>
      <w:r w:rsidRPr="00084B2B">
        <w:rPr>
          <w:b/>
        </w:rPr>
        <w:t xml:space="preserve">Mental health: </w:t>
      </w:r>
      <w:r w:rsidRPr="00084B2B">
        <w:t>The prevalence of psychological distress decreased with age, except in later old age when it increased slightly. Most (80%) of the 1921-1926 cohort reported ongoing good mental health. While there had been a steady increase in the use of the Better Access Scheme (BAS) to manage psychological distress among all cohorts, by December 2010, only about 3% of the 1921-1926 cohort had claimed for at least one BAS item. The experience of widowhood was associated with a decline in mental health up to four years prior to bereavement, with the lowest mental health reported in the year immediately after the loss. However, within four years of date of widowhood, the women’s mental health had returned to pre-loss levels. Poor mental health in the 1921-1926 cohort was associated with an increased risk of cardiovascular disease and with diabetes and arthritis.</w:t>
      </w:r>
      <w:r w:rsidR="0058221B">
        <w:t xml:space="preserve"> T</w:t>
      </w:r>
      <w:r w:rsidR="006C01F0">
        <w:t>he report is availabl</w:t>
      </w:r>
      <w:r w:rsidR="006C01F0" w:rsidRPr="008475FD">
        <w:rPr>
          <w:rFonts w:cs="Arial"/>
        </w:rPr>
        <w:t xml:space="preserve">e </w:t>
      </w:r>
      <w:hyperlink r:id="rId39" w:history="1">
        <w:r w:rsidR="006C01F0" w:rsidRPr="008475FD">
          <w:rPr>
            <w:rStyle w:val="Hyperlink"/>
            <w:rFonts w:ascii="Arial" w:hAnsi="Arial" w:cs="Arial"/>
          </w:rPr>
          <w:t>here</w:t>
        </w:r>
      </w:hyperlink>
    </w:p>
    <w:p w14:paraId="0F3E7197" w14:textId="215174C7" w:rsidR="006C01F0" w:rsidRPr="00084B2B" w:rsidRDefault="00084B2B" w:rsidP="008475FD">
      <w:pPr>
        <w:rPr>
          <w:b/>
        </w:rPr>
      </w:pPr>
      <w:r w:rsidRPr="00084B2B">
        <w:rPr>
          <w:b/>
        </w:rPr>
        <w:t>Weight and physical activity:</w:t>
      </w:r>
      <w:r w:rsidRPr="00084B2B">
        <w:t xml:space="preserve"> Both weight and physical activity are important contributors to healthy ageing and the prevention and management of chronic conditions. ALSWH has examined these issues for the 1921-1926 cohort in four major reports in 2006, 2007, 2011 and 2012. The main findings of the reports were that over time, BMI of women in this cohort remained stable, although the percentage of those who were underweight increased. A slightly higher BMI was associated with better survival among older women. Physical activity which met guidelines of 30 minutes of moderate activity on most days decreased as the women aged. Both BMI and physical activity were associated with chronic conditions such as hypertension, heart disease, diabetes, asthma, osteoporosis and arthritis in this cohort.</w:t>
      </w:r>
      <w:r w:rsidR="006C01F0">
        <w:t xml:space="preserve"> </w:t>
      </w:r>
      <w:r w:rsidR="0058221B">
        <w:t>T</w:t>
      </w:r>
      <w:r w:rsidR="006C01F0">
        <w:t xml:space="preserve">he report is available </w:t>
      </w:r>
      <w:hyperlink r:id="rId40" w:history="1">
        <w:r w:rsidR="006C01F0" w:rsidRPr="008475FD">
          <w:rPr>
            <w:rStyle w:val="Hyperlink"/>
            <w:rFonts w:ascii="Arial" w:hAnsi="Arial" w:cs="Arial"/>
          </w:rPr>
          <w:t>here</w:t>
        </w:r>
      </w:hyperlink>
    </w:p>
    <w:p w14:paraId="156227FD" w14:textId="10952440" w:rsidR="006C01F0" w:rsidRPr="00084B2B" w:rsidRDefault="00084B2B" w:rsidP="006C01F0">
      <w:pPr>
        <w:rPr>
          <w:b/>
        </w:rPr>
      </w:pPr>
      <w:r w:rsidRPr="00084B2B">
        <w:rPr>
          <w:b/>
        </w:rPr>
        <w:lastRenderedPageBreak/>
        <w:t xml:space="preserve">Medications: </w:t>
      </w:r>
      <w:r w:rsidRPr="00084B2B">
        <w:t xml:space="preserve">The prevalence of medication use increased with age and as chronic conditions became more common. The 1921-1926 cohort used more medications than the younger ALSWH cohorts, and were more likely to be using two or more medications in combination. The most common PBS claims were for cardiovascular medications (75% of the 1921-1926 cohort in 2005); alimentary tract medications (57% in 2005); drugs for musculoskeletal conditions (43% in 2005); respiratory system medications (20% in 2005) and antidepressant medications (18% in 2005). </w:t>
      </w:r>
      <w:r w:rsidR="0058221B">
        <w:t>T</w:t>
      </w:r>
      <w:r w:rsidR="006C01F0">
        <w:t>he report is available</w:t>
      </w:r>
      <w:r w:rsidR="006C01F0" w:rsidRPr="008475FD">
        <w:rPr>
          <w:rFonts w:cs="Arial"/>
        </w:rPr>
        <w:t xml:space="preserve"> </w:t>
      </w:r>
      <w:hyperlink r:id="rId41" w:history="1">
        <w:r w:rsidR="006C01F0" w:rsidRPr="008475FD">
          <w:rPr>
            <w:rStyle w:val="Hyperlink"/>
            <w:rFonts w:ascii="Arial" w:hAnsi="Arial" w:cs="Arial"/>
          </w:rPr>
          <w:t>here</w:t>
        </w:r>
      </w:hyperlink>
    </w:p>
    <w:p w14:paraId="2495EF3D" w14:textId="02FC3765" w:rsidR="00084B2B" w:rsidRPr="00084B2B" w:rsidRDefault="00084B2B" w:rsidP="00012F17">
      <w:pPr>
        <w:rPr>
          <w:b/>
        </w:rPr>
      </w:pPr>
      <w:r w:rsidRPr="00084B2B">
        <w:rPr>
          <w:b/>
        </w:rPr>
        <w:t xml:space="preserve">Area of residence: </w:t>
      </w:r>
      <w:r w:rsidRPr="00084B2B">
        <w:t xml:space="preserve">Women in the 1921-1926 cohort living in regional and remote areas of Australia had higher death rates than those living in major cities. These higher death rates were associated with lung cancer, chronic obstructive pulmonary disease and ischaemic heart disease, which are often associated with smoking. However, very few of the older women were current smokers, so the higher mortality rate ascribed to these conditions may have been the result of past smoking, exposure to passive smoking or greater exposure to other hazards, such as environmental toxins. The health risk factor that was consistently higher with increasing distance from major cities was obesity. Thus, the prevalence and incidence of conditions associated with obesity, such as diabetes and hypertension, were also consistently higher among women living in regional and remote areas. Use of most health services was higher in major cities than in regional and remote areas. Visits to specialist medical practitioners decreased with increasing distance from major cities, however, there were few differences in hospital admissions. </w:t>
      </w:r>
      <w:r w:rsidR="0058221B">
        <w:t>T</w:t>
      </w:r>
      <w:r w:rsidR="006C01F0">
        <w:t>he report is available</w:t>
      </w:r>
      <w:r w:rsidR="006C01F0" w:rsidRPr="008475FD">
        <w:rPr>
          <w:rFonts w:cs="Arial"/>
        </w:rPr>
        <w:t xml:space="preserve"> </w:t>
      </w:r>
      <w:hyperlink r:id="rId42" w:history="1">
        <w:r w:rsidR="006C01F0" w:rsidRPr="008475FD">
          <w:rPr>
            <w:rStyle w:val="Hyperlink"/>
            <w:rFonts w:ascii="Arial" w:hAnsi="Arial" w:cs="Arial"/>
          </w:rPr>
          <w:t>here</w:t>
        </w:r>
      </w:hyperlink>
    </w:p>
    <w:p w14:paraId="2707CFA7" w14:textId="77777777" w:rsidR="00084B2B" w:rsidRPr="00084B2B" w:rsidRDefault="00084B2B" w:rsidP="008F3670">
      <w:pPr>
        <w:pStyle w:val="Heading3"/>
      </w:pPr>
      <w:bookmarkStart w:id="61" w:name="_Toc530561273"/>
      <w:r w:rsidRPr="00084B2B">
        <w:t>Other reports</w:t>
      </w:r>
      <w:bookmarkEnd w:id="61"/>
    </w:p>
    <w:p w14:paraId="19F8EEED" w14:textId="6D610FB6" w:rsidR="008D77C4" w:rsidRDefault="00084B2B" w:rsidP="00084B2B">
      <w:r w:rsidRPr="00084B2B">
        <w:t xml:space="preserve">ALSWH data from the 1921-1926 cohort have also been used by researchers to produce reports for </w:t>
      </w:r>
      <w:r w:rsidR="00AC0C59">
        <w:t xml:space="preserve">various sections of the Department of Health, as well as for other </w:t>
      </w:r>
      <w:r w:rsidRPr="00084B2B">
        <w:t xml:space="preserve">agencies. </w:t>
      </w:r>
      <w:r w:rsidR="008A43C0">
        <w:t>Recent examples include:</w:t>
      </w:r>
    </w:p>
    <w:p w14:paraId="261AF796" w14:textId="7E1AB701" w:rsidR="008D77C4" w:rsidRPr="005B689E" w:rsidRDefault="008D77C4" w:rsidP="008D77C4">
      <w:r w:rsidRPr="005B689E">
        <w:rPr>
          <w:b/>
        </w:rPr>
        <w:t>Health service use at the end of life by older Australian women with chronic conditions.</w:t>
      </w:r>
      <w:r w:rsidR="00012F17">
        <w:rPr>
          <w:b/>
        </w:rPr>
        <w:t xml:space="preserve"> </w:t>
      </w:r>
      <w:r w:rsidRPr="005B689E">
        <w:t xml:space="preserve">Dobson A, Waller M, Forder P, Dolja-Gore X, Hockey R, </w:t>
      </w:r>
      <w:proofErr w:type="gramStart"/>
      <w:r w:rsidRPr="005B689E">
        <w:t>Byles</w:t>
      </w:r>
      <w:proofErr w:type="gramEnd"/>
      <w:r w:rsidRPr="005B689E">
        <w:t xml:space="preserve"> J &amp; Mishra G.</w:t>
      </w:r>
      <w:r w:rsidR="00012F17">
        <w:t xml:space="preserve"> </w:t>
      </w:r>
      <w:r w:rsidRPr="005B689E">
        <w:t xml:space="preserve">Report prepared for the </w:t>
      </w:r>
      <w:r w:rsidRPr="008475FD">
        <w:t>Australian Government Department of Health</w:t>
      </w:r>
      <w:r w:rsidRPr="005B689E">
        <w:t>.</w:t>
      </w:r>
      <w:r w:rsidR="00012F17">
        <w:t xml:space="preserve"> </w:t>
      </w:r>
      <w:r w:rsidRPr="005B689E">
        <w:t>May 2018</w:t>
      </w:r>
      <w:r>
        <w:t>.</w:t>
      </w:r>
    </w:p>
    <w:p w14:paraId="71B600FF" w14:textId="31F54969" w:rsidR="00084B2B" w:rsidRDefault="008D77C4" w:rsidP="00084B2B">
      <w:r>
        <w:t>This report was prepared for the</w:t>
      </w:r>
      <w:r w:rsidR="00200334">
        <w:t xml:space="preserve"> Palliative Care Section, and used ALSWH survey data and linked administrative data to assess health service and aged care use in the last two years of life for women with dementia, heart disease, stroke or chronic lung disease.</w:t>
      </w:r>
      <w:r w:rsidR="00012F17">
        <w:t xml:space="preserve"> </w:t>
      </w:r>
      <w:r w:rsidR="00200334">
        <w:t>The report examined a range of aged care services (including permanent residential care, respite care, and community care) as well as hospital admissions, GP services, specialist services, and pharmaceuticals, and found that use of these services did increase in the last two years of life, particularly the last few months. Dementia was a strong driver of use of residential aged care and GP services, but lower use of community care, ho</w:t>
      </w:r>
      <w:r w:rsidR="00012F17">
        <w:t>spital and specialist services.</w:t>
      </w:r>
    </w:p>
    <w:p w14:paraId="4B80AB00" w14:textId="77777777" w:rsidR="00084B2B" w:rsidRPr="00084B2B" w:rsidRDefault="00084B2B" w:rsidP="00084B2B">
      <w:r w:rsidRPr="00084B2B">
        <w:t xml:space="preserve">Some other examples include five reports on incontinence (2000, 2001, 2002, 2003 and 2004) and three reports on data provision, paid work and retirement and physical activity and health for the Office for Women, Department of Families, Community Services and Indigenous Affairs (2005 and 2007). A full list is available </w:t>
      </w:r>
      <w:r w:rsidRPr="008A43C0">
        <w:t>in Appendix B.</w:t>
      </w:r>
    </w:p>
    <w:p w14:paraId="4F9C720A" w14:textId="4293FD0B" w:rsidR="00084B2B" w:rsidRPr="00D11A08" w:rsidRDefault="006C01F0" w:rsidP="008F3670">
      <w:pPr>
        <w:pStyle w:val="Heading3"/>
      </w:pPr>
      <w:bookmarkStart w:id="62" w:name="_Toc530561274"/>
      <w:r w:rsidRPr="00D11A08">
        <w:lastRenderedPageBreak/>
        <w:t>Other information for women in the 1921-26 cohort</w:t>
      </w:r>
      <w:bookmarkEnd w:id="62"/>
    </w:p>
    <w:p w14:paraId="3E95CF6E" w14:textId="4C6721E9" w:rsidR="00690D14" w:rsidRDefault="006C01F0" w:rsidP="00404D78">
      <w:r>
        <w:t>In addition to survey data, data for most women in the cohort can be obtained from administrative data sets through a data linkage authority. This method provides detailed information on women’s health and aged care service use across their later life</w:t>
      </w:r>
      <w:r w:rsidR="00560943">
        <w:t>, and for ascertainment of conditions such as dementia which are difficult to determine from a postal survey.</w:t>
      </w:r>
    </w:p>
    <w:p w14:paraId="5E6AB059" w14:textId="438FC419" w:rsidR="00404D78" w:rsidRPr="00091A0A" w:rsidRDefault="00404D78" w:rsidP="00091A0A">
      <w:pPr>
        <w:pStyle w:val="Heading2"/>
        <w:ind w:left="578" w:hanging="578"/>
      </w:pPr>
      <w:bookmarkStart w:id="63" w:name="_Toc389145780"/>
      <w:bookmarkStart w:id="64" w:name="_Toc530561275"/>
      <w:r>
        <w:t>Contributions to Government Policy</w:t>
      </w:r>
      <w:bookmarkEnd w:id="63"/>
      <w:bookmarkEnd w:id="64"/>
    </w:p>
    <w:p w14:paraId="3DFC38D3" w14:textId="05E8323C" w:rsidR="00404D78" w:rsidRDefault="00404D78" w:rsidP="00B414E6">
      <w:r w:rsidRPr="00F328D6">
        <w:t>Findings from the 1921-26 cohort have directly influenced Federal and State Government Policy in several areas. We briefly feature recent notable contribu</w:t>
      </w:r>
      <w:r w:rsidR="00012F17">
        <w:t>tions:</w:t>
      </w:r>
    </w:p>
    <w:p w14:paraId="13147865" w14:textId="77777777" w:rsidR="00BE55D5" w:rsidRDefault="00BE55D5" w:rsidP="00020D3F">
      <w:pPr>
        <w:numPr>
          <w:ilvl w:val="0"/>
          <w:numId w:val="9"/>
        </w:numPr>
        <w:spacing w:after="120" w:line="240" w:lineRule="auto"/>
      </w:pPr>
      <w:r w:rsidRPr="001759AF">
        <w:rPr>
          <w:b/>
        </w:rPr>
        <w:t>2013 New South Wales Government’s Health Framework for Women’s Health</w:t>
      </w:r>
      <w:r w:rsidRPr="00F328D6">
        <w:t xml:space="preserve"> (NSW Ministry of Health, 2013).</w:t>
      </w:r>
    </w:p>
    <w:p w14:paraId="135B864C" w14:textId="77777777" w:rsidR="00BE55D5" w:rsidRPr="00D3035E" w:rsidRDefault="00BE55D5" w:rsidP="00BE55D5">
      <w:pPr>
        <w:pStyle w:val="ListParagraph"/>
        <w:spacing w:after="120" w:line="276" w:lineRule="auto"/>
        <w:rPr>
          <w:rFonts w:ascii="Arial" w:eastAsiaTheme="minorHAnsi" w:hAnsi="Arial" w:cs="Arial"/>
          <w:sz w:val="22"/>
          <w:szCs w:val="22"/>
          <w:lang w:eastAsia="en-US"/>
        </w:rPr>
      </w:pPr>
      <w:r w:rsidRPr="00D3035E">
        <w:rPr>
          <w:rFonts w:ascii="Arial" w:eastAsiaTheme="minorHAnsi" w:hAnsi="Arial" w:cs="Arial"/>
          <w:sz w:val="22"/>
          <w:szCs w:val="22"/>
          <w:lang w:eastAsia="en-US"/>
        </w:rPr>
        <w:t>Published research from the ALSWH 1921-26 cohort contributed to recommendations for healthy ageing, including accessing health services, managing dementia, osteoarthritis and falls. Key strategies included supporting healthy lifestyles, appropriate mental health services, support for women with a disability or those who are caring for a person with a disability.</w:t>
      </w:r>
    </w:p>
    <w:p w14:paraId="101CBF1C" w14:textId="77777777" w:rsidR="00404D78" w:rsidRDefault="00404D78" w:rsidP="00020D3F">
      <w:pPr>
        <w:numPr>
          <w:ilvl w:val="0"/>
          <w:numId w:val="9"/>
        </w:numPr>
        <w:spacing w:after="120" w:line="240" w:lineRule="auto"/>
      </w:pPr>
      <w:r w:rsidRPr="00A579DD">
        <w:rPr>
          <w:b/>
        </w:rPr>
        <w:t>2010 Australian Government National Women’s Health Policy</w:t>
      </w:r>
      <w:r w:rsidRPr="00F328D6">
        <w:t xml:space="preserve"> (Australian Government Department of Health and Ageing, (now the Australian Government Department of Health) 2010)</w:t>
      </w:r>
    </w:p>
    <w:p w14:paraId="263941FD" w14:textId="77777777" w:rsidR="001759AF" w:rsidRPr="00F424C4" w:rsidRDefault="001759AF" w:rsidP="001759AF">
      <w:pPr>
        <w:pStyle w:val="BodyText3"/>
        <w:ind w:left="720"/>
        <w:rPr>
          <w:bCs/>
          <w:sz w:val="22"/>
          <w:szCs w:val="22"/>
        </w:rPr>
      </w:pPr>
      <w:r w:rsidRPr="00F424C4">
        <w:rPr>
          <w:bCs/>
          <w:sz w:val="22"/>
          <w:szCs w:val="22"/>
        </w:rPr>
        <w:t>Published research from the ALSWH 1921-1926 cohort was cited 18 times in the policy. Evidence from the ALSWH contributed to recommendations concerning chronic conditions (such as asthma and arthritis); health behaviours (physical activity, smoking, alcohol and weight); use of mental health services (such as counselling); the experience of widowhood and the availability of services to assist with older bereaved women’s health, financial and social needs; the impact of comorbid conditions on physical and psychological health and social function; the ability of older women with chronic conditions to manage on their available income; and physical and psychological abuse of older women.</w:t>
      </w:r>
    </w:p>
    <w:p w14:paraId="7CBFB35D" w14:textId="46AA5F21" w:rsidR="001759AF" w:rsidRPr="00F424C4" w:rsidRDefault="001759AF" w:rsidP="001759AF">
      <w:pPr>
        <w:pStyle w:val="BodyText3"/>
        <w:ind w:left="720"/>
        <w:rPr>
          <w:bCs/>
          <w:sz w:val="22"/>
          <w:szCs w:val="22"/>
        </w:rPr>
      </w:pPr>
      <w:r w:rsidRPr="00F424C4">
        <w:rPr>
          <w:bCs/>
          <w:sz w:val="22"/>
          <w:szCs w:val="22"/>
        </w:rPr>
        <w:t>The Policy states that evidence from the ALSWH has confirmed the importance of taking a whole of life approach to women’s heath, preventing the accumulation of health risk factors. Informed by the ALSWH, the Policy identifies the importance of controlling risk factors to prevent chronic disease, as well as promoting physical activity and healthy in later life and targeting mental health and well-being. Arthritis, a condition highlighted by the study as having a particular impact on women’s wellbeing, participation and health care use, is emphasised in the Policy. The Policy also emphasises the social and economic contexts in which women age, with consideration for the experiences of widowed women, women with lower levels of social support, and women ageing in rural areas, as identified in various publications and reports arising from the study.</w:t>
      </w:r>
      <w:r w:rsidR="00012F17">
        <w:rPr>
          <w:bCs/>
          <w:sz w:val="22"/>
          <w:szCs w:val="22"/>
        </w:rPr>
        <w:t xml:space="preserve"> </w:t>
      </w:r>
      <w:r w:rsidRPr="00F424C4">
        <w:rPr>
          <w:bCs/>
          <w:sz w:val="22"/>
          <w:szCs w:val="22"/>
        </w:rPr>
        <w:t xml:space="preserve">The Policy recognises the study’s role in defining different health needs of older women in rural areas, their poorer access to health </w:t>
      </w:r>
      <w:r w:rsidRPr="00F424C4">
        <w:rPr>
          <w:bCs/>
          <w:sz w:val="22"/>
          <w:szCs w:val="22"/>
        </w:rPr>
        <w:lastRenderedPageBreak/>
        <w:t>care, and their higher mortality rates when compared to urban women.</w:t>
      </w:r>
      <w:r w:rsidR="00012F17">
        <w:rPr>
          <w:bCs/>
          <w:sz w:val="22"/>
          <w:szCs w:val="22"/>
        </w:rPr>
        <w:t xml:space="preserve"> </w:t>
      </w:r>
      <w:r w:rsidRPr="00F424C4">
        <w:rPr>
          <w:bCs/>
          <w:sz w:val="22"/>
          <w:szCs w:val="22"/>
        </w:rPr>
        <w:t>The Policy quotes the study as identifying the importance of homes, social support and active participation in the community as fundamental to older women’s well-being. The policy on older women and violence is also informed by ALSWH data on the prevalence, vulnerabilities and impacts of violence for older Australian women. Extensive research into the needs of older women as carers, the care women receive, and the health of those who care for them, has informed Policy in relation to carers.</w:t>
      </w:r>
      <w:r w:rsidR="00012F17">
        <w:rPr>
          <w:bCs/>
          <w:sz w:val="22"/>
          <w:szCs w:val="22"/>
        </w:rPr>
        <w:t xml:space="preserve"> </w:t>
      </w:r>
      <w:r w:rsidRPr="00F424C4">
        <w:rPr>
          <w:bCs/>
          <w:sz w:val="22"/>
          <w:szCs w:val="22"/>
        </w:rPr>
        <w:t>Research into women’s healthcare use provided rich data to inform Policy on access to primary care, chronic disease management, and Medicare incentives.</w:t>
      </w:r>
    </w:p>
    <w:p w14:paraId="69BD6E27" w14:textId="77777777" w:rsidR="001759AF" w:rsidRPr="001759AF" w:rsidRDefault="001759AF" w:rsidP="00020D3F">
      <w:pPr>
        <w:numPr>
          <w:ilvl w:val="0"/>
          <w:numId w:val="9"/>
        </w:numPr>
        <w:spacing w:after="120" w:line="240" w:lineRule="auto"/>
      </w:pPr>
      <w:r w:rsidRPr="001759AF">
        <w:rPr>
          <w:b/>
        </w:rPr>
        <w:t xml:space="preserve">Choose Health: Be Active. A physical activity guide for older Australians </w:t>
      </w:r>
      <w:r w:rsidRPr="001759AF">
        <w:t>(Australian Government Department of Veteran’s Affairs and the Department of Health and Ageing (now the Australian Department of Health), 2008).</w:t>
      </w:r>
    </w:p>
    <w:p w14:paraId="2337BB6A" w14:textId="262448DE" w:rsidR="001759AF" w:rsidRPr="00F424C4" w:rsidRDefault="001759AF" w:rsidP="001759AF">
      <w:pPr>
        <w:spacing w:after="120" w:line="240" w:lineRule="auto"/>
        <w:ind w:left="720"/>
      </w:pPr>
      <w:r w:rsidRPr="00F424C4">
        <w:t>This guide was prepared by ALSWH Chief Investigator Professor Wendy Brown to provide an evidence-based guide for optimal phys</w:t>
      </w:r>
      <w:r w:rsidR="00012F17">
        <w:t>ical activity for older adults.</w:t>
      </w:r>
    </w:p>
    <w:p w14:paraId="1F8459B2" w14:textId="50C5AF86" w:rsidR="001759AF" w:rsidRPr="001759AF" w:rsidRDefault="001759AF" w:rsidP="00020D3F">
      <w:pPr>
        <w:numPr>
          <w:ilvl w:val="0"/>
          <w:numId w:val="9"/>
        </w:numPr>
        <w:spacing w:after="120" w:line="240" w:lineRule="auto"/>
        <w:rPr>
          <w:b/>
        </w:rPr>
      </w:pPr>
      <w:r w:rsidRPr="001759AF">
        <w:rPr>
          <w:b/>
        </w:rPr>
        <w:t>National</w:t>
      </w:r>
      <w:r w:rsidR="00012F17">
        <w:rPr>
          <w:b/>
        </w:rPr>
        <w:t xml:space="preserve"> Continence Management Strategy</w:t>
      </w:r>
    </w:p>
    <w:p w14:paraId="3371D2BD" w14:textId="38FD563E" w:rsidR="001759AF" w:rsidRPr="001759AF" w:rsidRDefault="001759AF" w:rsidP="001759AF">
      <w:pPr>
        <w:spacing w:after="120" w:line="240" w:lineRule="auto"/>
        <w:ind w:left="720"/>
      </w:pPr>
      <w:r w:rsidRPr="001759AF">
        <w:t xml:space="preserve">The study informed the strategy with respect to prevalence, incidence and risk factors for urinary incontinence, the effects of ageing on incontinence, and the impacts of incontinence on the lives of older women. Information from the study informed the preparation of information brochures available on </w:t>
      </w:r>
      <w:r w:rsidR="00DF553B">
        <w:t>www.</w:t>
      </w:r>
      <w:r w:rsidRPr="001759AF">
        <w:t>bladderbowel.gov.au</w:t>
      </w:r>
    </w:p>
    <w:p w14:paraId="2D58BCF4" w14:textId="2F6B03B8" w:rsidR="001759AF" w:rsidRPr="00D3035E" w:rsidRDefault="001759AF" w:rsidP="00FF3A3F">
      <w:pPr>
        <w:spacing w:after="120" w:line="240" w:lineRule="auto"/>
        <w:ind w:left="720"/>
        <w:rPr>
          <w:rStyle w:val="Hyperlink"/>
          <w:rFonts w:ascii="Arial" w:hAnsi="Arial" w:cs="Arial"/>
        </w:rPr>
      </w:pPr>
      <w:r w:rsidRPr="00F424C4">
        <w:t xml:space="preserve">Data from the study also informed the development of </w:t>
      </w:r>
      <w:r w:rsidRPr="001759AF">
        <w:rPr>
          <w:b/>
        </w:rPr>
        <w:t>“Best practice in the prevention and treatment of constipation in adults under 65 years”.</w:t>
      </w:r>
      <w:r w:rsidR="00012F17">
        <w:rPr>
          <w:b/>
        </w:rPr>
        <w:t xml:space="preserve"> </w:t>
      </w:r>
      <w:r w:rsidR="003E0D26" w:rsidRPr="003E0D26">
        <w:t>Available</w:t>
      </w:r>
      <w:r w:rsidR="003E0D26">
        <w:rPr>
          <w:b/>
        </w:rPr>
        <w:t xml:space="preserve"> </w:t>
      </w:r>
      <w:hyperlink r:id="rId43" w:history="1">
        <w:r w:rsidR="003E0D26">
          <w:rPr>
            <w:rStyle w:val="Hyperlink"/>
            <w:rFonts w:ascii="Arial" w:hAnsi="Arial" w:cs="Arial"/>
          </w:rPr>
          <w:t>here</w:t>
        </w:r>
      </w:hyperlink>
    </w:p>
    <w:p w14:paraId="3A74CB23" w14:textId="77777777" w:rsidR="00BE55D5" w:rsidRPr="00F424C4" w:rsidRDefault="00BE55D5" w:rsidP="00020D3F">
      <w:pPr>
        <w:numPr>
          <w:ilvl w:val="0"/>
          <w:numId w:val="9"/>
        </w:numPr>
        <w:spacing w:after="120" w:line="240" w:lineRule="auto"/>
        <w:rPr>
          <w:b/>
        </w:rPr>
      </w:pPr>
      <w:r w:rsidRPr="00F424C4">
        <w:rPr>
          <w:b/>
        </w:rPr>
        <w:t xml:space="preserve">National physical activity recommendations for older Australians: Discussion document </w:t>
      </w:r>
      <w:r w:rsidRPr="0006314B">
        <w:t>(Australian Government Department of Health and Ageing, 2006)</w:t>
      </w:r>
    </w:p>
    <w:p w14:paraId="2DA1C952" w14:textId="4A6594F2" w:rsidR="00BE55D5" w:rsidRPr="00BE55D5" w:rsidRDefault="00BE55D5" w:rsidP="0006314B">
      <w:pPr>
        <w:spacing w:after="160" w:line="240" w:lineRule="auto"/>
        <w:ind w:left="720"/>
      </w:pPr>
      <w:r w:rsidRPr="00BE55D5">
        <w:t>Published research from the ALSWH 1921-1926 cohort was cited in this discussion document which was commissioned from the Nati</w:t>
      </w:r>
      <w:r w:rsidR="00012F17">
        <w:t>onal Ageing Research Institute.</w:t>
      </w:r>
    </w:p>
    <w:p w14:paraId="6FD73981" w14:textId="77777777" w:rsidR="008207C8" w:rsidRPr="00F424C4" w:rsidRDefault="008207C8" w:rsidP="0006314B">
      <w:pPr>
        <w:spacing w:before="120" w:after="120" w:line="240" w:lineRule="auto"/>
      </w:pPr>
      <w:r w:rsidRPr="00F424C4">
        <w:t>Data have also been used in numerous submissions by other agencies, for example:</w:t>
      </w:r>
    </w:p>
    <w:p w14:paraId="7C8E962A" w14:textId="64406C96" w:rsidR="008207C8" w:rsidRPr="00D3035E" w:rsidRDefault="008207C8" w:rsidP="00020D3F">
      <w:pPr>
        <w:pStyle w:val="NormalWeb"/>
        <w:numPr>
          <w:ilvl w:val="0"/>
          <w:numId w:val="14"/>
        </w:numPr>
        <w:spacing w:before="80" w:beforeAutospacing="0" w:after="80" w:afterAutospacing="0"/>
        <w:ind w:left="714" w:hanging="357"/>
        <w:rPr>
          <w:rFonts w:ascii="Arial" w:hAnsi="Arial" w:cs="Arial"/>
          <w:sz w:val="22"/>
          <w:szCs w:val="22"/>
        </w:rPr>
      </w:pPr>
      <w:r w:rsidRPr="00D3035E">
        <w:rPr>
          <w:rFonts w:ascii="Arial" w:hAnsi="Arial" w:cs="Arial"/>
          <w:sz w:val="22"/>
          <w:szCs w:val="22"/>
        </w:rPr>
        <w:t>Older Women’s Network: Older Women’s Network NSW notes on a submission to ALRC Grey Areas—Age Barriers to Work in Common</w:t>
      </w:r>
      <w:r w:rsidR="00012F17" w:rsidRPr="00D3035E">
        <w:rPr>
          <w:rFonts w:ascii="Arial" w:hAnsi="Arial" w:cs="Arial"/>
          <w:sz w:val="22"/>
          <w:szCs w:val="22"/>
        </w:rPr>
        <w:t>wealth Laws (IP 41) 28 May 2012</w:t>
      </w:r>
    </w:p>
    <w:p w14:paraId="0523BBE7" w14:textId="0C670995" w:rsidR="008207C8" w:rsidRPr="00D3035E" w:rsidRDefault="008207C8" w:rsidP="00020D3F">
      <w:pPr>
        <w:pStyle w:val="NormalWeb"/>
        <w:numPr>
          <w:ilvl w:val="0"/>
          <w:numId w:val="14"/>
        </w:numPr>
        <w:rPr>
          <w:rFonts w:ascii="Arial" w:hAnsi="Arial" w:cs="Arial"/>
          <w:sz w:val="22"/>
          <w:szCs w:val="22"/>
        </w:rPr>
      </w:pPr>
      <w:r w:rsidRPr="00D3035E">
        <w:rPr>
          <w:rFonts w:ascii="Arial" w:hAnsi="Arial" w:cs="Arial"/>
          <w:sz w:val="22"/>
          <w:szCs w:val="22"/>
        </w:rPr>
        <w:t>Mental Health Council of Australia Submission to: The Productivity Commission I</w:t>
      </w:r>
      <w:r w:rsidR="00012F17" w:rsidRPr="00D3035E">
        <w:rPr>
          <w:rFonts w:ascii="Arial" w:hAnsi="Arial" w:cs="Arial"/>
          <w:sz w:val="22"/>
          <w:szCs w:val="22"/>
        </w:rPr>
        <w:t>nquiry into Aged Care July 2010</w:t>
      </w:r>
    </w:p>
    <w:p w14:paraId="46EC3CF2" w14:textId="77777777" w:rsidR="008207C8" w:rsidRPr="00D3035E" w:rsidRDefault="008207C8" w:rsidP="00020D3F">
      <w:pPr>
        <w:pStyle w:val="NormalWeb"/>
        <w:numPr>
          <w:ilvl w:val="0"/>
          <w:numId w:val="14"/>
        </w:numPr>
        <w:rPr>
          <w:rFonts w:ascii="Arial" w:hAnsi="Arial" w:cs="Arial"/>
          <w:sz w:val="22"/>
          <w:szCs w:val="22"/>
        </w:rPr>
      </w:pPr>
      <w:r w:rsidRPr="00D3035E">
        <w:rPr>
          <w:rFonts w:ascii="Arial" w:hAnsi="Arial" w:cs="Arial"/>
          <w:sz w:val="22"/>
          <w:szCs w:val="22"/>
        </w:rPr>
        <w:t>Submission to House of Representatives Standing Committee on Health and Ageing, Inquiry into Obesity in Australia</w:t>
      </w:r>
    </w:p>
    <w:p w14:paraId="02A1FC53" w14:textId="70A9118C" w:rsidR="008207C8" w:rsidRPr="00D3035E" w:rsidRDefault="008207C8" w:rsidP="008F455A">
      <w:pPr>
        <w:pStyle w:val="NormalWeb"/>
        <w:spacing w:before="120" w:beforeAutospacing="0" w:after="120" w:afterAutospacing="0"/>
        <w:rPr>
          <w:rFonts w:ascii="Arial" w:hAnsi="Arial" w:cs="Arial"/>
          <w:sz w:val="22"/>
          <w:szCs w:val="22"/>
        </w:rPr>
      </w:pPr>
      <w:r w:rsidRPr="00D3035E">
        <w:rPr>
          <w:rFonts w:ascii="Arial" w:hAnsi="Arial" w:cs="Arial"/>
          <w:sz w:val="22"/>
          <w:szCs w:val="22"/>
        </w:rPr>
        <w:t>The study was featured in a special edition of the Australasian Journal of Ageing</w:t>
      </w:r>
      <w:r w:rsidR="00DF553B" w:rsidRPr="00D3035E">
        <w:rPr>
          <w:rFonts w:ascii="Arial" w:hAnsi="Arial" w:cs="Arial"/>
          <w:sz w:val="22"/>
          <w:szCs w:val="22"/>
        </w:rPr>
        <w:t xml:space="preserve"> “Ageing well in Australia”</w:t>
      </w:r>
      <w:r w:rsidRPr="00D3035E">
        <w:rPr>
          <w:rFonts w:ascii="Arial" w:hAnsi="Arial" w:cs="Arial"/>
          <w:sz w:val="22"/>
          <w:szCs w:val="22"/>
        </w:rPr>
        <w:t>:</w:t>
      </w:r>
    </w:p>
    <w:p w14:paraId="490BC043" w14:textId="4061763F" w:rsidR="00DF553B" w:rsidRPr="00D3035E" w:rsidRDefault="00592779" w:rsidP="008F455A">
      <w:pPr>
        <w:pStyle w:val="NormalWeb"/>
        <w:spacing w:before="120" w:beforeAutospacing="0"/>
        <w:rPr>
          <w:rFonts w:ascii="Arial" w:hAnsi="Arial" w:cs="Arial"/>
        </w:rPr>
      </w:pPr>
      <w:hyperlink r:id="rId44" w:history="1">
        <w:r w:rsidR="00DF553B" w:rsidRPr="00D3035E">
          <w:rPr>
            <w:rFonts w:ascii="Arial" w:hAnsi="Arial" w:cs="Arial"/>
            <w:sz w:val="22"/>
            <w:szCs w:val="22"/>
          </w:rPr>
          <w:t>Byles JE</w:t>
        </w:r>
      </w:hyperlink>
      <w:r w:rsidR="00DF553B" w:rsidRPr="00D3035E">
        <w:rPr>
          <w:rFonts w:ascii="Arial" w:hAnsi="Arial" w:cs="Arial"/>
          <w:sz w:val="22"/>
          <w:szCs w:val="22"/>
        </w:rPr>
        <w:t xml:space="preserve">, </w:t>
      </w:r>
      <w:hyperlink r:id="rId45" w:history="1">
        <w:r w:rsidR="00DF553B" w:rsidRPr="00D3035E">
          <w:rPr>
            <w:rFonts w:ascii="Arial" w:hAnsi="Arial" w:cs="Arial"/>
            <w:sz w:val="22"/>
            <w:szCs w:val="22"/>
          </w:rPr>
          <w:t>Dobson A</w:t>
        </w:r>
      </w:hyperlink>
      <w:r w:rsidR="00DF553B" w:rsidRPr="00D3035E">
        <w:rPr>
          <w:rFonts w:ascii="Arial" w:hAnsi="Arial" w:cs="Arial"/>
          <w:sz w:val="22"/>
          <w:szCs w:val="22"/>
        </w:rPr>
        <w:t xml:space="preserve">; </w:t>
      </w:r>
      <w:hyperlink r:id="rId46" w:history="1">
        <w:r w:rsidR="00DF553B" w:rsidRPr="00D3035E">
          <w:rPr>
            <w:rFonts w:ascii="Arial" w:hAnsi="Arial" w:cs="Arial"/>
            <w:sz w:val="22"/>
            <w:szCs w:val="22"/>
          </w:rPr>
          <w:t>Australian Longitudinal Study on Women's Health</w:t>
        </w:r>
      </w:hyperlink>
      <w:r w:rsidR="00DF553B" w:rsidRPr="00D3035E">
        <w:rPr>
          <w:rFonts w:ascii="Arial" w:hAnsi="Arial" w:cs="Arial"/>
          <w:sz w:val="22"/>
          <w:szCs w:val="22"/>
        </w:rPr>
        <w:t>.</w:t>
      </w:r>
      <w:r w:rsidR="008F455A" w:rsidRPr="00D3035E">
        <w:rPr>
          <w:rFonts w:ascii="Arial" w:hAnsi="Arial" w:cs="Arial"/>
          <w:sz w:val="22"/>
          <w:szCs w:val="22"/>
        </w:rPr>
        <w:t xml:space="preserve"> (2011). </w:t>
      </w:r>
      <w:proofErr w:type="gramStart"/>
      <w:r w:rsidR="008207C8" w:rsidRPr="00D3035E">
        <w:rPr>
          <w:rFonts w:ascii="Arial" w:hAnsi="Arial" w:cs="Arial"/>
          <w:b/>
          <w:sz w:val="22"/>
          <w:szCs w:val="22"/>
        </w:rPr>
        <w:t>The</w:t>
      </w:r>
      <w:proofErr w:type="gramEnd"/>
      <w:r w:rsidR="008207C8" w:rsidRPr="00D3035E">
        <w:rPr>
          <w:rFonts w:ascii="Arial" w:hAnsi="Arial" w:cs="Arial"/>
          <w:b/>
          <w:sz w:val="22"/>
          <w:szCs w:val="22"/>
        </w:rPr>
        <w:t xml:space="preserve"> value of time in longitudinal studies of ageing. Lessons from the Australian Longitudinal Study on Women's Health.</w:t>
      </w:r>
      <w:r w:rsidR="00DF553B" w:rsidRPr="00D3035E">
        <w:rPr>
          <w:rFonts w:ascii="Arial" w:hAnsi="Arial" w:cs="Arial"/>
          <w:b/>
          <w:sz w:val="22"/>
          <w:szCs w:val="22"/>
        </w:rPr>
        <w:t xml:space="preserve"> </w:t>
      </w:r>
      <w:r w:rsidR="00DF553B" w:rsidRPr="00D3035E">
        <w:rPr>
          <w:rFonts w:ascii="Arial" w:hAnsi="Arial" w:cs="Arial"/>
          <w:i/>
          <w:sz w:val="22"/>
          <w:szCs w:val="22"/>
        </w:rPr>
        <w:t>Australas</w:t>
      </w:r>
      <w:r w:rsidR="008F455A" w:rsidRPr="00D3035E">
        <w:rPr>
          <w:rFonts w:ascii="Arial" w:hAnsi="Arial" w:cs="Arial"/>
          <w:i/>
          <w:sz w:val="22"/>
          <w:szCs w:val="22"/>
        </w:rPr>
        <w:t>ian</w:t>
      </w:r>
      <w:r w:rsidR="00DF553B" w:rsidRPr="00D3035E">
        <w:rPr>
          <w:rFonts w:ascii="Arial" w:hAnsi="Arial" w:cs="Arial"/>
          <w:i/>
          <w:sz w:val="22"/>
          <w:szCs w:val="22"/>
        </w:rPr>
        <w:t xml:space="preserve"> J</w:t>
      </w:r>
      <w:r w:rsidR="008F455A" w:rsidRPr="00D3035E">
        <w:rPr>
          <w:rFonts w:ascii="Arial" w:hAnsi="Arial" w:cs="Arial"/>
          <w:i/>
          <w:sz w:val="22"/>
          <w:szCs w:val="22"/>
        </w:rPr>
        <w:t>ournal of</w:t>
      </w:r>
      <w:r w:rsidR="00DF553B" w:rsidRPr="00D3035E">
        <w:rPr>
          <w:rFonts w:ascii="Arial" w:hAnsi="Arial" w:cs="Arial"/>
          <w:i/>
          <w:sz w:val="22"/>
          <w:szCs w:val="22"/>
        </w:rPr>
        <w:t xml:space="preserve"> Ageing</w:t>
      </w:r>
      <w:r w:rsidR="00DF553B" w:rsidRPr="00D3035E">
        <w:rPr>
          <w:rFonts w:ascii="Arial" w:hAnsi="Arial" w:cs="Arial"/>
          <w:sz w:val="22"/>
          <w:szCs w:val="22"/>
        </w:rPr>
        <w:t xml:space="preserve">. </w:t>
      </w:r>
      <w:r w:rsidR="008F455A" w:rsidRPr="00D3035E">
        <w:rPr>
          <w:rFonts w:ascii="Arial" w:hAnsi="Arial" w:cs="Arial"/>
          <w:sz w:val="22"/>
          <w:szCs w:val="22"/>
        </w:rPr>
        <w:t>S</w:t>
      </w:r>
      <w:r w:rsidR="00DF553B" w:rsidRPr="00D3035E">
        <w:rPr>
          <w:rFonts w:ascii="Arial" w:hAnsi="Arial" w:cs="Arial"/>
          <w:sz w:val="22"/>
          <w:szCs w:val="22"/>
        </w:rPr>
        <w:t>2</w:t>
      </w:r>
      <w:r w:rsidR="008F455A" w:rsidRPr="00D3035E">
        <w:rPr>
          <w:rFonts w:ascii="Arial" w:hAnsi="Arial" w:cs="Arial"/>
          <w:sz w:val="22"/>
          <w:szCs w:val="22"/>
        </w:rPr>
        <w:t>; p 6-12.</w:t>
      </w:r>
      <w:r w:rsidR="00012F17" w:rsidRPr="00D3035E">
        <w:rPr>
          <w:rFonts w:ascii="Arial" w:hAnsi="Arial" w:cs="Arial"/>
          <w:sz w:val="22"/>
          <w:szCs w:val="22"/>
        </w:rPr>
        <w:t xml:space="preserve"> </w:t>
      </w:r>
      <w:proofErr w:type="spellStart"/>
      <w:proofErr w:type="gramStart"/>
      <w:r w:rsidR="00DF553B" w:rsidRPr="00D3035E">
        <w:rPr>
          <w:rFonts w:ascii="Arial" w:hAnsi="Arial" w:cs="Arial"/>
          <w:sz w:val="22"/>
          <w:szCs w:val="22"/>
        </w:rPr>
        <w:t>doi</w:t>
      </w:r>
      <w:proofErr w:type="spellEnd"/>
      <w:proofErr w:type="gramEnd"/>
      <w:r w:rsidR="00DF553B" w:rsidRPr="00D3035E">
        <w:rPr>
          <w:rFonts w:ascii="Arial" w:hAnsi="Arial" w:cs="Arial"/>
          <w:sz w:val="22"/>
          <w:szCs w:val="22"/>
        </w:rPr>
        <w:t>: 10.1111/j.1741-6612.2011.00531.x.</w:t>
      </w:r>
    </w:p>
    <w:p w14:paraId="0F3524D8" w14:textId="2BC2D981" w:rsidR="008F455A" w:rsidRPr="00F328D6" w:rsidRDefault="008207C8" w:rsidP="00012F17">
      <w:r w:rsidRPr="00BE55D5">
        <w:lastRenderedPageBreak/>
        <w:t>This special edition was produced by the Australian Association of Gerontology (AAG) to showcase the latest evidence in ageing research, with a particular emphasis on research funded through the Ageing Well Ageing Productively (AWAP) research grants and the Australian Longitudinal Study of Women's Health, and on contributions to policy and practice outcomes benefiting older Austr</w:t>
      </w:r>
      <w:r w:rsidR="00012F17">
        <w:t>alians in their everyday lives.</w:t>
      </w:r>
    </w:p>
    <w:p w14:paraId="14A0CB7B" w14:textId="77777777" w:rsidR="00404D78" w:rsidRDefault="00404D78" w:rsidP="00091A0A">
      <w:pPr>
        <w:pStyle w:val="Heading2"/>
        <w:ind w:left="578" w:hanging="578"/>
      </w:pPr>
      <w:bookmarkStart w:id="65" w:name="_Toc389145784"/>
      <w:bookmarkStart w:id="66" w:name="_Toc530561276"/>
      <w:r>
        <w:t>Capacity building activities in women’s health research</w:t>
      </w:r>
      <w:bookmarkEnd w:id="65"/>
      <w:bookmarkEnd w:id="66"/>
    </w:p>
    <w:p w14:paraId="0378CDB3" w14:textId="569A793A" w:rsidR="006D1DF7" w:rsidRDefault="00404D78" w:rsidP="00012F17">
      <w:pPr>
        <w:sectPr w:rsidR="006D1DF7">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pPr>
      <w:r>
        <w:t xml:space="preserve">Between 1996 and </w:t>
      </w:r>
      <w:r w:rsidR="00100A77">
        <w:t>2018</w:t>
      </w:r>
      <w:r>
        <w:t xml:space="preserve">, </w:t>
      </w:r>
      <w:r w:rsidR="008B7D9E">
        <w:t>21</w:t>
      </w:r>
      <w:r>
        <w:t xml:space="preserve"> researchers who based their research on the ALSWH 1921-26 cohort have graduated with a masters or PhD degree. </w:t>
      </w:r>
      <w:r w:rsidR="00F32190">
        <w:fldChar w:fldCharType="begin"/>
      </w:r>
      <w:r w:rsidR="00F32190">
        <w:instrText xml:space="preserve"> REF _Ref399768050 \h </w:instrText>
      </w:r>
      <w:r w:rsidR="00F32190">
        <w:fldChar w:fldCharType="separate"/>
      </w:r>
      <w:r w:rsidR="00592779">
        <w:t xml:space="preserve">Table </w:t>
      </w:r>
      <w:r w:rsidR="00592779">
        <w:rPr>
          <w:noProof/>
        </w:rPr>
        <w:t>4</w:t>
      </w:r>
      <w:r w:rsidR="00592779">
        <w:noBreakHyphen/>
      </w:r>
      <w:r w:rsidR="00592779">
        <w:rPr>
          <w:noProof/>
        </w:rPr>
        <w:t>1</w:t>
      </w:r>
      <w:r w:rsidR="00F32190">
        <w:fldChar w:fldCharType="end"/>
      </w:r>
      <w:r w:rsidR="004D74C4">
        <w:t xml:space="preserve"> </w:t>
      </w:r>
      <w:r>
        <w:t xml:space="preserve">outlines these research topics, and highlights </w:t>
      </w:r>
      <w:r w:rsidR="00DF553B">
        <w:t xml:space="preserve">the subsequent careers of </w:t>
      </w:r>
      <w:r w:rsidR="00012F17">
        <w:t>a few of the researchers.</w:t>
      </w:r>
      <w:r w:rsidR="005336ED" w:rsidRPr="005336ED">
        <w:t xml:space="preserve"> </w:t>
      </w:r>
      <w:r w:rsidR="005336ED">
        <w:t>Ten Masters or PhD research students are currently enrolled and undertaking projects using data from the ALSWH 1921-26 cohort</w:t>
      </w:r>
    </w:p>
    <w:p w14:paraId="7061C103" w14:textId="3875C2E2" w:rsidR="00404D78" w:rsidRDefault="00F32190" w:rsidP="00F32190">
      <w:pPr>
        <w:pStyle w:val="Caption"/>
        <w:rPr>
          <w:bCs w:val="0"/>
        </w:rPr>
      </w:pPr>
      <w:bookmarkStart w:id="67" w:name="_Ref399768050"/>
      <w:r>
        <w:lastRenderedPageBreak/>
        <w:t xml:space="preserve">Table </w:t>
      </w:r>
      <w:r w:rsidR="00100A77">
        <w:rPr>
          <w:noProof/>
        </w:rPr>
        <w:fldChar w:fldCharType="begin"/>
      </w:r>
      <w:r w:rsidR="00100A77">
        <w:rPr>
          <w:noProof/>
        </w:rPr>
        <w:instrText xml:space="preserve"> STYLEREF 1 \s </w:instrText>
      </w:r>
      <w:r w:rsidR="00100A77">
        <w:rPr>
          <w:noProof/>
        </w:rPr>
        <w:fldChar w:fldCharType="separate"/>
      </w:r>
      <w:r w:rsidR="00592779">
        <w:rPr>
          <w:noProof/>
        </w:rPr>
        <w:t>4</w:t>
      </w:r>
      <w:r w:rsidR="00100A77">
        <w:rPr>
          <w:noProof/>
        </w:rPr>
        <w:fldChar w:fldCharType="end"/>
      </w:r>
      <w:r w:rsidR="00B15EF6">
        <w:noBreakHyphen/>
      </w:r>
      <w:r w:rsidR="00100A77">
        <w:rPr>
          <w:noProof/>
        </w:rPr>
        <w:fldChar w:fldCharType="begin"/>
      </w:r>
      <w:r w:rsidR="00100A77">
        <w:rPr>
          <w:noProof/>
        </w:rPr>
        <w:instrText xml:space="preserve"> SEQ Table \* ARABIC \s 1 </w:instrText>
      </w:r>
      <w:r w:rsidR="00100A77">
        <w:rPr>
          <w:noProof/>
        </w:rPr>
        <w:fldChar w:fldCharType="separate"/>
      </w:r>
      <w:r w:rsidR="00592779">
        <w:rPr>
          <w:noProof/>
        </w:rPr>
        <w:t>1</w:t>
      </w:r>
      <w:r w:rsidR="00100A77">
        <w:rPr>
          <w:noProof/>
        </w:rPr>
        <w:fldChar w:fldCharType="end"/>
      </w:r>
      <w:bookmarkEnd w:id="67"/>
      <w:r>
        <w:t xml:space="preserve"> </w:t>
      </w:r>
      <w:r w:rsidR="00404D78" w:rsidRPr="00F32190">
        <w:rPr>
          <w:bCs w:val="0"/>
        </w:rPr>
        <w:t>ALSWH RESEARCH HIGHER DEGREE STUDENTS COMPLETED USING 1921-26 COHORT DATA</w:t>
      </w:r>
    </w:p>
    <w:tbl>
      <w:tblPr>
        <w:tblW w:w="13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3960"/>
        <w:gridCol w:w="1620"/>
        <w:gridCol w:w="1260"/>
        <w:gridCol w:w="1800"/>
        <w:gridCol w:w="3960"/>
      </w:tblGrid>
      <w:tr w:rsidR="00F32F50" w:rsidRPr="00084B2B" w14:paraId="261E86A3" w14:textId="653B6564" w:rsidTr="00F32F50">
        <w:trPr>
          <w:tblHeader/>
        </w:trPr>
        <w:tc>
          <w:tcPr>
            <w:tcW w:w="1253" w:type="dxa"/>
            <w:shd w:val="clear" w:color="auto" w:fill="E5DFEC"/>
          </w:tcPr>
          <w:p w14:paraId="7B3F4C2A"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Student</w:t>
            </w:r>
          </w:p>
        </w:tc>
        <w:tc>
          <w:tcPr>
            <w:tcW w:w="3960" w:type="dxa"/>
            <w:shd w:val="clear" w:color="auto" w:fill="E5DFEC"/>
          </w:tcPr>
          <w:p w14:paraId="4659F21A"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Topic</w:t>
            </w:r>
          </w:p>
        </w:tc>
        <w:tc>
          <w:tcPr>
            <w:tcW w:w="1620" w:type="dxa"/>
            <w:shd w:val="clear" w:color="auto" w:fill="E5DFEC"/>
          </w:tcPr>
          <w:p w14:paraId="03A99941"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Institution</w:t>
            </w:r>
          </w:p>
        </w:tc>
        <w:tc>
          <w:tcPr>
            <w:tcW w:w="1260" w:type="dxa"/>
            <w:shd w:val="clear" w:color="auto" w:fill="E5DFEC"/>
          </w:tcPr>
          <w:p w14:paraId="1C6902DF"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Degree</w:t>
            </w:r>
          </w:p>
        </w:tc>
        <w:tc>
          <w:tcPr>
            <w:tcW w:w="1800" w:type="dxa"/>
            <w:shd w:val="clear" w:color="auto" w:fill="E5DFEC"/>
          </w:tcPr>
          <w:p w14:paraId="039FD798" w14:textId="77777777" w:rsidR="003279A1" w:rsidRPr="00084B2B" w:rsidRDefault="003279A1" w:rsidP="00F32F50">
            <w:pPr>
              <w:spacing w:after="0" w:line="240" w:lineRule="auto"/>
              <w:ind w:right="75"/>
              <w:rPr>
                <w:rFonts w:cs="Times New Roman"/>
                <w:sz w:val="20"/>
                <w:szCs w:val="20"/>
                <w:lang w:eastAsia="en-AU"/>
              </w:rPr>
            </w:pPr>
            <w:r w:rsidRPr="00084B2B">
              <w:rPr>
                <w:rFonts w:cs="Times New Roman"/>
                <w:sz w:val="20"/>
                <w:szCs w:val="20"/>
                <w:lang w:eastAsia="en-AU"/>
              </w:rPr>
              <w:t>Completion date</w:t>
            </w:r>
          </w:p>
        </w:tc>
        <w:tc>
          <w:tcPr>
            <w:tcW w:w="3960" w:type="dxa"/>
            <w:shd w:val="clear" w:color="auto" w:fill="E5DFEC"/>
          </w:tcPr>
          <w:p w14:paraId="32AD9076" w14:textId="5F3B2434" w:rsidR="003279A1" w:rsidRPr="00084B2B" w:rsidRDefault="003279A1" w:rsidP="00084B2B">
            <w:pPr>
              <w:spacing w:after="0" w:line="240" w:lineRule="auto"/>
              <w:rPr>
                <w:rFonts w:cs="Times New Roman"/>
                <w:sz w:val="20"/>
                <w:szCs w:val="20"/>
                <w:lang w:eastAsia="en-AU"/>
              </w:rPr>
            </w:pPr>
            <w:r>
              <w:rPr>
                <w:rFonts w:cs="Times New Roman"/>
                <w:sz w:val="20"/>
                <w:szCs w:val="20"/>
                <w:lang w:eastAsia="en-AU"/>
              </w:rPr>
              <w:t>Current position</w:t>
            </w:r>
          </w:p>
        </w:tc>
      </w:tr>
      <w:tr w:rsidR="00F32F50" w:rsidRPr="00084B2B" w14:paraId="26E5D17A" w14:textId="478BBE42" w:rsidTr="00F32F50">
        <w:tc>
          <w:tcPr>
            <w:tcW w:w="1253" w:type="dxa"/>
          </w:tcPr>
          <w:p w14:paraId="7C1FD954" w14:textId="799C9363"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Anne</w:t>
            </w:r>
            <w:r>
              <w:rPr>
                <w:rFonts w:cs="Times New Roman"/>
                <w:sz w:val="20"/>
                <w:szCs w:val="20"/>
                <w:lang w:eastAsia="en-AU"/>
              </w:rPr>
              <w:t xml:space="preserve"> </w:t>
            </w:r>
            <w:r w:rsidRPr="00084B2B">
              <w:rPr>
                <w:rFonts w:cs="Times New Roman"/>
                <w:sz w:val="20"/>
                <w:szCs w:val="20"/>
                <w:lang w:eastAsia="en-AU"/>
              </w:rPr>
              <w:t>Young</w:t>
            </w:r>
          </w:p>
        </w:tc>
        <w:tc>
          <w:tcPr>
            <w:tcW w:w="3960" w:type="dxa"/>
          </w:tcPr>
          <w:p w14:paraId="6CE15B9B"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General Practitioner utilisation among women in Australia.</w:t>
            </w:r>
          </w:p>
        </w:tc>
        <w:tc>
          <w:tcPr>
            <w:tcW w:w="1620" w:type="dxa"/>
          </w:tcPr>
          <w:p w14:paraId="1C843F53"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187E09ED"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364F9A78" w14:textId="77777777" w:rsidR="003279A1" w:rsidRPr="00084B2B" w:rsidRDefault="003279A1" w:rsidP="00084B2B">
            <w:pPr>
              <w:spacing w:after="0" w:line="240" w:lineRule="auto"/>
              <w:rPr>
                <w:rFonts w:cs="Times New Roman"/>
                <w:sz w:val="20"/>
                <w:szCs w:val="20"/>
                <w:lang w:eastAsia="en-AU"/>
              </w:rPr>
            </w:pPr>
            <w:r w:rsidRPr="00084B2B">
              <w:rPr>
                <w:rFonts w:cs="Times New Roman"/>
                <w:sz w:val="20"/>
                <w:szCs w:val="20"/>
                <w:lang w:eastAsia="en-AU"/>
              </w:rPr>
              <w:t>1999</w:t>
            </w:r>
          </w:p>
        </w:tc>
        <w:tc>
          <w:tcPr>
            <w:tcW w:w="3960" w:type="dxa"/>
          </w:tcPr>
          <w:p w14:paraId="570EB714" w14:textId="77777777" w:rsidR="003279A1" w:rsidRPr="00084B2B" w:rsidRDefault="003279A1" w:rsidP="00084B2B">
            <w:pPr>
              <w:spacing w:after="0" w:line="240" w:lineRule="auto"/>
              <w:rPr>
                <w:rFonts w:cs="Times New Roman"/>
                <w:sz w:val="20"/>
                <w:szCs w:val="20"/>
                <w:lang w:eastAsia="en-AU"/>
              </w:rPr>
            </w:pPr>
          </w:p>
        </w:tc>
      </w:tr>
      <w:tr w:rsidR="00F32F50" w:rsidRPr="00084B2B" w14:paraId="4F567258" w14:textId="6A925095" w:rsidTr="00F32F50">
        <w:tc>
          <w:tcPr>
            <w:tcW w:w="1253" w:type="dxa"/>
          </w:tcPr>
          <w:p w14:paraId="6AE7D3F0"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 xml:space="preserve">Brendan </w:t>
            </w:r>
            <w:proofErr w:type="spellStart"/>
            <w:r w:rsidRPr="00084B2B">
              <w:rPr>
                <w:rFonts w:cs="Times New Roman"/>
                <w:sz w:val="20"/>
                <w:szCs w:val="20"/>
                <w:lang w:eastAsia="en-AU"/>
              </w:rPr>
              <w:t>Goodger</w:t>
            </w:r>
            <w:proofErr w:type="spellEnd"/>
          </w:p>
        </w:tc>
        <w:tc>
          <w:tcPr>
            <w:tcW w:w="3960" w:type="dxa"/>
          </w:tcPr>
          <w:p w14:paraId="5ABA84C3"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Social support, health status and health care utilization in women aged 70-76 years.</w:t>
            </w:r>
          </w:p>
        </w:tc>
        <w:tc>
          <w:tcPr>
            <w:tcW w:w="1620" w:type="dxa"/>
          </w:tcPr>
          <w:p w14:paraId="4084204E"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27D826A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2A4FB81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2000</w:t>
            </w:r>
          </w:p>
        </w:tc>
        <w:tc>
          <w:tcPr>
            <w:tcW w:w="3960" w:type="dxa"/>
          </w:tcPr>
          <w:p w14:paraId="0A2A4790" w14:textId="4B63F00D" w:rsidR="003279A1" w:rsidRPr="00084B2B" w:rsidRDefault="003279A1" w:rsidP="003279A1">
            <w:pPr>
              <w:spacing w:after="0" w:line="240" w:lineRule="auto"/>
              <w:rPr>
                <w:rFonts w:cs="Times New Roman"/>
                <w:sz w:val="20"/>
                <w:szCs w:val="20"/>
                <w:lang w:eastAsia="en-AU"/>
              </w:rPr>
            </w:pPr>
            <w:r w:rsidRPr="00D3035E">
              <w:rPr>
                <w:sz w:val="20"/>
                <w:szCs w:val="20"/>
              </w:rPr>
              <w:t>Head of Population Health and Chronic Disease at Central Eastern Sydney Primary Health Care Network.</w:t>
            </w:r>
          </w:p>
        </w:tc>
      </w:tr>
      <w:tr w:rsidR="00F32F50" w:rsidRPr="00084B2B" w14:paraId="36D23B89" w14:textId="62FA4B65" w:rsidTr="00F32F50">
        <w:tc>
          <w:tcPr>
            <w:tcW w:w="1253" w:type="dxa"/>
          </w:tcPr>
          <w:p w14:paraId="473A07D9" w14:textId="77777777" w:rsidR="003279A1" w:rsidRPr="00084B2B" w:rsidRDefault="003279A1" w:rsidP="003279A1">
            <w:pPr>
              <w:spacing w:after="0" w:line="240" w:lineRule="auto"/>
              <w:rPr>
                <w:rFonts w:cs="Times New Roman"/>
                <w:sz w:val="20"/>
                <w:szCs w:val="20"/>
                <w:lang w:eastAsia="en-AU"/>
              </w:rPr>
            </w:pPr>
            <w:proofErr w:type="spellStart"/>
            <w:r w:rsidRPr="00084B2B">
              <w:rPr>
                <w:rFonts w:cs="Times New Roman"/>
                <w:sz w:val="20"/>
                <w:szCs w:val="20"/>
                <w:lang w:eastAsia="en-AU"/>
              </w:rPr>
              <w:t>Esben</w:t>
            </w:r>
            <w:proofErr w:type="spellEnd"/>
            <w:r w:rsidRPr="00084B2B">
              <w:rPr>
                <w:rFonts w:cs="Times New Roman"/>
                <w:sz w:val="20"/>
                <w:szCs w:val="20"/>
                <w:lang w:eastAsia="en-AU"/>
              </w:rPr>
              <w:t xml:space="preserve"> </w:t>
            </w:r>
            <w:proofErr w:type="spellStart"/>
            <w:r w:rsidRPr="00084B2B">
              <w:rPr>
                <w:rFonts w:cs="Times New Roman"/>
                <w:sz w:val="20"/>
                <w:szCs w:val="20"/>
                <w:lang w:eastAsia="en-AU"/>
              </w:rPr>
              <w:t>Strodl</w:t>
            </w:r>
            <w:proofErr w:type="spellEnd"/>
          </w:p>
        </w:tc>
        <w:tc>
          <w:tcPr>
            <w:tcW w:w="3960" w:type="dxa"/>
          </w:tcPr>
          <w:p w14:paraId="184BFB0F"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Psychological factors associated with frequency of angina and the role of mediating variables</w:t>
            </w:r>
          </w:p>
        </w:tc>
        <w:tc>
          <w:tcPr>
            <w:tcW w:w="1620" w:type="dxa"/>
          </w:tcPr>
          <w:p w14:paraId="35EB1F27"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Queensland</w:t>
            </w:r>
          </w:p>
        </w:tc>
        <w:tc>
          <w:tcPr>
            <w:tcW w:w="1260" w:type="dxa"/>
          </w:tcPr>
          <w:p w14:paraId="1816F78F"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2E9575BA" w14:textId="22E9DA84" w:rsidR="003279A1" w:rsidRPr="00084B2B" w:rsidRDefault="00B50176" w:rsidP="003279A1">
            <w:pPr>
              <w:spacing w:after="0" w:line="240" w:lineRule="auto"/>
              <w:rPr>
                <w:rFonts w:cs="Times New Roman"/>
                <w:sz w:val="20"/>
                <w:szCs w:val="20"/>
                <w:lang w:eastAsia="en-AU"/>
              </w:rPr>
            </w:pPr>
            <w:r>
              <w:rPr>
                <w:rFonts w:cs="Times New Roman"/>
                <w:sz w:val="20"/>
                <w:szCs w:val="20"/>
                <w:lang w:eastAsia="en-AU"/>
              </w:rPr>
              <w:t>2002</w:t>
            </w:r>
          </w:p>
        </w:tc>
        <w:tc>
          <w:tcPr>
            <w:tcW w:w="3960" w:type="dxa"/>
          </w:tcPr>
          <w:p w14:paraId="372B5D66" w14:textId="33C554E3" w:rsidR="003279A1" w:rsidRPr="00084B2B" w:rsidRDefault="003279A1" w:rsidP="00B50176">
            <w:pPr>
              <w:spacing w:after="0" w:line="240" w:lineRule="auto"/>
              <w:rPr>
                <w:rFonts w:cs="Times New Roman"/>
                <w:sz w:val="20"/>
                <w:szCs w:val="20"/>
                <w:lang w:eastAsia="en-AU"/>
              </w:rPr>
            </w:pPr>
            <w:r>
              <w:rPr>
                <w:rFonts w:cs="Times New Roman"/>
                <w:sz w:val="20"/>
                <w:szCs w:val="20"/>
              </w:rPr>
              <w:t>S</w:t>
            </w:r>
            <w:r w:rsidRPr="00084B2B">
              <w:rPr>
                <w:rFonts w:cs="Times New Roman"/>
                <w:sz w:val="20"/>
                <w:szCs w:val="20"/>
              </w:rPr>
              <w:t xml:space="preserve">enior lecturer in health psychology and psychotherapy at Queensland University of Technology. </w:t>
            </w:r>
            <w:r w:rsidR="00B50176">
              <w:rPr>
                <w:rFonts w:cs="Times New Roman"/>
                <w:sz w:val="20"/>
                <w:szCs w:val="20"/>
              </w:rPr>
              <w:t>S</w:t>
            </w:r>
            <w:r w:rsidRPr="00084B2B">
              <w:rPr>
                <w:rFonts w:cs="Times New Roman"/>
                <w:sz w:val="20"/>
                <w:szCs w:val="20"/>
              </w:rPr>
              <w:t>erves as national chair of the APS College of Health Psychologists.</w:t>
            </w:r>
          </w:p>
        </w:tc>
      </w:tr>
      <w:tr w:rsidR="00F32F50" w:rsidRPr="00084B2B" w14:paraId="3C7C8F6D" w14:textId="745D40E7" w:rsidTr="00F32F50">
        <w:tc>
          <w:tcPr>
            <w:tcW w:w="1253" w:type="dxa"/>
          </w:tcPr>
          <w:p w14:paraId="67EE1AB1"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Emma Harley</w:t>
            </w:r>
          </w:p>
        </w:tc>
        <w:tc>
          <w:tcPr>
            <w:tcW w:w="3960" w:type="dxa"/>
          </w:tcPr>
          <w:p w14:paraId="3482DBF5"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Social support in later life: Cross-sectional and longitudinal analysis of inter-relationships between psychosocial variables in the Women’s Health of Australia study.</w:t>
            </w:r>
          </w:p>
        </w:tc>
        <w:tc>
          <w:tcPr>
            <w:tcW w:w="1620" w:type="dxa"/>
          </w:tcPr>
          <w:p w14:paraId="1B3D0FD0"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Flinders University</w:t>
            </w:r>
          </w:p>
        </w:tc>
        <w:tc>
          <w:tcPr>
            <w:tcW w:w="1260" w:type="dxa"/>
          </w:tcPr>
          <w:p w14:paraId="10944ED2"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24A080DE"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2004</w:t>
            </w:r>
          </w:p>
        </w:tc>
        <w:tc>
          <w:tcPr>
            <w:tcW w:w="3960" w:type="dxa"/>
          </w:tcPr>
          <w:p w14:paraId="388FE384" w14:textId="23D234B1" w:rsidR="003279A1" w:rsidRPr="00084B2B" w:rsidRDefault="003279A1" w:rsidP="003279A1">
            <w:pPr>
              <w:spacing w:after="0" w:line="240" w:lineRule="auto"/>
              <w:rPr>
                <w:rFonts w:cs="Times New Roman"/>
                <w:sz w:val="20"/>
                <w:szCs w:val="20"/>
                <w:lang w:eastAsia="en-AU"/>
              </w:rPr>
            </w:pPr>
            <w:r>
              <w:rPr>
                <w:rFonts w:eastAsiaTheme="minorEastAsia" w:cs="Times"/>
                <w:sz w:val="20"/>
                <w:szCs w:val="20"/>
                <w:lang w:val="en-US"/>
              </w:rPr>
              <w:t>P</w:t>
            </w:r>
            <w:r w:rsidRPr="00084B2B">
              <w:rPr>
                <w:rFonts w:eastAsiaTheme="minorEastAsia" w:cs="Times"/>
                <w:sz w:val="20"/>
                <w:szCs w:val="20"/>
                <w:lang w:val="en-US"/>
              </w:rPr>
              <w:t>racticing Clinical Psychologist work</w:t>
            </w:r>
            <w:r>
              <w:rPr>
                <w:rFonts w:eastAsiaTheme="minorEastAsia" w:cs="Times"/>
                <w:sz w:val="20"/>
                <w:szCs w:val="20"/>
                <w:lang w:val="en-US"/>
              </w:rPr>
              <w:t>ing</w:t>
            </w:r>
            <w:r w:rsidRPr="00084B2B">
              <w:rPr>
                <w:rFonts w:eastAsiaTheme="minorEastAsia" w:cs="Times"/>
                <w:sz w:val="20"/>
                <w:szCs w:val="20"/>
                <w:lang w:val="en-US"/>
              </w:rPr>
              <w:t xml:space="preserve"> across the public and private sectors with a range of different clients, including remote indigenous communities, soldiers, peacekeepers and refugees.</w:t>
            </w:r>
          </w:p>
        </w:tc>
      </w:tr>
      <w:tr w:rsidR="00F32F50" w:rsidRPr="00084B2B" w14:paraId="404C32EA" w14:textId="39CEC2B3" w:rsidTr="00F32F50">
        <w:tc>
          <w:tcPr>
            <w:tcW w:w="1253" w:type="dxa"/>
          </w:tcPr>
          <w:p w14:paraId="468A034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Karen Furlong</w:t>
            </w:r>
          </w:p>
        </w:tc>
        <w:tc>
          <w:tcPr>
            <w:tcW w:w="3960" w:type="dxa"/>
          </w:tcPr>
          <w:p w14:paraId="37ACE4A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Epidemiology of osteoporosis in Australian women</w:t>
            </w:r>
          </w:p>
        </w:tc>
        <w:tc>
          <w:tcPr>
            <w:tcW w:w="1620" w:type="dxa"/>
          </w:tcPr>
          <w:p w14:paraId="7ECCD266"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Queensland</w:t>
            </w:r>
          </w:p>
        </w:tc>
        <w:tc>
          <w:tcPr>
            <w:tcW w:w="1260" w:type="dxa"/>
          </w:tcPr>
          <w:p w14:paraId="12B09D4D"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Masters</w:t>
            </w:r>
          </w:p>
        </w:tc>
        <w:tc>
          <w:tcPr>
            <w:tcW w:w="1800" w:type="dxa"/>
          </w:tcPr>
          <w:p w14:paraId="1C8F4B65"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2006</w:t>
            </w:r>
          </w:p>
        </w:tc>
        <w:tc>
          <w:tcPr>
            <w:tcW w:w="3960" w:type="dxa"/>
          </w:tcPr>
          <w:p w14:paraId="4C1018C8" w14:textId="77777777" w:rsidR="003279A1" w:rsidRPr="00084B2B" w:rsidRDefault="003279A1" w:rsidP="003279A1">
            <w:pPr>
              <w:spacing w:after="0" w:line="240" w:lineRule="auto"/>
              <w:rPr>
                <w:rFonts w:cs="Times New Roman"/>
                <w:sz w:val="20"/>
                <w:szCs w:val="20"/>
                <w:lang w:eastAsia="en-AU"/>
              </w:rPr>
            </w:pPr>
          </w:p>
        </w:tc>
      </w:tr>
      <w:tr w:rsidR="00F32F50" w:rsidRPr="00084B2B" w14:paraId="66F906C3" w14:textId="20937CA3" w:rsidTr="00F32F50">
        <w:tc>
          <w:tcPr>
            <w:tcW w:w="1253" w:type="dxa"/>
          </w:tcPr>
          <w:p w14:paraId="464A10F3"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Dr Sally Price</w:t>
            </w:r>
          </w:p>
        </w:tc>
        <w:tc>
          <w:tcPr>
            <w:tcW w:w="3960" w:type="dxa"/>
          </w:tcPr>
          <w:p w14:paraId="2279213B"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Carers and psychosocial correlates over time: A longitudinal analysis.</w:t>
            </w:r>
          </w:p>
        </w:tc>
        <w:tc>
          <w:tcPr>
            <w:tcW w:w="1620" w:type="dxa"/>
          </w:tcPr>
          <w:p w14:paraId="1BFC9DF1"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Queensland</w:t>
            </w:r>
          </w:p>
        </w:tc>
        <w:tc>
          <w:tcPr>
            <w:tcW w:w="1260" w:type="dxa"/>
          </w:tcPr>
          <w:p w14:paraId="4543E14B"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Doctor of Psychology</w:t>
            </w:r>
          </w:p>
        </w:tc>
        <w:tc>
          <w:tcPr>
            <w:tcW w:w="1800" w:type="dxa"/>
          </w:tcPr>
          <w:p w14:paraId="5826E3AB"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2006</w:t>
            </w:r>
          </w:p>
        </w:tc>
        <w:tc>
          <w:tcPr>
            <w:tcW w:w="3960" w:type="dxa"/>
          </w:tcPr>
          <w:p w14:paraId="552133BC" w14:textId="77777777" w:rsidR="003279A1" w:rsidRPr="00084B2B" w:rsidRDefault="003279A1" w:rsidP="003279A1">
            <w:pPr>
              <w:spacing w:after="0" w:line="240" w:lineRule="auto"/>
              <w:rPr>
                <w:rFonts w:cs="Times New Roman"/>
                <w:sz w:val="20"/>
                <w:szCs w:val="20"/>
                <w:lang w:eastAsia="en-AU"/>
              </w:rPr>
            </w:pPr>
          </w:p>
        </w:tc>
      </w:tr>
      <w:tr w:rsidR="00F32F50" w:rsidRPr="00084B2B" w14:paraId="1E4EDD38" w14:textId="75CA87D0" w:rsidTr="00F32F50">
        <w:tc>
          <w:tcPr>
            <w:tcW w:w="1253" w:type="dxa"/>
          </w:tcPr>
          <w:p w14:paraId="7A855967"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Leah Collins</w:t>
            </w:r>
          </w:p>
        </w:tc>
        <w:tc>
          <w:tcPr>
            <w:tcW w:w="3960" w:type="dxa"/>
          </w:tcPr>
          <w:p w14:paraId="68C3BA34"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Investigating quality of life and depression in middle aged and older Australian women with cancer</w:t>
            </w:r>
          </w:p>
        </w:tc>
        <w:tc>
          <w:tcPr>
            <w:tcW w:w="1620" w:type="dxa"/>
          </w:tcPr>
          <w:p w14:paraId="37CB4B6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Melbourne</w:t>
            </w:r>
          </w:p>
        </w:tc>
        <w:tc>
          <w:tcPr>
            <w:tcW w:w="1260" w:type="dxa"/>
          </w:tcPr>
          <w:p w14:paraId="0D18D1EA"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Doctor of Psychology</w:t>
            </w:r>
          </w:p>
        </w:tc>
        <w:tc>
          <w:tcPr>
            <w:tcW w:w="1800" w:type="dxa"/>
          </w:tcPr>
          <w:p w14:paraId="0C39BE86"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2008</w:t>
            </w:r>
          </w:p>
        </w:tc>
        <w:tc>
          <w:tcPr>
            <w:tcW w:w="3960" w:type="dxa"/>
          </w:tcPr>
          <w:p w14:paraId="75C93291" w14:textId="286DFCA2"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Clinical and Health Psychologist in private practice in Melbourne.</w:t>
            </w:r>
          </w:p>
        </w:tc>
      </w:tr>
      <w:tr w:rsidR="00F32F50" w:rsidRPr="00084B2B" w14:paraId="017F266C" w14:textId="5F082BD5" w:rsidTr="00F32F50">
        <w:tc>
          <w:tcPr>
            <w:tcW w:w="1253" w:type="dxa"/>
            <w:vMerge w:val="restart"/>
          </w:tcPr>
          <w:p w14:paraId="416C0341"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Nadine Smith</w:t>
            </w:r>
          </w:p>
        </w:tc>
        <w:tc>
          <w:tcPr>
            <w:tcW w:w="3960" w:type="dxa"/>
          </w:tcPr>
          <w:p w14:paraId="67C5ADA0"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Psychological predictors of successful ageing in a cohort of Australian women</w:t>
            </w:r>
          </w:p>
        </w:tc>
        <w:tc>
          <w:tcPr>
            <w:tcW w:w="1620" w:type="dxa"/>
          </w:tcPr>
          <w:p w14:paraId="25A2CB3D"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715B9D27"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Masters</w:t>
            </w:r>
          </w:p>
        </w:tc>
        <w:tc>
          <w:tcPr>
            <w:tcW w:w="1800" w:type="dxa"/>
          </w:tcPr>
          <w:p w14:paraId="62A8D1A2"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2001</w:t>
            </w:r>
          </w:p>
        </w:tc>
        <w:tc>
          <w:tcPr>
            <w:tcW w:w="3960" w:type="dxa"/>
          </w:tcPr>
          <w:p w14:paraId="57867E4B" w14:textId="77777777" w:rsidR="003279A1" w:rsidRPr="00084B2B" w:rsidRDefault="003279A1" w:rsidP="003279A1">
            <w:pPr>
              <w:spacing w:after="0" w:line="240" w:lineRule="auto"/>
              <w:rPr>
                <w:rFonts w:cs="Times New Roman"/>
                <w:sz w:val="20"/>
                <w:szCs w:val="20"/>
                <w:lang w:eastAsia="en-AU"/>
              </w:rPr>
            </w:pPr>
          </w:p>
        </w:tc>
      </w:tr>
      <w:tr w:rsidR="00F32F50" w:rsidRPr="00084B2B" w14:paraId="27085030" w14:textId="5DA7DD02" w:rsidTr="00F32F50">
        <w:tc>
          <w:tcPr>
            <w:tcW w:w="1253" w:type="dxa"/>
            <w:vMerge/>
          </w:tcPr>
          <w:p w14:paraId="60A97B23" w14:textId="0BF43EEB" w:rsidR="003279A1" w:rsidRPr="00084B2B" w:rsidRDefault="003279A1" w:rsidP="003279A1">
            <w:pPr>
              <w:spacing w:after="0" w:line="240" w:lineRule="auto"/>
              <w:rPr>
                <w:rFonts w:cs="Times New Roman"/>
                <w:sz w:val="20"/>
                <w:szCs w:val="20"/>
                <w:highlight w:val="yellow"/>
                <w:lang w:eastAsia="en-AU"/>
              </w:rPr>
            </w:pPr>
          </w:p>
        </w:tc>
        <w:tc>
          <w:tcPr>
            <w:tcW w:w="3960" w:type="dxa"/>
            <w:shd w:val="clear" w:color="auto" w:fill="auto"/>
          </w:tcPr>
          <w:p w14:paraId="60E5CE98" w14:textId="77777777" w:rsidR="003279A1" w:rsidRPr="008A43C0" w:rsidRDefault="003279A1" w:rsidP="003279A1">
            <w:pPr>
              <w:spacing w:after="0" w:line="240" w:lineRule="auto"/>
              <w:rPr>
                <w:rFonts w:cs="Times New Roman"/>
                <w:sz w:val="20"/>
                <w:szCs w:val="20"/>
                <w:lang w:eastAsia="en-AU"/>
              </w:rPr>
            </w:pPr>
            <w:r w:rsidRPr="008A43C0">
              <w:rPr>
                <w:rFonts w:cs="Times New Roman"/>
                <w:sz w:val="20"/>
                <w:szCs w:val="20"/>
                <w:lang w:eastAsia="en-AU"/>
              </w:rPr>
              <w:t>Biopsychosocial correlates of women’s mental health: A longitudinal analysis of self-reported mental health across three generations of Australian women</w:t>
            </w:r>
          </w:p>
        </w:tc>
        <w:tc>
          <w:tcPr>
            <w:tcW w:w="1620" w:type="dxa"/>
            <w:shd w:val="clear" w:color="auto" w:fill="auto"/>
          </w:tcPr>
          <w:p w14:paraId="6B339819" w14:textId="77777777" w:rsidR="003279A1" w:rsidRPr="008A43C0" w:rsidRDefault="003279A1" w:rsidP="003279A1">
            <w:pPr>
              <w:spacing w:after="0" w:line="240" w:lineRule="auto"/>
              <w:rPr>
                <w:rFonts w:cs="Times New Roman"/>
                <w:sz w:val="20"/>
                <w:szCs w:val="20"/>
                <w:lang w:eastAsia="en-AU"/>
              </w:rPr>
            </w:pPr>
            <w:r w:rsidRPr="008A43C0">
              <w:rPr>
                <w:rFonts w:cs="Times New Roman"/>
                <w:sz w:val="20"/>
                <w:szCs w:val="20"/>
                <w:lang w:eastAsia="en-AU"/>
              </w:rPr>
              <w:t>The University of Queensland</w:t>
            </w:r>
          </w:p>
        </w:tc>
        <w:tc>
          <w:tcPr>
            <w:tcW w:w="1260" w:type="dxa"/>
            <w:shd w:val="clear" w:color="auto" w:fill="auto"/>
          </w:tcPr>
          <w:p w14:paraId="355EF317" w14:textId="77777777" w:rsidR="003279A1" w:rsidRPr="008A43C0" w:rsidRDefault="003279A1" w:rsidP="003279A1">
            <w:pPr>
              <w:spacing w:after="0" w:line="240" w:lineRule="auto"/>
              <w:rPr>
                <w:rFonts w:cs="Times New Roman"/>
                <w:sz w:val="20"/>
                <w:szCs w:val="20"/>
                <w:lang w:eastAsia="en-AU"/>
              </w:rPr>
            </w:pPr>
            <w:r w:rsidRPr="008A43C0">
              <w:rPr>
                <w:rFonts w:cs="Times New Roman"/>
                <w:sz w:val="20"/>
                <w:szCs w:val="20"/>
                <w:lang w:eastAsia="en-AU"/>
              </w:rPr>
              <w:t>PhD</w:t>
            </w:r>
          </w:p>
        </w:tc>
        <w:tc>
          <w:tcPr>
            <w:tcW w:w="1800" w:type="dxa"/>
            <w:shd w:val="clear" w:color="auto" w:fill="auto"/>
          </w:tcPr>
          <w:p w14:paraId="16A08483" w14:textId="77777777" w:rsidR="003279A1" w:rsidRPr="008A43C0" w:rsidRDefault="003279A1" w:rsidP="003279A1">
            <w:pPr>
              <w:spacing w:after="0" w:line="240" w:lineRule="auto"/>
              <w:rPr>
                <w:rFonts w:cs="Times New Roman"/>
                <w:sz w:val="20"/>
                <w:szCs w:val="20"/>
                <w:lang w:eastAsia="en-AU"/>
              </w:rPr>
            </w:pPr>
            <w:r w:rsidRPr="008A43C0">
              <w:rPr>
                <w:rFonts w:cs="Times New Roman"/>
                <w:sz w:val="20"/>
                <w:szCs w:val="20"/>
                <w:lang w:eastAsia="en-AU"/>
              </w:rPr>
              <w:t>2008</w:t>
            </w:r>
          </w:p>
        </w:tc>
        <w:tc>
          <w:tcPr>
            <w:tcW w:w="3960" w:type="dxa"/>
          </w:tcPr>
          <w:p w14:paraId="0BD686CC" w14:textId="2624D01C" w:rsidR="003279A1" w:rsidRPr="008A43C0" w:rsidRDefault="003279A1" w:rsidP="003279A1">
            <w:pPr>
              <w:spacing w:after="0" w:line="240" w:lineRule="auto"/>
              <w:rPr>
                <w:rFonts w:cs="Times New Roman"/>
                <w:sz w:val="20"/>
                <w:szCs w:val="20"/>
                <w:lang w:eastAsia="en-AU"/>
              </w:rPr>
            </w:pPr>
            <w:r>
              <w:rPr>
                <w:rFonts w:cs="Times New Roman"/>
                <w:sz w:val="20"/>
                <w:szCs w:val="20"/>
                <w:lang w:eastAsia="en-AU"/>
              </w:rPr>
              <w:t>S</w:t>
            </w:r>
            <w:r w:rsidRPr="0058221B">
              <w:rPr>
                <w:rFonts w:cs="Times New Roman"/>
                <w:sz w:val="20"/>
                <w:szCs w:val="20"/>
                <w:lang w:eastAsia="en-AU"/>
              </w:rPr>
              <w:t>enior researcher with the New South Wales Bureau of Crime Statistics and Research.</w:t>
            </w:r>
          </w:p>
        </w:tc>
      </w:tr>
      <w:tr w:rsidR="00F32F50" w:rsidRPr="00084B2B" w14:paraId="65884994" w14:textId="5772D04A" w:rsidTr="00F32F50">
        <w:tc>
          <w:tcPr>
            <w:tcW w:w="1253" w:type="dxa"/>
          </w:tcPr>
          <w:p w14:paraId="04F8F691" w14:textId="77777777" w:rsidR="003279A1" w:rsidRPr="00084B2B" w:rsidRDefault="003279A1" w:rsidP="003279A1">
            <w:pPr>
              <w:spacing w:after="0" w:line="240" w:lineRule="auto"/>
              <w:rPr>
                <w:rFonts w:cs="Times New Roman"/>
                <w:sz w:val="20"/>
                <w:szCs w:val="20"/>
                <w:lang w:eastAsia="en-AU"/>
              </w:rPr>
            </w:pPr>
            <w:proofErr w:type="spellStart"/>
            <w:r w:rsidRPr="00084B2B">
              <w:rPr>
                <w:rFonts w:cs="Times New Roman"/>
                <w:sz w:val="20"/>
                <w:szCs w:val="20"/>
                <w:lang w:eastAsia="en-AU"/>
              </w:rPr>
              <w:t>Afsoon</w:t>
            </w:r>
            <w:proofErr w:type="spellEnd"/>
            <w:r w:rsidRPr="00084B2B">
              <w:rPr>
                <w:rFonts w:cs="Times New Roman"/>
                <w:sz w:val="20"/>
                <w:szCs w:val="20"/>
                <w:lang w:eastAsia="en-AU"/>
              </w:rPr>
              <w:t xml:space="preserve"> </w:t>
            </w:r>
            <w:proofErr w:type="spellStart"/>
            <w:r w:rsidRPr="00084B2B">
              <w:rPr>
                <w:rFonts w:cs="Times New Roman"/>
                <w:sz w:val="20"/>
                <w:szCs w:val="20"/>
                <w:lang w:eastAsia="en-AU"/>
              </w:rPr>
              <w:t>Hassani</w:t>
            </w:r>
            <w:proofErr w:type="spellEnd"/>
            <w:r w:rsidRPr="00084B2B">
              <w:rPr>
                <w:rFonts w:cs="Times New Roman"/>
                <w:sz w:val="20"/>
                <w:szCs w:val="20"/>
                <w:lang w:eastAsia="en-AU"/>
              </w:rPr>
              <w:t xml:space="preserve"> </w:t>
            </w:r>
            <w:proofErr w:type="spellStart"/>
            <w:r w:rsidRPr="00084B2B">
              <w:rPr>
                <w:rFonts w:cs="Times New Roman"/>
                <w:sz w:val="20"/>
                <w:szCs w:val="20"/>
                <w:lang w:eastAsia="en-AU"/>
              </w:rPr>
              <w:t>Mehraban</w:t>
            </w:r>
            <w:proofErr w:type="spellEnd"/>
          </w:p>
        </w:tc>
        <w:tc>
          <w:tcPr>
            <w:tcW w:w="3960" w:type="dxa"/>
          </w:tcPr>
          <w:p w14:paraId="5E17C3D5"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An application of the International Classification of Functioning Disability and Health for understanding falls risks among older community women in Australia</w:t>
            </w:r>
          </w:p>
        </w:tc>
        <w:tc>
          <w:tcPr>
            <w:tcW w:w="1620" w:type="dxa"/>
          </w:tcPr>
          <w:p w14:paraId="50C0B432"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0BCDB8A3"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6E30E9DA"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2008</w:t>
            </w:r>
          </w:p>
        </w:tc>
        <w:tc>
          <w:tcPr>
            <w:tcW w:w="3960" w:type="dxa"/>
          </w:tcPr>
          <w:p w14:paraId="6AAD8777" w14:textId="2135D4F3" w:rsidR="003279A1" w:rsidRPr="00084B2B" w:rsidRDefault="003279A1" w:rsidP="003279A1">
            <w:pPr>
              <w:spacing w:after="0" w:line="240" w:lineRule="auto"/>
              <w:rPr>
                <w:rFonts w:cs="Times New Roman"/>
                <w:sz w:val="20"/>
                <w:szCs w:val="20"/>
                <w:lang w:eastAsia="en-AU"/>
              </w:rPr>
            </w:pPr>
            <w:r w:rsidRPr="00084B2B">
              <w:rPr>
                <w:rFonts w:eastAsiaTheme="minorEastAsia" w:cs="Verdana"/>
                <w:sz w:val="20"/>
                <w:szCs w:val="20"/>
                <w:lang w:val="en-US"/>
              </w:rPr>
              <w:t>Associate Professor, Department of Occupational Therapy, School of Rehabilitation Sciences, Iran University of Medical Sciences, Tehran, Iran.</w:t>
            </w:r>
          </w:p>
        </w:tc>
      </w:tr>
      <w:tr w:rsidR="00F32F50" w:rsidRPr="00084B2B" w14:paraId="77AC8C56" w14:textId="65707976" w:rsidTr="00F32F50">
        <w:tc>
          <w:tcPr>
            <w:tcW w:w="1253" w:type="dxa"/>
          </w:tcPr>
          <w:p w14:paraId="3097FB24" w14:textId="77777777" w:rsidR="003279A1" w:rsidRPr="00084B2B" w:rsidRDefault="003279A1" w:rsidP="003279A1">
            <w:pPr>
              <w:spacing w:after="0" w:line="240" w:lineRule="auto"/>
              <w:rPr>
                <w:rFonts w:cs="Times New Roman"/>
                <w:sz w:val="20"/>
                <w:szCs w:val="20"/>
                <w:lang w:eastAsia="en-AU"/>
              </w:rPr>
            </w:pPr>
            <w:proofErr w:type="spellStart"/>
            <w:r w:rsidRPr="00084B2B">
              <w:rPr>
                <w:rFonts w:cs="Times New Roman"/>
                <w:sz w:val="20"/>
                <w:szCs w:val="20"/>
                <w:lang w:eastAsia="en-AU"/>
              </w:rPr>
              <w:t>Nur</w:t>
            </w:r>
            <w:proofErr w:type="spellEnd"/>
            <w:r w:rsidRPr="00084B2B">
              <w:rPr>
                <w:rFonts w:cs="Times New Roman"/>
                <w:sz w:val="20"/>
                <w:szCs w:val="20"/>
                <w:lang w:eastAsia="en-AU"/>
              </w:rPr>
              <w:t xml:space="preserve"> </w:t>
            </w:r>
            <w:proofErr w:type="spellStart"/>
            <w:r w:rsidRPr="00084B2B">
              <w:rPr>
                <w:rFonts w:cs="Times New Roman"/>
                <w:sz w:val="20"/>
                <w:szCs w:val="20"/>
                <w:lang w:eastAsia="en-AU"/>
              </w:rPr>
              <w:t>Hafidha</w:t>
            </w:r>
            <w:proofErr w:type="spellEnd"/>
            <w:r w:rsidRPr="00084B2B">
              <w:rPr>
                <w:rFonts w:cs="Times New Roman"/>
                <w:sz w:val="20"/>
                <w:szCs w:val="20"/>
                <w:lang w:eastAsia="en-AU"/>
              </w:rPr>
              <w:t xml:space="preserve"> </w:t>
            </w:r>
            <w:proofErr w:type="spellStart"/>
            <w:r w:rsidRPr="00084B2B">
              <w:rPr>
                <w:rFonts w:cs="Times New Roman"/>
                <w:sz w:val="20"/>
                <w:szCs w:val="20"/>
                <w:lang w:eastAsia="en-AU"/>
              </w:rPr>
              <w:t>Hikmayani</w:t>
            </w:r>
            <w:proofErr w:type="spellEnd"/>
          </w:p>
        </w:tc>
        <w:tc>
          <w:tcPr>
            <w:tcW w:w="3960" w:type="dxa"/>
          </w:tcPr>
          <w:p w14:paraId="518A6D7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Cardiovascular medication use and health related Quality of Life in older women with diabetes</w:t>
            </w:r>
          </w:p>
        </w:tc>
        <w:tc>
          <w:tcPr>
            <w:tcW w:w="1620" w:type="dxa"/>
          </w:tcPr>
          <w:p w14:paraId="469662D2"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1259DE0B" w14:textId="6BE75188" w:rsidR="003279A1" w:rsidRPr="00084B2B" w:rsidRDefault="00B50176" w:rsidP="00B50176">
            <w:pPr>
              <w:spacing w:after="0" w:line="240" w:lineRule="auto"/>
              <w:rPr>
                <w:rFonts w:cs="Times New Roman"/>
                <w:sz w:val="20"/>
                <w:szCs w:val="20"/>
                <w:lang w:eastAsia="en-AU"/>
              </w:rPr>
            </w:pPr>
            <w:r>
              <w:rPr>
                <w:rFonts w:cs="Times New Roman"/>
                <w:sz w:val="20"/>
                <w:szCs w:val="20"/>
                <w:lang w:eastAsia="en-AU"/>
              </w:rPr>
              <w:t>Master Clinical Epi</w:t>
            </w:r>
          </w:p>
        </w:tc>
        <w:tc>
          <w:tcPr>
            <w:tcW w:w="1800" w:type="dxa"/>
          </w:tcPr>
          <w:p w14:paraId="1CA817FA" w14:textId="77777777" w:rsidR="003279A1" w:rsidRPr="00084B2B" w:rsidRDefault="003279A1" w:rsidP="00733F83">
            <w:pPr>
              <w:spacing w:after="0" w:line="240" w:lineRule="auto"/>
              <w:ind w:right="75"/>
              <w:rPr>
                <w:rFonts w:cs="Times New Roman"/>
                <w:sz w:val="20"/>
                <w:szCs w:val="20"/>
                <w:lang w:eastAsia="en-AU"/>
              </w:rPr>
            </w:pPr>
            <w:r w:rsidRPr="00084B2B">
              <w:rPr>
                <w:rFonts w:cs="Times New Roman"/>
                <w:sz w:val="20"/>
                <w:szCs w:val="20"/>
                <w:lang w:eastAsia="en-AU"/>
              </w:rPr>
              <w:t>2009</w:t>
            </w:r>
          </w:p>
        </w:tc>
        <w:tc>
          <w:tcPr>
            <w:tcW w:w="3960" w:type="dxa"/>
          </w:tcPr>
          <w:p w14:paraId="26F08BF2" w14:textId="606345F7" w:rsidR="003279A1" w:rsidRPr="00084B2B" w:rsidRDefault="00B50176" w:rsidP="00B50176">
            <w:pPr>
              <w:spacing w:after="0" w:line="240" w:lineRule="auto"/>
              <w:rPr>
                <w:rFonts w:cs="Times New Roman"/>
                <w:sz w:val="20"/>
                <w:szCs w:val="20"/>
                <w:lang w:eastAsia="en-AU"/>
              </w:rPr>
            </w:pPr>
            <w:r>
              <w:rPr>
                <w:rFonts w:cs="Times New Roman"/>
                <w:sz w:val="20"/>
                <w:szCs w:val="20"/>
                <w:lang w:eastAsia="en-AU"/>
              </w:rPr>
              <w:t>M</w:t>
            </w:r>
            <w:r w:rsidRPr="00084B2B">
              <w:rPr>
                <w:rFonts w:cs="Times New Roman"/>
                <w:sz w:val="20"/>
                <w:szCs w:val="20"/>
                <w:lang w:eastAsia="en-AU"/>
              </w:rPr>
              <w:t xml:space="preserve">ember of the Faculty of Medicine, </w:t>
            </w:r>
            <w:proofErr w:type="spellStart"/>
            <w:r w:rsidRPr="00084B2B">
              <w:rPr>
                <w:rFonts w:cs="Times New Roman"/>
                <w:sz w:val="20"/>
                <w:szCs w:val="20"/>
                <w:lang w:eastAsia="en-AU"/>
              </w:rPr>
              <w:t>Sebelas</w:t>
            </w:r>
            <w:proofErr w:type="spellEnd"/>
            <w:r w:rsidRPr="00084B2B">
              <w:rPr>
                <w:rFonts w:cs="Times New Roman"/>
                <w:sz w:val="20"/>
                <w:szCs w:val="20"/>
                <w:lang w:eastAsia="en-AU"/>
              </w:rPr>
              <w:t xml:space="preserve"> </w:t>
            </w:r>
            <w:proofErr w:type="spellStart"/>
            <w:r w:rsidRPr="00084B2B">
              <w:rPr>
                <w:rFonts w:cs="Times New Roman"/>
                <w:sz w:val="20"/>
                <w:szCs w:val="20"/>
                <w:lang w:eastAsia="en-AU"/>
              </w:rPr>
              <w:t>Maret</w:t>
            </w:r>
            <w:proofErr w:type="spellEnd"/>
            <w:r w:rsidRPr="00084B2B">
              <w:rPr>
                <w:rFonts w:cs="Times New Roman"/>
                <w:sz w:val="20"/>
                <w:szCs w:val="20"/>
                <w:lang w:eastAsia="en-AU"/>
              </w:rPr>
              <w:t xml:space="preserve"> University, Indonesia. </w:t>
            </w:r>
            <w:r>
              <w:rPr>
                <w:rFonts w:cs="Times New Roman"/>
                <w:sz w:val="20"/>
                <w:szCs w:val="20"/>
                <w:lang w:eastAsia="en-AU"/>
              </w:rPr>
              <w:t xml:space="preserve">2014-17 </w:t>
            </w:r>
            <w:r w:rsidR="003279A1" w:rsidRPr="00084B2B">
              <w:rPr>
                <w:rFonts w:cs="Times New Roman"/>
                <w:sz w:val="20"/>
                <w:szCs w:val="20"/>
                <w:lang w:eastAsia="en-AU"/>
              </w:rPr>
              <w:t xml:space="preserve">PhD University College London (explored the dynamics and variations in </w:t>
            </w:r>
            <w:r w:rsidR="003279A1" w:rsidRPr="00084B2B">
              <w:rPr>
                <w:rFonts w:cs="Times New Roman"/>
                <w:sz w:val="20"/>
                <w:szCs w:val="20"/>
                <w:lang w:eastAsia="en-AU"/>
              </w:rPr>
              <w:lastRenderedPageBreak/>
              <w:t>diabetes care over time in the UK, and the factors associated with glycaemic, blood pressure and lipid target attainment using linked electroni</w:t>
            </w:r>
            <w:r>
              <w:rPr>
                <w:rFonts w:cs="Times New Roman"/>
                <w:sz w:val="20"/>
                <w:szCs w:val="20"/>
                <w:lang w:eastAsia="en-AU"/>
              </w:rPr>
              <w:t xml:space="preserve">c health records) </w:t>
            </w:r>
          </w:p>
        </w:tc>
      </w:tr>
      <w:tr w:rsidR="00F32F50" w:rsidRPr="00084B2B" w14:paraId="3F8B1A38" w14:textId="05E79EBD" w:rsidTr="00F32F50">
        <w:tc>
          <w:tcPr>
            <w:tcW w:w="1253" w:type="dxa"/>
          </w:tcPr>
          <w:p w14:paraId="1858A926"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lastRenderedPageBreak/>
              <w:t xml:space="preserve">Emma </w:t>
            </w:r>
            <w:proofErr w:type="spellStart"/>
            <w:r w:rsidRPr="00084B2B">
              <w:rPr>
                <w:rFonts w:cs="Times New Roman"/>
                <w:sz w:val="20"/>
                <w:szCs w:val="20"/>
                <w:lang w:eastAsia="en-AU"/>
              </w:rPr>
              <w:t>Poulsen</w:t>
            </w:r>
            <w:proofErr w:type="spellEnd"/>
          </w:p>
        </w:tc>
        <w:tc>
          <w:tcPr>
            <w:tcW w:w="3960" w:type="dxa"/>
          </w:tcPr>
          <w:p w14:paraId="1C5DCA6F"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Complementary and alternative medicine use in the Australian baby boomer and older adult populations</w:t>
            </w:r>
          </w:p>
        </w:tc>
        <w:tc>
          <w:tcPr>
            <w:tcW w:w="1620" w:type="dxa"/>
          </w:tcPr>
          <w:p w14:paraId="552BBD92"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Queensland</w:t>
            </w:r>
          </w:p>
        </w:tc>
        <w:tc>
          <w:tcPr>
            <w:tcW w:w="1260" w:type="dxa"/>
          </w:tcPr>
          <w:p w14:paraId="0A145B31"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Doctorate Clinical Health</w:t>
            </w:r>
          </w:p>
        </w:tc>
        <w:tc>
          <w:tcPr>
            <w:tcW w:w="1800" w:type="dxa"/>
          </w:tcPr>
          <w:p w14:paraId="49FB0F6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2012</w:t>
            </w:r>
          </w:p>
        </w:tc>
        <w:tc>
          <w:tcPr>
            <w:tcW w:w="3960" w:type="dxa"/>
          </w:tcPr>
          <w:p w14:paraId="21C17A73" w14:textId="6BE3462B" w:rsidR="003279A1" w:rsidRPr="00084B2B" w:rsidRDefault="003279A1" w:rsidP="00B50176">
            <w:pPr>
              <w:spacing w:after="0" w:line="240" w:lineRule="auto"/>
              <w:rPr>
                <w:rFonts w:cs="Times New Roman"/>
                <w:sz w:val="20"/>
                <w:szCs w:val="20"/>
                <w:lang w:eastAsia="en-AU"/>
              </w:rPr>
            </w:pPr>
            <w:r>
              <w:rPr>
                <w:rFonts w:cs="Times New Roman"/>
                <w:sz w:val="20"/>
                <w:szCs w:val="20"/>
                <w:lang w:eastAsia="en-AU"/>
              </w:rPr>
              <w:t>C</w:t>
            </w:r>
            <w:r w:rsidRPr="00084B2B">
              <w:rPr>
                <w:rFonts w:cs="Times New Roman"/>
                <w:sz w:val="20"/>
                <w:szCs w:val="20"/>
                <w:lang w:eastAsia="en-AU"/>
              </w:rPr>
              <w:t xml:space="preserve">linical psychologist and clinical health </w:t>
            </w:r>
            <w:proofErr w:type="gramStart"/>
            <w:r w:rsidRPr="00084B2B">
              <w:rPr>
                <w:rFonts w:cs="Times New Roman"/>
                <w:sz w:val="20"/>
                <w:szCs w:val="20"/>
                <w:lang w:eastAsia="en-AU"/>
              </w:rPr>
              <w:t>psychologist  with</w:t>
            </w:r>
            <w:proofErr w:type="gramEnd"/>
            <w:r w:rsidRPr="00084B2B">
              <w:rPr>
                <w:rFonts w:cs="Times New Roman"/>
                <w:sz w:val="20"/>
                <w:szCs w:val="20"/>
                <w:lang w:eastAsia="en-AU"/>
              </w:rPr>
              <w:t xml:space="preserve"> the Ageing Mind Initiative at The University of Queensland.</w:t>
            </w:r>
          </w:p>
        </w:tc>
      </w:tr>
      <w:tr w:rsidR="00F32F50" w:rsidRPr="00084B2B" w14:paraId="3B256048" w14:textId="56388703" w:rsidTr="00F32F50">
        <w:tc>
          <w:tcPr>
            <w:tcW w:w="1253" w:type="dxa"/>
          </w:tcPr>
          <w:p w14:paraId="612D572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Jeannine Liddell</w:t>
            </w:r>
          </w:p>
        </w:tc>
        <w:tc>
          <w:tcPr>
            <w:tcW w:w="3960" w:type="dxa"/>
          </w:tcPr>
          <w:p w14:paraId="2375874E" w14:textId="7ADF148F"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Participation in the arts and its relation to</w:t>
            </w:r>
            <w:r>
              <w:rPr>
                <w:rFonts w:cs="Times New Roman"/>
                <w:sz w:val="20"/>
                <w:szCs w:val="20"/>
                <w:lang w:eastAsia="en-AU"/>
              </w:rPr>
              <w:t xml:space="preserve"> </w:t>
            </w:r>
            <w:r w:rsidRPr="00084B2B">
              <w:rPr>
                <w:rFonts w:cs="Times New Roman"/>
                <w:sz w:val="20"/>
                <w:szCs w:val="20"/>
                <w:lang w:eastAsia="en-AU"/>
              </w:rPr>
              <w:t>healthy ageing</w:t>
            </w:r>
          </w:p>
        </w:tc>
        <w:tc>
          <w:tcPr>
            <w:tcW w:w="1620" w:type="dxa"/>
          </w:tcPr>
          <w:p w14:paraId="6ED472C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67444C61"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42330A77"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2012</w:t>
            </w:r>
          </w:p>
        </w:tc>
        <w:tc>
          <w:tcPr>
            <w:tcW w:w="3960" w:type="dxa"/>
          </w:tcPr>
          <w:p w14:paraId="51A05BC0" w14:textId="77777777" w:rsidR="003279A1" w:rsidRPr="00084B2B" w:rsidRDefault="003279A1" w:rsidP="003279A1">
            <w:pPr>
              <w:spacing w:after="0" w:line="240" w:lineRule="auto"/>
              <w:rPr>
                <w:rFonts w:cs="Times New Roman"/>
                <w:sz w:val="20"/>
                <w:szCs w:val="20"/>
                <w:lang w:eastAsia="en-AU"/>
              </w:rPr>
            </w:pPr>
          </w:p>
        </w:tc>
      </w:tr>
      <w:tr w:rsidR="00F32F50" w:rsidRPr="00084B2B" w14:paraId="542AB219" w14:textId="0FECB08A" w:rsidTr="00F32F50">
        <w:tc>
          <w:tcPr>
            <w:tcW w:w="1253" w:type="dxa"/>
          </w:tcPr>
          <w:p w14:paraId="23EB76F6"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Melissa Harris</w:t>
            </w:r>
          </w:p>
        </w:tc>
        <w:tc>
          <w:tcPr>
            <w:tcW w:w="3960" w:type="dxa"/>
          </w:tcPr>
          <w:p w14:paraId="1B3F75D0"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When life’s a pain: The relationship between stress and modifiable psychological factors in arthritis</w:t>
            </w:r>
          </w:p>
        </w:tc>
        <w:tc>
          <w:tcPr>
            <w:tcW w:w="1620" w:type="dxa"/>
          </w:tcPr>
          <w:p w14:paraId="6C977A1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0A34844E"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1BC448D4"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2013</w:t>
            </w:r>
          </w:p>
        </w:tc>
        <w:tc>
          <w:tcPr>
            <w:tcW w:w="3960" w:type="dxa"/>
          </w:tcPr>
          <w:p w14:paraId="063D652B" w14:textId="535DFCB1" w:rsidR="003279A1" w:rsidRPr="00084B2B" w:rsidRDefault="00733F83" w:rsidP="00733F83">
            <w:pPr>
              <w:spacing w:after="0" w:line="240" w:lineRule="auto"/>
              <w:rPr>
                <w:rFonts w:cs="Times New Roman"/>
                <w:sz w:val="20"/>
                <w:szCs w:val="20"/>
                <w:lang w:eastAsia="en-AU"/>
              </w:rPr>
            </w:pPr>
            <w:r>
              <w:rPr>
                <w:rFonts w:cs="Times New Roman"/>
                <w:sz w:val="20"/>
                <w:szCs w:val="20"/>
                <w:lang w:eastAsia="en-AU"/>
              </w:rPr>
              <w:t>Postdoctoral r</w:t>
            </w:r>
            <w:r w:rsidRPr="00733F83">
              <w:rPr>
                <w:rFonts w:cs="Times New Roman"/>
                <w:sz w:val="20"/>
                <w:szCs w:val="20"/>
                <w:lang w:eastAsia="en-AU"/>
              </w:rPr>
              <w:t xml:space="preserve">esearch </w:t>
            </w:r>
            <w:r>
              <w:rPr>
                <w:rFonts w:cs="Times New Roman"/>
                <w:sz w:val="20"/>
                <w:szCs w:val="20"/>
                <w:lang w:eastAsia="en-AU"/>
              </w:rPr>
              <w:t>f</w:t>
            </w:r>
            <w:r w:rsidRPr="00733F83">
              <w:rPr>
                <w:rFonts w:cs="Times New Roman"/>
                <w:sz w:val="20"/>
                <w:szCs w:val="20"/>
                <w:lang w:eastAsia="en-AU"/>
              </w:rPr>
              <w:t>ellow at the Research Centre for Generational Health and Ageing</w:t>
            </w:r>
          </w:p>
        </w:tc>
      </w:tr>
      <w:tr w:rsidR="00F32F50" w:rsidRPr="00084B2B" w14:paraId="4BEB3897" w14:textId="7C5EDD96" w:rsidTr="00F32F50">
        <w:tc>
          <w:tcPr>
            <w:tcW w:w="1253" w:type="dxa"/>
          </w:tcPr>
          <w:p w14:paraId="04FF550F"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Jane Rich</w:t>
            </w:r>
          </w:p>
        </w:tc>
        <w:tc>
          <w:tcPr>
            <w:tcW w:w="3960" w:type="dxa"/>
          </w:tcPr>
          <w:p w14:paraId="526ECA1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An interdisciplinary investigation into the relationship between drought and mental health in Australia</w:t>
            </w:r>
          </w:p>
        </w:tc>
        <w:tc>
          <w:tcPr>
            <w:tcW w:w="1620" w:type="dxa"/>
          </w:tcPr>
          <w:p w14:paraId="7F4C6DB5"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3219BB4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20327CD2"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2014</w:t>
            </w:r>
          </w:p>
        </w:tc>
        <w:tc>
          <w:tcPr>
            <w:tcW w:w="3960" w:type="dxa"/>
          </w:tcPr>
          <w:p w14:paraId="5E67C1D2" w14:textId="77777777" w:rsidR="003279A1" w:rsidRPr="00084B2B" w:rsidRDefault="003279A1" w:rsidP="003279A1">
            <w:pPr>
              <w:spacing w:after="0" w:line="240" w:lineRule="auto"/>
              <w:rPr>
                <w:rFonts w:cs="Times New Roman"/>
                <w:sz w:val="20"/>
                <w:szCs w:val="20"/>
                <w:lang w:eastAsia="en-AU"/>
              </w:rPr>
            </w:pPr>
          </w:p>
        </w:tc>
      </w:tr>
      <w:tr w:rsidR="00F32F50" w:rsidRPr="00084B2B" w14:paraId="25D2FC16" w14:textId="4D8378B8" w:rsidTr="00F32F50">
        <w:tc>
          <w:tcPr>
            <w:tcW w:w="1253" w:type="dxa"/>
          </w:tcPr>
          <w:p w14:paraId="19E6CA74"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Thomas Lo</w:t>
            </w:r>
          </w:p>
        </w:tc>
        <w:tc>
          <w:tcPr>
            <w:tcW w:w="3960" w:type="dxa"/>
          </w:tcPr>
          <w:p w14:paraId="45F19690"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Arthritis impact over time</w:t>
            </w:r>
          </w:p>
        </w:tc>
        <w:tc>
          <w:tcPr>
            <w:tcW w:w="1620" w:type="dxa"/>
          </w:tcPr>
          <w:p w14:paraId="6029E4A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4235F2C6"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2AAF656E"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2015</w:t>
            </w:r>
          </w:p>
        </w:tc>
        <w:tc>
          <w:tcPr>
            <w:tcW w:w="3960" w:type="dxa"/>
          </w:tcPr>
          <w:p w14:paraId="47BB061B" w14:textId="4616DD02" w:rsidR="003279A1" w:rsidRPr="00084B2B" w:rsidRDefault="003279A1" w:rsidP="003279A1">
            <w:pPr>
              <w:spacing w:after="0" w:line="240" w:lineRule="auto"/>
              <w:rPr>
                <w:rFonts w:cs="Times New Roman"/>
                <w:sz w:val="20"/>
                <w:szCs w:val="20"/>
                <w:lang w:eastAsia="en-AU"/>
              </w:rPr>
            </w:pPr>
            <w:r>
              <w:rPr>
                <w:rFonts w:cs="Times New Roman"/>
                <w:sz w:val="20"/>
                <w:szCs w:val="20"/>
                <w:lang w:eastAsia="en-AU"/>
              </w:rPr>
              <w:t>Health Economist with the Institute of Health Economics, Edmonton, Canada.</w:t>
            </w:r>
          </w:p>
        </w:tc>
      </w:tr>
      <w:tr w:rsidR="00F32F50" w:rsidRPr="00084B2B" w14:paraId="76DEEC2D" w14:textId="2763FEDF" w:rsidTr="00F32F50">
        <w:tc>
          <w:tcPr>
            <w:tcW w:w="1253" w:type="dxa"/>
          </w:tcPr>
          <w:p w14:paraId="2A1DAAA4"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Janni Leung</w:t>
            </w:r>
          </w:p>
        </w:tc>
        <w:tc>
          <w:tcPr>
            <w:tcW w:w="3960" w:type="dxa"/>
          </w:tcPr>
          <w:p w14:paraId="4F281677"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Urban rural differences in health care for women with colorectal, breast and lung cancer</w:t>
            </w:r>
          </w:p>
        </w:tc>
        <w:tc>
          <w:tcPr>
            <w:tcW w:w="1620" w:type="dxa"/>
          </w:tcPr>
          <w:p w14:paraId="4FF2B89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Queensland</w:t>
            </w:r>
          </w:p>
        </w:tc>
        <w:tc>
          <w:tcPr>
            <w:tcW w:w="1260" w:type="dxa"/>
          </w:tcPr>
          <w:p w14:paraId="2DA1094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15EE6D2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2015</w:t>
            </w:r>
          </w:p>
        </w:tc>
        <w:tc>
          <w:tcPr>
            <w:tcW w:w="3960" w:type="dxa"/>
          </w:tcPr>
          <w:p w14:paraId="42358694" w14:textId="55EFE445" w:rsidR="003279A1" w:rsidRPr="00084B2B" w:rsidRDefault="003279A1" w:rsidP="003279A1">
            <w:pPr>
              <w:spacing w:after="0" w:line="240" w:lineRule="auto"/>
              <w:rPr>
                <w:rFonts w:cs="Times New Roman"/>
                <w:sz w:val="20"/>
                <w:szCs w:val="20"/>
                <w:lang w:eastAsia="en-AU"/>
              </w:rPr>
            </w:pPr>
            <w:r>
              <w:rPr>
                <w:rFonts w:cs="Times New Roman"/>
                <w:sz w:val="20"/>
                <w:szCs w:val="20"/>
                <w:lang w:eastAsia="en-AU"/>
              </w:rPr>
              <w:t>Global Addiction Epidemiology Research Fellow at the National Drug and Alcohol Centre (NDARC) at UNSW.</w:t>
            </w:r>
          </w:p>
        </w:tc>
      </w:tr>
      <w:tr w:rsidR="00F32F50" w:rsidRPr="00084B2B" w14:paraId="24B4E906" w14:textId="6363664C" w:rsidTr="00F32F50">
        <w:tc>
          <w:tcPr>
            <w:tcW w:w="1253" w:type="dxa"/>
          </w:tcPr>
          <w:p w14:paraId="6DB4951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Xenia Dolja-Gore</w:t>
            </w:r>
          </w:p>
        </w:tc>
        <w:tc>
          <w:tcPr>
            <w:tcW w:w="3960" w:type="dxa"/>
          </w:tcPr>
          <w:p w14:paraId="43C947E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Predictors of mental health services utilisation and costs for Australian women</w:t>
            </w:r>
          </w:p>
        </w:tc>
        <w:tc>
          <w:tcPr>
            <w:tcW w:w="1620" w:type="dxa"/>
          </w:tcPr>
          <w:p w14:paraId="1BD88F7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5E0559B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0E4FC13D"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2016</w:t>
            </w:r>
          </w:p>
        </w:tc>
        <w:tc>
          <w:tcPr>
            <w:tcW w:w="3960" w:type="dxa"/>
          </w:tcPr>
          <w:p w14:paraId="77586CA3" w14:textId="725709DC" w:rsidR="003279A1" w:rsidRPr="00084B2B" w:rsidRDefault="003279A1" w:rsidP="003279A1">
            <w:pPr>
              <w:spacing w:after="0" w:line="240" w:lineRule="auto"/>
              <w:rPr>
                <w:rFonts w:cs="Times New Roman"/>
                <w:sz w:val="20"/>
                <w:szCs w:val="20"/>
                <w:lang w:eastAsia="en-AU"/>
              </w:rPr>
            </w:pPr>
            <w:r>
              <w:rPr>
                <w:rFonts w:cs="Times New Roman"/>
                <w:sz w:val="20"/>
                <w:szCs w:val="20"/>
                <w:lang w:eastAsia="en-AU"/>
              </w:rPr>
              <w:t>Research Fellow with the HMRI Public Health Capacity Building Group at the University of Newcastle.</w:t>
            </w:r>
          </w:p>
        </w:tc>
      </w:tr>
      <w:tr w:rsidR="00F32F50" w:rsidRPr="00084B2B" w14:paraId="3F620439" w14:textId="6EB3368A" w:rsidTr="00F32F50">
        <w:tc>
          <w:tcPr>
            <w:tcW w:w="1253" w:type="dxa"/>
          </w:tcPr>
          <w:p w14:paraId="4B5C56EF"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Tazeen Majeed</w:t>
            </w:r>
          </w:p>
        </w:tc>
        <w:tc>
          <w:tcPr>
            <w:tcW w:w="3960" w:type="dxa"/>
          </w:tcPr>
          <w:p w14:paraId="307FDACE"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 xml:space="preserve">Workforce participation patterns over the life course and the association with chronic diseases – A gendered approach </w:t>
            </w:r>
          </w:p>
        </w:tc>
        <w:tc>
          <w:tcPr>
            <w:tcW w:w="1620" w:type="dxa"/>
          </w:tcPr>
          <w:p w14:paraId="33F9CB5B"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10FB3695"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1069A16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2016</w:t>
            </w:r>
          </w:p>
        </w:tc>
        <w:tc>
          <w:tcPr>
            <w:tcW w:w="3960" w:type="dxa"/>
          </w:tcPr>
          <w:p w14:paraId="6C4046F0" w14:textId="3DAF9993" w:rsidR="003279A1" w:rsidRPr="00084B2B" w:rsidRDefault="00733F83" w:rsidP="00733F83">
            <w:pPr>
              <w:spacing w:after="0" w:line="240" w:lineRule="auto"/>
              <w:rPr>
                <w:rFonts w:cs="Times New Roman"/>
                <w:sz w:val="20"/>
                <w:szCs w:val="20"/>
                <w:lang w:eastAsia="en-AU"/>
              </w:rPr>
            </w:pPr>
            <w:r>
              <w:rPr>
                <w:rFonts w:cs="Times New Roman"/>
                <w:sz w:val="20"/>
                <w:szCs w:val="20"/>
                <w:lang w:eastAsia="en-AU"/>
              </w:rPr>
              <w:t>Postdoctoral research fellow with the Research Centre for Generational Health and Ageing, University of Newcastle</w:t>
            </w:r>
          </w:p>
        </w:tc>
      </w:tr>
      <w:tr w:rsidR="00F32F50" w:rsidRPr="00084B2B" w14:paraId="01C7C46E" w14:textId="78EE5A4C" w:rsidTr="00F32F50">
        <w:tc>
          <w:tcPr>
            <w:tcW w:w="1253" w:type="dxa"/>
          </w:tcPr>
          <w:p w14:paraId="2E48D8B3"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Katie de Luca</w:t>
            </w:r>
          </w:p>
        </w:tc>
        <w:tc>
          <w:tcPr>
            <w:tcW w:w="3960" w:type="dxa"/>
          </w:tcPr>
          <w:p w14:paraId="3BAE0446"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Arthritis impact over time: A longitudinal exploration of burden of illness, comorbidities (particularly depression), management, and health care costs in older Australian women.</w:t>
            </w:r>
          </w:p>
        </w:tc>
        <w:tc>
          <w:tcPr>
            <w:tcW w:w="1620" w:type="dxa"/>
          </w:tcPr>
          <w:p w14:paraId="1DE6C294"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38C376BE"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3DAF1BBC"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2016</w:t>
            </w:r>
          </w:p>
        </w:tc>
        <w:tc>
          <w:tcPr>
            <w:tcW w:w="3960" w:type="dxa"/>
          </w:tcPr>
          <w:p w14:paraId="6B0B1236" w14:textId="32334FF6" w:rsidR="003279A1" w:rsidRPr="00084B2B" w:rsidRDefault="003279A1" w:rsidP="003279A1">
            <w:pPr>
              <w:spacing w:after="0" w:line="240" w:lineRule="auto"/>
              <w:rPr>
                <w:rFonts w:cs="Times New Roman"/>
                <w:sz w:val="20"/>
                <w:szCs w:val="20"/>
                <w:lang w:eastAsia="en-AU"/>
              </w:rPr>
            </w:pPr>
            <w:r>
              <w:rPr>
                <w:rFonts w:cs="Times New Roman"/>
                <w:sz w:val="20"/>
                <w:szCs w:val="20"/>
                <w:lang w:eastAsia="en-AU"/>
              </w:rPr>
              <w:t>Postdoctoral research fellow in the Department of Chiropractic at Macquarie University.</w:t>
            </w:r>
          </w:p>
        </w:tc>
      </w:tr>
      <w:tr w:rsidR="00F32F50" w:rsidRPr="00084B2B" w14:paraId="1225F458" w14:textId="20D968B2" w:rsidTr="00F32F50">
        <w:tc>
          <w:tcPr>
            <w:tcW w:w="1253" w:type="dxa"/>
          </w:tcPr>
          <w:p w14:paraId="67C76E39" w14:textId="77777777" w:rsidR="003279A1" w:rsidRPr="00084B2B" w:rsidRDefault="003279A1" w:rsidP="003279A1">
            <w:pPr>
              <w:spacing w:after="0" w:line="240" w:lineRule="auto"/>
              <w:rPr>
                <w:rFonts w:cs="Times New Roman"/>
                <w:sz w:val="20"/>
                <w:szCs w:val="20"/>
                <w:lang w:eastAsia="en-AU"/>
              </w:rPr>
            </w:pPr>
            <w:proofErr w:type="spellStart"/>
            <w:r w:rsidRPr="00084B2B">
              <w:rPr>
                <w:rFonts w:cs="Times New Roman"/>
                <w:sz w:val="20"/>
                <w:szCs w:val="20"/>
                <w:lang w:eastAsia="en-AU"/>
              </w:rPr>
              <w:t>Maha</w:t>
            </w:r>
            <w:proofErr w:type="spellEnd"/>
            <w:r w:rsidRPr="00084B2B">
              <w:rPr>
                <w:rFonts w:cs="Times New Roman"/>
                <w:sz w:val="20"/>
                <w:szCs w:val="20"/>
                <w:lang w:eastAsia="en-AU"/>
              </w:rPr>
              <w:t xml:space="preserve"> </w:t>
            </w:r>
            <w:proofErr w:type="spellStart"/>
            <w:r w:rsidRPr="00084B2B">
              <w:rPr>
                <w:rFonts w:cs="Times New Roman"/>
                <w:sz w:val="20"/>
                <w:szCs w:val="20"/>
                <w:lang w:eastAsia="en-AU"/>
              </w:rPr>
              <w:t>Alsalami</w:t>
            </w:r>
            <w:proofErr w:type="spellEnd"/>
          </w:p>
        </w:tc>
        <w:tc>
          <w:tcPr>
            <w:tcW w:w="3960" w:type="dxa"/>
          </w:tcPr>
          <w:p w14:paraId="68DC7EBD"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Medication use and mental health in older Australian women</w:t>
            </w:r>
          </w:p>
        </w:tc>
        <w:tc>
          <w:tcPr>
            <w:tcW w:w="1620" w:type="dxa"/>
          </w:tcPr>
          <w:p w14:paraId="6DF6F711"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3671424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3208AEC8"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2017</w:t>
            </w:r>
          </w:p>
        </w:tc>
        <w:tc>
          <w:tcPr>
            <w:tcW w:w="3960" w:type="dxa"/>
          </w:tcPr>
          <w:p w14:paraId="4F9225E4" w14:textId="77777777" w:rsidR="003279A1" w:rsidRPr="00084B2B" w:rsidRDefault="003279A1" w:rsidP="003279A1">
            <w:pPr>
              <w:spacing w:after="0" w:line="240" w:lineRule="auto"/>
              <w:rPr>
                <w:rFonts w:cs="Times New Roman"/>
                <w:sz w:val="20"/>
                <w:szCs w:val="20"/>
                <w:lang w:eastAsia="en-AU"/>
              </w:rPr>
            </w:pPr>
          </w:p>
        </w:tc>
      </w:tr>
      <w:tr w:rsidR="00F32F50" w:rsidRPr="00084B2B" w14:paraId="219E232D" w14:textId="34C482A1" w:rsidTr="00F32F50">
        <w:tc>
          <w:tcPr>
            <w:tcW w:w="1253" w:type="dxa"/>
          </w:tcPr>
          <w:p w14:paraId="551B849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 xml:space="preserve">Robyn </w:t>
            </w:r>
            <w:proofErr w:type="spellStart"/>
            <w:r w:rsidRPr="00084B2B">
              <w:rPr>
                <w:rFonts w:cs="Times New Roman"/>
                <w:sz w:val="20"/>
                <w:szCs w:val="20"/>
                <w:lang w:eastAsia="en-AU"/>
              </w:rPr>
              <w:t>Kennaugh</w:t>
            </w:r>
            <w:proofErr w:type="spellEnd"/>
          </w:p>
        </w:tc>
        <w:tc>
          <w:tcPr>
            <w:tcW w:w="3960" w:type="dxa"/>
          </w:tcPr>
          <w:p w14:paraId="1BBAB701"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 xml:space="preserve">“It’s not how old we are; it’s how we are old”; A </w:t>
            </w:r>
            <w:proofErr w:type="spellStart"/>
            <w:r w:rsidRPr="00084B2B">
              <w:rPr>
                <w:rFonts w:cs="Times New Roman"/>
                <w:sz w:val="20"/>
                <w:szCs w:val="20"/>
                <w:lang w:eastAsia="en-AU"/>
              </w:rPr>
              <w:t>salutogenic</w:t>
            </w:r>
            <w:proofErr w:type="spellEnd"/>
            <w:r w:rsidRPr="00084B2B">
              <w:rPr>
                <w:rFonts w:cs="Times New Roman"/>
                <w:sz w:val="20"/>
                <w:szCs w:val="20"/>
                <w:lang w:eastAsia="en-AU"/>
              </w:rPr>
              <w:t xml:space="preserve"> approach to how older Australian women experience ageing and respond to life stressors</w:t>
            </w:r>
          </w:p>
        </w:tc>
        <w:tc>
          <w:tcPr>
            <w:tcW w:w="1620" w:type="dxa"/>
          </w:tcPr>
          <w:p w14:paraId="650B5789"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The University of Newcastle</w:t>
            </w:r>
          </w:p>
        </w:tc>
        <w:tc>
          <w:tcPr>
            <w:tcW w:w="1260" w:type="dxa"/>
          </w:tcPr>
          <w:p w14:paraId="7F2A091E"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PhD</w:t>
            </w:r>
          </w:p>
        </w:tc>
        <w:tc>
          <w:tcPr>
            <w:tcW w:w="1800" w:type="dxa"/>
          </w:tcPr>
          <w:p w14:paraId="0AACC8C0" w14:textId="77777777" w:rsidR="003279A1" w:rsidRPr="00084B2B" w:rsidRDefault="003279A1" w:rsidP="003279A1">
            <w:pPr>
              <w:spacing w:after="0" w:line="240" w:lineRule="auto"/>
              <w:rPr>
                <w:rFonts w:cs="Times New Roman"/>
                <w:sz w:val="20"/>
                <w:szCs w:val="20"/>
                <w:lang w:eastAsia="en-AU"/>
              </w:rPr>
            </w:pPr>
            <w:r w:rsidRPr="00084B2B">
              <w:rPr>
                <w:rFonts w:cs="Times New Roman"/>
                <w:sz w:val="20"/>
                <w:szCs w:val="20"/>
                <w:lang w:eastAsia="en-AU"/>
              </w:rPr>
              <w:t>2017</w:t>
            </w:r>
          </w:p>
        </w:tc>
        <w:tc>
          <w:tcPr>
            <w:tcW w:w="3960" w:type="dxa"/>
          </w:tcPr>
          <w:p w14:paraId="71D43C6B" w14:textId="77777777" w:rsidR="003279A1" w:rsidRPr="00084B2B" w:rsidRDefault="003279A1" w:rsidP="003279A1">
            <w:pPr>
              <w:spacing w:after="0" w:line="240" w:lineRule="auto"/>
              <w:rPr>
                <w:rFonts w:cs="Times New Roman"/>
                <w:sz w:val="20"/>
                <w:szCs w:val="20"/>
                <w:lang w:eastAsia="en-AU"/>
              </w:rPr>
            </w:pPr>
          </w:p>
        </w:tc>
      </w:tr>
    </w:tbl>
    <w:p w14:paraId="2A9B21DB" w14:textId="20F5E0F6" w:rsidR="00D80AE5" w:rsidRDefault="00D80AE5" w:rsidP="004D74C4">
      <w:pPr>
        <w:spacing w:before="80" w:after="0" w:afterAutospacing="0" w:line="240" w:lineRule="auto"/>
        <w:sectPr w:rsidR="00D80AE5" w:rsidSect="006D1DF7">
          <w:pgSz w:w="16838" w:h="11906" w:orient="landscape"/>
          <w:pgMar w:top="1440" w:right="1440" w:bottom="1440" w:left="1440" w:header="708" w:footer="708" w:gutter="0"/>
          <w:cols w:space="708"/>
          <w:docGrid w:linePitch="360"/>
        </w:sectPr>
      </w:pPr>
    </w:p>
    <w:p w14:paraId="2345C3A3" w14:textId="792F3C16" w:rsidR="00D80AE5" w:rsidRDefault="00D80AE5" w:rsidP="00D80AE5">
      <w:pPr>
        <w:pStyle w:val="Heading1"/>
      </w:pPr>
      <w:bookmarkStart w:id="68" w:name="_Toc530561277"/>
      <w:r>
        <w:lastRenderedPageBreak/>
        <w:t>References</w:t>
      </w:r>
      <w:bookmarkEnd w:id="68"/>
    </w:p>
    <w:p w14:paraId="68234AC4" w14:textId="3D9A0497" w:rsidR="00404D78" w:rsidRPr="00D3035E" w:rsidRDefault="00D80AE5" w:rsidP="00281AA0">
      <w:pPr>
        <w:ind w:left="567" w:hanging="567"/>
        <w:rPr>
          <w:rStyle w:val="CommentReference"/>
          <w:rFonts w:cstheme="minorHAnsi"/>
          <w:sz w:val="22"/>
          <w:szCs w:val="22"/>
        </w:rPr>
      </w:pPr>
      <w:r w:rsidRPr="00281AA0">
        <w:rPr>
          <w:rStyle w:val="CommentReference"/>
          <w:rFonts w:cstheme="minorHAnsi"/>
          <w:sz w:val="22"/>
          <w:szCs w:val="22"/>
        </w:rPr>
        <w:t xml:space="preserve">1. </w:t>
      </w:r>
      <w:r w:rsidR="00281AA0">
        <w:rPr>
          <w:rStyle w:val="CommentReference"/>
          <w:rFonts w:cstheme="minorHAnsi"/>
          <w:sz w:val="22"/>
          <w:szCs w:val="22"/>
        </w:rPr>
        <w:tab/>
      </w:r>
      <w:r w:rsidRPr="00281AA0">
        <w:rPr>
          <w:rStyle w:val="CommentReference"/>
          <w:rFonts w:cstheme="minorHAnsi"/>
          <w:sz w:val="22"/>
          <w:szCs w:val="22"/>
        </w:rPr>
        <w:t xml:space="preserve">Australian Bureau of Statistics, 3302.0.55.001 - </w:t>
      </w:r>
      <w:r w:rsidRPr="00D3035E">
        <w:rPr>
          <w:rStyle w:val="CommentReference"/>
          <w:rFonts w:cstheme="minorHAnsi"/>
          <w:sz w:val="22"/>
          <w:szCs w:val="22"/>
        </w:rPr>
        <w:t>Life Tables, States, Territories and Australia, 2014-2016.</w:t>
      </w:r>
    </w:p>
    <w:p w14:paraId="30E51C31" w14:textId="6EDEC4FA" w:rsidR="00D80AE5" w:rsidRPr="00281AA0" w:rsidRDefault="00D80AE5" w:rsidP="00281AA0">
      <w:pPr>
        <w:ind w:left="567" w:hanging="567"/>
        <w:rPr>
          <w:rStyle w:val="CommentReference"/>
          <w:rFonts w:cstheme="minorHAnsi"/>
          <w:sz w:val="22"/>
          <w:szCs w:val="22"/>
        </w:rPr>
      </w:pPr>
      <w:r w:rsidRPr="00281AA0">
        <w:rPr>
          <w:rStyle w:val="CommentReference"/>
          <w:rFonts w:cstheme="minorHAnsi"/>
          <w:sz w:val="22"/>
          <w:szCs w:val="22"/>
        </w:rPr>
        <w:t>2.</w:t>
      </w:r>
      <w:r w:rsidR="00012F17">
        <w:rPr>
          <w:rStyle w:val="CommentReference"/>
          <w:rFonts w:cstheme="minorHAnsi"/>
          <w:sz w:val="22"/>
          <w:szCs w:val="22"/>
        </w:rPr>
        <w:t xml:space="preserve"> </w:t>
      </w:r>
      <w:r w:rsidR="00281AA0">
        <w:rPr>
          <w:rStyle w:val="CommentReference"/>
          <w:rFonts w:cstheme="minorHAnsi"/>
          <w:sz w:val="22"/>
          <w:szCs w:val="22"/>
        </w:rPr>
        <w:tab/>
      </w:r>
      <w:proofErr w:type="spellStart"/>
      <w:r w:rsidRPr="00281AA0">
        <w:rPr>
          <w:rStyle w:val="CommentReference"/>
          <w:rFonts w:cstheme="minorHAnsi"/>
          <w:sz w:val="22"/>
          <w:szCs w:val="22"/>
        </w:rPr>
        <w:t>Silveira</w:t>
      </w:r>
      <w:proofErr w:type="spellEnd"/>
      <w:r w:rsidRPr="00281AA0">
        <w:rPr>
          <w:rStyle w:val="CommentReference"/>
          <w:rFonts w:cstheme="minorHAnsi"/>
          <w:sz w:val="22"/>
          <w:szCs w:val="22"/>
        </w:rPr>
        <w:t xml:space="preserve"> E, Taft C, </w:t>
      </w:r>
      <w:proofErr w:type="spellStart"/>
      <w:r w:rsidRPr="00281AA0">
        <w:rPr>
          <w:rStyle w:val="CommentReference"/>
          <w:rFonts w:cstheme="minorHAnsi"/>
          <w:sz w:val="22"/>
          <w:szCs w:val="22"/>
        </w:rPr>
        <w:t>Sundh</w:t>
      </w:r>
      <w:proofErr w:type="spellEnd"/>
      <w:r w:rsidRPr="00281AA0">
        <w:rPr>
          <w:rStyle w:val="CommentReference"/>
          <w:rFonts w:cstheme="minorHAnsi"/>
          <w:sz w:val="22"/>
          <w:szCs w:val="22"/>
        </w:rPr>
        <w:t xml:space="preserve"> TV, </w:t>
      </w:r>
      <w:proofErr w:type="spellStart"/>
      <w:r w:rsidRPr="00281AA0">
        <w:rPr>
          <w:rStyle w:val="CommentReference"/>
          <w:rFonts w:cstheme="minorHAnsi"/>
          <w:sz w:val="22"/>
          <w:szCs w:val="22"/>
        </w:rPr>
        <w:t>Waern</w:t>
      </w:r>
      <w:proofErr w:type="spellEnd"/>
      <w:r w:rsidRPr="00281AA0">
        <w:rPr>
          <w:rStyle w:val="CommentReference"/>
          <w:rFonts w:cstheme="minorHAnsi"/>
          <w:sz w:val="22"/>
          <w:szCs w:val="22"/>
        </w:rPr>
        <w:t xml:space="preserve"> M, </w:t>
      </w:r>
      <w:proofErr w:type="spellStart"/>
      <w:r w:rsidRPr="00281AA0">
        <w:rPr>
          <w:rStyle w:val="CommentReference"/>
          <w:rFonts w:cstheme="minorHAnsi"/>
          <w:sz w:val="22"/>
          <w:szCs w:val="22"/>
        </w:rPr>
        <w:t>Palsson</w:t>
      </w:r>
      <w:proofErr w:type="spellEnd"/>
      <w:r w:rsidRPr="00281AA0">
        <w:rPr>
          <w:rStyle w:val="CommentReference"/>
          <w:rFonts w:cstheme="minorHAnsi"/>
          <w:sz w:val="22"/>
          <w:szCs w:val="22"/>
        </w:rPr>
        <w:t xml:space="preserve"> S, &amp; Steen B. (2005). Performance of the</w:t>
      </w:r>
      <w:r w:rsidR="00281AA0">
        <w:rPr>
          <w:rStyle w:val="CommentReference"/>
          <w:rFonts w:cstheme="minorHAnsi"/>
          <w:sz w:val="22"/>
          <w:szCs w:val="22"/>
        </w:rPr>
        <w:t xml:space="preserve"> </w:t>
      </w:r>
      <w:r w:rsidRPr="00281AA0">
        <w:rPr>
          <w:rStyle w:val="CommentReference"/>
          <w:rFonts w:cstheme="minorHAnsi"/>
          <w:sz w:val="22"/>
          <w:szCs w:val="22"/>
        </w:rPr>
        <w:t>SF-36 Health Survey in screening for depressive and anxiety disorders in an elderly</w:t>
      </w:r>
      <w:r w:rsidR="00281AA0">
        <w:rPr>
          <w:rStyle w:val="CommentReference"/>
          <w:rFonts w:cstheme="minorHAnsi"/>
          <w:sz w:val="22"/>
          <w:szCs w:val="22"/>
        </w:rPr>
        <w:t xml:space="preserve"> </w:t>
      </w:r>
      <w:r w:rsidRPr="00281AA0">
        <w:rPr>
          <w:rStyle w:val="CommentReference"/>
          <w:rFonts w:cstheme="minorHAnsi"/>
          <w:sz w:val="22"/>
          <w:szCs w:val="22"/>
        </w:rPr>
        <w:t xml:space="preserve">female Swedish population. </w:t>
      </w:r>
      <w:r w:rsidRPr="00D3035E">
        <w:rPr>
          <w:rStyle w:val="CommentReference"/>
          <w:rFonts w:cstheme="minorHAnsi"/>
          <w:sz w:val="22"/>
          <w:szCs w:val="22"/>
        </w:rPr>
        <w:t>Quality of Life Research, 14, 12</w:t>
      </w:r>
      <w:r w:rsidRPr="00281AA0">
        <w:rPr>
          <w:rStyle w:val="CommentReference"/>
          <w:rFonts w:cstheme="minorHAnsi"/>
          <w:sz w:val="22"/>
          <w:szCs w:val="22"/>
        </w:rPr>
        <w:t>63-1274.</w:t>
      </w:r>
    </w:p>
    <w:p w14:paraId="1E45937D" w14:textId="607751C2" w:rsidR="00D80AE5" w:rsidRDefault="00D80AE5" w:rsidP="00281AA0">
      <w:pPr>
        <w:ind w:left="567" w:hanging="567"/>
        <w:rPr>
          <w:rStyle w:val="CommentReference"/>
          <w:rFonts w:cstheme="minorHAnsi"/>
          <w:sz w:val="22"/>
          <w:szCs w:val="22"/>
        </w:rPr>
      </w:pPr>
      <w:r w:rsidRPr="00281AA0">
        <w:rPr>
          <w:rStyle w:val="CommentReference"/>
          <w:rFonts w:cstheme="minorHAnsi"/>
          <w:sz w:val="22"/>
          <w:szCs w:val="22"/>
        </w:rPr>
        <w:t>3.</w:t>
      </w:r>
      <w:r w:rsidR="00012F17">
        <w:rPr>
          <w:rStyle w:val="CommentReference"/>
          <w:rFonts w:cstheme="minorHAnsi"/>
          <w:sz w:val="22"/>
          <w:szCs w:val="22"/>
        </w:rPr>
        <w:t xml:space="preserve"> </w:t>
      </w:r>
      <w:r w:rsidR="00281AA0">
        <w:rPr>
          <w:rStyle w:val="CommentReference"/>
          <w:rFonts w:cstheme="minorHAnsi"/>
          <w:sz w:val="22"/>
          <w:szCs w:val="22"/>
        </w:rPr>
        <w:tab/>
      </w:r>
      <w:r w:rsidRPr="00281AA0">
        <w:rPr>
          <w:rStyle w:val="CommentReference"/>
          <w:rFonts w:cstheme="minorHAnsi"/>
          <w:sz w:val="22"/>
          <w:szCs w:val="22"/>
        </w:rPr>
        <w:t xml:space="preserve">Rumph H-J, Meyer C, </w:t>
      </w:r>
      <w:proofErr w:type="spellStart"/>
      <w:r w:rsidRPr="00281AA0">
        <w:rPr>
          <w:rStyle w:val="CommentReference"/>
          <w:rFonts w:cstheme="minorHAnsi"/>
          <w:sz w:val="22"/>
          <w:szCs w:val="22"/>
        </w:rPr>
        <w:t>Hapke</w:t>
      </w:r>
      <w:proofErr w:type="spellEnd"/>
      <w:r w:rsidRPr="00281AA0">
        <w:rPr>
          <w:rStyle w:val="CommentReference"/>
          <w:rFonts w:cstheme="minorHAnsi"/>
          <w:sz w:val="22"/>
          <w:szCs w:val="22"/>
        </w:rPr>
        <w:t xml:space="preserve"> U &amp;John U. (2001). Screening for mental health: Validity</w:t>
      </w:r>
      <w:r w:rsidR="00281AA0">
        <w:rPr>
          <w:rStyle w:val="CommentReference"/>
          <w:rFonts w:cstheme="minorHAnsi"/>
          <w:sz w:val="22"/>
          <w:szCs w:val="22"/>
        </w:rPr>
        <w:t xml:space="preserve"> </w:t>
      </w:r>
      <w:r w:rsidRPr="00281AA0">
        <w:rPr>
          <w:rStyle w:val="CommentReference"/>
          <w:rFonts w:cstheme="minorHAnsi"/>
          <w:sz w:val="22"/>
          <w:szCs w:val="22"/>
        </w:rPr>
        <w:t>of the MHI-5 using DSM-IV Axis 1 psychiatric disorders as gold standard.</w:t>
      </w:r>
      <w:r w:rsidRPr="00D3035E">
        <w:rPr>
          <w:rStyle w:val="CommentReference"/>
          <w:rFonts w:cstheme="minorHAnsi"/>
          <w:sz w:val="22"/>
          <w:szCs w:val="22"/>
        </w:rPr>
        <w:t xml:space="preserve"> Psychiatry</w:t>
      </w:r>
      <w:r w:rsidR="00281AA0" w:rsidRPr="00D3035E">
        <w:rPr>
          <w:rStyle w:val="CommentReference"/>
          <w:rFonts w:cstheme="minorHAnsi"/>
          <w:sz w:val="22"/>
          <w:szCs w:val="22"/>
        </w:rPr>
        <w:t xml:space="preserve"> </w:t>
      </w:r>
      <w:r w:rsidRPr="00D3035E">
        <w:rPr>
          <w:rStyle w:val="CommentReference"/>
          <w:rFonts w:cstheme="minorHAnsi"/>
          <w:sz w:val="22"/>
          <w:szCs w:val="22"/>
        </w:rPr>
        <w:t>Research, 105, 243-253.</w:t>
      </w:r>
    </w:p>
    <w:p w14:paraId="526C1B5B" w14:textId="7FAEDECD" w:rsidR="008F3670" w:rsidRPr="00D80AE5" w:rsidRDefault="008F3670" w:rsidP="00281AA0">
      <w:pPr>
        <w:ind w:left="567" w:hanging="567"/>
        <w:rPr>
          <w:rStyle w:val="CommentReference"/>
        </w:rPr>
        <w:sectPr w:rsidR="008F3670" w:rsidRPr="00D80AE5" w:rsidSect="00D80AE5">
          <w:pgSz w:w="11906" w:h="16838"/>
          <w:pgMar w:top="1440" w:right="1440" w:bottom="1440" w:left="1440" w:header="708" w:footer="708" w:gutter="0"/>
          <w:cols w:space="708"/>
          <w:docGrid w:linePitch="360"/>
        </w:sectPr>
      </w:pPr>
      <w:r>
        <w:rPr>
          <w:rStyle w:val="CommentReference"/>
          <w:rFonts w:cstheme="minorHAnsi"/>
          <w:sz w:val="22"/>
          <w:szCs w:val="22"/>
        </w:rPr>
        <w:t>4.</w:t>
      </w:r>
      <w:r w:rsidR="00012F17">
        <w:rPr>
          <w:rStyle w:val="CommentReference"/>
          <w:rFonts w:cstheme="minorHAnsi"/>
          <w:sz w:val="22"/>
          <w:szCs w:val="22"/>
        </w:rPr>
        <w:t xml:space="preserve"> </w:t>
      </w:r>
      <w:r>
        <w:rPr>
          <w:rStyle w:val="CommentReference"/>
          <w:rFonts w:cstheme="minorHAnsi"/>
          <w:sz w:val="22"/>
          <w:szCs w:val="22"/>
        </w:rPr>
        <w:tab/>
        <w:t xml:space="preserve">Australian Longitudinal Study on Women’s Health. </w:t>
      </w:r>
      <w:r w:rsidRPr="00D3035E">
        <w:rPr>
          <w:rStyle w:val="CommentReference"/>
          <w:rFonts w:cs="Arial"/>
          <w:sz w:val="22"/>
          <w:szCs w:val="22"/>
        </w:rPr>
        <w:t xml:space="preserve">(2013). </w:t>
      </w:r>
      <w:hyperlink r:id="rId53" w:history="1">
        <w:r w:rsidRPr="00D3035E">
          <w:rPr>
            <w:rStyle w:val="Hyperlink"/>
            <w:rFonts w:ascii="Arial" w:hAnsi="Arial" w:cs="Arial"/>
          </w:rPr>
          <w:t>1921-26 Cohort Summary 1996-2013</w:t>
        </w:r>
      </w:hyperlink>
      <w:r w:rsidRPr="00D3035E">
        <w:rPr>
          <w:rStyle w:val="CommentReference"/>
          <w:rFonts w:cs="Arial"/>
          <w:sz w:val="22"/>
          <w:szCs w:val="22"/>
        </w:rPr>
        <w:t>.</w:t>
      </w:r>
      <w:r w:rsidR="00012F17" w:rsidRPr="00D3035E">
        <w:rPr>
          <w:rStyle w:val="CommentReference"/>
          <w:rFonts w:cs="Arial"/>
          <w:sz w:val="22"/>
          <w:szCs w:val="22"/>
        </w:rPr>
        <w:t xml:space="preserve"> </w:t>
      </w:r>
      <w:r w:rsidRPr="00D3035E">
        <w:rPr>
          <w:rStyle w:val="CommentReference"/>
          <w:rFonts w:cs="Arial"/>
          <w:sz w:val="22"/>
          <w:szCs w:val="22"/>
        </w:rPr>
        <w:t>Report prepared for the Australian Gove</w:t>
      </w:r>
      <w:r>
        <w:rPr>
          <w:rStyle w:val="CommentReference"/>
          <w:rFonts w:cstheme="minorHAnsi"/>
          <w:sz w:val="22"/>
          <w:szCs w:val="22"/>
        </w:rPr>
        <w:t>rnment Department of Health.</w:t>
      </w:r>
    </w:p>
    <w:p w14:paraId="38193ABB" w14:textId="73E8307F" w:rsidR="00D47D5D" w:rsidRPr="00D47D5D" w:rsidRDefault="00404D78" w:rsidP="00D47D5D">
      <w:pPr>
        <w:pStyle w:val="Heading1"/>
      </w:pPr>
      <w:bookmarkStart w:id="69" w:name="_Toc530561278"/>
      <w:r w:rsidRPr="00D47D5D">
        <w:lastRenderedPageBreak/>
        <w:t xml:space="preserve">APPENDIX </w:t>
      </w:r>
      <w:r w:rsidR="00F424C4" w:rsidRPr="00D47D5D">
        <w:t>A</w:t>
      </w:r>
      <w:r w:rsidRPr="00D47D5D">
        <w:t xml:space="preserve">: PUBLICATIONS USING 1921-26 COHORT DATA (from 1998 to </w:t>
      </w:r>
      <w:r w:rsidR="00084B2B" w:rsidRPr="00D47D5D">
        <w:t>201</w:t>
      </w:r>
      <w:r w:rsidR="00084B2B">
        <w:t>8</w:t>
      </w:r>
      <w:r w:rsidRPr="00D47D5D">
        <w:t>)</w:t>
      </w:r>
      <w:bookmarkEnd w:id="69"/>
    </w:p>
    <w:p w14:paraId="562940CE" w14:textId="0BF99DA1" w:rsidR="00084B2B" w:rsidRPr="00084B2B" w:rsidRDefault="003D6BF4" w:rsidP="00084B2B">
      <w:r>
        <w:t>(*Citation details are from Google Scholar, September 2018).</w:t>
      </w:r>
    </w:p>
    <w:p w14:paraId="07A7F17C" w14:textId="4140F769" w:rsidR="00084B2B" w:rsidRDefault="00084B2B" w:rsidP="003B611A">
      <w:pPr>
        <w:pStyle w:val="Heading2"/>
        <w:ind w:left="578" w:hanging="578"/>
      </w:pPr>
      <w:bookmarkStart w:id="70" w:name="_Toc530561279"/>
      <w:r w:rsidRPr="00084B2B">
        <w:t>Abuse</w:t>
      </w:r>
      <w:bookmarkEnd w:id="70"/>
    </w:p>
    <w:tbl>
      <w:tblPr>
        <w:tblStyle w:val="TableGrid1"/>
        <w:tblW w:w="13855" w:type="dxa"/>
        <w:tblLook w:val="04A0" w:firstRow="1" w:lastRow="0" w:firstColumn="1" w:lastColumn="0" w:noHBand="0" w:noVBand="1"/>
        <w:tblCaption w:val="Category: Abuse"/>
      </w:tblPr>
      <w:tblGrid>
        <w:gridCol w:w="8259"/>
        <w:gridCol w:w="4079"/>
        <w:gridCol w:w="1517"/>
      </w:tblGrid>
      <w:tr w:rsidR="00084B2B" w:rsidRPr="00084B2B" w14:paraId="1D532B84" w14:textId="77777777" w:rsidTr="0011030B">
        <w:trPr>
          <w:tblHeader/>
        </w:trPr>
        <w:tc>
          <w:tcPr>
            <w:tcW w:w="8259" w:type="dxa"/>
            <w:shd w:val="clear" w:color="auto" w:fill="F1E9F3"/>
          </w:tcPr>
          <w:p w14:paraId="50E7E2EF"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079" w:type="dxa"/>
            <w:shd w:val="clear" w:color="auto" w:fill="F1E9F3"/>
          </w:tcPr>
          <w:p w14:paraId="6AF9D033"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1517" w:type="dxa"/>
            <w:shd w:val="clear" w:color="auto" w:fill="F1E9F3"/>
          </w:tcPr>
          <w:p w14:paraId="0CB52B84" w14:textId="2C4CB225"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084B2B" w14:paraId="3CCEF4A2" w14:textId="77777777" w:rsidTr="0011030B">
        <w:tc>
          <w:tcPr>
            <w:tcW w:w="8259" w:type="dxa"/>
          </w:tcPr>
          <w:p w14:paraId="1AB92226" w14:textId="1EB79DA1" w:rsidR="00084B2B" w:rsidRPr="005176BD" w:rsidRDefault="00084B2B" w:rsidP="003B611A">
            <w:pPr>
              <w:rPr>
                <w:rFonts w:cs="Arial"/>
                <w:sz w:val="20"/>
                <w:szCs w:val="20"/>
                <w:lang w:eastAsia="en-AU"/>
              </w:rPr>
            </w:pPr>
            <w:r w:rsidRPr="005176BD">
              <w:rPr>
                <w:rFonts w:cs="Arial"/>
                <w:sz w:val="20"/>
                <w:szCs w:val="20"/>
                <w:lang w:eastAsia="en-AU"/>
              </w:rPr>
              <w:t xml:space="preserve">Intimate partner violence adversely impacts health over 16 years and across generations: A longitudinal cohort study. </w:t>
            </w:r>
            <w:proofErr w:type="spellStart"/>
            <w:r w:rsidRPr="005176BD">
              <w:rPr>
                <w:rFonts w:cs="Arial"/>
                <w:sz w:val="20"/>
                <w:szCs w:val="20"/>
                <w:lang w:eastAsia="en-AU"/>
              </w:rPr>
              <w:t>PLoS</w:t>
            </w:r>
            <w:proofErr w:type="spellEnd"/>
            <w:r w:rsidRPr="005176BD">
              <w:rPr>
                <w:rFonts w:cs="Arial"/>
                <w:sz w:val="20"/>
                <w:szCs w:val="20"/>
                <w:lang w:eastAsia="en-AU"/>
              </w:rPr>
              <w:t xml:space="preserve"> One, 2017, 12(6); e0178138</w:t>
            </w:r>
            <w:r w:rsidR="004909A9" w:rsidRPr="005176BD">
              <w:rPr>
                <w:rFonts w:cs="Arial"/>
                <w:sz w:val="20"/>
                <w:szCs w:val="20"/>
                <w:lang w:eastAsia="en-AU"/>
              </w:rPr>
              <w:t>.</w:t>
            </w:r>
          </w:p>
        </w:tc>
        <w:tc>
          <w:tcPr>
            <w:tcW w:w="4079" w:type="dxa"/>
          </w:tcPr>
          <w:p w14:paraId="4B5FD250" w14:textId="77777777" w:rsidR="00084B2B" w:rsidRPr="005176BD" w:rsidRDefault="00084B2B" w:rsidP="003B611A">
            <w:pPr>
              <w:rPr>
                <w:rFonts w:cs="Arial"/>
                <w:sz w:val="20"/>
                <w:szCs w:val="20"/>
                <w:lang w:eastAsia="en-AU"/>
              </w:rPr>
            </w:pPr>
            <w:r w:rsidRPr="005176BD">
              <w:rPr>
                <w:rFonts w:cs="Arial"/>
                <w:sz w:val="20"/>
                <w:szCs w:val="20"/>
                <w:lang w:eastAsia="en-AU"/>
              </w:rPr>
              <w:t>Loxton D, Dolja-Gore X, Anderson A &amp; Townsend N.</w:t>
            </w:r>
          </w:p>
        </w:tc>
        <w:tc>
          <w:tcPr>
            <w:tcW w:w="1517" w:type="dxa"/>
          </w:tcPr>
          <w:p w14:paraId="36141DFB" w14:textId="7DB68148" w:rsidR="00084B2B" w:rsidRPr="005176BD" w:rsidRDefault="004979FE" w:rsidP="003B611A">
            <w:pPr>
              <w:rPr>
                <w:rFonts w:cs="Arial"/>
                <w:sz w:val="20"/>
                <w:szCs w:val="20"/>
                <w:lang w:eastAsia="en-AU"/>
              </w:rPr>
            </w:pPr>
            <w:r w:rsidRPr="005176BD">
              <w:rPr>
                <w:rFonts w:cs="Arial"/>
                <w:sz w:val="20"/>
                <w:szCs w:val="20"/>
                <w:lang w:eastAsia="en-AU"/>
              </w:rPr>
              <w:t>10</w:t>
            </w:r>
          </w:p>
        </w:tc>
      </w:tr>
      <w:tr w:rsidR="00084B2B" w:rsidRPr="00084B2B" w14:paraId="3295DD83" w14:textId="77777777" w:rsidTr="0011030B">
        <w:tc>
          <w:tcPr>
            <w:tcW w:w="8259" w:type="dxa"/>
          </w:tcPr>
          <w:p w14:paraId="6A8BCB82" w14:textId="77777777" w:rsidR="00084B2B" w:rsidRPr="005176BD" w:rsidRDefault="00084B2B" w:rsidP="003B611A">
            <w:pPr>
              <w:rPr>
                <w:rFonts w:cs="Arial"/>
                <w:sz w:val="20"/>
                <w:szCs w:val="20"/>
                <w:lang w:eastAsia="en-AU"/>
              </w:rPr>
            </w:pPr>
            <w:r w:rsidRPr="005176BD">
              <w:rPr>
                <w:rFonts w:cs="Arial"/>
                <w:sz w:val="20"/>
                <w:szCs w:val="20"/>
                <w:lang w:eastAsia="en-AU"/>
              </w:rPr>
              <w:t>Mortality and disability outcomes of self-reported elder abuse: A 12-year prospective investigation. Journal of the American Geriatric Society, 2013; 61(5): 679-685.</w:t>
            </w:r>
          </w:p>
        </w:tc>
        <w:tc>
          <w:tcPr>
            <w:tcW w:w="4079" w:type="dxa"/>
          </w:tcPr>
          <w:p w14:paraId="100B2035" w14:textId="77777777" w:rsidR="00084B2B" w:rsidRPr="005176BD" w:rsidRDefault="00084B2B" w:rsidP="003B611A">
            <w:pPr>
              <w:rPr>
                <w:rFonts w:cs="Arial"/>
                <w:sz w:val="20"/>
                <w:szCs w:val="20"/>
                <w:lang w:eastAsia="en-AU"/>
              </w:rPr>
            </w:pPr>
            <w:r w:rsidRPr="005176BD">
              <w:rPr>
                <w:rFonts w:cs="Arial"/>
                <w:sz w:val="20"/>
                <w:szCs w:val="20"/>
                <w:lang w:eastAsia="en-AU"/>
              </w:rPr>
              <w:t>Schofield M, Powers J &amp; Loxton L.</w:t>
            </w:r>
          </w:p>
        </w:tc>
        <w:tc>
          <w:tcPr>
            <w:tcW w:w="1517" w:type="dxa"/>
          </w:tcPr>
          <w:p w14:paraId="15DF4CE6" w14:textId="29DBF669" w:rsidR="00084B2B" w:rsidRPr="005176BD" w:rsidRDefault="004979FE" w:rsidP="003B611A">
            <w:pPr>
              <w:rPr>
                <w:rFonts w:cs="Arial"/>
                <w:sz w:val="20"/>
                <w:szCs w:val="20"/>
                <w:lang w:eastAsia="en-AU"/>
              </w:rPr>
            </w:pPr>
            <w:r w:rsidRPr="005176BD">
              <w:rPr>
                <w:rFonts w:cs="Arial"/>
                <w:sz w:val="20"/>
                <w:szCs w:val="20"/>
                <w:lang w:eastAsia="en-AU"/>
              </w:rPr>
              <w:t>57</w:t>
            </w:r>
          </w:p>
        </w:tc>
      </w:tr>
      <w:tr w:rsidR="00084B2B" w:rsidRPr="00084B2B" w14:paraId="192C66EF" w14:textId="77777777" w:rsidTr="0011030B">
        <w:tc>
          <w:tcPr>
            <w:tcW w:w="8259" w:type="dxa"/>
          </w:tcPr>
          <w:p w14:paraId="3A5FA8C8" w14:textId="28EA7AAE" w:rsidR="00084B2B" w:rsidRPr="005176BD" w:rsidRDefault="00084B2B" w:rsidP="003B611A">
            <w:pPr>
              <w:rPr>
                <w:rFonts w:cs="Arial"/>
                <w:sz w:val="20"/>
                <w:szCs w:val="20"/>
                <w:lang w:eastAsia="en-AU"/>
              </w:rPr>
            </w:pPr>
            <w:r w:rsidRPr="005176BD">
              <w:rPr>
                <w:rFonts w:cs="Arial"/>
                <w:sz w:val="20"/>
                <w:szCs w:val="20"/>
                <w:lang w:eastAsia="en-AU"/>
              </w:rPr>
              <w:t xml:space="preserve">'There's more to life than just walking': Older women's ways of staying healthy and happy. Journal of Aging and Physical Activity, </w:t>
            </w:r>
            <w:r w:rsidR="004909A9" w:rsidRPr="005176BD">
              <w:rPr>
                <w:rFonts w:cs="Arial"/>
                <w:sz w:val="20"/>
                <w:szCs w:val="20"/>
                <w:lang w:eastAsia="en-AU"/>
              </w:rPr>
              <w:t xml:space="preserve">2006; </w:t>
            </w:r>
            <w:r w:rsidRPr="005176BD">
              <w:rPr>
                <w:rFonts w:cs="Arial"/>
                <w:sz w:val="20"/>
                <w:szCs w:val="20"/>
                <w:lang w:eastAsia="en-AU"/>
              </w:rPr>
              <w:t>14(4)</w:t>
            </w:r>
            <w:r w:rsidR="004909A9" w:rsidRPr="005176BD">
              <w:rPr>
                <w:rFonts w:cs="Arial"/>
                <w:sz w:val="20"/>
                <w:szCs w:val="20"/>
                <w:lang w:eastAsia="en-AU"/>
              </w:rPr>
              <w:t>:</w:t>
            </w:r>
            <w:r w:rsidRPr="005176BD">
              <w:rPr>
                <w:rFonts w:cs="Arial"/>
                <w:sz w:val="20"/>
                <w:szCs w:val="20"/>
                <w:lang w:eastAsia="en-AU"/>
              </w:rPr>
              <w:t xml:space="preserve"> 380-391. </w:t>
            </w:r>
          </w:p>
        </w:tc>
        <w:tc>
          <w:tcPr>
            <w:tcW w:w="4079" w:type="dxa"/>
          </w:tcPr>
          <w:p w14:paraId="02DAD15C" w14:textId="77777777" w:rsidR="00084B2B" w:rsidRPr="005176BD" w:rsidRDefault="00084B2B" w:rsidP="003B611A">
            <w:pPr>
              <w:rPr>
                <w:rFonts w:cs="Arial"/>
                <w:sz w:val="20"/>
                <w:szCs w:val="20"/>
                <w:lang w:eastAsia="en-AU"/>
              </w:rPr>
            </w:pPr>
            <w:r w:rsidRPr="005176BD">
              <w:rPr>
                <w:rFonts w:cs="Arial"/>
                <w:sz w:val="20"/>
                <w:szCs w:val="20"/>
                <w:lang w:eastAsia="en-AU"/>
              </w:rPr>
              <w:t>Adamson L &amp; Parker G.</w:t>
            </w:r>
          </w:p>
        </w:tc>
        <w:tc>
          <w:tcPr>
            <w:tcW w:w="1517" w:type="dxa"/>
          </w:tcPr>
          <w:p w14:paraId="1F9E5B97" w14:textId="63697C1F" w:rsidR="00084B2B" w:rsidRPr="005176BD" w:rsidRDefault="004979FE" w:rsidP="003B611A">
            <w:pPr>
              <w:rPr>
                <w:rFonts w:cs="Arial"/>
                <w:sz w:val="20"/>
                <w:szCs w:val="20"/>
                <w:lang w:eastAsia="en-AU"/>
              </w:rPr>
            </w:pPr>
            <w:r w:rsidRPr="005176BD">
              <w:rPr>
                <w:rFonts w:cs="Arial"/>
                <w:sz w:val="20"/>
                <w:szCs w:val="20"/>
                <w:lang w:eastAsia="en-AU"/>
              </w:rPr>
              <w:t>27</w:t>
            </w:r>
          </w:p>
        </w:tc>
      </w:tr>
      <w:tr w:rsidR="00084B2B" w:rsidRPr="00084B2B" w14:paraId="1F896AA6" w14:textId="77777777" w:rsidTr="0011030B">
        <w:tc>
          <w:tcPr>
            <w:tcW w:w="8259" w:type="dxa"/>
          </w:tcPr>
          <w:p w14:paraId="633B287C" w14:textId="29BEE7A8" w:rsidR="00084B2B" w:rsidRPr="005176BD" w:rsidRDefault="00084B2B" w:rsidP="003B611A">
            <w:pPr>
              <w:rPr>
                <w:rFonts w:cs="Arial"/>
                <w:sz w:val="20"/>
                <w:szCs w:val="20"/>
                <w:lang w:eastAsia="en-AU"/>
              </w:rPr>
            </w:pPr>
            <w:r w:rsidRPr="005176BD">
              <w:rPr>
                <w:rFonts w:cs="Arial"/>
                <w:sz w:val="20"/>
                <w:szCs w:val="20"/>
                <w:lang w:eastAsia="en-AU"/>
              </w:rPr>
              <w:t xml:space="preserve">Three year health outcomes among older women at risk of elder abuse: Women's Health Australia. Quality of Life Research, </w:t>
            </w:r>
            <w:r w:rsidR="004909A9" w:rsidRPr="005176BD">
              <w:rPr>
                <w:rFonts w:cs="Arial"/>
                <w:sz w:val="20"/>
                <w:szCs w:val="20"/>
                <w:lang w:eastAsia="en-AU"/>
              </w:rPr>
              <w:t xml:space="preserve">2004; </w:t>
            </w:r>
            <w:r w:rsidRPr="005176BD">
              <w:rPr>
                <w:rFonts w:cs="Arial"/>
                <w:sz w:val="20"/>
                <w:szCs w:val="20"/>
                <w:lang w:eastAsia="en-AU"/>
              </w:rPr>
              <w:t>13(6)</w:t>
            </w:r>
            <w:r w:rsidR="004909A9" w:rsidRPr="005176BD">
              <w:rPr>
                <w:rFonts w:cs="Arial"/>
                <w:sz w:val="20"/>
                <w:szCs w:val="20"/>
                <w:lang w:eastAsia="en-AU"/>
              </w:rPr>
              <w:t>:</w:t>
            </w:r>
            <w:r w:rsidRPr="005176BD">
              <w:rPr>
                <w:rFonts w:cs="Arial"/>
                <w:sz w:val="20"/>
                <w:szCs w:val="20"/>
                <w:lang w:eastAsia="en-AU"/>
              </w:rPr>
              <w:t xml:space="preserve"> 1043-1052.</w:t>
            </w:r>
          </w:p>
        </w:tc>
        <w:tc>
          <w:tcPr>
            <w:tcW w:w="4079" w:type="dxa"/>
          </w:tcPr>
          <w:p w14:paraId="6F8D0F3C" w14:textId="77777777" w:rsidR="00084B2B" w:rsidRPr="005176BD" w:rsidRDefault="00084B2B" w:rsidP="003B611A">
            <w:pPr>
              <w:rPr>
                <w:rFonts w:cs="Arial"/>
                <w:sz w:val="20"/>
                <w:szCs w:val="20"/>
                <w:lang w:eastAsia="en-AU"/>
              </w:rPr>
            </w:pPr>
            <w:r w:rsidRPr="005176BD">
              <w:rPr>
                <w:rFonts w:cs="Arial"/>
                <w:sz w:val="20"/>
                <w:szCs w:val="20"/>
                <w:lang w:eastAsia="en-AU"/>
              </w:rPr>
              <w:t>Schofield MJ &amp; Mishra G.</w:t>
            </w:r>
          </w:p>
        </w:tc>
        <w:tc>
          <w:tcPr>
            <w:tcW w:w="1517" w:type="dxa"/>
          </w:tcPr>
          <w:p w14:paraId="118E6A1C" w14:textId="30637942" w:rsidR="00084B2B" w:rsidRPr="005176BD" w:rsidRDefault="004979FE" w:rsidP="003B611A">
            <w:pPr>
              <w:rPr>
                <w:rFonts w:cs="Arial"/>
                <w:sz w:val="20"/>
                <w:szCs w:val="20"/>
                <w:lang w:eastAsia="en-AU"/>
              </w:rPr>
            </w:pPr>
            <w:r w:rsidRPr="005176BD">
              <w:rPr>
                <w:rFonts w:cs="Arial"/>
                <w:sz w:val="20"/>
                <w:szCs w:val="20"/>
                <w:lang w:eastAsia="en-AU"/>
              </w:rPr>
              <w:t>40</w:t>
            </w:r>
          </w:p>
        </w:tc>
      </w:tr>
      <w:tr w:rsidR="00084B2B" w:rsidRPr="00084B2B" w14:paraId="091A3DDB" w14:textId="77777777" w:rsidTr="0011030B">
        <w:tc>
          <w:tcPr>
            <w:tcW w:w="8259" w:type="dxa"/>
          </w:tcPr>
          <w:p w14:paraId="75CD17CD" w14:textId="77777777" w:rsidR="00084B2B" w:rsidRPr="005176BD" w:rsidRDefault="00084B2B" w:rsidP="003B611A">
            <w:pPr>
              <w:rPr>
                <w:rFonts w:cs="Arial"/>
                <w:sz w:val="20"/>
                <w:szCs w:val="20"/>
                <w:lang w:eastAsia="en-AU"/>
              </w:rPr>
            </w:pPr>
            <w:r w:rsidRPr="005176BD">
              <w:rPr>
                <w:rFonts w:cs="Arial"/>
                <w:sz w:val="20"/>
                <w:szCs w:val="20"/>
                <w:lang w:eastAsia="en-AU"/>
              </w:rPr>
              <w:t>Validity of self-report screening scale for elder abuse: Women's Health Australia study. The Gerontologist, 2003; 43(1): 110-120.</w:t>
            </w:r>
          </w:p>
        </w:tc>
        <w:tc>
          <w:tcPr>
            <w:tcW w:w="4079" w:type="dxa"/>
          </w:tcPr>
          <w:p w14:paraId="581707D6" w14:textId="77777777" w:rsidR="00084B2B" w:rsidRPr="005176BD" w:rsidRDefault="00084B2B" w:rsidP="003B611A">
            <w:pPr>
              <w:rPr>
                <w:rFonts w:cs="Arial"/>
                <w:sz w:val="20"/>
                <w:szCs w:val="20"/>
                <w:lang w:eastAsia="en-AU"/>
              </w:rPr>
            </w:pPr>
            <w:r w:rsidRPr="005176BD">
              <w:rPr>
                <w:rFonts w:cs="Arial"/>
                <w:sz w:val="20"/>
                <w:szCs w:val="20"/>
                <w:lang w:eastAsia="en-AU"/>
              </w:rPr>
              <w:t>Schofield MJ &amp; Mishra GD.</w:t>
            </w:r>
          </w:p>
        </w:tc>
        <w:tc>
          <w:tcPr>
            <w:tcW w:w="1517" w:type="dxa"/>
          </w:tcPr>
          <w:p w14:paraId="06947A08" w14:textId="251A8D44" w:rsidR="00084B2B" w:rsidRPr="005176BD" w:rsidRDefault="004979FE" w:rsidP="003B611A">
            <w:pPr>
              <w:rPr>
                <w:rFonts w:cs="Arial"/>
                <w:sz w:val="20"/>
                <w:szCs w:val="20"/>
                <w:lang w:eastAsia="en-AU"/>
              </w:rPr>
            </w:pPr>
            <w:r w:rsidRPr="005176BD">
              <w:rPr>
                <w:rFonts w:cs="Arial"/>
                <w:sz w:val="20"/>
                <w:szCs w:val="20"/>
                <w:lang w:eastAsia="en-AU"/>
              </w:rPr>
              <w:t>123</w:t>
            </w:r>
          </w:p>
        </w:tc>
      </w:tr>
      <w:tr w:rsidR="004909A9" w:rsidRPr="00084B2B" w14:paraId="275BCBB1" w14:textId="77777777" w:rsidTr="0011030B">
        <w:tc>
          <w:tcPr>
            <w:tcW w:w="8259" w:type="dxa"/>
          </w:tcPr>
          <w:p w14:paraId="6A97A489" w14:textId="77777777" w:rsidR="004909A9" w:rsidRPr="005176BD" w:rsidRDefault="004909A9" w:rsidP="003B611A">
            <w:pPr>
              <w:rPr>
                <w:rFonts w:cs="Arial"/>
                <w:sz w:val="20"/>
                <w:szCs w:val="20"/>
                <w:lang w:eastAsia="en-AU"/>
              </w:rPr>
            </w:pPr>
            <w:r w:rsidRPr="005176BD">
              <w:rPr>
                <w:rFonts w:cs="Arial"/>
                <w:sz w:val="20"/>
                <w:szCs w:val="20"/>
                <w:lang w:eastAsia="en-AU"/>
              </w:rPr>
              <w:t>Screening for vulnerability to abuse among older women: Women's Health Australia study. Journal of Applied Gerontology, 2002; 21(1): 24-39.</w:t>
            </w:r>
          </w:p>
        </w:tc>
        <w:tc>
          <w:tcPr>
            <w:tcW w:w="4079" w:type="dxa"/>
          </w:tcPr>
          <w:p w14:paraId="568FFA2E" w14:textId="77777777" w:rsidR="004909A9" w:rsidRPr="005176BD" w:rsidRDefault="004909A9" w:rsidP="003B611A">
            <w:pPr>
              <w:rPr>
                <w:rFonts w:cs="Arial"/>
                <w:sz w:val="20"/>
                <w:szCs w:val="20"/>
                <w:lang w:eastAsia="en-AU"/>
              </w:rPr>
            </w:pPr>
            <w:r w:rsidRPr="005176BD">
              <w:rPr>
                <w:rFonts w:cs="Arial"/>
                <w:sz w:val="20"/>
                <w:szCs w:val="20"/>
                <w:lang w:eastAsia="en-AU"/>
              </w:rPr>
              <w:t>Schofield MJ, Reynolds R, Mishra G, Powers J &amp; Dobson AJ.</w:t>
            </w:r>
          </w:p>
        </w:tc>
        <w:tc>
          <w:tcPr>
            <w:tcW w:w="1517" w:type="dxa"/>
          </w:tcPr>
          <w:p w14:paraId="6C7D8B74" w14:textId="7F34B872" w:rsidR="004909A9" w:rsidRPr="005176BD" w:rsidRDefault="004909A9" w:rsidP="003B611A">
            <w:pPr>
              <w:rPr>
                <w:rFonts w:cs="Arial"/>
                <w:sz w:val="20"/>
                <w:szCs w:val="20"/>
                <w:lang w:eastAsia="en-AU"/>
              </w:rPr>
            </w:pPr>
            <w:r w:rsidRPr="005176BD">
              <w:rPr>
                <w:rFonts w:cs="Arial"/>
                <w:sz w:val="20"/>
                <w:szCs w:val="20"/>
                <w:lang w:eastAsia="en-AU"/>
              </w:rPr>
              <w:t>69</w:t>
            </w:r>
          </w:p>
        </w:tc>
      </w:tr>
    </w:tbl>
    <w:p w14:paraId="443D5DD6" w14:textId="5705507F" w:rsidR="00084B2B" w:rsidRPr="00084B2B" w:rsidRDefault="00084B2B" w:rsidP="003B611A">
      <w:pPr>
        <w:pStyle w:val="Heading2"/>
        <w:ind w:left="578" w:hanging="578"/>
      </w:pPr>
      <w:bookmarkStart w:id="71" w:name="_Toc530561280"/>
      <w:r w:rsidRPr="00084B2B">
        <w:t xml:space="preserve">Ageing: </w:t>
      </w:r>
      <w:r>
        <w:t>S</w:t>
      </w:r>
      <w:r w:rsidRPr="00084B2B">
        <w:t>urvival, frailty, physical health</w:t>
      </w:r>
      <w:bookmarkEnd w:id="71"/>
    </w:p>
    <w:tbl>
      <w:tblPr>
        <w:tblStyle w:val="TableGrid1"/>
        <w:tblW w:w="13855" w:type="dxa"/>
        <w:tblLook w:val="04A0" w:firstRow="1" w:lastRow="0" w:firstColumn="1" w:lastColumn="0" w:noHBand="0" w:noVBand="1"/>
        <w:tblCaption w:val="Category: Ageing: Survival, frailty, physical health"/>
      </w:tblPr>
      <w:tblGrid>
        <w:gridCol w:w="8438"/>
        <w:gridCol w:w="3977"/>
        <w:gridCol w:w="1440"/>
      </w:tblGrid>
      <w:tr w:rsidR="00084B2B" w:rsidRPr="00084B2B" w14:paraId="590700B4" w14:textId="77777777" w:rsidTr="0011030B">
        <w:trPr>
          <w:tblHeader/>
        </w:trPr>
        <w:tc>
          <w:tcPr>
            <w:tcW w:w="8438" w:type="dxa"/>
            <w:shd w:val="clear" w:color="auto" w:fill="F1E9F3"/>
          </w:tcPr>
          <w:p w14:paraId="0145C452" w14:textId="77777777" w:rsidR="00084B2B" w:rsidRPr="00084B2B" w:rsidRDefault="00084B2B" w:rsidP="003B611A">
            <w:pPr>
              <w:rPr>
                <w:rFonts w:cstheme="minorHAnsi"/>
                <w:b/>
                <w:sz w:val="24"/>
                <w:szCs w:val="24"/>
              </w:rPr>
            </w:pPr>
            <w:r w:rsidRPr="00084B2B">
              <w:rPr>
                <w:rFonts w:cstheme="minorHAnsi"/>
                <w:b/>
                <w:sz w:val="24"/>
                <w:szCs w:val="24"/>
              </w:rPr>
              <w:t>Details</w:t>
            </w:r>
          </w:p>
        </w:tc>
        <w:tc>
          <w:tcPr>
            <w:tcW w:w="3977" w:type="dxa"/>
            <w:shd w:val="clear" w:color="auto" w:fill="F1E9F3"/>
          </w:tcPr>
          <w:p w14:paraId="6C892EA4" w14:textId="77777777" w:rsidR="00084B2B" w:rsidRPr="00084B2B" w:rsidRDefault="00084B2B" w:rsidP="003B611A">
            <w:pPr>
              <w:rPr>
                <w:rFonts w:cstheme="minorHAnsi"/>
                <w:b/>
                <w:sz w:val="24"/>
                <w:szCs w:val="24"/>
              </w:rPr>
            </w:pPr>
            <w:r w:rsidRPr="00084B2B">
              <w:rPr>
                <w:rFonts w:cstheme="minorHAnsi"/>
                <w:b/>
                <w:sz w:val="24"/>
                <w:szCs w:val="24"/>
              </w:rPr>
              <w:t>Authors</w:t>
            </w:r>
          </w:p>
        </w:tc>
        <w:tc>
          <w:tcPr>
            <w:tcW w:w="1440" w:type="dxa"/>
            <w:shd w:val="clear" w:color="auto" w:fill="F1E9F3"/>
          </w:tcPr>
          <w:p w14:paraId="65CF33E7" w14:textId="0D7F89B7" w:rsidR="00084B2B" w:rsidRPr="00084B2B" w:rsidRDefault="00084B2B" w:rsidP="003B611A">
            <w:pPr>
              <w:rPr>
                <w:rFonts w:cstheme="minorHAnsi"/>
                <w:b/>
                <w:sz w:val="24"/>
                <w:szCs w:val="24"/>
              </w:rPr>
            </w:pPr>
            <w:r w:rsidRPr="00084B2B">
              <w:rPr>
                <w:rFonts w:cstheme="minorHAnsi"/>
                <w:b/>
                <w:sz w:val="24"/>
                <w:szCs w:val="24"/>
              </w:rPr>
              <w:t>Citations</w:t>
            </w:r>
            <w:r w:rsidR="0011030B">
              <w:rPr>
                <w:rFonts w:cstheme="minorHAnsi"/>
                <w:b/>
                <w:sz w:val="24"/>
                <w:szCs w:val="24"/>
              </w:rPr>
              <w:t>*</w:t>
            </w:r>
          </w:p>
        </w:tc>
      </w:tr>
      <w:tr w:rsidR="00084B2B" w:rsidRPr="00084B2B" w14:paraId="3523189F" w14:textId="77777777" w:rsidTr="0011030B">
        <w:tc>
          <w:tcPr>
            <w:tcW w:w="8438" w:type="dxa"/>
          </w:tcPr>
          <w:p w14:paraId="7CB2E6C8" w14:textId="5304D10D" w:rsidR="00084B2B" w:rsidRPr="005176BD" w:rsidRDefault="00084B2B" w:rsidP="003B611A">
            <w:pPr>
              <w:rPr>
                <w:rFonts w:cs="Arial"/>
                <w:sz w:val="20"/>
                <w:szCs w:val="20"/>
                <w:lang w:eastAsia="en-AU"/>
              </w:rPr>
            </w:pPr>
            <w:r w:rsidRPr="005176BD">
              <w:rPr>
                <w:rFonts w:cs="Arial"/>
                <w:sz w:val="20"/>
                <w:szCs w:val="20"/>
                <w:lang w:eastAsia="en-AU"/>
              </w:rPr>
              <w:t>Mental health trajectories among women in Australia as they age. Ageing and Mental Health, 2018</w:t>
            </w:r>
            <w:r w:rsidR="004909A9" w:rsidRPr="005176BD">
              <w:rPr>
                <w:rFonts w:cs="Arial"/>
                <w:sz w:val="20"/>
                <w:szCs w:val="20"/>
                <w:lang w:eastAsia="en-AU"/>
              </w:rPr>
              <w:t>.</w:t>
            </w:r>
            <w:r w:rsidRPr="005176BD">
              <w:rPr>
                <w:rFonts w:cs="Arial"/>
                <w:sz w:val="20"/>
                <w:szCs w:val="20"/>
                <w:lang w:eastAsia="en-AU"/>
              </w:rPr>
              <w:t xml:space="preserve"> DOI:10.1080/13607863.2018.147445 </w:t>
            </w:r>
          </w:p>
        </w:tc>
        <w:tc>
          <w:tcPr>
            <w:tcW w:w="3977" w:type="dxa"/>
          </w:tcPr>
          <w:p w14:paraId="764C8E59" w14:textId="77777777" w:rsidR="00084B2B" w:rsidRPr="005176BD" w:rsidRDefault="00084B2B" w:rsidP="003B611A">
            <w:pPr>
              <w:rPr>
                <w:rFonts w:cs="Arial"/>
                <w:bCs/>
                <w:color w:val="000000"/>
                <w:sz w:val="20"/>
                <w:szCs w:val="20"/>
                <w:lang w:eastAsia="en-AU"/>
              </w:rPr>
            </w:pPr>
            <w:r w:rsidRPr="005176BD">
              <w:rPr>
                <w:rFonts w:cs="Arial"/>
                <w:sz w:val="20"/>
                <w:szCs w:val="20"/>
              </w:rPr>
              <w:t xml:space="preserve">Tran T, </w:t>
            </w:r>
            <w:proofErr w:type="spellStart"/>
            <w:r w:rsidRPr="005176BD">
              <w:rPr>
                <w:rFonts w:cs="Arial"/>
                <w:sz w:val="20"/>
                <w:szCs w:val="20"/>
              </w:rPr>
              <w:t>Hammarberg</w:t>
            </w:r>
            <w:proofErr w:type="spellEnd"/>
            <w:r w:rsidRPr="005176BD">
              <w:rPr>
                <w:rFonts w:cs="Arial"/>
                <w:sz w:val="20"/>
                <w:szCs w:val="20"/>
              </w:rPr>
              <w:t xml:space="preserve"> K, Ryan J, </w:t>
            </w:r>
            <w:proofErr w:type="spellStart"/>
            <w:r w:rsidRPr="005176BD">
              <w:rPr>
                <w:rFonts w:cs="Arial"/>
                <w:sz w:val="20"/>
                <w:szCs w:val="20"/>
              </w:rPr>
              <w:t>Lowthian</w:t>
            </w:r>
            <w:proofErr w:type="spellEnd"/>
            <w:r w:rsidRPr="005176BD">
              <w:rPr>
                <w:rFonts w:cs="Arial"/>
                <w:sz w:val="20"/>
                <w:szCs w:val="20"/>
              </w:rPr>
              <w:t xml:space="preserve"> J, Freak-</w:t>
            </w:r>
            <w:proofErr w:type="spellStart"/>
            <w:r w:rsidRPr="005176BD">
              <w:rPr>
                <w:rFonts w:cs="Arial"/>
                <w:sz w:val="20"/>
                <w:szCs w:val="20"/>
              </w:rPr>
              <w:t>Poli</w:t>
            </w:r>
            <w:proofErr w:type="spellEnd"/>
            <w:r w:rsidRPr="005176BD">
              <w:rPr>
                <w:rFonts w:cs="Arial"/>
                <w:sz w:val="20"/>
                <w:szCs w:val="20"/>
              </w:rPr>
              <w:t xml:space="preserve"> R, Owen A, </w:t>
            </w:r>
            <w:proofErr w:type="spellStart"/>
            <w:r w:rsidRPr="005176BD">
              <w:rPr>
                <w:rFonts w:cs="Arial"/>
                <w:sz w:val="20"/>
                <w:szCs w:val="20"/>
              </w:rPr>
              <w:t>Kirkman</w:t>
            </w:r>
            <w:proofErr w:type="spellEnd"/>
            <w:r w:rsidRPr="005176BD">
              <w:rPr>
                <w:rFonts w:cs="Arial"/>
                <w:sz w:val="20"/>
                <w:szCs w:val="20"/>
              </w:rPr>
              <w:t xml:space="preserve"> M, Curtis A, Rowe H, Brown H, Ward S, Britt C &amp; Fisher J.</w:t>
            </w:r>
          </w:p>
        </w:tc>
        <w:tc>
          <w:tcPr>
            <w:tcW w:w="1440" w:type="dxa"/>
          </w:tcPr>
          <w:p w14:paraId="71FDEABC" w14:textId="063FF183" w:rsidR="00084B2B" w:rsidRPr="005176BD" w:rsidRDefault="00084B2B" w:rsidP="003B611A">
            <w:pPr>
              <w:rPr>
                <w:rFonts w:cs="Arial"/>
                <w:bCs/>
                <w:color w:val="000000"/>
                <w:sz w:val="20"/>
                <w:szCs w:val="20"/>
                <w:lang w:eastAsia="en-AU"/>
              </w:rPr>
            </w:pPr>
          </w:p>
        </w:tc>
      </w:tr>
      <w:tr w:rsidR="00A10485" w:rsidRPr="0007184E" w14:paraId="409D2A87" w14:textId="77777777" w:rsidTr="0011030B">
        <w:tc>
          <w:tcPr>
            <w:tcW w:w="8438" w:type="dxa"/>
          </w:tcPr>
          <w:p w14:paraId="7A4527AF" w14:textId="77777777" w:rsidR="00A10485" w:rsidRPr="005176BD" w:rsidRDefault="00A10485" w:rsidP="003B611A">
            <w:pPr>
              <w:rPr>
                <w:rFonts w:cs="Arial"/>
                <w:sz w:val="20"/>
                <w:szCs w:val="20"/>
                <w:lang w:eastAsia="en-AU"/>
              </w:rPr>
            </w:pPr>
            <w:r w:rsidRPr="005176BD">
              <w:rPr>
                <w:rFonts w:cs="Arial"/>
                <w:sz w:val="20"/>
                <w:szCs w:val="20"/>
                <w:lang w:eastAsia="en-AU"/>
              </w:rPr>
              <w:t>Back to my old self and life restarting: Biographies of ageing in Beck’s risk society. Journal of Sociology, 2018; 54(2): 249-263.</w:t>
            </w:r>
          </w:p>
        </w:tc>
        <w:tc>
          <w:tcPr>
            <w:tcW w:w="3977" w:type="dxa"/>
          </w:tcPr>
          <w:p w14:paraId="4A10569D" w14:textId="77777777" w:rsidR="00A10485" w:rsidRPr="005176BD" w:rsidRDefault="00A10485" w:rsidP="003B611A">
            <w:pPr>
              <w:rPr>
                <w:rFonts w:cs="Arial"/>
                <w:sz w:val="20"/>
                <w:szCs w:val="20"/>
              </w:rPr>
            </w:pPr>
            <w:proofErr w:type="spellStart"/>
            <w:r w:rsidRPr="005176BD">
              <w:rPr>
                <w:rFonts w:cs="Arial"/>
                <w:sz w:val="20"/>
                <w:szCs w:val="20"/>
              </w:rPr>
              <w:t>Curryer</w:t>
            </w:r>
            <w:proofErr w:type="spellEnd"/>
            <w:r w:rsidRPr="005176BD">
              <w:rPr>
                <w:rFonts w:cs="Arial"/>
                <w:sz w:val="20"/>
                <w:szCs w:val="20"/>
              </w:rPr>
              <w:t xml:space="preserve"> C, </w:t>
            </w:r>
            <w:proofErr w:type="spellStart"/>
            <w:r w:rsidRPr="005176BD">
              <w:rPr>
                <w:rFonts w:cs="Arial"/>
                <w:sz w:val="20"/>
                <w:szCs w:val="20"/>
              </w:rPr>
              <w:t>Gray</w:t>
            </w:r>
            <w:proofErr w:type="spellEnd"/>
            <w:r w:rsidRPr="005176BD">
              <w:rPr>
                <w:rFonts w:cs="Arial"/>
                <w:sz w:val="20"/>
                <w:szCs w:val="20"/>
              </w:rPr>
              <w:t xml:space="preserve"> M, Byles JE.</w:t>
            </w:r>
          </w:p>
        </w:tc>
        <w:tc>
          <w:tcPr>
            <w:tcW w:w="1440" w:type="dxa"/>
          </w:tcPr>
          <w:p w14:paraId="6FD7B08E" w14:textId="77777777" w:rsidR="00A10485" w:rsidRPr="005176BD" w:rsidRDefault="00A10485" w:rsidP="003B611A">
            <w:pPr>
              <w:rPr>
                <w:rStyle w:val="Hyperlink"/>
                <w:rFonts w:ascii="Arial" w:hAnsi="Arial" w:cs="Arial"/>
                <w:color w:val="auto"/>
                <w:sz w:val="20"/>
                <w:szCs w:val="20"/>
              </w:rPr>
            </w:pPr>
          </w:p>
        </w:tc>
      </w:tr>
      <w:tr w:rsidR="00084B2B" w:rsidRPr="00084B2B" w14:paraId="2D996DBB" w14:textId="77777777" w:rsidTr="0011030B">
        <w:tc>
          <w:tcPr>
            <w:tcW w:w="8438" w:type="dxa"/>
          </w:tcPr>
          <w:p w14:paraId="1E745C03" w14:textId="586DD6B8" w:rsidR="00084B2B" w:rsidRPr="005176BD" w:rsidRDefault="00084B2B" w:rsidP="003B611A">
            <w:pPr>
              <w:rPr>
                <w:rFonts w:cs="Arial"/>
                <w:bCs/>
                <w:color w:val="000000"/>
                <w:sz w:val="20"/>
                <w:szCs w:val="20"/>
                <w:lang w:eastAsia="en-AU"/>
              </w:rPr>
            </w:pPr>
            <w:r w:rsidRPr="005176BD">
              <w:rPr>
                <w:rFonts w:cs="Arial"/>
                <w:sz w:val="20"/>
                <w:szCs w:val="20"/>
                <w:lang w:eastAsia="en-AU"/>
              </w:rPr>
              <w:t xml:space="preserve">The relationship between spinal pain and comorbidity: </w:t>
            </w:r>
            <w:r w:rsidR="004909A9" w:rsidRPr="005176BD">
              <w:rPr>
                <w:rFonts w:cs="Arial"/>
                <w:sz w:val="20"/>
                <w:szCs w:val="20"/>
                <w:lang w:eastAsia="en-AU"/>
              </w:rPr>
              <w:t xml:space="preserve">A </w:t>
            </w:r>
            <w:r w:rsidRPr="005176BD">
              <w:rPr>
                <w:rFonts w:cs="Arial"/>
                <w:sz w:val="20"/>
                <w:szCs w:val="20"/>
                <w:lang w:eastAsia="en-AU"/>
              </w:rPr>
              <w:t>cross-sectional analysis of 579 community-dwelling, older, Australia women. Journal of Manipulative and Physiological Therapeutics, 2017</w:t>
            </w:r>
            <w:r w:rsidR="004909A9" w:rsidRPr="005176BD">
              <w:rPr>
                <w:rFonts w:cs="Arial"/>
                <w:sz w:val="20"/>
                <w:szCs w:val="20"/>
                <w:lang w:eastAsia="en-AU"/>
              </w:rPr>
              <w:t>;</w:t>
            </w:r>
            <w:r w:rsidRPr="005176BD">
              <w:rPr>
                <w:rFonts w:cs="Arial"/>
                <w:sz w:val="20"/>
                <w:szCs w:val="20"/>
                <w:lang w:eastAsia="en-AU"/>
              </w:rPr>
              <w:t xml:space="preserve"> 40(7)</w:t>
            </w:r>
            <w:r w:rsidR="004909A9" w:rsidRPr="005176BD">
              <w:rPr>
                <w:rFonts w:cs="Arial"/>
                <w:sz w:val="20"/>
                <w:szCs w:val="20"/>
                <w:lang w:eastAsia="en-AU"/>
              </w:rPr>
              <w:t>:</w:t>
            </w:r>
            <w:r w:rsidRPr="005176BD">
              <w:rPr>
                <w:rFonts w:cs="Arial"/>
                <w:sz w:val="20"/>
                <w:szCs w:val="20"/>
                <w:lang w:eastAsia="en-AU"/>
              </w:rPr>
              <w:t xml:space="preserve"> 459-466</w:t>
            </w:r>
            <w:r w:rsidR="004909A9" w:rsidRPr="005176BD">
              <w:rPr>
                <w:rFonts w:cs="Arial"/>
                <w:sz w:val="20"/>
                <w:szCs w:val="20"/>
                <w:lang w:eastAsia="en-AU"/>
              </w:rPr>
              <w:t>.</w:t>
            </w:r>
          </w:p>
        </w:tc>
        <w:tc>
          <w:tcPr>
            <w:tcW w:w="3977" w:type="dxa"/>
          </w:tcPr>
          <w:p w14:paraId="70FAA72B" w14:textId="08D34356" w:rsidR="00084B2B" w:rsidRPr="005176BD" w:rsidRDefault="00084B2B" w:rsidP="003B611A">
            <w:pPr>
              <w:rPr>
                <w:rFonts w:cs="Arial"/>
                <w:bCs/>
                <w:color w:val="0000FF"/>
                <w:sz w:val="20"/>
                <w:szCs w:val="20"/>
                <w:u w:val="single"/>
                <w:lang w:eastAsia="en-AU"/>
              </w:rPr>
            </w:pPr>
            <w:r w:rsidRPr="005176BD">
              <w:rPr>
                <w:rFonts w:cs="Arial"/>
                <w:sz w:val="20"/>
                <w:szCs w:val="20"/>
              </w:rPr>
              <w:t>de Luca K, Parkinson L, Haldeman S, Byles J</w:t>
            </w:r>
            <w:r w:rsidR="004909A9" w:rsidRPr="005176BD">
              <w:rPr>
                <w:rFonts w:cs="Arial"/>
                <w:sz w:val="20"/>
                <w:szCs w:val="20"/>
              </w:rPr>
              <w:t xml:space="preserve"> &amp;</w:t>
            </w:r>
            <w:r w:rsidRPr="005176BD">
              <w:rPr>
                <w:rFonts w:cs="Arial"/>
                <w:sz w:val="20"/>
                <w:szCs w:val="20"/>
              </w:rPr>
              <w:t xml:space="preserve"> Blyth F.</w:t>
            </w:r>
          </w:p>
        </w:tc>
        <w:tc>
          <w:tcPr>
            <w:tcW w:w="1440" w:type="dxa"/>
          </w:tcPr>
          <w:p w14:paraId="5AEC12C8" w14:textId="418F1FEC" w:rsidR="00084B2B" w:rsidRPr="005176BD" w:rsidRDefault="004979FE" w:rsidP="003B611A">
            <w:pPr>
              <w:rPr>
                <w:rFonts w:cs="Arial"/>
                <w:bCs/>
                <w:color w:val="000000"/>
                <w:sz w:val="20"/>
                <w:szCs w:val="20"/>
                <w:lang w:eastAsia="en-AU"/>
              </w:rPr>
            </w:pPr>
            <w:r w:rsidRPr="005176BD">
              <w:rPr>
                <w:rFonts w:cs="Arial"/>
                <w:bCs/>
                <w:color w:val="000000"/>
                <w:sz w:val="20"/>
                <w:szCs w:val="20"/>
                <w:lang w:eastAsia="en-AU"/>
              </w:rPr>
              <w:t>1</w:t>
            </w:r>
          </w:p>
        </w:tc>
      </w:tr>
      <w:tr w:rsidR="00084B2B" w:rsidRPr="00084B2B" w14:paraId="3AA44A32" w14:textId="77777777" w:rsidTr="0011030B">
        <w:tc>
          <w:tcPr>
            <w:tcW w:w="8438" w:type="dxa"/>
          </w:tcPr>
          <w:p w14:paraId="72136810" w14:textId="2633594E" w:rsidR="00084B2B" w:rsidRPr="005176BD" w:rsidRDefault="00084B2B" w:rsidP="003B611A">
            <w:pPr>
              <w:rPr>
                <w:rFonts w:cs="Arial"/>
                <w:bCs/>
                <w:color w:val="000000"/>
                <w:sz w:val="20"/>
                <w:szCs w:val="20"/>
                <w:lang w:eastAsia="en-AU"/>
              </w:rPr>
            </w:pPr>
            <w:r w:rsidRPr="005176BD">
              <w:rPr>
                <w:rFonts w:cs="Arial"/>
                <w:bCs/>
                <w:color w:val="000000"/>
                <w:sz w:val="20"/>
                <w:szCs w:val="20"/>
                <w:lang w:eastAsia="en-AU"/>
              </w:rPr>
              <w:lastRenderedPageBreak/>
              <w:t>Associations between physical activity, medical costs and hospitalisations in older Australian women: Results from the Australian Longitudinal Study on Women’s Health. Journal of Science and Medicine in Sport, 2017</w:t>
            </w:r>
            <w:r w:rsidR="004909A9" w:rsidRPr="005176BD">
              <w:rPr>
                <w:rFonts w:cs="Arial"/>
                <w:bCs/>
                <w:color w:val="000000"/>
                <w:sz w:val="20"/>
                <w:szCs w:val="20"/>
                <w:lang w:eastAsia="en-AU"/>
              </w:rPr>
              <w:t>;</w:t>
            </w:r>
            <w:r w:rsidRPr="005176BD">
              <w:rPr>
                <w:rFonts w:cs="Arial"/>
                <w:bCs/>
                <w:color w:val="000000"/>
                <w:sz w:val="20"/>
                <w:szCs w:val="20"/>
                <w:lang w:eastAsia="en-AU"/>
              </w:rPr>
              <w:t xml:space="preserve"> 21(6)</w:t>
            </w:r>
            <w:r w:rsidR="004909A9" w:rsidRPr="005176BD">
              <w:rPr>
                <w:rFonts w:cs="Arial"/>
                <w:bCs/>
                <w:color w:val="000000"/>
                <w:sz w:val="20"/>
                <w:szCs w:val="20"/>
                <w:lang w:eastAsia="en-AU"/>
              </w:rPr>
              <w:t xml:space="preserve">: </w:t>
            </w:r>
            <w:r w:rsidRPr="005176BD">
              <w:rPr>
                <w:rFonts w:cs="Arial"/>
                <w:bCs/>
                <w:color w:val="000000"/>
                <w:sz w:val="20"/>
                <w:szCs w:val="20"/>
                <w:lang w:eastAsia="en-AU"/>
              </w:rPr>
              <w:t>604-608</w:t>
            </w:r>
            <w:r w:rsidR="004909A9" w:rsidRPr="005176BD">
              <w:rPr>
                <w:rFonts w:cs="Arial"/>
                <w:bCs/>
                <w:color w:val="000000"/>
                <w:sz w:val="20"/>
                <w:szCs w:val="20"/>
                <w:lang w:eastAsia="en-AU"/>
              </w:rPr>
              <w:t>.</w:t>
            </w:r>
          </w:p>
        </w:tc>
        <w:tc>
          <w:tcPr>
            <w:tcW w:w="3977" w:type="dxa"/>
          </w:tcPr>
          <w:p w14:paraId="6D8C1270" w14:textId="77777777" w:rsidR="00084B2B" w:rsidRPr="005176BD" w:rsidRDefault="00084B2B" w:rsidP="003B611A">
            <w:pPr>
              <w:rPr>
                <w:rFonts w:cs="Arial"/>
                <w:bCs/>
                <w:color w:val="0000FF"/>
                <w:sz w:val="20"/>
                <w:szCs w:val="20"/>
                <w:u w:val="single"/>
                <w:lang w:eastAsia="en-AU"/>
              </w:rPr>
            </w:pPr>
            <w:r w:rsidRPr="005176BD">
              <w:rPr>
                <w:rFonts w:cs="Arial"/>
                <w:sz w:val="20"/>
                <w:szCs w:val="20"/>
              </w:rPr>
              <w:t>Peeters GMEE, Gardiner PA, Dobson AJ &amp; Brown WJ.</w:t>
            </w:r>
          </w:p>
        </w:tc>
        <w:tc>
          <w:tcPr>
            <w:tcW w:w="1440" w:type="dxa"/>
          </w:tcPr>
          <w:p w14:paraId="31AC50CB" w14:textId="7DEA87EF" w:rsidR="00084B2B" w:rsidRPr="005176BD" w:rsidRDefault="004979FE" w:rsidP="003B611A">
            <w:pPr>
              <w:rPr>
                <w:rFonts w:cs="Arial"/>
                <w:sz w:val="20"/>
                <w:szCs w:val="20"/>
              </w:rPr>
            </w:pPr>
            <w:r w:rsidRPr="005176BD">
              <w:rPr>
                <w:rFonts w:cs="Arial"/>
                <w:sz w:val="20"/>
                <w:szCs w:val="20"/>
              </w:rPr>
              <w:t>2</w:t>
            </w:r>
          </w:p>
        </w:tc>
      </w:tr>
      <w:tr w:rsidR="00084B2B" w:rsidRPr="00084B2B" w14:paraId="3D2DA813" w14:textId="77777777" w:rsidTr="0011030B">
        <w:tc>
          <w:tcPr>
            <w:tcW w:w="8438" w:type="dxa"/>
          </w:tcPr>
          <w:p w14:paraId="4BBF40D2" w14:textId="64FB58F7" w:rsidR="00084B2B" w:rsidRPr="005176BD" w:rsidRDefault="00084B2B" w:rsidP="003B611A">
            <w:pPr>
              <w:rPr>
                <w:rFonts w:cs="Arial"/>
                <w:bCs/>
                <w:color w:val="000000"/>
                <w:sz w:val="20"/>
                <w:szCs w:val="20"/>
                <w:lang w:eastAsia="en-AU"/>
              </w:rPr>
            </w:pPr>
            <w:r w:rsidRPr="005176BD">
              <w:rPr>
                <w:rFonts w:cs="Arial"/>
                <w:bCs/>
                <w:color w:val="000000"/>
                <w:sz w:val="20"/>
                <w:szCs w:val="20"/>
                <w:lang w:eastAsia="en-AU"/>
              </w:rPr>
              <w:t>Patterns of hospitalization risk for women surviving into very old age: Findings from the Australian Longitudinal Study on Women's Health. Medical Care, 2017</w:t>
            </w:r>
            <w:r w:rsidR="004909A9" w:rsidRPr="005176BD">
              <w:rPr>
                <w:rFonts w:cs="Arial"/>
                <w:bCs/>
                <w:color w:val="000000"/>
                <w:sz w:val="20"/>
                <w:szCs w:val="20"/>
                <w:lang w:eastAsia="en-AU"/>
              </w:rPr>
              <w:t>;</w:t>
            </w:r>
            <w:r w:rsidRPr="005176BD">
              <w:rPr>
                <w:rFonts w:cs="Arial"/>
                <w:bCs/>
                <w:color w:val="000000"/>
                <w:sz w:val="20"/>
                <w:szCs w:val="20"/>
                <w:lang w:eastAsia="en-AU"/>
              </w:rPr>
              <w:t xml:space="preserve"> 55(4)</w:t>
            </w:r>
            <w:r w:rsidR="004909A9" w:rsidRPr="005176BD">
              <w:rPr>
                <w:rFonts w:cs="Arial"/>
                <w:bCs/>
                <w:color w:val="000000"/>
                <w:sz w:val="20"/>
                <w:szCs w:val="20"/>
                <w:lang w:eastAsia="en-AU"/>
              </w:rPr>
              <w:t>:</w:t>
            </w:r>
            <w:r w:rsidRPr="005176BD">
              <w:rPr>
                <w:rFonts w:cs="Arial"/>
                <w:bCs/>
                <w:color w:val="000000"/>
                <w:sz w:val="20"/>
                <w:szCs w:val="20"/>
                <w:lang w:eastAsia="en-AU"/>
              </w:rPr>
              <w:t xml:space="preserve"> 352-361</w:t>
            </w:r>
            <w:r w:rsidR="004909A9" w:rsidRPr="005176BD">
              <w:rPr>
                <w:rFonts w:cs="Arial"/>
                <w:bCs/>
                <w:color w:val="000000"/>
                <w:sz w:val="20"/>
                <w:szCs w:val="20"/>
                <w:lang w:eastAsia="en-AU"/>
              </w:rPr>
              <w:t>.</w:t>
            </w:r>
          </w:p>
        </w:tc>
        <w:tc>
          <w:tcPr>
            <w:tcW w:w="3977" w:type="dxa"/>
          </w:tcPr>
          <w:p w14:paraId="03269E45" w14:textId="77777777" w:rsidR="00084B2B" w:rsidRPr="005176BD" w:rsidRDefault="00084B2B" w:rsidP="003B611A">
            <w:pPr>
              <w:rPr>
                <w:rFonts w:cs="Arial"/>
                <w:bCs/>
                <w:color w:val="0000FF"/>
                <w:sz w:val="20"/>
                <w:szCs w:val="20"/>
                <w:u w:val="single"/>
                <w:lang w:eastAsia="en-AU"/>
              </w:rPr>
            </w:pPr>
            <w:r w:rsidRPr="005176BD">
              <w:rPr>
                <w:rFonts w:cs="Arial"/>
                <w:sz w:val="20"/>
                <w:szCs w:val="20"/>
              </w:rPr>
              <w:t xml:space="preserve">Dolja-Gore X, Harris M, </w:t>
            </w:r>
            <w:proofErr w:type="spellStart"/>
            <w:r w:rsidRPr="005176BD">
              <w:rPr>
                <w:rFonts w:cs="Arial"/>
                <w:sz w:val="20"/>
                <w:szCs w:val="20"/>
              </w:rPr>
              <w:t>Hendig</w:t>
            </w:r>
            <w:proofErr w:type="spellEnd"/>
            <w:r w:rsidRPr="005176BD">
              <w:rPr>
                <w:rFonts w:cs="Arial"/>
                <w:sz w:val="20"/>
                <w:szCs w:val="20"/>
              </w:rPr>
              <w:t xml:space="preserve"> H &amp; Byles JE.</w:t>
            </w:r>
          </w:p>
        </w:tc>
        <w:tc>
          <w:tcPr>
            <w:tcW w:w="1440" w:type="dxa"/>
          </w:tcPr>
          <w:p w14:paraId="7B9278B5" w14:textId="670FB74B" w:rsidR="00084B2B" w:rsidRPr="005176BD" w:rsidRDefault="004979FE" w:rsidP="003B611A">
            <w:pPr>
              <w:rPr>
                <w:rFonts w:cs="Arial"/>
                <w:bCs/>
                <w:color w:val="000000"/>
                <w:sz w:val="20"/>
                <w:szCs w:val="20"/>
                <w:lang w:eastAsia="en-AU"/>
              </w:rPr>
            </w:pPr>
            <w:r w:rsidRPr="005176BD">
              <w:rPr>
                <w:rFonts w:cs="Arial"/>
                <w:bCs/>
                <w:color w:val="000000"/>
                <w:sz w:val="20"/>
                <w:szCs w:val="20"/>
                <w:lang w:eastAsia="en-AU"/>
              </w:rPr>
              <w:t>1</w:t>
            </w:r>
          </w:p>
        </w:tc>
      </w:tr>
      <w:tr w:rsidR="001D5FFB" w:rsidRPr="00084B2B" w14:paraId="454241DF" w14:textId="77777777" w:rsidTr="0011030B">
        <w:tc>
          <w:tcPr>
            <w:tcW w:w="8438" w:type="dxa"/>
          </w:tcPr>
          <w:p w14:paraId="4CA3FF1E" w14:textId="77777777" w:rsidR="001D5FFB" w:rsidRPr="005176BD" w:rsidRDefault="001D5FFB" w:rsidP="003B611A">
            <w:pPr>
              <w:rPr>
                <w:rFonts w:cs="Arial"/>
                <w:bCs/>
                <w:color w:val="000000"/>
                <w:sz w:val="20"/>
                <w:szCs w:val="20"/>
                <w:lang w:eastAsia="en-AU"/>
              </w:rPr>
            </w:pPr>
            <w:r w:rsidRPr="005176BD">
              <w:rPr>
                <w:rFonts w:cs="Arial"/>
                <w:bCs/>
                <w:color w:val="000000"/>
                <w:sz w:val="20"/>
                <w:szCs w:val="20"/>
                <w:lang w:eastAsia="en-AU"/>
              </w:rPr>
              <w:t>Uptake, prevalence and predictors of ﬁrst-time use for the 75+ Health Assessment Scheme. Australian Journal of Primary Health, 2017; 23(5): 476-481.</w:t>
            </w:r>
          </w:p>
        </w:tc>
        <w:tc>
          <w:tcPr>
            <w:tcW w:w="3977" w:type="dxa"/>
          </w:tcPr>
          <w:p w14:paraId="4A7F0BC6" w14:textId="77777777" w:rsidR="001D5FFB" w:rsidRPr="005176BD" w:rsidRDefault="001D5FFB" w:rsidP="003B611A">
            <w:pPr>
              <w:rPr>
                <w:rFonts w:cs="Arial"/>
                <w:bCs/>
                <w:color w:val="0000FF"/>
                <w:sz w:val="20"/>
                <w:szCs w:val="20"/>
                <w:u w:val="single"/>
                <w:lang w:eastAsia="en-AU"/>
              </w:rPr>
            </w:pPr>
            <w:r w:rsidRPr="005176BD">
              <w:rPr>
                <w:rFonts w:cs="Arial"/>
                <w:sz w:val="20"/>
                <w:szCs w:val="20"/>
              </w:rPr>
              <w:t>Dolja-Gore X, Tavener M, Majeed T, Nair BR &amp; Byles JE.</w:t>
            </w:r>
          </w:p>
        </w:tc>
        <w:tc>
          <w:tcPr>
            <w:tcW w:w="1440" w:type="dxa"/>
          </w:tcPr>
          <w:p w14:paraId="06F377A9" w14:textId="77777777" w:rsidR="001D5FFB" w:rsidRPr="005176BD" w:rsidRDefault="001D5FFB" w:rsidP="003B611A">
            <w:pPr>
              <w:rPr>
                <w:rFonts w:cs="Arial"/>
                <w:bCs/>
                <w:color w:val="000000"/>
                <w:sz w:val="20"/>
                <w:szCs w:val="20"/>
                <w:lang w:eastAsia="en-AU"/>
              </w:rPr>
            </w:pPr>
            <w:r w:rsidRPr="005176BD">
              <w:rPr>
                <w:rFonts w:cs="Arial"/>
                <w:bCs/>
                <w:color w:val="000000"/>
                <w:sz w:val="20"/>
                <w:szCs w:val="20"/>
                <w:lang w:eastAsia="en-AU"/>
              </w:rPr>
              <w:t>1</w:t>
            </w:r>
          </w:p>
        </w:tc>
      </w:tr>
      <w:tr w:rsidR="001D5FFB" w:rsidRPr="00084B2B" w14:paraId="4D2D4AFC" w14:textId="77777777" w:rsidTr="0011030B">
        <w:tc>
          <w:tcPr>
            <w:tcW w:w="8438" w:type="dxa"/>
          </w:tcPr>
          <w:p w14:paraId="4BABBD52" w14:textId="7BFFD259" w:rsidR="001D5FFB" w:rsidRPr="005176BD" w:rsidRDefault="001D5FFB" w:rsidP="003B611A">
            <w:pPr>
              <w:rPr>
                <w:rFonts w:cs="Arial"/>
                <w:sz w:val="20"/>
                <w:szCs w:val="20"/>
              </w:rPr>
            </w:pPr>
            <w:r w:rsidRPr="005176BD">
              <w:rPr>
                <w:rFonts w:cs="Arial"/>
                <w:sz w:val="20"/>
                <w:szCs w:val="20"/>
              </w:rPr>
              <w:t>Improvements in physical function and pain sustained for up to 10 years after knee or hip arthroplasty irrespective of mental health status before surgery:</w:t>
            </w:r>
            <w:r w:rsidR="00012F17" w:rsidRPr="005176BD">
              <w:rPr>
                <w:rFonts w:cs="Arial"/>
                <w:sz w:val="20"/>
                <w:szCs w:val="20"/>
              </w:rPr>
              <w:t xml:space="preserve"> </w:t>
            </w:r>
            <w:r w:rsidRPr="005176BD">
              <w:rPr>
                <w:rFonts w:cs="Arial"/>
                <w:sz w:val="20"/>
                <w:szCs w:val="20"/>
              </w:rPr>
              <w:t xml:space="preserve">9,737 middle-aged and 9,292 older women from the Australian Longitudinal Study on Women’s Health. </w:t>
            </w:r>
            <w:proofErr w:type="spellStart"/>
            <w:r w:rsidRPr="005176BD">
              <w:rPr>
                <w:rFonts w:cs="Arial"/>
                <w:sz w:val="20"/>
                <w:szCs w:val="20"/>
              </w:rPr>
              <w:t>Acta</w:t>
            </w:r>
            <w:proofErr w:type="spellEnd"/>
            <w:r w:rsidRPr="005176BD">
              <w:rPr>
                <w:rFonts w:cs="Arial"/>
                <w:sz w:val="20"/>
                <w:szCs w:val="20"/>
              </w:rPr>
              <w:t xml:space="preserve"> </w:t>
            </w:r>
            <w:proofErr w:type="spellStart"/>
            <w:r w:rsidRPr="005176BD">
              <w:rPr>
                <w:rFonts w:cs="Arial"/>
                <w:sz w:val="20"/>
                <w:szCs w:val="20"/>
              </w:rPr>
              <w:t>Orthopaedica</w:t>
            </w:r>
            <w:proofErr w:type="spellEnd"/>
            <w:r w:rsidRPr="005176BD">
              <w:rPr>
                <w:rFonts w:cs="Arial"/>
                <w:sz w:val="20"/>
                <w:szCs w:val="20"/>
              </w:rPr>
              <w:t>, 2017; 8(2): 158-165.</w:t>
            </w:r>
          </w:p>
        </w:tc>
        <w:tc>
          <w:tcPr>
            <w:tcW w:w="3977" w:type="dxa"/>
          </w:tcPr>
          <w:p w14:paraId="168AC969" w14:textId="77777777" w:rsidR="001D5FFB" w:rsidRPr="005176BD" w:rsidRDefault="001D5FFB" w:rsidP="003B611A">
            <w:pPr>
              <w:rPr>
                <w:rFonts w:cs="Arial"/>
                <w:color w:val="0000FF"/>
                <w:sz w:val="20"/>
                <w:szCs w:val="20"/>
                <w:u w:val="single"/>
              </w:rPr>
            </w:pPr>
            <w:r w:rsidRPr="005176BD">
              <w:rPr>
                <w:rFonts w:cs="Arial"/>
                <w:sz w:val="20"/>
                <w:szCs w:val="20"/>
              </w:rPr>
              <w:t>Peeters G, Rainbird S, Lorimer M, Dobson A, Mishra G &amp; Graves S.</w:t>
            </w:r>
          </w:p>
        </w:tc>
        <w:tc>
          <w:tcPr>
            <w:tcW w:w="1440" w:type="dxa"/>
          </w:tcPr>
          <w:p w14:paraId="655D73B8" w14:textId="77777777" w:rsidR="001D5FFB" w:rsidRPr="005176BD" w:rsidRDefault="001D5FFB" w:rsidP="003B611A">
            <w:pPr>
              <w:rPr>
                <w:rFonts w:cs="Arial"/>
                <w:sz w:val="20"/>
                <w:szCs w:val="20"/>
              </w:rPr>
            </w:pPr>
            <w:r w:rsidRPr="005176BD">
              <w:rPr>
                <w:rFonts w:cs="Arial"/>
                <w:sz w:val="20"/>
                <w:szCs w:val="20"/>
              </w:rPr>
              <w:t>5</w:t>
            </w:r>
          </w:p>
        </w:tc>
      </w:tr>
      <w:tr w:rsidR="001D5FFB" w:rsidRPr="00084B2B" w14:paraId="14CC8D54" w14:textId="77777777" w:rsidTr="0011030B">
        <w:tc>
          <w:tcPr>
            <w:tcW w:w="8438" w:type="dxa"/>
          </w:tcPr>
          <w:p w14:paraId="5DA28A06" w14:textId="77777777" w:rsidR="001D5FFB" w:rsidRPr="005176BD" w:rsidRDefault="001D5FFB" w:rsidP="003B611A">
            <w:pPr>
              <w:rPr>
                <w:rFonts w:cs="Arial"/>
                <w:sz w:val="20"/>
                <w:szCs w:val="20"/>
              </w:rPr>
            </w:pPr>
            <w:r w:rsidRPr="005176BD">
              <w:rPr>
                <w:rFonts w:cs="Arial"/>
                <w:sz w:val="20"/>
                <w:szCs w:val="20"/>
              </w:rPr>
              <w:t>Walking up to one hour per week maintains mobility as older women age: Findings From an Australian Longitudinal Study. Journal of Aging and Physical Activity, 2017; 25(2): 269-276.</w:t>
            </w:r>
          </w:p>
        </w:tc>
        <w:tc>
          <w:tcPr>
            <w:tcW w:w="3977" w:type="dxa"/>
          </w:tcPr>
          <w:p w14:paraId="3F95F846" w14:textId="77777777" w:rsidR="001D5FFB" w:rsidRPr="005176BD" w:rsidRDefault="001D5FFB" w:rsidP="003B611A">
            <w:pPr>
              <w:rPr>
                <w:rFonts w:cs="Arial"/>
                <w:sz w:val="20"/>
                <w:szCs w:val="20"/>
              </w:rPr>
            </w:pPr>
            <w:r w:rsidRPr="005176BD">
              <w:rPr>
                <w:rFonts w:cs="Arial"/>
                <w:sz w:val="20"/>
                <w:szCs w:val="20"/>
              </w:rPr>
              <w:t xml:space="preserve">Field B, Cochrane T, Davey R &amp; </w:t>
            </w:r>
            <w:proofErr w:type="spellStart"/>
            <w:r w:rsidRPr="005176BD">
              <w:rPr>
                <w:rFonts w:cs="Arial"/>
                <w:sz w:val="20"/>
                <w:szCs w:val="20"/>
              </w:rPr>
              <w:t>Kinfu</w:t>
            </w:r>
            <w:proofErr w:type="spellEnd"/>
            <w:r w:rsidRPr="005176BD">
              <w:rPr>
                <w:rFonts w:cs="Arial"/>
                <w:sz w:val="20"/>
                <w:szCs w:val="20"/>
              </w:rPr>
              <w:t xml:space="preserve"> Y.</w:t>
            </w:r>
          </w:p>
        </w:tc>
        <w:tc>
          <w:tcPr>
            <w:tcW w:w="1440" w:type="dxa"/>
          </w:tcPr>
          <w:p w14:paraId="77626513" w14:textId="77777777" w:rsidR="001D5FFB" w:rsidRPr="005176BD" w:rsidRDefault="001D5FFB" w:rsidP="003B611A">
            <w:pPr>
              <w:rPr>
                <w:rFonts w:cs="Arial"/>
                <w:sz w:val="20"/>
                <w:szCs w:val="20"/>
              </w:rPr>
            </w:pPr>
          </w:p>
        </w:tc>
      </w:tr>
      <w:tr w:rsidR="001D5FFB" w:rsidRPr="00084B2B" w14:paraId="635EB903" w14:textId="77777777" w:rsidTr="0011030B">
        <w:tc>
          <w:tcPr>
            <w:tcW w:w="8438" w:type="dxa"/>
          </w:tcPr>
          <w:p w14:paraId="06569A13" w14:textId="005F2A02" w:rsidR="001D5FFB" w:rsidRPr="005176BD" w:rsidRDefault="001D5FFB" w:rsidP="003B611A">
            <w:pPr>
              <w:rPr>
                <w:rFonts w:cs="Arial"/>
                <w:sz w:val="20"/>
                <w:szCs w:val="20"/>
              </w:rPr>
            </w:pPr>
            <w:r w:rsidRPr="005176BD">
              <w:rPr>
                <w:rFonts w:cs="Arial"/>
                <w:sz w:val="20"/>
                <w:szCs w:val="20"/>
              </w:rPr>
              <w:t>Change in physical function among women as they age: Findings from the Australian Longitudinal Study on Women's Health. Quality of Life Research, 2017; 26(4): 981-991.</w:t>
            </w:r>
          </w:p>
        </w:tc>
        <w:tc>
          <w:tcPr>
            <w:tcW w:w="3977" w:type="dxa"/>
          </w:tcPr>
          <w:p w14:paraId="4361741D" w14:textId="77777777" w:rsidR="001D5FFB" w:rsidRPr="005176BD" w:rsidRDefault="001D5FFB" w:rsidP="003B611A">
            <w:pPr>
              <w:rPr>
                <w:rFonts w:cs="Arial"/>
                <w:color w:val="0000FF"/>
                <w:sz w:val="20"/>
                <w:szCs w:val="20"/>
                <w:u w:val="single"/>
              </w:rPr>
            </w:pPr>
            <w:r w:rsidRPr="005176BD">
              <w:rPr>
                <w:rFonts w:cs="Arial"/>
                <w:sz w:val="20"/>
                <w:szCs w:val="20"/>
              </w:rPr>
              <w:t>Leigh L, Byles J &amp; Mishra G.</w:t>
            </w:r>
          </w:p>
        </w:tc>
        <w:tc>
          <w:tcPr>
            <w:tcW w:w="1440" w:type="dxa"/>
          </w:tcPr>
          <w:p w14:paraId="0CB052A2" w14:textId="77777777" w:rsidR="001D5FFB" w:rsidRPr="005176BD" w:rsidRDefault="001D5FFB" w:rsidP="003B611A">
            <w:pPr>
              <w:rPr>
                <w:rFonts w:cs="Arial"/>
                <w:sz w:val="20"/>
                <w:szCs w:val="20"/>
              </w:rPr>
            </w:pPr>
            <w:r w:rsidRPr="005176BD">
              <w:rPr>
                <w:rFonts w:cs="Arial"/>
                <w:sz w:val="20"/>
                <w:szCs w:val="20"/>
              </w:rPr>
              <w:t>2</w:t>
            </w:r>
          </w:p>
        </w:tc>
      </w:tr>
      <w:tr w:rsidR="001D5FFB" w:rsidRPr="00084B2B" w14:paraId="6BB177E1" w14:textId="77777777" w:rsidTr="0011030B">
        <w:tc>
          <w:tcPr>
            <w:tcW w:w="8438" w:type="dxa"/>
          </w:tcPr>
          <w:p w14:paraId="6667A6A1" w14:textId="77777777" w:rsidR="001D5FFB" w:rsidRPr="005176BD" w:rsidRDefault="001D5FFB" w:rsidP="003B611A">
            <w:pPr>
              <w:rPr>
                <w:rFonts w:cs="Arial"/>
                <w:sz w:val="20"/>
                <w:szCs w:val="20"/>
              </w:rPr>
            </w:pPr>
            <w:r w:rsidRPr="005176BD">
              <w:rPr>
                <w:rFonts w:cs="Arial"/>
                <w:sz w:val="20"/>
                <w:szCs w:val="20"/>
              </w:rPr>
              <w:t>Associations of guideline recommended medications for acute coronary syndromes with fall-related hospitalizations and cardiovascular events in older women with ischemic heart disease. Journals of Gerontology Series A: Medical Sciences, 2017; 72(2): 259-265.</w:t>
            </w:r>
          </w:p>
        </w:tc>
        <w:tc>
          <w:tcPr>
            <w:tcW w:w="3977" w:type="dxa"/>
          </w:tcPr>
          <w:p w14:paraId="317053F1" w14:textId="77777777" w:rsidR="001D5FFB" w:rsidRPr="005176BD" w:rsidRDefault="001D5FFB" w:rsidP="003B611A">
            <w:pPr>
              <w:rPr>
                <w:rFonts w:cs="Arial"/>
                <w:color w:val="0000FF"/>
                <w:sz w:val="20"/>
                <w:szCs w:val="20"/>
                <w:u w:val="single"/>
              </w:rPr>
            </w:pPr>
            <w:r w:rsidRPr="005176BD">
              <w:rPr>
                <w:rFonts w:cs="Arial"/>
                <w:sz w:val="20"/>
                <w:szCs w:val="20"/>
              </w:rPr>
              <w:t xml:space="preserve">Peeters G, </w:t>
            </w:r>
            <w:proofErr w:type="spellStart"/>
            <w:r w:rsidRPr="005176BD">
              <w:rPr>
                <w:rFonts w:cs="Arial"/>
                <w:sz w:val="20"/>
                <w:szCs w:val="20"/>
              </w:rPr>
              <w:t>Tett</w:t>
            </w:r>
            <w:proofErr w:type="spellEnd"/>
            <w:r w:rsidRPr="005176BD">
              <w:rPr>
                <w:rFonts w:cs="Arial"/>
                <w:sz w:val="20"/>
                <w:szCs w:val="20"/>
              </w:rPr>
              <w:t xml:space="preserve"> S, </w:t>
            </w:r>
            <w:proofErr w:type="spellStart"/>
            <w:r w:rsidRPr="005176BD">
              <w:rPr>
                <w:rFonts w:cs="Arial"/>
                <w:sz w:val="20"/>
                <w:szCs w:val="20"/>
              </w:rPr>
              <w:t>Hollingworth</w:t>
            </w:r>
            <w:proofErr w:type="spellEnd"/>
            <w:r w:rsidRPr="005176BD">
              <w:rPr>
                <w:rFonts w:cs="Arial"/>
                <w:sz w:val="20"/>
                <w:szCs w:val="20"/>
              </w:rPr>
              <w:t xml:space="preserve"> S, </w:t>
            </w:r>
            <w:proofErr w:type="spellStart"/>
            <w:r w:rsidRPr="005176BD">
              <w:rPr>
                <w:rFonts w:cs="Arial"/>
                <w:sz w:val="20"/>
                <w:szCs w:val="20"/>
              </w:rPr>
              <w:t>Gnjidic</w:t>
            </w:r>
            <w:proofErr w:type="spellEnd"/>
            <w:r w:rsidRPr="005176BD">
              <w:rPr>
                <w:rFonts w:cs="Arial"/>
                <w:sz w:val="20"/>
                <w:szCs w:val="20"/>
              </w:rPr>
              <w:t xml:space="preserve"> D, </w:t>
            </w:r>
            <w:proofErr w:type="spellStart"/>
            <w:r w:rsidRPr="005176BD">
              <w:rPr>
                <w:rFonts w:cs="Arial"/>
                <w:sz w:val="20"/>
                <w:szCs w:val="20"/>
              </w:rPr>
              <w:t>Hilmer</w:t>
            </w:r>
            <w:proofErr w:type="spellEnd"/>
            <w:r w:rsidRPr="005176BD">
              <w:rPr>
                <w:rFonts w:cs="Arial"/>
                <w:sz w:val="20"/>
                <w:szCs w:val="20"/>
              </w:rPr>
              <w:t xml:space="preserve"> S, Dobson A &amp; Hubbard R.</w:t>
            </w:r>
          </w:p>
        </w:tc>
        <w:tc>
          <w:tcPr>
            <w:tcW w:w="1440" w:type="dxa"/>
          </w:tcPr>
          <w:p w14:paraId="3D511C24" w14:textId="77777777" w:rsidR="001D5FFB" w:rsidRPr="005176BD" w:rsidRDefault="001D5FFB" w:rsidP="003B611A">
            <w:pPr>
              <w:rPr>
                <w:rFonts w:cs="Arial"/>
                <w:sz w:val="20"/>
                <w:szCs w:val="20"/>
              </w:rPr>
            </w:pPr>
            <w:r w:rsidRPr="005176BD">
              <w:rPr>
                <w:rFonts w:cs="Arial"/>
                <w:sz w:val="20"/>
                <w:szCs w:val="20"/>
              </w:rPr>
              <w:t>7</w:t>
            </w:r>
          </w:p>
        </w:tc>
      </w:tr>
      <w:tr w:rsidR="00084B2B" w:rsidRPr="00084B2B" w14:paraId="601CE4BD" w14:textId="77777777" w:rsidTr="0011030B">
        <w:tc>
          <w:tcPr>
            <w:tcW w:w="8438" w:type="dxa"/>
          </w:tcPr>
          <w:p w14:paraId="1B95B619" w14:textId="77777777" w:rsidR="00084B2B" w:rsidRPr="005176BD" w:rsidRDefault="00084B2B" w:rsidP="003B611A">
            <w:pPr>
              <w:rPr>
                <w:rFonts w:cs="Arial"/>
                <w:bCs/>
                <w:color w:val="000000"/>
                <w:sz w:val="20"/>
                <w:szCs w:val="20"/>
                <w:lang w:eastAsia="en-AU"/>
              </w:rPr>
            </w:pPr>
            <w:r w:rsidRPr="005176BD">
              <w:rPr>
                <w:rFonts w:cs="Arial"/>
                <w:bCs/>
                <w:color w:val="000000"/>
                <w:sz w:val="20"/>
                <w:szCs w:val="20"/>
                <w:lang w:eastAsia="en-AU"/>
              </w:rPr>
              <w:t>Cumulative incidence of admission to permanent residential aged care for Australian women – A competing risk analysis. Australian and New Zealand Journal of Public Health, 2017, 42(2); 166-171</w:t>
            </w:r>
          </w:p>
        </w:tc>
        <w:tc>
          <w:tcPr>
            <w:tcW w:w="3977" w:type="dxa"/>
          </w:tcPr>
          <w:p w14:paraId="5977A4B6" w14:textId="77777777" w:rsidR="00084B2B" w:rsidRPr="005176BD" w:rsidRDefault="00084B2B" w:rsidP="003B611A">
            <w:pPr>
              <w:rPr>
                <w:rFonts w:cs="Arial"/>
                <w:bCs/>
                <w:color w:val="0000FF"/>
                <w:sz w:val="20"/>
                <w:szCs w:val="20"/>
                <w:u w:val="single"/>
                <w:lang w:eastAsia="en-AU"/>
              </w:rPr>
            </w:pPr>
            <w:r w:rsidRPr="005176BD">
              <w:rPr>
                <w:rFonts w:cs="Arial"/>
                <w:sz w:val="20"/>
                <w:szCs w:val="20"/>
              </w:rPr>
              <w:t xml:space="preserve">Forder P, Byles J, Vo K, </w:t>
            </w:r>
            <w:proofErr w:type="spellStart"/>
            <w:r w:rsidRPr="005176BD">
              <w:rPr>
                <w:rFonts w:cs="Arial"/>
                <w:sz w:val="20"/>
                <w:szCs w:val="20"/>
              </w:rPr>
              <w:t>Curryer</w:t>
            </w:r>
            <w:proofErr w:type="spellEnd"/>
            <w:r w:rsidRPr="005176BD">
              <w:rPr>
                <w:rFonts w:cs="Arial"/>
                <w:sz w:val="20"/>
                <w:szCs w:val="20"/>
              </w:rPr>
              <w:t xml:space="preserve"> C &amp; Loxton D.</w:t>
            </w:r>
          </w:p>
        </w:tc>
        <w:tc>
          <w:tcPr>
            <w:tcW w:w="1440" w:type="dxa"/>
          </w:tcPr>
          <w:p w14:paraId="5DF6CCD5" w14:textId="5820369A" w:rsidR="00084B2B" w:rsidRPr="005176BD" w:rsidRDefault="004979FE" w:rsidP="003B611A">
            <w:pPr>
              <w:rPr>
                <w:rFonts w:cs="Arial"/>
                <w:bCs/>
                <w:color w:val="000000"/>
                <w:sz w:val="20"/>
                <w:szCs w:val="20"/>
                <w:lang w:eastAsia="en-AU"/>
              </w:rPr>
            </w:pPr>
            <w:r w:rsidRPr="005176BD">
              <w:rPr>
                <w:rFonts w:cs="Arial"/>
                <w:bCs/>
                <w:color w:val="000000"/>
                <w:sz w:val="20"/>
                <w:szCs w:val="20"/>
                <w:lang w:eastAsia="en-AU"/>
              </w:rPr>
              <w:t>1</w:t>
            </w:r>
          </w:p>
        </w:tc>
      </w:tr>
      <w:tr w:rsidR="00084B2B" w:rsidRPr="00084B2B" w14:paraId="710D3FD5" w14:textId="77777777" w:rsidTr="0011030B">
        <w:tc>
          <w:tcPr>
            <w:tcW w:w="8438" w:type="dxa"/>
          </w:tcPr>
          <w:p w14:paraId="4F800CF0" w14:textId="69B65626" w:rsidR="00084B2B" w:rsidRPr="005176BD" w:rsidRDefault="00084B2B" w:rsidP="003B611A">
            <w:pPr>
              <w:rPr>
                <w:rFonts w:cs="Arial"/>
                <w:bCs/>
                <w:color w:val="000000"/>
                <w:sz w:val="20"/>
                <w:szCs w:val="20"/>
                <w:lang w:eastAsia="en-AU"/>
              </w:rPr>
            </w:pPr>
            <w:r w:rsidRPr="005176BD">
              <w:rPr>
                <w:rFonts w:cs="Arial"/>
                <w:bCs/>
                <w:color w:val="000000"/>
                <w:sz w:val="20"/>
                <w:szCs w:val="20"/>
                <w:lang w:eastAsia="en-AU"/>
              </w:rPr>
              <w:t>Joint modelling of the relationship between sleep, disease and mortality, exclusively in a cohort of older Australian women (aged 70-75 years at baseline). Journal of Statistics: Advances in Theory and Applications, 2016</w:t>
            </w:r>
            <w:r w:rsidR="004909A9" w:rsidRPr="005176BD">
              <w:rPr>
                <w:rFonts w:cs="Arial"/>
                <w:bCs/>
                <w:color w:val="000000"/>
                <w:sz w:val="20"/>
                <w:szCs w:val="20"/>
                <w:lang w:eastAsia="en-AU"/>
              </w:rPr>
              <w:t>;</w:t>
            </w:r>
            <w:r w:rsidRPr="005176BD">
              <w:rPr>
                <w:rFonts w:cs="Arial"/>
                <w:bCs/>
                <w:color w:val="000000"/>
                <w:sz w:val="20"/>
                <w:szCs w:val="20"/>
                <w:lang w:eastAsia="en-AU"/>
              </w:rPr>
              <w:t xml:space="preserve"> 16(2)</w:t>
            </w:r>
            <w:r w:rsidR="004909A9" w:rsidRPr="005176BD">
              <w:rPr>
                <w:rFonts w:cs="Arial"/>
                <w:bCs/>
                <w:color w:val="000000"/>
                <w:sz w:val="20"/>
                <w:szCs w:val="20"/>
                <w:lang w:eastAsia="en-AU"/>
              </w:rPr>
              <w:t>:</w:t>
            </w:r>
            <w:r w:rsidRPr="005176BD">
              <w:rPr>
                <w:rFonts w:cs="Arial"/>
                <w:bCs/>
                <w:color w:val="000000"/>
                <w:sz w:val="20"/>
                <w:szCs w:val="20"/>
                <w:lang w:eastAsia="en-AU"/>
              </w:rPr>
              <w:t xml:space="preserve"> 185-254</w:t>
            </w:r>
            <w:r w:rsidR="004909A9" w:rsidRPr="005176BD">
              <w:rPr>
                <w:rFonts w:cs="Arial"/>
                <w:bCs/>
                <w:color w:val="000000"/>
                <w:sz w:val="20"/>
                <w:szCs w:val="20"/>
                <w:lang w:eastAsia="en-AU"/>
              </w:rPr>
              <w:t>.</w:t>
            </w:r>
          </w:p>
        </w:tc>
        <w:tc>
          <w:tcPr>
            <w:tcW w:w="3977" w:type="dxa"/>
          </w:tcPr>
          <w:p w14:paraId="7E7D2AB3" w14:textId="77777777" w:rsidR="00084B2B" w:rsidRPr="005176BD" w:rsidRDefault="00084B2B" w:rsidP="003B611A">
            <w:pPr>
              <w:rPr>
                <w:rFonts w:cs="Arial"/>
                <w:bCs/>
                <w:color w:val="000000"/>
                <w:sz w:val="20"/>
                <w:szCs w:val="20"/>
                <w:lang w:eastAsia="en-AU"/>
              </w:rPr>
            </w:pPr>
            <w:r w:rsidRPr="005176BD">
              <w:rPr>
                <w:rFonts w:cs="Arial"/>
                <w:sz w:val="20"/>
                <w:szCs w:val="20"/>
              </w:rPr>
              <w:t>Leigh L, Hudson I &amp; Byles J.</w:t>
            </w:r>
          </w:p>
        </w:tc>
        <w:tc>
          <w:tcPr>
            <w:tcW w:w="1440" w:type="dxa"/>
          </w:tcPr>
          <w:p w14:paraId="22DC1B3A" w14:textId="5E20DBFF" w:rsidR="00084B2B" w:rsidRPr="005176BD" w:rsidRDefault="00084B2B" w:rsidP="003B611A">
            <w:pPr>
              <w:rPr>
                <w:rFonts w:cs="Arial"/>
                <w:bCs/>
                <w:color w:val="000000"/>
                <w:sz w:val="20"/>
                <w:szCs w:val="20"/>
                <w:lang w:eastAsia="en-AU"/>
              </w:rPr>
            </w:pPr>
          </w:p>
        </w:tc>
      </w:tr>
      <w:tr w:rsidR="00084B2B" w:rsidRPr="00084B2B" w14:paraId="2EEF844B" w14:textId="77777777" w:rsidTr="0011030B">
        <w:tc>
          <w:tcPr>
            <w:tcW w:w="8438" w:type="dxa"/>
          </w:tcPr>
          <w:p w14:paraId="2456BE53" w14:textId="69BE1DB3" w:rsidR="00084B2B" w:rsidRPr="005176BD" w:rsidRDefault="00084B2B" w:rsidP="003B611A">
            <w:pPr>
              <w:rPr>
                <w:rFonts w:cs="Arial"/>
                <w:sz w:val="20"/>
                <w:szCs w:val="20"/>
              </w:rPr>
            </w:pPr>
            <w:r w:rsidRPr="005176BD">
              <w:rPr>
                <w:rFonts w:cs="Arial"/>
                <w:sz w:val="20"/>
                <w:szCs w:val="20"/>
              </w:rPr>
              <w:t xml:space="preserve">First incident hospitalisation for Australian women aged 70 and beyond: </w:t>
            </w:r>
            <w:r w:rsidR="0007184E" w:rsidRPr="005176BD">
              <w:rPr>
                <w:rFonts w:cs="Arial"/>
                <w:sz w:val="20"/>
                <w:szCs w:val="20"/>
              </w:rPr>
              <w:t xml:space="preserve">A </w:t>
            </w:r>
            <w:r w:rsidRPr="005176BD">
              <w:rPr>
                <w:rFonts w:cs="Arial"/>
                <w:sz w:val="20"/>
                <w:szCs w:val="20"/>
              </w:rPr>
              <w:t>10 year examination using competing risks. Archives of Gerontology and Geriatrics, 2016</w:t>
            </w:r>
            <w:r w:rsidR="007750D8" w:rsidRPr="005176BD">
              <w:rPr>
                <w:rFonts w:cs="Arial"/>
                <w:sz w:val="20"/>
                <w:szCs w:val="20"/>
              </w:rPr>
              <w:t>:</w:t>
            </w:r>
            <w:r w:rsidRPr="005176BD">
              <w:rPr>
                <w:rFonts w:cs="Arial"/>
                <w:sz w:val="20"/>
                <w:szCs w:val="20"/>
              </w:rPr>
              <w:t xml:space="preserve"> 64</w:t>
            </w:r>
            <w:r w:rsidR="007750D8" w:rsidRPr="005176BD">
              <w:rPr>
                <w:rFonts w:cs="Arial"/>
                <w:sz w:val="20"/>
                <w:szCs w:val="20"/>
              </w:rPr>
              <w:t>:</w:t>
            </w:r>
            <w:r w:rsidRPr="005176BD">
              <w:rPr>
                <w:rFonts w:cs="Arial"/>
                <w:sz w:val="20"/>
                <w:szCs w:val="20"/>
              </w:rPr>
              <w:t xml:space="preserve"> 29-73</w:t>
            </w:r>
          </w:p>
        </w:tc>
        <w:tc>
          <w:tcPr>
            <w:tcW w:w="3977" w:type="dxa"/>
          </w:tcPr>
          <w:p w14:paraId="2ED03804" w14:textId="77777777" w:rsidR="00084B2B" w:rsidRPr="005176BD" w:rsidRDefault="00084B2B" w:rsidP="003B611A">
            <w:pPr>
              <w:rPr>
                <w:rFonts w:cs="Arial"/>
                <w:bCs/>
                <w:color w:val="0000FF"/>
                <w:sz w:val="20"/>
                <w:szCs w:val="20"/>
                <w:u w:val="single"/>
                <w:lang w:eastAsia="en-AU"/>
              </w:rPr>
            </w:pPr>
            <w:r w:rsidRPr="005176BD">
              <w:rPr>
                <w:rFonts w:cs="Arial"/>
                <w:sz w:val="20"/>
                <w:szCs w:val="20"/>
              </w:rPr>
              <w:t xml:space="preserve">Harris ML, Dolja-Gore X, </w:t>
            </w:r>
            <w:proofErr w:type="spellStart"/>
            <w:r w:rsidRPr="005176BD">
              <w:rPr>
                <w:rFonts w:cs="Arial"/>
                <w:sz w:val="20"/>
                <w:szCs w:val="20"/>
              </w:rPr>
              <w:t>Kendig</w:t>
            </w:r>
            <w:proofErr w:type="spellEnd"/>
            <w:r w:rsidRPr="005176BD">
              <w:rPr>
                <w:rFonts w:cs="Arial"/>
                <w:sz w:val="20"/>
                <w:szCs w:val="20"/>
              </w:rPr>
              <w:t xml:space="preserve"> H &amp; Byles JE.</w:t>
            </w:r>
          </w:p>
        </w:tc>
        <w:tc>
          <w:tcPr>
            <w:tcW w:w="1440" w:type="dxa"/>
          </w:tcPr>
          <w:p w14:paraId="0501BE55" w14:textId="5F83284C" w:rsidR="00084B2B" w:rsidRPr="005176BD" w:rsidRDefault="004979FE" w:rsidP="003B611A">
            <w:pPr>
              <w:rPr>
                <w:rFonts w:cs="Arial"/>
                <w:bCs/>
                <w:color w:val="000000"/>
                <w:sz w:val="20"/>
                <w:szCs w:val="20"/>
                <w:lang w:eastAsia="en-AU"/>
              </w:rPr>
            </w:pPr>
            <w:r w:rsidRPr="005176BD">
              <w:rPr>
                <w:rFonts w:cs="Arial"/>
                <w:bCs/>
                <w:color w:val="000000"/>
                <w:sz w:val="20"/>
                <w:szCs w:val="20"/>
                <w:lang w:eastAsia="en-AU"/>
              </w:rPr>
              <w:t>1</w:t>
            </w:r>
          </w:p>
        </w:tc>
      </w:tr>
      <w:tr w:rsidR="00084B2B" w:rsidRPr="00084B2B" w14:paraId="5CA2F20D" w14:textId="77777777" w:rsidTr="0011030B">
        <w:tc>
          <w:tcPr>
            <w:tcW w:w="8438" w:type="dxa"/>
          </w:tcPr>
          <w:p w14:paraId="531DF7D9" w14:textId="5A32A568" w:rsidR="00084B2B" w:rsidRPr="005176BD" w:rsidRDefault="007750D8" w:rsidP="003B611A">
            <w:pPr>
              <w:rPr>
                <w:rFonts w:cs="Arial"/>
                <w:sz w:val="20"/>
                <w:szCs w:val="20"/>
              </w:rPr>
            </w:pPr>
            <w:r w:rsidRPr="005176BD">
              <w:rPr>
                <w:rFonts w:cs="Arial"/>
                <w:sz w:val="20"/>
                <w:szCs w:val="20"/>
              </w:rPr>
              <w:t>Discordance between self-reported arthritis and musculoskeletal signs and symptoms in older women. BMC Musculoskeletal Disorders Journal, 2016; 17(494): 1-9.</w:t>
            </w:r>
          </w:p>
        </w:tc>
        <w:tc>
          <w:tcPr>
            <w:tcW w:w="3977" w:type="dxa"/>
          </w:tcPr>
          <w:p w14:paraId="3FBA23DD" w14:textId="77777777" w:rsidR="00084B2B" w:rsidRPr="005176BD" w:rsidRDefault="00084B2B" w:rsidP="003B611A">
            <w:pPr>
              <w:rPr>
                <w:rFonts w:cs="Arial"/>
                <w:color w:val="0000FF"/>
                <w:sz w:val="20"/>
                <w:szCs w:val="20"/>
                <w:u w:val="single"/>
              </w:rPr>
            </w:pPr>
            <w:r w:rsidRPr="005176BD">
              <w:rPr>
                <w:rFonts w:cs="Arial"/>
                <w:sz w:val="20"/>
                <w:szCs w:val="20"/>
              </w:rPr>
              <w:t>Lo TKT, Parkinson L, Cunich M &amp; Byles J.</w:t>
            </w:r>
          </w:p>
        </w:tc>
        <w:tc>
          <w:tcPr>
            <w:tcW w:w="1440" w:type="dxa"/>
          </w:tcPr>
          <w:p w14:paraId="62FE9B91" w14:textId="3C23EC81" w:rsidR="00084B2B" w:rsidRPr="005176BD" w:rsidRDefault="004979FE" w:rsidP="003B611A">
            <w:pPr>
              <w:rPr>
                <w:rFonts w:cs="Arial"/>
                <w:sz w:val="20"/>
                <w:szCs w:val="20"/>
              </w:rPr>
            </w:pPr>
            <w:r w:rsidRPr="005176BD">
              <w:rPr>
                <w:rFonts w:cs="Arial"/>
                <w:sz w:val="20"/>
                <w:szCs w:val="20"/>
              </w:rPr>
              <w:t>3</w:t>
            </w:r>
          </w:p>
        </w:tc>
      </w:tr>
      <w:tr w:rsidR="00084B2B" w:rsidRPr="00084B2B" w14:paraId="63403EEB" w14:textId="77777777" w:rsidTr="0011030B">
        <w:tc>
          <w:tcPr>
            <w:tcW w:w="8438" w:type="dxa"/>
          </w:tcPr>
          <w:p w14:paraId="722CB788" w14:textId="7FF0ACE4" w:rsidR="00084B2B" w:rsidRPr="005176BD" w:rsidRDefault="00084B2B" w:rsidP="003B611A">
            <w:pPr>
              <w:rPr>
                <w:rFonts w:cs="Arial"/>
                <w:sz w:val="20"/>
                <w:szCs w:val="20"/>
              </w:rPr>
            </w:pPr>
            <w:r w:rsidRPr="005176BD">
              <w:rPr>
                <w:rFonts w:cs="Arial"/>
                <w:sz w:val="20"/>
                <w:szCs w:val="20"/>
              </w:rPr>
              <w:t xml:space="preserve">Impact of asthma on mortality in older women: </w:t>
            </w:r>
            <w:r w:rsidR="004909A9" w:rsidRPr="005176BD">
              <w:rPr>
                <w:rFonts w:cs="Arial"/>
                <w:sz w:val="20"/>
                <w:szCs w:val="20"/>
              </w:rPr>
              <w:t>A</w:t>
            </w:r>
            <w:r w:rsidRPr="005176BD">
              <w:rPr>
                <w:rFonts w:cs="Arial"/>
                <w:sz w:val="20"/>
                <w:szCs w:val="20"/>
              </w:rPr>
              <w:t>n Australian cohort study of 10,413 women. Respiratory Medicine, 2016</w:t>
            </w:r>
            <w:r w:rsidR="004909A9" w:rsidRPr="005176BD">
              <w:rPr>
                <w:rFonts w:cs="Arial"/>
                <w:sz w:val="20"/>
                <w:szCs w:val="20"/>
              </w:rPr>
              <w:t>;</w:t>
            </w:r>
            <w:r w:rsidRPr="005176BD">
              <w:rPr>
                <w:rFonts w:cs="Arial"/>
                <w:sz w:val="20"/>
                <w:szCs w:val="20"/>
              </w:rPr>
              <w:t xml:space="preserve"> 119</w:t>
            </w:r>
            <w:r w:rsidR="004909A9" w:rsidRPr="005176BD">
              <w:rPr>
                <w:rFonts w:cs="Arial"/>
                <w:sz w:val="20"/>
                <w:szCs w:val="20"/>
              </w:rPr>
              <w:t xml:space="preserve">: </w:t>
            </w:r>
            <w:r w:rsidRPr="005176BD">
              <w:rPr>
                <w:rFonts w:cs="Arial"/>
                <w:sz w:val="20"/>
                <w:szCs w:val="20"/>
              </w:rPr>
              <w:t>102-108</w:t>
            </w:r>
            <w:r w:rsidR="004909A9" w:rsidRPr="005176BD">
              <w:rPr>
                <w:rFonts w:cs="Arial"/>
                <w:sz w:val="20"/>
                <w:szCs w:val="20"/>
              </w:rPr>
              <w:t>.</w:t>
            </w:r>
          </w:p>
        </w:tc>
        <w:tc>
          <w:tcPr>
            <w:tcW w:w="3977" w:type="dxa"/>
          </w:tcPr>
          <w:p w14:paraId="3889E24E" w14:textId="77777777" w:rsidR="00084B2B" w:rsidRPr="005176BD" w:rsidRDefault="00084B2B" w:rsidP="003B611A">
            <w:pPr>
              <w:rPr>
                <w:rFonts w:cs="Arial"/>
                <w:color w:val="0000FF"/>
                <w:sz w:val="20"/>
                <w:szCs w:val="20"/>
                <w:u w:val="single"/>
              </w:rPr>
            </w:pPr>
            <w:proofErr w:type="spellStart"/>
            <w:r w:rsidRPr="005176BD">
              <w:rPr>
                <w:rFonts w:cs="Arial"/>
                <w:sz w:val="20"/>
                <w:szCs w:val="20"/>
              </w:rPr>
              <w:t>Eftekhari</w:t>
            </w:r>
            <w:proofErr w:type="spellEnd"/>
            <w:r w:rsidRPr="005176BD">
              <w:rPr>
                <w:rFonts w:cs="Arial"/>
                <w:sz w:val="20"/>
                <w:szCs w:val="20"/>
              </w:rPr>
              <w:t xml:space="preserve"> P, Forder PM, Majeed T&amp; Byles JE.</w:t>
            </w:r>
          </w:p>
        </w:tc>
        <w:tc>
          <w:tcPr>
            <w:tcW w:w="1440" w:type="dxa"/>
          </w:tcPr>
          <w:p w14:paraId="1CBB9498" w14:textId="58159816" w:rsidR="00084B2B" w:rsidRPr="005176BD" w:rsidRDefault="004979FE" w:rsidP="003B611A">
            <w:pPr>
              <w:rPr>
                <w:rFonts w:cs="Arial"/>
                <w:sz w:val="20"/>
                <w:szCs w:val="20"/>
              </w:rPr>
            </w:pPr>
            <w:r w:rsidRPr="005176BD">
              <w:rPr>
                <w:rFonts w:cs="Arial"/>
                <w:sz w:val="20"/>
                <w:szCs w:val="20"/>
              </w:rPr>
              <w:t>1</w:t>
            </w:r>
          </w:p>
        </w:tc>
      </w:tr>
      <w:tr w:rsidR="00084B2B" w:rsidRPr="00084B2B" w14:paraId="7423A21F" w14:textId="77777777" w:rsidTr="0011030B">
        <w:tc>
          <w:tcPr>
            <w:tcW w:w="8438" w:type="dxa"/>
          </w:tcPr>
          <w:p w14:paraId="32BAA3F3" w14:textId="741DDD49" w:rsidR="00084B2B" w:rsidRPr="005176BD" w:rsidRDefault="00084B2B" w:rsidP="003B611A">
            <w:pPr>
              <w:rPr>
                <w:rFonts w:cs="Arial"/>
                <w:sz w:val="20"/>
                <w:szCs w:val="20"/>
              </w:rPr>
            </w:pPr>
            <w:r w:rsidRPr="005176BD">
              <w:rPr>
                <w:rFonts w:cs="Arial"/>
                <w:sz w:val="20"/>
                <w:szCs w:val="20"/>
              </w:rPr>
              <w:t>End of life hospitalisations differ for older Australian women according to death trajectory: a longitudinal data linkage study. BMC Health Services, 2016</w:t>
            </w:r>
            <w:r w:rsidR="004909A9" w:rsidRPr="005176BD">
              <w:rPr>
                <w:rFonts w:cs="Arial"/>
                <w:sz w:val="20"/>
                <w:szCs w:val="20"/>
              </w:rPr>
              <w:t>;</w:t>
            </w:r>
            <w:r w:rsidRPr="005176BD">
              <w:rPr>
                <w:rFonts w:cs="Arial"/>
                <w:sz w:val="20"/>
                <w:szCs w:val="20"/>
              </w:rPr>
              <w:t xml:space="preserve"> 16(1)</w:t>
            </w:r>
            <w:r w:rsidR="004909A9" w:rsidRPr="005176BD">
              <w:rPr>
                <w:rFonts w:cs="Arial"/>
                <w:sz w:val="20"/>
                <w:szCs w:val="20"/>
              </w:rPr>
              <w:t xml:space="preserve">: </w:t>
            </w:r>
            <w:r w:rsidRPr="005176BD">
              <w:rPr>
                <w:rFonts w:cs="Arial"/>
                <w:sz w:val="20"/>
                <w:szCs w:val="20"/>
              </w:rPr>
              <w:t>484</w:t>
            </w:r>
            <w:r w:rsidR="004909A9" w:rsidRPr="005176BD">
              <w:rPr>
                <w:rFonts w:cs="Arial"/>
                <w:sz w:val="20"/>
                <w:szCs w:val="20"/>
              </w:rPr>
              <w:t>.</w:t>
            </w:r>
          </w:p>
        </w:tc>
        <w:tc>
          <w:tcPr>
            <w:tcW w:w="3977" w:type="dxa"/>
          </w:tcPr>
          <w:p w14:paraId="3D306E4E" w14:textId="77777777" w:rsidR="00084B2B" w:rsidRPr="005176BD" w:rsidRDefault="00084B2B" w:rsidP="003B611A">
            <w:pPr>
              <w:rPr>
                <w:rFonts w:cs="Arial"/>
                <w:color w:val="0000FF"/>
                <w:sz w:val="20"/>
                <w:szCs w:val="20"/>
                <w:u w:val="single"/>
              </w:rPr>
            </w:pPr>
            <w:r w:rsidRPr="005176BD">
              <w:rPr>
                <w:rFonts w:cs="Arial"/>
                <w:sz w:val="20"/>
                <w:szCs w:val="20"/>
              </w:rPr>
              <w:t xml:space="preserve">Harris ML, Dolja-Gore X, </w:t>
            </w:r>
            <w:proofErr w:type="spellStart"/>
            <w:r w:rsidRPr="005176BD">
              <w:rPr>
                <w:rFonts w:cs="Arial"/>
                <w:sz w:val="20"/>
                <w:szCs w:val="20"/>
              </w:rPr>
              <w:t>Kendig</w:t>
            </w:r>
            <w:proofErr w:type="spellEnd"/>
            <w:r w:rsidRPr="005176BD">
              <w:rPr>
                <w:rFonts w:cs="Arial"/>
                <w:sz w:val="20"/>
                <w:szCs w:val="20"/>
              </w:rPr>
              <w:t xml:space="preserve"> H, Byles JE</w:t>
            </w:r>
          </w:p>
        </w:tc>
        <w:tc>
          <w:tcPr>
            <w:tcW w:w="1440" w:type="dxa"/>
          </w:tcPr>
          <w:p w14:paraId="060475B0" w14:textId="764EB081" w:rsidR="00084B2B" w:rsidRPr="005176BD" w:rsidRDefault="004979FE" w:rsidP="003B611A">
            <w:pPr>
              <w:rPr>
                <w:rFonts w:cs="Arial"/>
                <w:sz w:val="20"/>
                <w:szCs w:val="20"/>
              </w:rPr>
            </w:pPr>
            <w:r w:rsidRPr="005176BD">
              <w:rPr>
                <w:rFonts w:cs="Arial"/>
                <w:sz w:val="20"/>
                <w:szCs w:val="20"/>
              </w:rPr>
              <w:t>2</w:t>
            </w:r>
          </w:p>
        </w:tc>
      </w:tr>
      <w:tr w:rsidR="00084B2B" w:rsidRPr="00084B2B" w14:paraId="1F977DA8" w14:textId="77777777" w:rsidTr="0011030B">
        <w:tc>
          <w:tcPr>
            <w:tcW w:w="8438" w:type="dxa"/>
            <w:tcBorders>
              <w:top w:val="single" w:sz="4" w:space="0" w:color="auto"/>
              <w:left w:val="single" w:sz="4" w:space="0" w:color="C0C0C0"/>
              <w:bottom w:val="single" w:sz="4" w:space="0" w:color="auto"/>
              <w:right w:val="single" w:sz="4" w:space="0" w:color="C0C0C0"/>
            </w:tcBorders>
            <w:shd w:val="clear" w:color="auto" w:fill="auto"/>
          </w:tcPr>
          <w:p w14:paraId="160F8084" w14:textId="02CE30D9" w:rsidR="00084B2B" w:rsidRPr="005176BD" w:rsidRDefault="00084B2B" w:rsidP="003B611A">
            <w:pPr>
              <w:rPr>
                <w:rFonts w:cs="Arial"/>
                <w:sz w:val="20"/>
                <w:szCs w:val="20"/>
              </w:rPr>
            </w:pPr>
            <w:r w:rsidRPr="005176BD">
              <w:rPr>
                <w:rFonts w:cs="Arial"/>
                <w:sz w:val="20"/>
                <w:szCs w:val="20"/>
              </w:rPr>
              <w:t>Changes in housing among older women: Latent class analysis of housing patterns in older Australian women. Urban Studies, 2016</w:t>
            </w:r>
            <w:r w:rsidR="007750D8" w:rsidRPr="005176BD">
              <w:rPr>
                <w:rFonts w:cs="Arial"/>
                <w:sz w:val="20"/>
                <w:szCs w:val="20"/>
              </w:rPr>
              <w:t>;</w:t>
            </w:r>
            <w:r w:rsidRPr="005176BD">
              <w:rPr>
                <w:rFonts w:cs="Arial"/>
                <w:sz w:val="20"/>
                <w:szCs w:val="20"/>
              </w:rPr>
              <w:t xml:space="preserve"> 55(4)</w:t>
            </w:r>
            <w:r w:rsidR="004909A9" w:rsidRPr="005176BD">
              <w:rPr>
                <w:rFonts w:cs="Arial"/>
                <w:sz w:val="20"/>
                <w:szCs w:val="20"/>
              </w:rPr>
              <w:t xml:space="preserve">: </w:t>
            </w:r>
            <w:r w:rsidRPr="005176BD">
              <w:rPr>
                <w:rFonts w:cs="Arial"/>
                <w:sz w:val="20"/>
                <w:szCs w:val="20"/>
              </w:rPr>
              <w:t>1-17</w:t>
            </w:r>
            <w:r w:rsidR="004909A9" w:rsidRPr="005176BD">
              <w:rPr>
                <w:rFonts w:cs="Arial"/>
                <w:sz w:val="20"/>
                <w:szCs w:val="20"/>
              </w:rPr>
              <w:t>.</w:t>
            </w:r>
          </w:p>
        </w:tc>
        <w:tc>
          <w:tcPr>
            <w:tcW w:w="3977" w:type="dxa"/>
          </w:tcPr>
          <w:p w14:paraId="6BC2082A" w14:textId="77777777" w:rsidR="00084B2B" w:rsidRPr="005176BD" w:rsidRDefault="00084B2B" w:rsidP="003B611A">
            <w:pPr>
              <w:rPr>
                <w:rFonts w:cs="Arial"/>
                <w:color w:val="0000FF"/>
                <w:sz w:val="20"/>
                <w:szCs w:val="20"/>
                <w:u w:val="single"/>
              </w:rPr>
            </w:pPr>
            <w:r w:rsidRPr="005176BD">
              <w:rPr>
                <w:rFonts w:cs="Arial"/>
                <w:sz w:val="20"/>
                <w:szCs w:val="20"/>
              </w:rPr>
              <w:t xml:space="preserve">Byles J, </w:t>
            </w:r>
            <w:proofErr w:type="spellStart"/>
            <w:r w:rsidRPr="005176BD">
              <w:rPr>
                <w:rFonts w:cs="Arial"/>
                <w:sz w:val="20"/>
                <w:szCs w:val="20"/>
              </w:rPr>
              <w:t>Curryer</w:t>
            </w:r>
            <w:proofErr w:type="spellEnd"/>
            <w:r w:rsidRPr="005176BD">
              <w:rPr>
                <w:rFonts w:cs="Arial"/>
                <w:sz w:val="20"/>
                <w:szCs w:val="20"/>
              </w:rPr>
              <w:t xml:space="preserve"> C, Vo K, Forder P, Loxton D &amp; McLaughlin D.</w:t>
            </w:r>
          </w:p>
        </w:tc>
        <w:tc>
          <w:tcPr>
            <w:tcW w:w="1440" w:type="dxa"/>
          </w:tcPr>
          <w:p w14:paraId="0DC026A7" w14:textId="4992D28F" w:rsidR="00084B2B" w:rsidRPr="005176BD" w:rsidRDefault="004979FE" w:rsidP="003B611A">
            <w:pPr>
              <w:rPr>
                <w:rFonts w:cs="Arial"/>
                <w:sz w:val="20"/>
                <w:szCs w:val="20"/>
              </w:rPr>
            </w:pPr>
            <w:r w:rsidRPr="005176BD">
              <w:rPr>
                <w:rFonts w:cs="Arial"/>
                <w:sz w:val="20"/>
                <w:szCs w:val="20"/>
              </w:rPr>
              <w:t>3</w:t>
            </w:r>
          </w:p>
        </w:tc>
      </w:tr>
      <w:tr w:rsidR="00084B2B" w:rsidRPr="00084B2B" w14:paraId="51FB903F" w14:textId="77777777" w:rsidTr="0011030B">
        <w:tc>
          <w:tcPr>
            <w:tcW w:w="8438" w:type="dxa"/>
          </w:tcPr>
          <w:p w14:paraId="11BC5739" w14:textId="0F7E3B73" w:rsidR="00084B2B" w:rsidRPr="005176BD" w:rsidRDefault="00084B2B" w:rsidP="003B611A">
            <w:pPr>
              <w:rPr>
                <w:rFonts w:cs="Arial"/>
                <w:sz w:val="20"/>
                <w:szCs w:val="20"/>
              </w:rPr>
            </w:pPr>
            <w:r w:rsidRPr="005176BD">
              <w:rPr>
                <w:rFonts w:cs="Arial"/>
                <w:sz w:val="20"/>
                <w:szCs w:val="20"/>
              </w:rPr>
              <w:t>Asthma Cycle of Care uptake among Australian older women with asthma. International Medicine Journal, 2016</w:t>
            </w:r>
            <w:r w:rsidR="004909A9" w:rsidRPr="005176BD">
              <w:rPr>
                <w:rFonts w:cs="Arial"/>
                <w:sz w:val="20"/>
                <w:szCs w:val="20"/>
              </w:rPr>
              <w:t xml:space="preserve">; </w:t>
            </w:r>
            <w:r w:rsidRPr="005176BD">
              <w:rPr>
                <w:rFonts w:cs="Arial"/>
                <w:sz w:val="20"/>
                <w:szCs w:val="20"/>
              </w:rPr>
              <w:t>46(8)</w:t>
            </w:r>
            <w:r w:rsidR="004909A9" w:rsidRPr="005176BD">
              <w:rPr>
                <w:rFonts w:cs="Arial"/>
                <w:sz w:val="20"/>
                <w:szCs w:val="20"/>
              </w:rPr>
              <w:t xml:space="preserve">: </w:t>
            </w:r>
            <w:r w:rsidRPr="005176BD">
              <w:rPr>
                <w:rFonts w:cs="Arial"/>
                <w:sz w:val="20"/>
                <w:szCs w:val="20"/>
              </w:rPr>
              <w:t>990-991</w:t>
            </w:r>
            <w:r w:rsidR="004909A9" w:rsidRPr="005176BD">
              <w:rPr>
                <w:rFonts w:cs="Arial"/>
                <w:sz w:val="20"/>
                <w:szCs w:val="20"/>
              </w:rPr>
              <w:t>.</w:t>
            </w:r>
          </w:p>
        </w:tc>
        <w:tc>
          <w:tcPr>
            <w:tcW w:w="3977" w:type="dxa"/>
          </w:tcPr>
          <w:p w14:paraId="016ADA3C" w14:textId="77777777" w:rsidR="00084B2B" w:rsidRPr="005176BD" w:rsidRDefault="00084B2B" w:rsidP="003B611A">
            <w:pPr>
              <w:rPr>
                <w:rFonts w:cs="Arial"/>
                <w:color w:val="0000FF"/>
                <w:sz w:val="20"/>
                <w:szCs w:val="20"/>
                <w:u w:val="single"/>
              </w:rPr>
            </w:pPr>
            <w:proofErr w:type="spellStart"/>
            <w:r w:rsidRPr="005176BD">
              <w:rPr>
                <w:rFonts w:cs="Arial"/>
                <w:sz w:val="20"/>
                <w:szCs w:val="20"/>
              </w:rPr>
              <w:t>Eftekhari</w:t>
            </w:r>
            <w:proofErr w:type="spellEnd"/>
            <w:r w:rsidRPr="005176BD">
              <w:rPr>
                <w:rFonts w:cs="Arial"/>
                <w:sz w:val="20"/>
                <w:szCs w:val="20"/>
              </w:rPr>
              <w:t xml:space="preserve"> P, Forder P &amp; Byles J.</w:t>
            </w:r>
          </w:p>
        </w:tc>
        <w:tc>
          <w:tcPr>
            <w:tcW w:w="1440" w:type="dxa"/>
          </w:tcPr>
          <w:p w14:paraId="7B42EFEF" w14:textId="667B89B0" w:rsidR="00084B2B" w:rsidRPr="005176BD" w:rsidRDefault="004979FE" w:rsidP="003B611A">
            <w:pPr>
              <w:rPr>
                <w:rFonts w:cs="Arial"/>
                <w:sz w:val="20"/>
                <w:szCs w:val="20"/>
              </w:rPr>
            </w:pPr>
            <w:r w:rsidRPr="005176BD">
              <w:rPr>
                <w:rFonts w:cs="Arial"/>
                <w:sz w:val="20"/>
                <w:szCs w:val="20"/>
              </w:rPr>
              <w:t>1</w:t>
            </w:r>
          </w:p>
        </w:tc>
      </w:tr>
      <w:tr w:rsidR="00084B2B" w:rsidRPr="00084B2B" w14:paraId="170A5BCE" w14:textId="77777777" w:rsidTr="0011030B">
        <w:tc>
          <w:tcPr>
            <w:tcW w:w="8438" w:type="dxa"/>
          </w:tcPr>
          <w:p w14:paraId="33C50F07" w14:textId="664DF4E3" w:rsidR="00084B2B" w:rsidRPr="005176BD" w:rsidRDefault="004909A9" w:rsidP="003B611A">
            <w:pPr>
              <w:rPr>
                <w:rFonts w:cs="Arial"/>
                <w:sz w:val="20"/>
                <w:szCs w:val="20"/>
              </w:rPr>
            </w:pPr>
            <w:r w:rsidRPr="005176BD">
              <w:rPr>
                <w:rFonts w:cs="Arial"/>
                <w:sz w:val="20"/>
                <w:szCs w:val="20"/>
              </w:rPr>
              <w:lastRenderedPageBreak/>
              <w:t>BMI</w:t>
            </w:r>
            <w:r w:rsidR="00084B2B" w:rsidRPr="005176BD">
              <w:rPr>
                <w:rFonts w:cs="Arial"/>
                <w:sz w:val="20"/>
                <w:szCs w:val="20"/>
              </w:rPr>
              <w:t xml:space="preserve"> and Healthy Life Expectancy in old and very old women. British Journal of Nutrition, 2016</w:t>
            </w:r>
            <w:r w:rsidRPr="005176BD">
              <w:rPr>
                <w:rFonts w:cs="Arial"/>
                <w:sz w:val="20"/>
                <w:szCs w:val="20"/>
              </w:rPr>
              <w:t xml:space="preserve">; </w:t>
            </w:r>
            <w:r w:rsidR="00084B2B" w:rsidRPr="005176BD">
              <w:rPr>
                <w:rFonts w:cs="Arial"/>
                <w:sz w:val="20"/>
                <w:szCs w:val="20"/>
              </w:rPr>
              <w:t>116(4)</w:t>
            </w:r>
            <w:r w:rsidRPr="005176BD">
              <w:rPr>
                <w:rFonts w:cs="Arial"/>
                <w:sz w:val="20"/>
                <w:szCs w:val="20"/>
              </w:rPr>
              <w:t xml:space="preserve">: </w:t>
            </w:r>
            <w:r w:rsidR="00084B2B" w:rsidRPr="005176BD">
              <w:rPr>
                <w:rFonts w:cs="Arial"/>
                <w:sz w:val="20"/>
                <w:szCs w:val="20"/>
              </w:rPr>
              <w:t>692-699</w:t>
            </w:r>
            <w:r w:rsidRPr="005176BD">
              <w:rPr>
                <w:rFonts w:cs="Arial"/>
                <w:sz w:val="20"/>
                <w:szCs w:val="20"/>
              </w:rPr>
              <w:t>.</w:t>
            </w:r>
          </w:p>
        </w:tc>
        <w:tc>
          <w:tcPr>
            <w:tcW w:w="3977" w:type="dxa"/>
          </w:tcPr>
          <w:p w14:paraId="29DE58B6" w14:textId="77777777" w:rsidR="00084B2B" w:rsidRPr="005176BD" w:rsidRDefault="00084B2B" w:rsidP="003B611A">
            <w:pPr>
              <w:rPr>
                <w:rFonts w:cs="Arial"/>
                <w:color w:val="0000FF"/>
                <w:sz w:val="20"/>
                <w:szCs w:val="20"/>
                <w:u w:val="single"/>
              </w:rPr>
            </w:pPr>
            <w:r w:rsidRPr="005176BD">
              <w:rPr>
                <w:rFonts w:cs="Arial"/>
                <w:sz w:val="20"/>
                <w:szCs w:val="20"/>
              </w:rPr>
              <w:t>Leigh L, Jagger C &amp; Byles J.</w:t>
            </w:r>
          </w:p>
        </w:tc>
        <w:tc>
          <w:tcPr>
            <w:tcW w:w="1440" w:type="dxa"/>
          </w:tcPr>
          <w:p w14:paraId="51FDF770" w14:textId="03CC9DF9" w:rsidR="00084B2B" w:rsidRPr="005176BD" w:rsidRDefault="004979FE" w:rsidP="003B611A">
            <w:pPr>
              <w:rPr>
                <w:rFonts w:cs="Arial"/>
                <w:sz w:val="20"/>
                <w:szCs w:val="20"/>
              </w:rPr>
            </w:pPr>
            <w:r w:rsidRPr="005176BD">
              <w:rPr>
                <w:rFonts w:cs="Arial"/>
                <w:sz w:val="20"/>
                <w:szCs w:val="20"/>
              </w:rPr>
              <w:t>3</w:t>
            </w:r>
          </w:p>
        </w:tc>
      </w:tr>
      <w:tr w:rsidR="00084B2B" w:rsidRPr="00084B2B" w14:paraId="7648574E" w14:textId="77777777" w:rsidTr="0011030B">
        <w:tc>
          <w:tcPr>
            <w:tcW w:w="8438" w:type="dxa"/>
          </w:tcPr>
          <w:p w14:paraId="2635AC24" w14:textId="5E8B0390" w:rsidR="00084B2B" w:rsidRPr="005176BD" w:rsidRDefault="00084B2B" w:rsidP="003B611A">
            <w:pPr>
              <w:rPr>
                <w:rFonts w:cs="Arial"/>
                <w:sz w:val="20"/>
                <w:szCs w:val="20"/>
              </w:rPr>
            </w:pPr>
            <w:r w:rsidRPr="005176BD">
              <w:rPr>
                <w:rFonts w:cs="Arial"/>
                <w:sz w:val="20"/>
                <w:szCs w:val="20"/>
              </w:rPr>
              <w:t>Associations between statin use and physical function in older adults from The Netherlands and Australia: Longitudinal Aging Study Amsterdam and Australian Longitudinal Study on Women's Health. Drugs &amp; Aging, 2016</w:t>
            </w:r>
            <w:r w:rsidR="00DB66F6" w:rsidRPr="005176BD">
              <w:rPr>
                <w:rFonts w:cs="Arial"/>
                <w:sz w:val="20"/>
                <w:szCs w:val="20"/>
              </w:rPr>
              <w:t>;</w:t>
            </w:r>
            <w:r w:rsidRPr="005176BD">
              <w:rPr>
                <w:rFonts w:cs="Arial"/>
                <w:sz w:val="20"/>
                <w:szCs w:val="20"/>
              </w:rPr>
              <w:t xml:space="preserve"> 33(6)</w:t>
            </w:r>
            <w:r w:rsidR="00DB66F6" w:rsidRPr="005176BD">
              <w:rPr>
                <w:rFonts w:cs="Arial"/>
                <w:sz w:val="20"/>
                <w:szCs w:val="20"/>
              </w:rPr>
              <w:t xml:space="preserve">: </w:t>
            </w:r>
            <w:r w:rsidRPr="005176BD">
              <w:rPr>
                <w:rFonts w:cs="Arial"/>
                <w:sz w:val="20"/>
                <w:szCs w:val="20"/>
              </w:rPr>
              <w:t>437-445</w:t>
            </w:r>
            <w:r w:rsidR="00DB66F6" w:rsidRPr="005176BD">
              <w:rPr>
                <w:rFonts w:cs="Arial"/>
                <w:sz w:val="20"/>
                <w:szCs w:val="20"/>
              </w:rPr>
              <w:t>.</w:t>
            </w:r>
          </w:p>
        </w:tc>
        <w:tc>
          <w:tcPr>
            <w:tcW w:w="3977" w:type="dxa"/>
          </w:tcPr>
          <w:p w14:paraId="7419A260" w14:textId="77777777" w:rsidR="00084B2B" w:rsidRPr="005176BD" w:rsidRDefault="00084B2B" w:rsidP="003B611A">
            <w:pPr>
              <w:rPr>
                <w:rFonts w:cs="Arial"/>
                <w:color w:val="0000FF"/>
                <w:sz w:val="20"/>
                <w:szCs w:val="20"/>
                <w:u w:val="single"/>
              </w:rPr>
            </w:pPr>
            <w:r w:rsidRPr="005176BD">
              <w:rPr>
                <w:rFonts w:cs="Arial"/>
                <w:sz w:val="20"/>
                <w:szCs w:val="20"/>
              </w:rPr>
              <w:t xml:space="preserve">van </w:t>
            </w:r>
            <w:proofErr w:type="spellStart"/>
            <w:r w:rsidRPr="005176BD">
              <w:rPr>
                <w:rFonts w:cs="Arial"/>
                <w:sz w:val="20"/>
                <w:szCs w:val="20"/>
              </w:rPr>
              <w:t>Boheemen</w:t>
            </w:r>
            <w:proofErr w:type="spellEnd"/>
            <w:r w:rsidRPr="005176BD">
              <w:rPr>
                <w:rFonts w:cs="Arial"/>
                <w:sz w:val="20"/>
                <w:szCs w:val="20"/>
              </w:rPr>
              <w:t xml:space="preserve"> L, </w:t>
            </w:r>
            <w:proofErr w:type="spellStart"/>
            <w:r w:rsidRPr="005176BD">
              <w:rPr>
                <w:rFonts w:cs="Arial"/>
                <w:sz w:val="20"/>
                <w:szCs w:val="20"/>
              </w:rPr>
              <w:t>Tett</w:t>
            </w:r>
            <w:proofErr w:type="spellEnd"/>
            <w:r w:rsidRPr="005176BD">
              <w:rPr>
                <w:rFonts w:cs="Arial"/>
                <w:sz w:val="20"/>
                <w:szCs w:val="20"/>
              </w:rPr>
              <w:t xml:space="preserve"> S, </w:t>
            </w:r>
            <w:proofErr w:type="spellStart"/>
            <w:r w:rsidRPr="005176BD">
              <w:rPr>
                <w:rFonts w:cs="Arial"/>
                <w:sz w:val="20"/>
                <w:szCs w:val="20"/>
              </w:rPr>
              <w:t>Sohl</w:t>
            </w:r>
            <w:proofErr w:type="spellEnd"/>
            <w:r w:rsidRPr="005176BD">
              <w:rPr>
                <w:rFonts w:cs="Arial"/>
                <w:sz w:val="20"/>
                <w:szCs w:val="20"/>
              </w:rPr>
              <w:t xml:space="preserve"> E, </w:t>
            </w:r>
            <w:proofErr w:type="spellStart"/>
            <w:r w:rsidRPr="005176BD">
              <w:rPr>
                <w:rFonts w:cs="Arial"/>
                <w:sz w:val="20"/>
                <w:szCs w:val="20"/>
              </w:rPr>
              <w:t>Hugtenburg</w:t>
            </w:r>
            <w:proofErr w:type="spellEnd"/>
            <w:r w:rsidRPr="005176BD">
              <w:rPr>
                <w:rFonts w:cs="Arial"/>
                <w:sz w:val="20"/>
                <w:szCs w:val="20"/>
              </w:rPr>
              <w:t xml:space="preserve"> J, van </w:t>
            </w:r>
            <w:proofErr w:type="spellStart"/>
            <w:r w:rsidRPr="005176BD">
              <w:rPr>
                <w:rFonts w:cs="Arial"/>
                <w:sz w:val="20"/>
                <w:szCs w:val="20"/>
              </w:rPr>
              <w:t>Schoor</w:t>
            </w:r>
            <w:proofErr w:type="spellEnd"/>
            <w:r w:rsidRPr="005176BD">
              <w:rPr>
                <w:rFonts w:cs="Arial"/>
                <w:sz w:val="20"/>
                <w:szCs w:val="20"/>
              </w:rPr>
              <w:t xml:space="preserve"> N &amp; Peeters G.</w:t>
            </w:r>
          </w:p>
        </w:tc>
        <w:tc>
          <w:tcPr>
            <w:tcW w:w="1440" w:type="dxa"/>
          </w:tcPr>
          <w:p w14:paraId="16773566" w14:textId="4E650EB2" w:rsidR="00084B2B" w:rsidRPr="005176BD" w:rsidRDefault="004979FE" w:rsidP="003B611A">
            <w:pPr>
              <w:rPr>
                <w:rFonts w:cs="Arial"/>
                <w:sz w:val="20"/>
                <w:szCs w:val="20"/>
              </w:rPr>
            </w:pPr>
            <w:r w:rsidRPr="005176BD">
              <w:rPr>
                <w:rFonts w:cs="Arial"/>
                <w:sz w:val="20"/>
                <w:szCs w:val="20"/>
              </w:rPr>
              <w:t>3</w:t>
            </w:r>
          </w:p>
        </w:tc>
      </w:tr>
      <w:tr w:rsidR="00084B2B" w:rsidRPr="00084B2B" w14:paraId="3BBE7D72" w14:textId="77777777" w:rsidTr="0011030B">
        <w:tc>
          <w:tcPr>
            <w:tcW w:w="8438" w:type="dxa"/>
          </w:tcPr>
          <w:p w14:paraId="504A2F97" w14:textId="1FE3131F" w:rsidR="00084B2B" w:rsidRPr="005176BD" w:rsidRDefault="00084B2B" w:rsidP="003B611A">
            <w:pPr>
              <w:rPr>
                <w:rFonts w:cs="Arial"/>
                <w:sz w:val="20"/>
                <w:szCs w:val="20"/>
              </w:rPr>
            </w:pPr>
            <w:r w:rsidRPr="005176BD">
              <w:rPr>
                <w:rFonts w:cs="Arial"/>
                <w:sz w:val="20"/>
                <w:szCs w:val="20"/>
              </w:rPr>
              <w:t>Stroke, physical function, and death over a 15-year period in older Australian women. Stroke, 2016</w:t>
            </w:r>
            <w:r w:rsidR="00DB66F6" w:rsidRPr="005176BD">
              <w:rPr>
                <w:rFonts w:cs="Arial"/>
                <w:sz w:val="20"/>
                <w:szCs w:val="20"/>
              </w:rPr>
              <w:t>;</w:t>
            </w:r>
            <w:r w:rsidRPr="005176BD">
              <w:rPr>
                <w:rFonts w:cs="Arial"/>
                <w:sz w:val="20"/>
                <w:szCs w:val="20"/>
              </w:rPr>
              <w:t xml:space="preserve"> 47(4)</w:t>
            </w:r>
            <w:r w:rsidR="00DB66F6" w:rsidRPr="005176BD">
              <w:rPr>
                <w:rFonts w:cs="Arial"/>
                <w:sz w:val="20"/>
                <w:szCs w:val="20"/>
              </w:rPr>
              <w:t>:</w:t>
            </w:r>
            <w:r w:rsidRPr="005176BD">
              <w:rPr>
                <w:rFonts w:cs="Arial"/>
                <w:sz w:val="20"/>
                <w:szCs w:val="20"/>
              </w:rPr>
              <w:t xml:space="preserve"> 1060-1067. </w:t>
            </w:r>
          </w:p>
        </w:tc>
        <w:tc>
          <w:tcPr>
            <w:tcW w:w="3977" w:type="dxa"/>
          </w:tcPr>
          <w:p w14:paraId="49108F31" w14:textId="77777777" w:rsidR="00084B2B" w:rsidRPr="005176BD" w:rsidRDefault="00084B2B" w:rsidP="003B611A">
            <w:pPr>
              <w:rPr>
                <w:rFonts w:cs="Arial"/>
                <w:color w:val="0000FF"/>
                <w:sz w:val="20"/>
                <w:szCs w:val="20"/>
                <w:u w:val="single"/>
              </w:rPr>
            </w:pPr>
            <w:r w:rsidRPr="005176BD">
              <w:rPr>
                <w:rFonts w:cs="Arial"/>
                <w:sz w:val="20"/>
                <w:szCs w:val="20"/>
              </w:rPr>
              <w:t>Hubbard I, Vo K, Forder P &amp; Byles J.</w:t>
            </w:r>
          </w:p>
        </w:tc>
        <w:tc>
          <w:tcPr>
            <w:tcW w:w="1440" w:type="dxa"/>
          </w:tcPr>
          <w:p w14:paraId="1B5234C0" w14:textId="76E46B35" w:rsidR="00084B2B" w:rsidRPr="005176BD" w:rsidRDefault="004979FE" w:rsidP="003B611A">
            <w:pPr>
              <w:rPr>
                <w:rFonts w:cs="Arial"/>
                <w:sz w:val="20"/>
                <w:szCs w:val="20"/>
              </w:rPr>
            </w:pPr>
            <w:r w:rsidRPr="005176BD">
              <w:rPr>
                <w:rFonts w:cs="Arial"/>
                <w:sz w:val="20"/>
                <w:szCs w:val="20"/>
              </w:rPr>
              <w:t>1</w:t>
            </w:r>
          </w:p>
        </w:tc>
      </w:tr>
      <w:tr w:rsidR="00084B2B" w:rsidRPr="00084B2B" w14:paraId="54AA81B7" w14:textId="77777777" w:rsidTr="0011030B">
        <w:tc>
          <w:tcPr>
            <w:tcW w:w="8438" w:type="dxa"/>
          </w:tcPr>
          <w:p w14:paraId="15DF5423" w14:textId="65614488" w:rsidR="00084B2B" w:rsidRPr="005176BD" w:rsidRDefault="00084B2B" w:rsidP="003B611A">
            <w:pPr>
              <w:rPr>
                <w:rFonts w:cs="Arial"/>
                <w:sz w:val="20"/>
                <w:szCs w:val="20"/>
              </w:rPr>
            </w:pPr>
            <w:r w:rsidRPr="005176BD">
              <w:rPr>
                <w:rFonts w:cs="Arial"/>
                <w:sz w:val="20"/>
                <w:szCs w:val="20"/>
              </w:rPr>
              <w:t>The prevalence and cross-sectional associations of neuropathic-like pain among older, community-dwelling women with arthritis. Pain Medicine, 2016</w:t>
            </w:r>
            <w:r w:rsidR="00DB66F6" w:rsidRPr="005176BD">
              <w:rPr>
                <w:rFonts w:cs="Arial"/>
                <w:sz w:val="20"/>
                <w:szCs w:val="20"/>
              </w:rPr>
              <w:t>; 17(7): 1308-1316.</w:t>
            </w:r>
            <w:r w:rsidRPr="005176BD">
              <w:rPr>
                <w:rFonts w:cs="Arial"/>
                <w:sz w:val="20"/>
                <w:szCs w:val="20"/>
              </w:rPr>
              <w:t xml:space="preserve"> </w:t>
            </w:r>
          </w:p>
        </w:tc>
        <w:tc>
          <w:tcPr>
            <w:tcW w:w="3977" w:type="dxa"/>
          </w:tcPr>
          <w:p w14:paraId="33AB6E66" w14:textId="77777777" w:rsidR="00084B2B" w:rsidRPr="005176BD" w:rsidRDefault="00084B2B" w:rsidP="003B611A">
            <w:pPr>
              <w:rPr>
                <w:rFonts w:cs="Arial"/>
                <w:color w:val="0000FF"/>
                <w:sz w:val="20"/>
                <w:szCs w:val="20"/>
                <w:u w:val="single"/>
              </w:rPr>
            </w:pPr>
            <w:r w:rsidRPr="005176BD">
              <w:rPr>
                <w:rFonts w:cs="Arial"/>
                <w:sz w:val="20"/>
                <w:szCs w:val="20"/>
              </w:rPr>
              <w:t>de Luca K, Parkinson L, Byles J, Lo TKT, Pollard H &amp; Blyth F.</w:t>
            </w:r>
          </w:p>
        </w:tc>
        <w:tc>
          <w:tcPr>
            <w:tcW w:w="1440" w:type="dxa"/>
          </w:tcPr>
          <w:p w14:paraId="52B714EC" w14:textId="060C63AF" w:rsidR="00084B2B" w:rsidRPr="005176BD" w:rsidRDefault="004979FE" w:rsidP="003B611A">
            <w:pPr>
              <w:rPr>
                <w:rFonts w:cs="Arial"/>
                <w:sz w:val="20"/>
                <w:szCs w:val="20"/>
              </w:rPr>
            </w:pPr>
            <w:r w:rsidRPr="005176BD">
              <w:rPr>
                <w:rFonts w:cs="Arial"/>
                <w:sz w:val="20"/>
                <w:szCs w:val="20"/>
              </w:rPr>
              <w:t>3</w:t>
            </w:r>
          </w:p>
        </w:tc>
      </w:tr>
      <w:tr w:rsidR="001D5FFB" w:rsidRPr="00084B2B" w14:paraId="2C7C94E1" w14:textId="77777777" w:rsidTr="0011030B">
        <w:tc>
          <w:tcPr>
            <w:tcW w:w="8438" w:type="dxa"/>
          </w:tcPr>
          <w:p w14:paraId="68EEA37B" w14:textId="77777777" w:rsidR="001D5FFB" w:rsidRPr="005176BD" w:rsidRDefault="001D5FFB" w:rsidP="003B611A">
            <w:pPr>
              <w:rPr>
                <w:rFonts w:cs="Arial"/>
                <w:sz w:val="20"/>
                <w:szCs w:val="20"/>
              </w:rPr>
            </w:pPr>
            <w:r w:rsidRPr="005176BD">
              <w:rPr>
                <w:rFonts w:cs="Arial"/>
                <w:sz w:val="20"/>
                <w:szCs w:val="20"/>
              </w:rPr>
              <w:t>The effect of socioeconomic status across adulthood on trajectories of frailty in older women. Journal of the American Medical Directors Association, 2016; 17(4): 372.e1-372.e3</w:t>
            </w:r>
          </w:p>
        </w:tc>
        <w:tc>
          <w:tcPr>
            <w:tcW w:w="3977" w:type="dxa"/>
          </w:tcPr>
          <w:p w14:paraId="2602A4FD" w14:textId="77777777" w:rsidR="001D5FFB" w:rsidRPr="005176BD" w:rsidRDefault="001D5FFB" w:rsidP="003B611A">
            <w:pPr>
              <w:rPr>
                <w:rFonts w:cs="Arial"/>
                <w:sz w:val="20"/>
                <w:szCs w:val="20"/>
              </w:rPr>
            </w:pPr>
            <w:r w:rsidRPr="005176BD">
              <w:rPr>
                <w:rFonts w:cs="Arial"/>
                <w:sz w:val="20"/>
                <w:szCs w:val="20"/>
              </w:rPr>
              <w:t>Gardiner P, Mishra G &amp; Dobson A</w:t>
            </w:r>
          </w:p>
        </w:tc>
        <w:tc>
          <w:tcPr>
            <w:tcW w:w="1440" w:type="dxa"/>
          </w:tcPr>
          <w:p w14:paraId="4E805653" w14:textId="77777777" w:rsidR="001D5FFB" w:rsidRPr="005176BD" w:rsidRDefault="001D5FFB" w:rsidP="003B611A">
            <w:pPr>
              <w:rPr>
                <w:rFonts w:cs="Arial"/>
                <w:sz w:val="20"/>
                <w:szCs w:val="20"/>
              </w:rPr>
            </w:pPr>
            <w:r w:rsidRPr="005176BD">
              <w:rPr>
                <w:rFonts w:cs="Arial"/>
                <w:sz w:val="20"/>
                <w:szCs w:val="20"/>
              </w:rPr>
              <w:t>6</w:t>
            </w:r>
          </w:p>
        </w:tc>
      </w:tr>
      <w:tr w:rsidR="001D5FFB" w:rsidRPr="00084B2B" w14:paraId="4F873A88" w14:textId="77777777" w:rsidTr="0011030B">
        <w:tc>
          <w:tcPr>
            <w:tcW w:w="8438" w:type="dxa"/>
          </w:tcPr>
          <w:p w14:paraId="426856B4" w14:textId="77777777" w:rsidR="001D5FFB" w:rsidRPr="005176BD" w:rsidRDefault="001D5FFB" w:rsidP="003B611A">
            <w:pPr>
              <w:rPr>
                <w:rFonts w:cs="Arial"/>
                <w:sz w:val="20"/>
                <w:szCs w:val="20"/>
              </w:rPr>
            </w:pPr>
            <w:r w:rsidRPr="005176BD">
              <w:rPr>
                <w:rFonts w:cs="Arial"/>
                <w:sz w:val="20"/>
                <w:szCs w:val="20"/>
              </w:rPr>
              <w:t>The World report on ageing and health: A policy framework for healthy ageing. The Lancet, 2016; 2145-2154. doi:10.1016/S0140-6736(15)00516-4</w:t>
            </w:r>
          </w:p>
        </w:tc>
        <w:tc>
          <w:tcPr>
            <w:tcW w:w="3977" w:type="dxa"/>
          </w:tcPr>
          <w:p w14:paraId="37D2FE80" w14:textId="77777777" w:rsidR="001D5FFB" w:rsidRPr="005176BD" w:rsidRDefault="001D5FFB" w:rsidP="003B611A">
            <w:pPr>
              <w:rPr>
                <w:rFonts w:cs="Arial"/>
                <w:sz w:val="20"/>
                <w:szCs w:val="20"/>
              </w:rPr>
            </w:pPr>
            <w:r w:rsidRPr="005176BD">
              <w:rPr>
                <w:rFonts w:cs="Arial"/>
                <w:sz w:val="20"/>
                <w:szCs w:val="20"/>
              </w:rPr>
              <w:t xml:space="preserve">Beard J, Officer A, de </w:t>
            </w:r>
            <w:proofErr w:type="spellStart"/>
            <w:r w:rsidRPr="005176BD">
              <w:rPr>
                <w:rFonts w:cs="Arial"/>
                <w:sz w:val="20"/>
                <w:szCs w:val="20"/>
              </w:rPr>
              <w:t>Carvalho</w:t>
            </w:r>
            <w:proofErr w:type="spellEnd"/>
            <w:r w:rsidRPr="005176BD">
              <w:rPr>
                <w:rFonts w:cs="Arial"/>
                <w:sz w:val="20"/>
                <w:szCs w:val="20"/>
              </w:rPr>
              <w:t xml:space="preserve"> A, </w:t>
            </w:r>
            <w:proofErr w:type="spellStart"/>
            <w:r w:rsidRPr="005176BD">
              <w:rPr>
                <w:rFonts w:cs="Arial"/>
                <w:sz w:val="20"/>
                <w:szCs w:val="20"/>
              </w:rPr>
              <w:t>Sadana</w:t>
            </w:r>
            <w:proofErr w:type="spellEnd"/>
            <w:r w:rsidRPr="005176BD">
              <w:rPr>
                <w:rFonts w:cs="Arial"/>
                <w:sz w:val="20"/>
                <w:szCs w:val="20"/>
              </w:rPr>
              <w:t xml:space="preserve"> R, Pot AM, Michel J-P, Lloyd-Sherlock P, Epping-Jordan J, Peeters G, </w:t>
            </w:r>
            <w:proofErr w:type="spellStart"/>
            <w:r w:rsidRPr="005176BD">
              <w:rPr>
                <w:rFonts w:cs="Arial"/>
                <w:sz w:val="20"/>
                <w:szCs w:val="20"/>
              </w:rPr>
              <w:t>Mahanani</w:t>
            </w:r>
            <w:proofErr w:type="spellEnd"/>
            <w:r w:rsidRPr="005176BD">
              <w:rPr>
                <w:rFonts w:cs="Arial"/>
                <w:sz w:val="20"/>
                <w:szCs w:val="20"/>
              </w:rPr>
              <w:t xml:space="preserve"> WR, </w:t>
            </w:r>
            <w:proofErr w:type="spellStart"/>
            <w:r w:rsidRPr="005176BD">
              <w:rPr>
                <w:rFonts w:cs="Arial"/>
                <w:sz w:val="20"/>
                <w:szCs w:val="20"/>
              </w:rPr>
              <w:t>Thiyagarajan</w:t>
            </w:r>
            <w:proofErr w:type="spellEnd"/>
            <w:r w:rsidRPr="005176BD">
              <w:rPr>
                <w:rFonts w:cs="Arial"/>
                <w:sz w:val="20"/>
                <w:szCs w:val="20"/>
              </w:rPr>
              <w:t xml:space="preserve"> JA &amp; </w:t>
            </w:r>
            <w:proofErr w:type="spellStart"/>
            <w:r w:rsidRPr="005176BD">
              <w:rPr>
                <w:rFonts w:cs="Arial"/>
                <w:sz w:val="20"/>
                <w:szCs w:val="20"/>
              </w:rPr>
              <w:t>Chatterji</w:t>
            </w:r>
            <w:proofErr w:type="spellEnd"/>
            <w:r w:rsidRPr="005176BD">
              <w:rPr>
                <w:rFonts w:cs="Arial"/>
                <w:sz w:val="20"/>
                <w:szCs w:val="20"/>
              </w:rPr>
              <w:t xml:space="preserve"> S.</w:t>
            </w:r>
          </w:p>
        </w:tc>
        <w:tc>
          <w:tcPr>
            <w:tcW w:w="1440" w:type="dxa"/>
          </w:tcPr>
          <w:p w14:paraId="347A3670" w14:textId="77777777" w:rsidR="001D5FFB" w:rsidRPr="005176BD" w:rsidRDefault="001D5FFB" w:rsidP="003B611A">
            <w:pPr>
              <w:rPr>
                <w:rFonts w:cs="Arial"/>
                <w:sz w:val="20"/>
                <w:szCs w:val="20"/>
              </w:rPr>
            </w:pPr>
            <w:r w:rsidRPr="005176BD">
              <w:rPr>
                <w:rFonts w:cs="Arial"/>
                <w:sz w:val="20"/>
                <w:szCs w:val="20"/>
              </w:rPr>
              <w:t>194</w:t>
            </w:r>
          </w:p>
        </w:tc>
      </w:tr>
      <w:tr w:rsidR="00A10485" w:rsidRPr="00084B2B" w14:paraId="56C80FA0" w14:textId="77777777" w:rsidTr="0011030B">
        <w:tc>
          <w:tcPr>
            <w:tcW w:w="8438" w:type="dxa"/>
          </w:tcPr>
          <w:p w14:paraId="0FB33144" w14:textId="77777777" w:rsidR="00A10485" w:rsidRPr="005176BD" w:rsidRDefault="00A10485" w:rsidP="003B611A">
            <w:pPr>
              <w:rPr>
                <w:rFonts w:cs="Arial"/>
                <w:sz w:val="20"/>
                <w:szCs w:val="20"/>
              </w:rPr>
            </w:pPr>
            <w:r w:rsidRPr="005176BD">
              <w:rPr>
                <w:rFonts w:cs="Arial"/>
                <w:sz w:val="20"/>
                <w:szCs w:val="20"/>
              </w:rPr>
              <w:t>Late life changes in mental health: A longitudinal study of 9,683 women. Aging and Mental Health, 2016; 20(10): 1044-1054.</w:t>
            </w:r>
          </w:p>
        </w:tc>
        <w:tc>
          <w:tcPr>
            <w:tcW w:w="3977" w:type="dxa"/>
          </w:tcPr>
          <w:p w14:paraId="6875C75B" w14:textId="77777777" w:rsidR="00A10485" w:rsidRPr="005176BD" w:rsidRDefault="00A10485" w:rsidP="003B611A">
            <w:pPr>
              <w:rPr>
                <w:rFonts w:cs="Arial"/>
                <w:sz w:val="20"/>
                <w:szCs w:val="20"/>
              </w:rPr>
            </w:pPr>
            <w:r w:rsidRPr="005176BD">
              <w:rPr>
                <w:rFonts w:cs="Arial"/>
                <w:sz w:val="20"/>
                <w:szCs w:val="20"/>
              </w:rPr>
              <w:t>Leigh L, Byles J, Chojenta C &amp; Pachana N.</w:t>
            </w:r>
          </w:p>
        </w:tc>
        <w:tc>
          <w:tcPr>
            <w:tcW w:w="1440" w:type="dxa"/>
          </w:tcPr>
          <w:p w14:paraId="096DDD1B" w14:textId="77777777" w:rsidR="00A10485" w:rsidRPr="005176BD" w:rsidRDefault="00A10485" w:rsidP="003B611A">
            <w:pPr>
              <w:rPr>
                <w:rFonts w:cs="Arial"/>
                <w:sz w:val="20"/>
                <w:szCs w:val="20"/>
              </w:rPr>
            </w:pPr>
            <w:r w:rsidRPr="005176BD">
              <w:rPr>
                <w:rFonts w:cs="Arial"/>
                <w:sz w:val="20"/>
                <w:szCs w:val="20"/>
              </w:rPr>
              <w:t>3</w:t>
            </w:r>
          </w:p>
        </w:tc>
      </w:tr>
      <w:tr w:rsidR="00084B2B" w:rsidRPr="00084B2B" w14:paraId="7AA052F7" w14:textId="77777777" w:rsidTr="0011030B">
        <w:tc>
          <w:tcPr>
            <w:tcW w:w="8438" w:type="dxa"/>
          </w:tcPr>
          <w:p w14:paraId="2C3F3D79" w14:textId="0BDB9A46" w:rsidR="00084B2B" w:rsidRPr="005176BD" w:rsidRDefault="00084B2B" w:rsidP="003B611A">
            <w:pPr>
              <w:rPr>
                <w:rFonts w:cs="Arial"/>
                <w:sz w:val="20"/>
                <w:szCs w:val="20"/>
              </w:rPr>
            </w:pPr>
            <w:r w:rsidRPr="005176BD">
              <w:rPr>
                <w:rFonts w:cs="Arial"/>
                <w:sz w:val="20"/>
                <w:szCs w:val="20"/>
              </w:rPr>
              <w:t>Urinary incontinence and social function in older Australian women. Journal of the American Geriatrics Society, 2016</w:t>
            </w:r>
            <w:r w:rsidR="00DB66F6" w:rsidRPr="005176BD">
              <w:rPr>
                <w:rFonts w:cs="Arial"/>
                <w:sz w:val="20"/>
                <w:szCs w:val="20"/>
              </w:rPr>
              <w:t>;</w:t>
            </w:r>
            <w:r w:rsidRPr="005176BD">
              <w:rPr>
                <w:rFonts w:cs="Arial"/>
                <w:sz w:val="20"/>
                <w:szCs w:val="20"/>
              </w:rPr>
              <w:t xml:space="preserve"> 64(8)</w:t>
            </w:r>
            <w:r w:rsidR="00DB66F6" w:rsidRPr="005176BD">
              <w:rPr>
                <w:rFonts w:cs="Arial"/>
                <w:sz w:val="20"/>
                <w:szCs w:val="20"/>
              </w:rPr>
              <w:t>:</w:t>
            </w:r>
            <w:r w:rsidRPr="005176BD">
              <w:rPr>
                <w:rFonts w:cs="Arial"/>
                <w:sz w:val="20"/>
                <w:szCs w:val="20"/>
              </w:rPr>
              <w:t xml:space="preserve"> 1646-1650</w:t>
            </w:r>
            <w:r w:rsidR="00DB66F6" w:rsidRPr="005176BD">
              <w:rPr>
                <w:rFonts w:cs="Arial"/>
                <w:sz w:val="20"/>
                <w:szCs w:val="20"/>
              </w:rPr>
              <w:t>.</w:t>
            </w:r>
          </w:p>
        </w:tc>
        <w:tc>
          <w:tcPr>
            <w:tcW w:w="3977" w:type="dxa"/>
          </w:tcPr>
          <w:p w14:paraId="11260554" w14:textId="77777777" w:rsidR="00084B2B" w:rsidRPr="005176BD" w:rsidRDefault="00084B2B" w:rsidP="003B611A">
            <w:pPr>
              <w:rPr>
                <w:rFonts w:cs="Arial"/>
                <w:sz w:val="20"/>
                <w:szCs w:val="20"/>
              </w:rPr>
            </w:pPr>
            <w:r w:rsidRPr="005176BD">
              <w:rPr>
                <w:rFonts w:cs="Arial"/>
                <w:sz w:val="20"/>
                <w:szCs w:val="20"/>
              </w:rPr>
              <w:t>Vo K, Forder P &amp; Byles J.</w:t>
            </w:r>
          </w:p>
        </w:tc>
        <w:tc>
          <w:tcPr>
            <w:tcW w:w="1440" w:type="dxa"/>
          </w:tcPr>
          <w:p w14:paraId="7AA72E18" w14:textId="10073EAC" w:rsidR="00084B2B" w:rsidRPr="005176BD" w:rsidRDefault="00084B2B" w:rsidP="003B611A">
            <w:pPr>
              <w:rPr>
                <w:rFonts w:cs="Arial"/>
                <w:sz w:val="20"/>
                <w:szCs w:val="20"/>
              </w:rPr>
            </w:pPr>
          </w:p>
        </w:tc>
      </w:tr>
      <w:tr w:rsidR="00084B2B" w:rsidRPr="00084B2B" w14:paraId="07F8B943" w14:textId="77777777" w:rsidTr="0011030B">
        <w:tc>
          <w:tcPr>
            <w:tcW w:w="8438" w:type="dxa"/>
          </w:tcPr>
          <w:p w14:paraId="739BBE7F" w14:textId="3BB43A9D" w:rsidR="00084B2B" w:rsidRPr="005176BD" w:rsidRDefault="00084B2B" w:rsidP="003B611A">
            <w:pPr>
              <w:rPr>
                <w:rFonts w:cs="Arial"/>
                <w:sz w:val="20"/>
                <w:szCs w:val="20"/>
              </w:rPr>
            </w:pPr>
            <w:r w:rsidRPr="005176BD">
              <w:rPr>
                <w:rFonts w:cs="Arial"/>
                <w:sz w:val="20"/>
                <w:szCs w:val="20"/>
              </w:rPr>
              <w:t>Physical activity in mid-age and older women: Lessons from the Australian Longitudinal Study on Women’s Health. Kinesiology Review, 2016</w:t>
            </w:r>
            <w:r w:rsidR="00DB66F6" w:rsidRPr="005176BD">
              <w:rPr>
                <w:rFonts w:cs="Arial"/>
                <w:sz w:val="20"/>
                <w:szCs w:val="20"/>
              </w:rPr>
              <w:t>;</w:t>
            </w:r>
            <w:r w:rsidRPr="005176BD">
              <w:rPr>
                <w:rFonts w:cs="Arial"/>
                <w:sz w:val="20"/>
                <w:szCs w:val="20"/>
              </w:rPr>
              <w:t xml:space="preserve"> 5(1)</w:t>
            </w:r>
            <w:r w:rsidR="00DB66F6" w:rsidRPr="005176BD">
              <w:rPr>
                <w:rFonts w:cs="Arial"/>
                <w:sz w:val="20"/>
                <w:szCs w:val="20"/>
              </w:rPr>
              <w:t xml:space="preserve">: </w:t>
            </w:r>
            <w:r w:rsidRPr="005176BD">
              <w:rPr>
                <w:rFonts w:cs="Arial"/>
                <w:sz w:val="20"/>
                <w:szCs w:val="20"/>
              </w:rPr>
              <w:t>87-97</w:t>
            </w:r>
            <w:r w:rsidR="00DB66F6" w:rsidRPr="005176BD">
              <w:rPr>
                <w:rFonts w:cs="Arial"/>
                <w:sz w:val="20"/>
                <w:szCs w:val="20"/>
              </w:rPr>
              <w:t>.</w:t>
            </w:r>
          </w:p>
        </w:tc>
        <w:tc>
          <w:tcPr>
            <w:tcW w:w="3977" w:type="dxa"/>
          </w:tcPr>
          <w:p w14:paraId="38E7F636" w14:textId="77777777" w:rsidR="00084B2B" w:rsidRPr="005176BD" w:rsidRDefault="00084B2B" w:rsidP="003B611A">
            <w:pPr>
              <w:rPr>
                <w:rFonts w:cs="Arial"/>
                <w:color w:val="0000FF"/>
                <w:sz w:val="20"/>
                <w:szCs w:val="20"/>
                <w:u w:val="single"/>
              </w:rPr>
            </w:pPr>
            <w:r w:rsidRPr="005176BD">
              <w:rPr>
                <w:rFonts w:cs="Arial"/>
                <w:sz w:val="20"/>
                <w:szCs w:val="20"/>
              </w:rPr>
              <w:t xml:space="preserve">Brown W &amp; </w:t>
            </w:r>
            <w:proofErr w:type="spellStart"/>
            <w:r w:rsidRPr="005176BD">
              <w:rPr>
                <w:rFonts w:cs="Arial"/>
                <w:sz w:val="20"/>
                <w:szCs w:val="20"/>
              </w:rPr>
              <w:t>Pavey</w:t>
            </w:r>
            <w:proofErr w:type="spellEnd"/>
            <w:r w:rsidRPr="005176BD">
              <w:rPr>
                <w:rFonts w:cs="Arial"/>
                <w:sz w:val="20"/>
                <w:szCs w:val="20"/>
              </w:rPr>
              <w:t xml:space="preserve"> T.</w:t>
            </w:r>
          </w:p>
        </w:tc>
        <w:tc>
          <w:tcPr>
            <w:tcW w:w="1440" w:type="dxa"/>
          </w:tcPr>
          <w:p w14:paraId="35DD5AFF" w14:textId="2777B92D" w:rsidR="00084B2B" w:rsidRPr="005176BD" w:rsidRDefault="004979FE" w:rsidP="003B611A">
            <w:pPr>
              <w:rPr>
                <w:rFonts w:cs="Arial"/>
                <w:sz w:val="20"/>
                <w:szCs w:val="20"/>
              </w:rPr>
            </w:pPr>
            <w:r w:rsidRPr="005176BD">
              <w:rPr>
                <w:rFonts w:cs="Arial"/>
                <w:sz w:val="20"/>
                <w:szCs w:val="20"/>
              </w:rPr>
              <w:t>4</w:t>
            </w:r>
          </w:p>
        </w:tc>
      </w:tr>
      <w:tr w:rsidR="00084B2B" w:rsidRPr="00084B2B" w14:paraId="05A86FA8" w14:textId="77777777" w:rsidTr="0011030B">
        <w:tc>
          <w:tcPr>
            <w:tcW w:w="8438" w:type="dxa"/>
          </w:tcPr>
          <w:p w14:paraId="6BE803E6" w14:textId="1AACFD70" w:rsidR="00084B2B" w:rsidRPr="005176BD" w:rsidRDefault="00084B2B" w:rsidP="003B611A">
            <w:pPr>
              <w:rPr>
                <w:rFonts w:cs="Arial"/>
                <w:sz w:val="20"/>
                <w:szCs w:val="20"/>
              </w:rPr>
            </w:pPr>
            <w:r w:rsidRPr="005176BD">
              <w:rPr>
                <w:rFonts w:cs="Arial"/>
                <w:sz w:val="20"/>
                <w:szCs w:val="20"/>
              </w:rPr>
              <w:t>Sleep difficulty and disease in a cohort of very old women. Journal of Aging and Health, 2016</w:t>
            </w:r>
            <w:r w:rsidR="00DB66F6" w:rsidRPr="005176BD">
              <w:rPr>
                <w:rFonts w:cs="Arial"/>
                <w:sz w:val="20"/>
                <w:szCs w:val="20"/>
              </w:rPr>
              <w:t xml:space="preserve">; </w:t>
            </w:r>
            <w:r w:rsidRPr="005176BD">
              <w:rPr>
                <w:rFonts w:cs="Arial"/>
                <w:sz w:val="20"/>
                <w:szCs w:val="20"/>
              </w:rPr>
              <w:t>28(6)</w:t>
            </w:r>
            <w:r w:rsidR="00DB66F6" w:rsidRPr="005176BD">
              <w:rPr>
                <w:rFonts w:cs="Arial"/>
                <w:sz w:val="20"/>
                <w:szCs w:val="20"/>
              </w:rPr>
              <w:t>:</w:t>
            </w:r>
            <w:r w:rsidR="00012F17" w:rsidRPr="005176BD">
              <w:rPr>
                <w:rFonts w:cs="Arial"/>
                <w:sz w:val="20"/>
                <w:szCs w:val="20"/>
              </w:rPr>
              <w:t xml:space="preserve"> </w:t>
            </w:r>
            <w:r w:rsidRPr="005176BD">
              <w:rPr>
                <w:rFonts w:cs="Arial"/>
                <w:sz w:val="20"/>
                <w:szCs w:val="20"/>
              </w:rPr>
              <w:t>1090-1104</w:t>
            </w:r>
            <w:r w:rsidR="00DB66F6" w:rsidRPr="005176BD">
              <w:rPr>
                <w:rFonts w:cs="Arial"/>
                <w:sz w:val="20"/>
                <w:szCs w:val="20"/>
              </w:rPr>
              <w:t>.</w:t>
            </w:r>
          </w:p>
        </w:tc>
        <w:tc>
          <w:tcPr>
            <w:tcW w:w="3977" w:type="dxa"/>
          </w:tcPr>
          <w:p w14:paraId="3EEA701D" w14:textId="77777777" w:rsidR="00084B2B" w:rsidRPr="005176BD" w:rsidRDefault="00084B2B" w:rsidP="003B611A">
            <w:pPr>
              <w:rPr>
                <w:rFonts w:cs="Arial"/>
                <w:sz w:val="20"/>
                <w:szCs w:val="20"/>
              </w:rPr>
            </w:pPr>
            <w:r w:rsidRPr="005176BD">
              <w:rPr>
                <w:rFonts w:cs="Arial"/>
                <w:sz w:val="20"/>
                <w:szCs w:val="20"/>
              </w:rPr>
              <w:t>Leigh L, Hudson I &amp; Byles J</w:t>
            </w:r>
          </w:p>
        </w:tc>
        <w:tc>
          <w:tcPr>
            <w:tcW w:w="1440" w:type="dxa"/>
          </w:tcPr>
          <w:p w14:paraId="42DBCF31" w14:textId="1BA6328E" w:rsidR="00084B2B" w:rsidRPr="005176BD" w:rsidRDefault="004979FE" w:rsidP="003B611A">
            <w:pPr>
              <w:rPr>
                <w:rFonts w:cs="Arial"/>
                <w:sz w:val="20"/>
                <w:szCs w:val="20"/>
              </w:rPr>
            </w:pPr>
            <w:r w:rsidRPr="005176BD">
              <w:rPr>
                <w:rFonts w:cs="Arial"/>
                <w:sz w:val="20"/>
                <w:szCs w:val="20"/>
              </w:rPr>
              <w:t>9</w:t>
            </w:r>
          </w:p>
        </w:tc>
      </w:tr>
      <w:tr w:rsidR="00084B2B" w:rsidRPr="00084B2B" w14:paraId="14281FD5" w14:textId="77777777" w:rsidTr="0011030B">
        <w:tc>
          <w:tcPr>
            <w:tcW w:w="8438" w:type="dxa"/>
          </w:tcPr>
          <w:p w14:paraId="29D0463E" w14:textId="1F5AC1C9" w:rsidR="00084B2B" w:rsidRPr="005176BD" w:rsidRDefault="00084B2B" w:rsidP="003B611A">
            <w:pPr>
              <w:rPr>
                <w:rFonts w:cs="Arial"/>
                <w:sz w:val="20"/>
                <w:szCs w:val="20"/>
              </w:rPr>
            </w:pPr>
            <w:r w:rsidRPr="005176BD">
              <w:rPr>
                <w:rFonts w:cs="Arial"/>
                <w:sz w:val="20"/>
                <w:szCs w:val="20"/>
              </w:rPr>
              <w:t xml:space="preserve">Factors associated with the healthcare cost in older Australian women with arthritis: </w:t>
            </w:r>
            <w:r w:rsidR="0069574A" w:rsidRPr="005176BD">
              <w:rPr>
                <w:rFonts w:cs="Arial"/>
                <w:sz w:val="20"/>
                <w:szCs w:val="20"/>
              </w:rPr>
              <w:t>A</w:t>
            </w:r>
            <w:r w:rsidRPr="005176BD">
              <w:rPr>
                <w:rFonts w:cs="Arial"/>
                <w:sz w:val="20"/>
                <w:szCs w:val="20"/>
              </w:rPr>
              <w:t>n application of the Andersen's Behavioural Model of Health Services Use. Public Health, 2016</w:t>
            </w:r>
            <w:r w:rsidR="00DB66F6" w:rsidRPr="005176BD">
              <w:rPr>
                <w:rFonts w:cs="Arial"/>
                <w:sz w:val="20"/>
                <w:szCs w:val="20"/>
              </w:rPr>
              <w:t>;</w:t>
            </w:r>
            <w:r w:rsidRPr="005176BD">
              <w:rPr>
                <w:rFonts w:cs="Arial"/>
                <w:sz w:val="20"/>
                <w:szCs w:val="20"/>
              </w:rPr>
              <w:t xml:space="preserve"> 134</w:t>
            </w:r>
            <w:r w:rsidR="00DB66F6" w:rsidRPr="005176BD">
              <w:rPr>
                <w:rFonts w:cs="Arial"/>
                <w:sz w:val="20"/>
                <w:szCs w:val="20"/>
              </w:rPr>
              <w:t xml:space="preserve">: </w:t>
            </w:r>
            <w:r w:rsidRPr="005176BD">
              <w:rPr>
                <w:rFonts w:cs="Arial"/>
                <w:sz w:val="20"/>
                <w:szCs w:val="20"/>
              </w:rPr>
              <w:t>64-71</w:t>
            </w:r>
            <w:r w:rsidR="00DB66F6" w:rsidRPr="005176BD">
              <w:rPr>
                <w:rFonts w:cs="Arial"/>
                <w:sz w:val="20"/>
                <w:szCs w:val="20"/>
              </w:rPr>
              <w:t>.</w:t>
            </w:r>
          </w:p>
        </w:tc>
        <w:tc>
          <w:tcPr>
            <w:tcW w:w="3977" w:type="dxa"/>
          </w:tcPr>
          <w:p w14:paraId="36237391" w14:textId="77777777" w:rsidR="00084B2B" w:rsidRPr="005176BD" w:rsidRDefault="00084B2B" w:rsidP="003B611A">
            <w:pPr>
              <w:rPr>
                <w:rFonts w:cs="Arial"/>
                <w:sz w:val="20"/>
                <w:szCs w:val="20"/>
              </w:rPr>
            </w:pPr>
            <w:r w:rsidRPr="005176BD">
              <w:rPr>
                <w:rFonts w:cs="Arial"/>
                <w:sz w:val="20"/>
                <w:szCs w:val="20"/>
              </w:rPr>
              <w:t>Lo TKT, Parkinson L, Cunich M &amp; Byles J.</w:t>
            </w:r>
          </w:p>
        </w:tc>
        <w:tc>
          <w:tcPr>
            <w:tcW w:w="1440" w:type="dxa"/>
          </w:tcPr>
          <w:p w14:paraId="0915609D" w14:textId="5388AF34" w:rsidR="00084B2B" w:rsidRPr="005176BD" w:rsidRDefault="004979FE" w:rsidP="003B611A">
            <w:pPr>
              <w:rPr>
                <w:rFonts w:cs="Arial"/>
                <w:sz w:val="20"/>
                <w:szCs w:val="20"/>
              </w:rPr>
            </w:pPr>
            <w:r w:rsidRPr="005176BD">
              <w:rPr>
                <w:rFonts w:cs="Arial"/>
                <w:sz w:val="20"/>
                <w:szCs w:val="20"/>
              </w:rPr>
              <w:t>2</w:t>
            </w:r>
          </w:p>
        </w:tc>
      </w:tr>
      <w:tr w:rsidR="00084B2B" w:rsidRPr="00084B2B" w14:paraId="683863D8" w14:textId="77777777" w:rsidTr="0011030B">
        <w:tc>
          <w:tcPr>
            <w:tcW w:w="8438" w:type="dxa"/>
          </w:tcPr>
          <w:p w14:paraId="6259FC14" w14:textId="73F75D07" w:rsidR="00084B2B" w:rsidRPr="005176BD" w:rsidRDefault="00084B2B" w:rsidP="003B611A">
            <w:pPr>
              <w:rPr>
                <w:rFonts w:cs="Arial"/>
                <w:sz w:val="20"/>
                <w:szCs w:val="20"/>
              </w:rPr>
            </w:pPr>
            <w:r w:rsidRPr="005176BD">
              <w:rPr>
                <w:rFonts w:cs="Arial"/>
                <w:sz w:val="20"/>
                <w:szCs w:val="20"/>
              </w:rPr>
              <w:t>Do factors that predict attrition change across waves in a longitudinal study of older women? Journal of the American Geriatrics Society, 2015</w:t>
            </w:r>
            <w:r w:rsidR="00DB66F6" w:rsidRPr="005176BD">
              <w:rPr>
                <w:rFonts w:cs="Arial"/>
                <w:sz w:val="20"/>
                <w:szCs w:val="20"/>
              </w:rPr>
              <w:t>;</w:t>
            </w:r>
            <w:r w:rsidRPr="005176BD">
              <w:rPr>
                <w:rFonts w:cs="Arial"/>
                <w:sz w:val="20"/>
                <w:szCs w:val="20"/>
              </w:rPr>
              <w:t xml:space="preserve"> 63(12)</w:t>
            </w:r>
            <w:r w:rsidR="00DB66F6" w:rsidRPr="005176BD">
              <w:rPr>
                <w:rFonts w:cs="Arial"/>
                <w:sz w:val="20"/>
                <w:szCs w:val="20"/>
              </w:rPr>
              <w:t>:</w:t>
            </w:r>
            <w:r w:rsidRPr="005176BD">
              <w:rPr>
                <w:rFonts w:cs="Arial"/>
                <w:sz w:val="20"/>
                <w:szCs w:val="20"/>
              </w:rPr>
              <w:t xml:space="preserve"> 2627-2629</w:t>
            </w:r>
            <w:r w:rsidR="00DB66F6" w:rsidRPr="005176BD">
              <w:rPr>
                <w:rFonts w:cs="Arial"/>
                <w:sz w:val="20"/>
                <w:szCs w:val="20"/>
              </w:rPr>
              <w:t>.</w:t>
            </w:r>
          </w:p>
        </w:tc>
        <w:tc>
          <w:tcPr>
            <w:tcW w:w="3977" w:type="dxa"/>
          </w:tcPr>
          <w:p w14:paraId="312872F8" w14:textId="77777777" w:rsidR="00084B2B" w:rsidRPr="005176BD" w:rsidRDefault="00084B2B" w:rsidP="003B611A">
            <w:pPr>
              <w:rPr>
                <w:rFonts w:cs="Arial"/>
                <w:sz w:val="20"/>
                <w:szCs w:val="20"/>
              </w:rPr>
            </w:pPr>
            <w:r w:rsidRPr="005176BD">
              <w:rPr>
                <w:rFonts w:cs="Arial"/>
                <w:sz w:val="20"/>
                <w:szCs w:val="20"/>
              </w:rPr>
              <w:t>Gardiner PA, Pachana NA, Mishra GD, Jones M, Byles JE &amp; Dobson AJ.</w:t>
            </w:r>
          </w:p>
        </w:tc>
        <w:tc>
          <w:tcPr>
            <w:tcW w:w="1440" w:type="dxa"/>
          </w:tcPr>
          <w:p w14:paraId="77CF568D" w14:textId="5E4F80C6" w:rsidR="00084B2B" w:rsidRPr="005176BD" w:rsidRDefault="00084B2B" w:rsidP="003B611A">
            <w:pPr>
              <w:rPr>
                <w:rFonts w:cs="Arial"/>
                <w:sz w:val="20"/>
                <w:szCs w:val="20"/>
              </w:rPr>
            </w:pPr>
          </w:p>
        </w:tc>
      </w:tr>
      <w:tr w:rsidR="00084B2B" w:rsidRPr="00084B2B" w14:paraId="4E8954DD" w14:textId="77777777" w:rsidTr="0011030B">
        <w:tc>
          <w:tcPr>
            <w:tcW w:w="8438" w:type="dxa"/>
          </w:tcPr>
          <w:p w14:paraId="565B42CA" w14:textId="489A1DED" w:rsidR="00084B2B" w:rsidRPr="005176BD" w:rsidRDefault="00084B2B" w:rsidP="003B611A">
            <w:pPr>
              <w:rPr>
                <w:rFonts w:cs="Arial"/>
                <w:sz w:val="20"/>
                <w:szCs w:val="20"/>
              </w:rPr>
            </w:pPr>
            <w:r w:rsidRPr="005176BD">
              <w:rPr>
                <w:rFonts w:cs="Arial"/>
                <w:sz w:val="20"/>
                <w:szCs w:val="20"/>
              </w:rPr>
              <w:t xml:space="preserve">A 6-year trend of the healthcare costs of arthritis in a population-based cohort of older women. Expert Review of </w:t>
            </w:r>
            <w:proofErr w:type="spellStart"/>
            <w:r w:rsidRPr="005176BD">
              <w:rPr>
                <w:rFonts w:cs="Arial"/>
                <w:sz w:val="20"/>
                <w:szCs w:val="20"/>
              </w:rPr>
              <w:t>Pharmacoeconomics</w:t>
            </w:r>
            <w:proofErr w:type="spellEnd"/>
            <w:r w:rsidRPr="005176BD">
              <w:rPr>
                <w:rFonts w:cs="Arial"/>
                <w:sz w:val="20"/>
                <w:szCs w:val="20"/>
              </w:rPr>
              <w:t xml:space="preserve"> &amp; Outcomes Research Journal, 2015</w:t>
            </w:r>
            <w:r w:rsidR="00DB66F6" w:rsidRPr="005176BD">
              <w:rPr>
                <w:rFonts w:cs="Arial"/>
                <w:sz w:val="20"/>
                <w:szCs w:val="20"/>
              </w:rPr>
              <w:t xml:space="preserve">; </w:t>
            </w:r>
            <w:r w:rsidRPr="005176BD">
              <w:rPr>
                <w:rFonts w:cs="Arial"/>
                <w:sz w:val="20"/>
                <w:szCs w:val="20"/>
              </w:rPr>
              <w:t>2</w:t>
            </w:r>
            <w:r w:rsidR="00DB66F6" w:rsidRPr="005176BD">
              <w:rPr>
                <w:rFonts w:cs="Arial"/>
                <w:sz w:val="20"/>
                <w:szCs w:val="20"/>
              </w:rPr>
              <w:t xml:space="preserve">: </w:t>
            </w:r>
            <w:r w:rsidRPr="005176BD">
              <w:rPr>
                <w:rFonts w:cs="Arial"/>
                <w:sz w:val="20"/>
                <w:szCs w:val="20"/>
              </w:rPr>
              <w:t>1-9. (</w:t>
            </w:r>
            <w:r w:rsidR="00DB66F6" w:rsidRPr="005176BD">
              <w:rPr>
                <w:rFonts w:cs="Arial"/>
                <w:sz w:val="20"/>
                <w:szCs w:val="20"/>
              </w:rPr>
              <w:t xml:space="preserve">letter </w:t>
            </w:r>
            <w:r w:rsidRPr="005176BD">
              <w:rPr>
                <w:rFonts w:cs="Arial"/>
                <w:sz w:val="20"/>
                <w:szCs w:val="20"/>
              </w:rPr>
              <w:t>to the editor)</w:t>
            </w:r>
          </w:p>
        </w:tc>
        <w:tc>
          <w:tcPr>
            <w:tcW w:w="3977" w:type="dxa"/>
          </w:tcPr>
          <w:p w14:paraId="061E19C0" w14:textId="77777777" w:rsidR="00084B2B" w:rsidRPr="005176BD" w:rsidRDefault="00084B2B" w:rsidP="003B611A">
            <w:pPr>
              <w:rPr>
                <w:rFonts w:cs="Arial"/>
                <w:sz w:val="20"/>
                <w:szCs w:val="20"/>
              </w:rPr>
            </w:pPr>
            <w:r w:rsidRPr="005176BD">
              <w:rPr>
                <w:rFonts w:cs="Arial"/>
                <w:sz w:val="20"/>
                <w:szCs w:val="20"/>
              </w:rPr>
              <w:t>Lo T, Parkinson L</w:t>
            </w:r>
          </w:p>
        </w:tc>
        <w:tc>
          <w:tcPr>
            <w:tcW w:w="1440" w:type="dxa"/>
          </w:tcPr>
          <w:p w14:paraId="4BCE9079" w14:textId="65701380" w:rsidR="00084B2B" w:rsidRPr="005176BD" w:rsidRDefault="004979FE" w:rsidP="003B611A">
            <w:pPr>
              <w:rPr>
                <w:rFonts w:cs="Arial"/>
                <w:sz w:val="20"/>
                <w:szCs w:val="20"/>
              </w:rPr>
            </w:pPr>
            <w:r w:rsidRPr="005176BD">
              <w:rPr>
                <w:rFonts w:cs="Arial"/>
                <w:sz w:val="20"/>
                <w:szCs w:val="20"/>
              </w:rPr>
              <w:t>1</w:t>
            </w:r>
          </w:p>
        </w:tc>
      </w:tr>
      <w:tr w:rsidR="00084B2B" w:rsidRPr="00084B2B" w14:paraId="1D700FE5" w14:textId="77777777" w:rsidTr="0011030B">
        <w:tc>
          <w:tcPr>
            <w:tcW w:w="8438" w:type="dxa"/>
          </w:tcPr>
          <w:p w14:paraId="05897323" w14:textId="15399404" w:rsidR="00084B2B" w:rsidRPr="005176BD" w:rsidRDefault="00084B2B" w:rsidP="003B611A">
            <w:pPr>
              <w:rPr>
                <w:rFonts w:cs="Arial"/>
                <w:sz w:val="20"/>
                <w:szCs w:val="20"/>
              </w:rPr>
            </w:pPr>
            <w:r w:rsidRPr="005176BD">
              <w:rPr>
                <w:rFonts w:cs="Arial"/>
                <w:sz w:val="20"/>
                <w:szCs w:val="20"/>
              </w:rPr>
              <w:t xml:space="preserve">Cost of arthritis: </w:t>
            </w:r>
            <w:r w:rsidR="0069574A" w:rsidRPr="005176BD">
              <w:rPr>
                <w:rFonts w:cs="Arial"/>
                <w:sz w:val="20"/>
                <w:szCs w:val="20"/>
              </w:rPr>
              <w:t>A</w:t>
            </w:r>
            <w:r w:rsidRPr="005176BD">
              <w:rPr>
                <w:rFonts w:cs="Arial"/>
                <w:sz w:val="20"/>
                <w:szCs w:val="20"/>
              </w:rPr>
              <w:t xml:space="preserve"> systematic review of methodologies used for direct costs. Expert Review of </w:t>
            </w:r>
            <w:proofErr w:type="spellStart"/>
            <w:r w:rsidRPr="005176BD">
              <w:rPr>
                <w:rFonts w:cs="Arial"/>
                <w:sz w:val="20"/>
                <w:szCs w:val="20"/>
              </w:rPr>
              <w:t>Pharmacoeconomics</w:t>
            </w:r>
            <w:proofErr w:type="spellEnd"/>
            <w:r w:rsidRPr="005176BD">
              <w:rPr>
                <w:rFonts w:cs="Arial"/>
                <w:sz w:val="20"/>
                <w:szCs w:val="20"/>
              </w:rPr>
              <w:t xml:space="preserve"> &amp; Outcomes Research Journal, 2015</w:t>
            </w:r>
            <w:r w:rsidR="00DB66F6" w:rsidRPr="005176BD">
              <w:rPr>
                <w:rFonts w:cs="Arial"/>
                <w:sz w:val="20"/>
                <w:szCs w:val="20"/>
              </w:rPr>
              <w:t>;</w:t>
            </w:r>
            <w:r w:rsidRPr="005176BD">
              <w:rPr>
                <w:rFonts w:cs="Arial"/>
                <w:sz w:val="20"/>
                <w:szCs w:val="20"/>
              </w:rPr>
              <w:t xml:space="preserve"> 22</w:t>
            </w:r>
            <w:r w:rsidR="00DB66F6" w:rsidRPr="005176BD">
              <w:rPr>
                <w:rFonts w:cs="Arial"/>
                <w:sz w:val="20"/>
                <w:szCs w:val="20"/>
              </w:rPr>
              <w:t xml:space="preserve">: </w:t>
            </w:r>
            <w:r w:rsidRPr="005176BD">
              <w:rPr>
                <w:rFonts w:cs="Arial"/>
                <w:sz w:val="20"/>
                <w:szCs w:val="20"/>
              </w:rPr>
              <w:t>1-15</w:t>
            </w:r>
            <w:r w:rsidR="00DB66F6" w:rsidRPr="005176BD">
              <w:rPr>
                <w:rFonts w:cs="Arial"/>
                <w:sz w:val="20"/>
                <w:szCs w:val="20"/>
              </w:rPr>
              <w:t>.</w:t>
            </w:r>
          </w:p>
        </w:tc>
        <w:tc>
          <w:tcPr>
            <w:tcW w:w="3977" w:type="dxa"/>
          </w:tcPr>
          <w:p w14:paraId="0512B8D2" w14:textId="77777777" w:rsidR="00084B2B" w:rsidRPr="005176BD" w:rsidRDefault="00084B2B" w:rsidP="003B611A">
            <w:pPr>
              <w:rPr>
                <w:rFonts w:cs="Arial"/>
                <w:sz w:val="20"/>
                <w:szCs w:val="20"/>
              </w:rPr>
            </w:pPr>
            <w:r w:rsidRPr="005176BD">
              <w:rPr>
                <w:rFonts w:cs="Arial"/>
                <w:sz w:val="20"/>
                <w:szCs w:val="20"/>
              </w:rPr>
              <w:t>Lo TKT, Parkinson L, Cunich M &amp; Byles J</w:t>
            </w:r>
          </w:p>
        </w:tc>
        <w:tc>
          <w:tcPr>
            <w:tcW w:w="1440" w:type="dxa"/>
          </w:tcPr>
          <w:p w14:paraId="3A48FF1F" w14:textId="7EF130AF" w:rsidR="00084B2B" w:rsidRPr="005176BD" w:rsidRDefault="004979FE" w:rsidP="003B611A">
            <w:pPr>
              <w:rPr>
                <w:rFonts w:cs="Arial"/>
                <w:sz w:val="20"/>
                <w:szCs w:val="20"/>
              </w:rPr>
            </w:pPr>
            <w:r w:rsidRPr="005176BD">
              <w:rPr>
                <w:rFonts w:cs="Arial"/>
                <w:sz w:val="20"/>
                <w:szCs w:val="20"/>
              </w:rPr>
              <w:t>1</w:t>
            </w:r>
          </w:p>
        </w:tc>
      </w:tr>
      <w:tr w:rsidR="00084B2B" w:rsidRPr="00084B2B" w14:paraId="7C0B8DBD" w14:textId="77777777" w:rsidTr="0011030B">
        <w:tc>
          <w:tcPr>
            <w:tcW w:w="8438" w:type="dxa"/>
          </w:tcPr>
          <w:p w14:paraId="56251A70" w14:textId="6FA5C122" w:rsidR="00084B2B" w:rsidRPr="005176BD" w:rsidRDefault="00084B2B" w:rsidP="003B611A">
            <w:pPr>
              <w:rPr>
                <w:rFonts w:cs="Arial"/>
                <w:sz w:val="20"/>
                <w:szCs w:val="20"/>
              </w:rPr>
            </w:pPr>
            <w:r w:rsidRPr="005176BD">
              <w:rPr>
                <w:rFonts w:cs="Arial"/>
                <w:sz w:val="20"/>
                <w:szCs w:val="20"/>
              </w:rPr>
              <w:t>Validity and responsiveness of the FRAIL scale in a longitudinal cohort study of older Australian women. Journal of the American Medical Directors Association, 2015</w:t>
            </w:r>
            <w:r w:rsidR="00DB66F6" w:rsidRPr="005176BD">
              <w:rPr>
                <w:rFonts w:cs="Arial"/>
                <w:sz w:val="20"/>
                <w:szCs w:val="20"/>
              </w:rPr>
              <w:t xml:space="preserve">; </w:t>
            </w:r>
            <w:r w:rsidRPr="005176BD">
              <w:rPr>
                <w:rFonts w:cs="Arial"/>
                <w:sz w:val="20"/>
                <w:szCs w:val="20"/>
              </w:rPr>
              <w:t>16(9)</w:t>
            </w:r>
            <w:r w:rsidR="00DB66F6" w:rsidRPr="005176BD">
              <w:rPr>
                <w:rFonts w:cs="Arial"/>
                <w:sz w:val="20"/>
                <w:szCs w:val="20"/>
              </w:rPr>
              <w:t xml:space="preserve">: </w:t>
            </w:r>
            <w:r w:rsidRPr="005176BD">
              <w:rPr>
                <w:rFonts w:cs="Arial"/>
                <w:sz w:val="20"/>
                <w:szCs w:val="20"/>
              </w:rPr>
              <w:t xml:space="preserve">781-783. </w:t>
            </w:r>
          </w:p>
        </w:tc>
        <w:tc>
          <w:tcPr>
            <w:tcW w:w="3977" w:type="dxa"/>
          </w:tcPr>
          <w:p w14:paraId="68740F21" w14:textId="77777777" w:rsidR="00084B2B" w:rsidRPr="005176BD" w:rsidRDefault="00084B2B" w:rsidP="003B611A">
            <w:pPr>
              <w:rPr>
                <w:rFonts w:cs="Arial"/>
                <w:sz w:val="20"/>
                <w:szCs w:val="20"/>
              </w:rPr>
            </w:pPr>
            <w:r w:rsidRPr="005176BD">
              <w:rPr>
                <w:rFonts w:cs="Arial"/>
                <w:sz w:val="20"/>
                <w:szCs w:val="20"/>
              </w:rPr>
              <w:t>Gardiner PA, Mishra GD &amp; Dobson AJ.</w:t>
            </w:r>
          </w:p>
        </w:tc>
        <w:tc>
          <w:tcPr>
            <w:tcW w:w="1440" w:type="dxa"/>
          </w:tcPr>
          <w:p w14:paraId="47755A07" w14:textId="27BCEC14" w:rsidR="00084B2B" w:rsidRPr="005176BD" w:rsidRDefault="004979FE" w:rsidP="003B611A">
            <w:pPr>
              <w:rPr>
                <w:rFonts w:cs="Arial"/>
                <w:sz w:val="20"/>
                <w:szCs w:val="20"/>
              </w:rPr>
            </w:pPr>
            <w:r w:rsidRPr="005176BD">
              <w:rPr>
                <w:rFonts w:cs="Arial"/>
                <w:sz w:val="20"/>
                <w:szCs w:val="20"/>
              </w:rPr>
              <w:t>33</w:t>
            </w:r>
          </w:p>
        </w:tc>
      </w:tr>
      <w:tr w:rsidR="00084B2B" w:rsidRPr="00084B2B" w14:paraId="5023AE4F" w14:textId="77777777" w:rsidTr="0011030B">
        <w:tc>
          <w:tcPr>
            <w:tcW w:w="8438" w:type="dxa"/>
          </w:tcPr>
          <w:p w14:paraId="62498BA3" w14:textId="1A9F20CA" w:rsidR="00084B2B" w:rsidRPr="005176BD" w:rsidRDefault="00084B2B" w:rsidP="003B611A">
            <w:pPr>
              <w:rPr>
                <w:rFonts w:cs="Arial"/>
                <w:sz w:val="20"/>
                <w:szCs w:val="20"/>
              </w:rPr>
            </w:pPr>
            <w:r w:rsidRPr="005176BD">
              <w:rPr>
                <w:rFonts w:cs="Arial"/>
                <w:sz w:val="20"/>
                <w:szCs w:val="20"/>
              </w:rPr>
              <w:lastRenderedPageBreak/>
              <w:t xml:space="preserve">Long-term consequences of </w:t>
            </w:r>
            <w:proofErr w:type="spellStart"/>
            <w:r w:rsidRPr="005176BD">
              <w:rPr>
                <w:rFonts w:cs="Arial"/>
                <w:sz w:val="20"/>
                <w:szCs w:val="20"/>
              </w:rPr>
              <w:t>noninjurious</w:t>
            </w:r>
            <w:proofErr w:type="spellEnd"/>
            <w:r w:rsidRPr="005176BD">
              <w:rPr>
                <w:rFonts w:cs="Arial"/>
                <w:sz w:val="20"/>
                <w:szCs w:val="20"/>
              </w:rPr>
              <w:t xml:space="preserve"> and injurious falls on well-being in older women. Journals of Gerontology Series A: Biological Sciences &amp; Medical Sciences, 2015</w:t>
            </w:r>
            <w:r w:rsidR="00DB66F6" w:rsidRPr="005176BD">
              <w:rPr>
                <w:rFonts w:cs="Arial"/>
                <w:sz w:val="20"/>
                <w:szCs w:val="20"/>
              </w:rPr>
              <w:t>;</w:t>
            </w:r>
            <w:r w:rsidRPr="005176BD">
              <w:rPr>
                <w:rFonts w:cs="Arial"/>
                <w:sz w:val="20"/>
                <w:szCs w:val="20"/>
              </w:rPr>
              <w:t xml:space="preserve"> 70(12)</w:t>
            </w:r>
            <w:r w:rsidR="00DB66F6" w:rsidRPr="005176BD">
              <w:rPr>
                <w:rFonts w:cs="Arial"/>
                <w:sz w:val="20"/>
                <w:szCs w:val="20"/>
              </w:rPr>
              <w:t>:</w:t>
            </w:r>
            <w:r w:rsidRPr="005176BD">
              <w:rPr>
                <w:rFonts w:cs="Arial"/>
                <w:sz w:val="20"/>
                <w:szCs w:val="20"/>
              </w:rPr>
              <w:t xml:space="preserve"> 1519-1525. </w:t>
            </w:r>
          </w:p>
        </w:tc>
        <w:tc>
          <w:tcPr>
            <w:tcW w:w="3977" w:type="dxa"/>
          </w:tcPr>
          <w:p w14:paraId="3A7ECF58" w14:textId="77777777" w:rsidR="00084B2B" w:rsidRPr="005176BD" w:rsidRDefault="00084B2B" w:rsidP="003B611A">
            <w:pPr>
              <w:rPr>
                <w:rFonts w:cs="Arial"/>
                <w:sz w:val="20"/>
                <w:szCs w:val="20"/>
              </w:rPr>
            </w:pPr>
            <w:r w:rsidRPr="005176BD">
              <w:rPr>
                <w:rFonts w:cs="Arial"/>
                <w:sz w:val="20"/>
                <w:szCs w:val="20"/>
              </w:rPr>
              <w:t>Peeters G, Jones M, Byles J &amp; Dobson A.</w:t>
            </w:r>
          </w:p>
        </w:tc>
        <w:tc>
          <w:tcPr>
            <w:tcW w:w="1440" w:type="dxa"/>
          </w:tcPr>
          <w:p w14:paraId="2DE548B9" w14:textId="241621A0" w:rsidR="00084B2B" w:rsidRPr="005176BD" w:rsidRDefault="004979FE" w:rsidP="003B611A">
            <w:pPr>
              <w:rPr>
                <w:rFonts w:cs="Arial"/>
                <w:sz w:val="20"/>
                <w:szCs w:val="20"/>
              </w:rPr>
            </w:pPr>
            <w:r w:rsidRPr="005176BD">
              <w:rPr>
                <w:rFonts w:cs="Arial"/>
                <w:sz w:val="20"/>
                <w:szCs w:val="20"/>
              </w:rPr>
              <w:t>7</w:t>
            </w:r>
          </w:p>
        </w:tc>
      </w:tr>
      <w:tr w:rsidR="00084B2B" w:rsidRPr="00084B2B" w14:paraId="0E72D2C5" w14:textId="77777777" w:rsidTr="0011030B">
        <w:tc>
          <w:tcPr>
            <w:tcW w:w="8438" w:type="dxa"/>
          </w:tcPr>
          <w:p w14:paraId="03E2E305" w14:textId="5D7E5863" w:rsidR="00084B2B" w:rsidRPr="005176BD" w:rsidRDefault="00084B2B" w:rsidP="003B611A">
            <w:pPr>
              <w:rPr>
                <w:rFonts w:cs="Arial"/>
                <w:sz w:val="20"/>
                <w:szCs w:val="20"/>
              </w:rPr>
            </w:pPr>
            <w:r w:rsidRPr="005176BD">
              <w:rPr>
                <w:rFonts w:cs="Arial"/>
                <w:sz w:val="20"/>
                <w:szCs w:val="20"/>
              </w:rPr>
              <w:t>Associations between medication use and mental health in older women: A cross-sectional analysis of 5,502 women aged 76 to 81. Journal of American Geriatric Society, 2015</w:t>
            </w:r>
            <w:r w:rsidR="00DB66F6" w:rsidRPr="005176BD">
              <w:rPr>
                <w:rFonts w:cs="Arial"/>
                <w:sz w:val="20"/>
                <w:szCs w:val="20"/>
              </w:rPr>
              <w:t>;</w:t>
            </w:r>
            <w:r w:rsidRPr="005176BD">
              <w:rPr>
                <w:rFonts w:cs="Arial"/>
                <w:sz w:val="20"/>
                <w:szCs w:val="20"/>
              </w:rPr>
              <w:t xml:space="preserve"> 63(6)</w:t>
            </w:r>
            <w:r w:rsidR="00DB66F6" w:rsidRPr="005176BD">
              <w:rPr>
                <w:rFonts w:cs="Arial"/>
                <w:sz w:val="20"/>
                <w:szCs w:val="20"/>
              </w:rPr>
              <w:t>:</w:t>
            </w:r>
            <w:r w:rsidRPr="005176BD">
              <w:rPr>
                <w:rFonts w:cs="Arial"/>
                <w:sz w:val="20"/>
                <w:szCs w:val="20"/>
              </w:rPr>
              <w:t xml:space="preserve"> 1254-1255. (letter to the editor)</w:t>
            </w:r>
          </w:p>
        </w:tc>
        <w:tc>
          <w:tcPr>
            <w:tcW w:w="3977" w:type="dxa"/>
          </w:tcPr>
          <w:p w14:paraId="322BF3E2" w14:textId="77777777" w:rsidR="00084B2B" w:rsidRPr="005176BD" w:rsidRDefault="00084B2B" w:rsidP="003B611A">
            <w:pPr>
              <w:rPr>
                <w:rFonts w:cs="Arial"/>
                <w:sz w:val="20"/>
                <w:szCs w:val="20"/>
              </w:rPr>
            </w:pPr>
            <w:proofErr w:type="spellStart"/>
            <w:r w:rsidRPr="005176BD">
              <w:rPr>
                <w:rFonts w:cs="Arial"/>
                <w:sz w:val="20"/>
                <w:szCs w:val="20"/>
              </w:rPr>
              <w:t>Alsalami</w:t>
            </w:r>
            <w:proofErr w:type="spellEnd"/>
            <w:r w:rsidRPr="005176BD">
              <w:rPr>
                <w:rFonts w:cs="Arial"/>
                <w:sz w:val="20"/>
                <w:szCs w:val="20"/>
              </w:rPr>
              <w:t xml:space="preserve"> MO, Forder PM, Milton AH, McEvoy MA &amp; Byles JE.</w:t>
            </w:r>
          </w:p>
        </w:tc>
        <w:tc>
          <w:tcPr>
            <w:tcW w:w="1440" w:type="dxa"/>
          </w:tcPr>
          <w:p w14:paraId="5B38005D" w14:textId="7B54D237" w:rsidR="00084B2B" w:rsidRPr="005176BD" w:rsidRDefault="004979FE" w:rsidP="003B611A">
            <w:pPr>
              <w:rPr>
                <w:rFonts w:cs="Arial"/>
                <w:sz w:val="20"/>
                <w:szCs w:val="20"/>
              </w:rPr>
            </w:pPr>
            <w:r w:rsidRPr="005176BD">
              <w:rPr>
                <w:rFonts w:cs="Arial"/>
                <w:sz w:val="20"/>
                <w:szCs w:val="20"/>
              </w:rPr>
              <w:t>1</w:t>
            </w:r>
          </w:p>
        </w:tc>
      </w:tr>
      <w:tr w:rsidR="00084B2B" w:rsidRPr="00084B2B" w14:paraId="47D0ED57" w14:textId="77777777" w:rsidTr="0011030B">
        <w:tc>
          <w:tcPr>
            <w:tcW w:w="8438" w:type="dxa"/>
          </w:tcPr>
          <w:p w14:paraId="660C8104" w14:textId="0F33D47B" w:rsidR="00084B2B" w:rsidRPr="005176BD" w:rsidRDefault="00084B2B" w:rsidP="003B611A">
            <w:pPr>
              <w:rPr>
                <w:rFonts w:cs="Arial"/>
                <w:sz w:val="20"/>
                <w:szCs w:val="20"/>
              </w:rPr>
            </w:pPr>
            <w:r w:rsidRPr="005176BD">
              <w:rPr>
                <w:rFonts w:cs="Arial"/>
                <w:sz w:val="20"/>
                <w:szCs w:val="20"/>
              </w:rPr>
              <w:t>Multimorbidity patterns are differentially associated with functional ability and decline in a longitudinal cohort of older women. Age and Ageing, 2015</w:t>
            </w:r>
            <w:r w:rsidR="00DB66F6" w:rsidRPr="005176BD">
              <w:rPr>
                <w:rFonts w:cs="Arial"/>
                <w:sz w:val="20"/>
                <w:szCs w:val="20"/>
              </w:rPr>
              <w:t>;</w:t>
            </w:r>
            <w:r w:rsidRPr="005176BD">
              <w:rPr>
                <w:rFonts w:cs="Arial"/>
                <w:sz w:val="20"/>
                <w:szCs w:val="20"/>
              </w:rPr>
              <w:t xml:space="preserve"> 44(5)</w:t>
            </w:r>
            <w:r w:rsidR="00DB66F6" w:rsidRPr="005176BD">
              <w:rPr>
                <w:rFonts w:cs="Arial"/>
                <w:sz w:val="20"/>
                <w:szCs w:val="20"/>
              </w:rPr>
              <w:t xml:space="preserve">: </w:t>
            </w:r>
            <w:r w:rsidRPr="005176BD">
              <w:rPr>
                <w:rFonts w:cs="Arial"/>
                <w:sz w:val="20"/>
                <w:szCs w:val="20"/>
              </w:rPr>
              <w:t xml:space="preserve">810-816. </w:t>
            </w:r>
          </w:p>
        </w:tc>
        <w:tc>
          <w:tcPr>
            <w:tcW w:w="3977" w:type="dxa"/>
          </w:tcPr>
          <w:p w14:paraId="08BE722A" w14:textId="77777777" w:rsidR="00084B2B" w:rsidRPr="005176BD" w:rsidRDefault="00084B2B" w:rsidP="003B611A">
            <w:pPr>
              <w:rPr>
                <w:rFonts w:cs="Arial"/>
                <w:sz w:val="20"/>
                <w:szCs w:val="20"/>
              </w:rPr>
            </w:pPr>
            <w:r w:rsidRPr="005176BD">
              <w:rPr>
                <w:rFonts w:cs="Arial"/>
                <w:sz w:val="20"/>
                <w:szCs w:val="20"/>
              </w:rPr>
              <w:t>Jackson CA, Jones M, Tooth L, Mishra G, Byles J &amp; Dobson A.</w:t>
            </w:r>
          </w:p>
        </w:tc>
        <w:tc>
          <w:tcPr>
            <w:tcW w:w="1440" w:type="dxa"/>
          </w:tcPr>
          <w:p w14:paraId="0D2E6477" w14:textId="4B822603" w:rsidR="00084B2B" w:rsidRPr="005176BD" w:rsidRDefault="004979FE" w:rsidP="003B611A">
            <w:pPr>
              <w:rPr>
                <w:rFonts w:cs="Arial"/>
                <w:sz w:val="20"/>
                <w:szCs w:val="20"/>
              </w:rPr>
            </w:pPr>
            <w:r w:rsidRPr="005176BD">
              <w:rPr>
                <w:rFonts w:cs="Arial"/>
                <w:sz w:val="20"/>
                <w:szCs w:val="20"/>
              </w:rPr>
              <w:t>24</w:t>
            </w:r>
          </w:p>
        </w:tc>
      </w:tr>
      <w:tr w:rsidR="00084B2B" w:rsidRPr="00084B2B" w14:paraId="191D713F" w14:textId="77777777" w:rsidTr="0011030B">
        <w:tc>
          <w:tcPr>
            <w:tcW w:w="8438" w:type="dxa"/>
          </w:tcPr>
          <w:p w14:paraId="7C8139CC" w14:textId="7489BA38" w:rsidR="00084B2B" w:rsidRPr="005176BD" w:rsidRDefault="00084B2B" w:rsidP="003B611A">
            <w:pPr>
              <w:rPr>
                <w:rFonts w:cs="Arial"/>
                <w:sz w:val="20"/>
                <w:szCs w:val="20"/>
              </w:rPr>
            </w:pPr>
            <w:r w:rsidRPr="005176BD">
              <w:rPr>
                <w:rFonts w:cs="Arial"/>
                <w:sz w:val="20"/>
                <w:szCs w:val="20"/>
              </w:rPr>
              <w:t>Change</w:t>
            </w:r>
            <w:r w:rsidR="00E26042" w:rsidRPr="005176BD">
              <w:rPr>
                <w:rFonts w:cs="Arial"/>
                <w:sz w:val="20"/>
                <w:szCs w:val="20"/>
              </w:rPr>
              <w:t>s in the relationships between Body Mass Index and health outcomes across middle age and older adulthood</w:t>
            </w:r>
            <w:r w:rsidRPr="005176BD">
              <w:rPr>
                <w:rFonts w:cs="Arial"/>
                <w:sz w:val="20"/>
                <w:szCs w:val="20"/>
              </w:rPr>
              <w:t>. Mayo Clinic Proceedings, 2015</w:t>
            </w:r>
            <w:r w:rsidR="00DB66F6" w:rsidRPr="005176BD">
              <w:rPr>
                <w:rFonts w:cs="Arial"/>
                <w:sz w:val="20"/>
                <w:szCs w:val="20"/>
              </w:rPr>
              <w:t>;</w:t>
            </w:r>
            <w:r w:rsidRPr="005176BD">
              <w:rPr>
                <w:rFonts w:cs="Arial"/>
                <w:sz w:val="20"/>
                <w:szCs w:val="20"/>
              </w:rPr>
              <w:t xml:space="preserve"> 90(7)</w:t>
            </w:r>
            <w:r w:rsidR="00DB66F6" w:rsidRPr="005176BD">
              <w:rPr>
                <w:rFonts w:cs="Arial"/>
                <w:sz w:val="20"/>
                <w:szCs w:val="20"/>
              </w:rPr>
              <w:t>:</w:t>
            </w:r>
            <w:r w:rsidRPr="005176BD">
              <w:rPr>
                <w:rFonts w:cs="Arial"/>
                <w:sz w:val="20"/>
                <w:szCs w:val="20"/>
              </w:rPr>
              <w:t xml:space="preserve"> 903-910</w:t>
            </w:r>
            <w:r w:rsidR="00DB66F6" w:rsidRPr="005176BD">
              <w:rPr>
                <w:rFonts w:cs="Arial"/>
                <w:sz w:val="20"/>
                <w:szCs w:val="20"/>
              </w:rPr>
              <w:t>.</w:t>
            </w:r>
          </w:p>
        </w:tc>
        <w:tc>
          <w:tcPr>
            <w:tcW w:w="3977" w:type="dxa"/>
          </w:tcPr>
          <w:p w14:paraId="04934837" w14:textId="77777777" w:rsidR="00084B2B" w:rsidRPr="005176BD" w:rsidRDefault="00084B2B" w:rsidP="003B611A">
            <w:pPr>
              <w:rPr>
                <w:rFonts w:cs="Arial"/>
                <w:sz w:val="20"/>
                <w:szCs w:val="20"/>
              </w:rPr>
            </w:pPr>
            <w:r w:rsidRPr="005176BD">
              <w:rPr>
                <w:rFonts w:cs="Arial"/>
                <w:sz w:val="20"/>
                <w:szCs w:val="20"/>
              </w:rPr>
              <w:t xml:space="preserve">Peeters G, </w:t>
            </w:r>
            <w:proofErr w:type="spellStart"/>
            <w:r w:rsidRPr="005176BD">
              <w:rPr>
                <w:rFonts w:cs="Arial"/>
                <w:sz w:val="20"/>
                <w:szCs w:val="20"/>
              </w:rPr>
              <w:t>Herber</w:t>
            </w:r>
            <w:proofErr w:type="spellEnd"/>
            <w:r w:rsidRPr="005176BD">
              <w:rPr>
                <w:rFonts w:cs="Arial"/>
                <w:sz w:val="20"/>
                <w:szCs w:val="20"/>
              </w:rPr>
              <w:t>-Gast G, Dobson A &amp; Brown W.</w:t>
            </w:r>
          </w:p>
        </w:tc>
        <w:tc>
          <w:tcPr>
            <w:tcW w:w="1440" w:type="dxa"/>
          </w:tcPr>
          <w:p w14:paraId="21461842" w14:textId="25104C86" w:rsidR="00084B2B" w:rsidRPr="005176BD" w:rsidRDefault="004979FE" w:rsidP="003B611A">
            <w:pPr>
              <w:rPr>
                <w:rFonts w:cs="Arial"/>
                <w:sz w:val="20"/>
                <w:szCs w:val="20"/>
              </w:rPr>
            </w:pPr>
            <w:r w:rsidRPr="005176BD">
              <w:rPr>
                <w:rFonts w:cs="Arial"/>
                <w:sz w:val="20"/>
                <w:szCs w:val="20"/>
              </w:rPr>
              <w:t>2</w:t>
            </w:r>
          </w:p>
        </w:tc>
      </w:tr>
      <w:tr w:rsidR="00084B2B" w:rsidRPr="00084B2B" w14:paraId="221543D3" w14:textId="77777777" w:rsidTr="0011030B">
        <w:tc>
          <w:tcPr>
            <w:tcW w:w="8438" w:type="dxa"/>
          </w:tcPr>
          <w:p w14:paraId="198E4C7D" w14:textId="4A0F228F" w:rsidR="00084B2B" w:rsidRPr="005176BD" w:rsidRDefault="00E64051" w:rsidP="003B611A">
            <w:pPr>
              <w:rPr>
                <w:rFonts w:cs="Arial"/>
                <w:sz w:val="20"/>
                <w:szCs w:val="20"/>
              </w:rPr>
            </w:pPr>
            <w:r w:rsidRPr="005176BD">
              <w:rPr>
                <w:rFonts w:cs="Arial"/>
                <w:sz w:val="20"/>
                <w:szCs w:val="20"/>
              </w:rPr>
              <w:t>Acknowledging how older Australian women experience life after stroke: How does the WHO 18-item brief ICF core set for stroke compa</w:t>
            </w:r>
            <w:r w:rsidR="00084B2B" w:rsidRPr="005176BD">
              <w:rPr>
                <w:rFonts w:cs="Arial"/>
                <w:sz w:val="20"/>
                <w:szCs w:val="20"/>
              </w:rPr>
              <w:t>re? Health Care Women Int</w:t>
            </w:r>
            <w:r w:rsidR="00DB66F6" w:rsidRPr="005176BD">
              <w:rPr>
                <w:rFonts w:cs="Arial"/>
                <w:sz w:val="20"/>
                <w:szCs w:val="20"/>
              </w:rPr>
              <w:t>ernational</w:t>
            </w:r>
            <w:r w:rsidR="00084B2B" w:rsidRPr="005176BD">
              <w:rPr>
                <w:rFonts w:cs="Arial"/>
                <w:sz w:val="20"/>
                <w:szCs w:val="20"/>
              </w:rPr>
              <w:t>, 2015</w:t>
            </w:r>
            <w:r w:rsidR="000E0984" w:rsidRPr="005176BD">
              <w:rPr>
                <w:rFonts w:cs="Arial"/>
                <w:sz w:val="20"/>
                <w:szCs w:val="20"/>
              </w:rPr>
              <w:t>;</w:t>
            </w:r>
            <w:r w:rsidR="00084B2B" w:rsidRPr="005176BD">
              <w:rPr>
                <w:rFonts w:cs="Arial"/>
                <w:sz w:val="20"/>
                <w:szCs w:val="20"/>
              </w:rPr>
              <w:t xml:space="preserve"> 36(12)</w:t>
            </w:r>
            <w:r w:rsidR="000E0984" w:rsidRPr="005176BD">
              <w:rPr>
                <w:rFonts w:cs="Arial"/>
                <w:sz w:val="20"/>
                <w:szCs w:val="20"/>
              </w:rPr>
              <w:t xml:space="preserve">: </w:t>
            </w:r>
            <w:r w:rsidR="00084B2B" w:rsidRPr="005176BD">
              <w:rPr>
                <w:rFonts w:cs="Arial"/>
                <w:sz w:val="20"/>
                <w:szCs w:val="20"/>
              </w:rPr>
              <w:t>1311-1326</w:t>
            </w:r>
            <w:r w:rsidR="000E0984" w:rsidRPr="005176BD">
              <w:rPr>
                <w:rFonts w:cs="Arial"/>
                <w:sz w:val="20"/>
                <w:szCs w:val="20"/>
              </w:rPr>
              <w:t>.</w:t>
            </w:r>
          </w:p>
        </w:tc>
        <w:tc>
          <w:tcPr>
            <w:tcW w:w="3977" w:type="dxa"/>
          </w:tcPr>
          <w:p w14:paraId="03191FA5" w14:textId="77777777" w:rsidR="00084B2B" w:rsidRPr="005176BD" w:rsidRDefault="00084B2B" w:rsidP="003B611A">
            <w:pPr>
              <w:rPr>
                <w:rFonts w:cs="Arial"/>
                <w:sz w:val="20"/>
                <w:szCs w:val="20"/>
              </w:rPr>
            </w:pPr>
            <w:r w:rsidRPr="005176BD">
              <w:rPr>
                <w:rFonts w:cs="Arial"/>
                <w:sz w:val="20"/>
                <w:szCs w:val="20"/>
              </w:rPr>
              <w:t xml:space="preserve">Tavener M, </w:t>
            </w:r>
            <w:proofErr w:type="spellStart"/>
            <w:r w:rsidRPr="005176BD">
              <w:rPr>
                <w:rFonts w:cs="Arial"/>
                <w:sz w:val="20"/>
                <w:szCs w:val="20"/>
              </w:rPr>
              <w:t>Thijsen</w:t>
            </w:r>
            <w:proofErr w:type="spellEnd"/>
            <w:r w:rsidRPr="005176BD">
              <w:rPr>
                <w:rFonts w:cs="Arial"/>
                <w:sz w:val="20"/>
                <w:szCs w:val="20"/>
              </w:rPr>
              <w:t xml:space="preserve"> A, Hubbard I, Francis J, </w:t>
            </w:r>
            <w:proofErr w:type="spellStart"/>
            <w:r w:rsidRPr="005176BD">
              <w:rPr>
                <w:rFonts w:cs="Arial"/>
                <w:sz w:val="20"/>
                <w:szCs w:val="20"/>
              </w:rPr>
              <w:t>Grennall</w:t>
            </w:r>
            <w:proofErr w:type="spellEnd"/>
            <w:r w:rsidRPr="005176BD">
              <w:rPr>
                <w:rFonts w:cs="Arial"/>
                <w:sz w:val="20"/>
                <w:szCs w:val="20"/>
              </w:rPr>
              <w:t xml:space="preserve"> C, Levi C &amp; Byles J.</w:t>
            </w:r>
          </w:p>
        </w:tc>
        <w:tc>
          <w:tcPr>
            <w:tcW w:w="1440" w:type="dxa"/>
          </w:tcPr>
          <w:p w14:paraId="75DFB44F" w14:textId="3383142C" w:rsidR="00084B2B" w:rsidRPr="005176BD" w:rsidRDefault="004979FE" w:rsidP="003B611A">
            <w:pPr>
              <w:rPr>
                <w:rFonts w:cs="Arial"/>
                <w:sz w:val="20"/>
                <w:szCs w:val="20"/>
              </w:rPr>
            </w:pPr>
            <w:r w:rsidRPr="005176BD">
              <w:rPr>
                <w:rFonts w:cs="Arial"/>
                <w:sz w:val="20"/>
                <w:szCs w:val="20"/>
              </w:rPr>
              <w:t>3</w:t>
            </w:r>
          </w:p>
        </w:tc>
      </w:tr>
      <w:tr w:rsidR="00084B2B" w:rsidRPr="00084B2B" w14:paraId="1A24B573" w14:textId="77777777" w:rsidTr="0011030B">
        <w:tc>
          <w:tcPr>
            <w:tcW w:w="8438" w:type="dxa"/>
          </w:tcPr>
          <w:p w14:paraId="535363E1" w14:textId="4E87D6FC" w:rsidR="00084B2B" w:rsidRPr="005176BD" w:rsidRDefault="00084B2B" w:rsidP="003B611A">
            <w:pPr>
              <w:rPr>
                <w:rFonts w:cs="Arial"/>
                <w:sz w:val="20"/>
                <w:szCs w:val="20"/>
              </w:rPr>
            </w:pPr>
            <w:r w:rsidRPr="005176BD">
              <w:rPr>
                <w:rFonts w:cs="Arial"/>
                <w:sz w:val="20"/>
                <w:szCs w:val="20"/>
              </w:rPr>
              <w:t>Sleeping difficulty, disease and mortality in older women: A latent class analysis and distal survival analysis. Journal of Sleep Research, 2015</w:t>
            </w:r>
            <w:r w:rsidR="000E0984" w:rsidRPr="005176BD">
              <w:rPr>
                <w:rFonts w:cs="Arial"/>
                <w:sz w:val="20"/>
                <w:szCs w:val="20"/>
              </w:rPr>
              <w:t>;</w:t>
            </w:r>
            <w:r w:rsidRPr="005176BD">
              <w:rPr>
                <w:rFonts w:cs="Arial"/>
                <w:sz w:val="20"/>
                <w:szCs w:val="20"/>
              </w:rPr>
              <w:t xml:space="preserve"> 24(6)</w:t>
            </w:r>
            <w:r w:rsidR="000E0984" w:rsidRPr="005176BD">
              <w:rPr>
                <w:rFonts w:cs="Arial"/>
                <w:sz w:val="20"/>
                <w:szCs w:val="20"/>
              </w:rPr>
              <w:t xml:space="preserve">: </w:t>
            </w:r>
            <w:r w:rsidRPr="005176BD">
              <w:rPr>
                <w:rFonts w:cs="Arial"/>
                <w:sz w:val="20"/>
                <w:szCs w:val="20"/>
              </w:rPr>
              <w:t>648-657</w:t>
            </w:r>
            <w:r w:rsidR="000E0984" w:rsidRPr="005176BD">
              <w:rPr>
                <w:rFonts w:cs="Arial"/>
                <w:sz w:val="20"/>
                <w:szCs w:val="20"/>
              </w:rPr>
              <w:t>.</w:t>
            </w:r>
          </w:p>
        </w:tc>
        <w:tc>
          <w:tcPr>
            <w:tcW w:w="3977" w:type="dxa"/>
          </w:tcPr>
          <w:p w14:paraId="412B8685" w14:textId="77777777" w:rsidR="00084B2B" w:rsidRPr="005176BD" w:rsidRDefault="00084B2B" w:rsidP="003B611A">
            <w:pPr>
              <w:rPr>
                <w:rFonts w:cs="Arial"/>
                <w:sz w:val="20"/>
                <w:szCs w:val="20"/>
              </w:rPr>
            </w:pPr>
            <w:r w:rsidRPr="005176BD">
              <w:rPr>
                <w:rFonts w:cs="Arial"/>
                <w:sz w:val="20"/>
                <w:szCs w:val="20"/>
              </w:rPr>
              <w:t>Leigh L, Hudson I &amp; Byles J.</w:t>
            </w:r>
          </w:p>
        </w:tc>
        <w:tc>
          <w:tcPr>
            <w:tcW w:w="1440" w:type="dxa"/>
          </w:tcPr>
          <w:p w14:paraId="3DD471F6" w14:textId="02497BB9" w:rsidR="00084B2B" w:rsidRPr="005176BD" w:rsidRDefault="00F5504C" w:rsidP="003B611A">
            <w:pPr>
              <w:rPr>
                <w:rFonts w:cs="Arial"/>
                <w:sz w:val="20"/>
                <w:szCs w:val="20"/>
              </w:rPr>
            </w:pPr>
            <w:r w:rsidRPr="005176BD">
              <w:rPr>
                <w:rFonts w:cs="Arial"/>
                <w:sz w:val="20"/>
                <w:szCs w:val="20"/>
              </w:rPr>
              <w:t>14</w:t>
            </w:r>
          </w:p>
        </w:tc>
      </w:tr>
      <w:tr w:rsidR="00084B2B" w:rsidRPr="00084B2B" w14:paraId="42A41546" w14:textId="77777777" w:rsidTr="0011030B">
        <w:tc>
          <w:tcPr>
            <w:tcW w:w="8438" w:type="dxa"/>
          </w:tcPr>
          <w:p w14:paraId="0D51B068" w14:textId="1E5FF4E3" w:rsidR="00084B2B" w:rsidRPr="005176BD" w:rsidRDefault="00084B2B" w:rsidP="003B611A">
            <w:pPr>
              <w:rPr>
                <w:rFonts w:cs="Arial"/>
                <w:sz w:val="20"/>
                <w:szCs w:val="20"/>
              </w:rPr>
            </w:pPr>
            <w:r w:rsidRPr="005176BD">
              <w:rPr>
                <w:rFonts w:cs="Arial"/>
                <w:sz w:val="20"/>
                <w:szCs w:val="20"/>
              </w:rPr>
              <w:t>Long-term survival of older Australian women with a history of stroke. Journal of Stroke and Cerebrovascular Disease, 2015</w:t>
            </w:r>
            <w:r w:rsidR="000E0984" w:rsidRPr="005176BD">
              <w:rPr>
                <w:rFonts w:cs="Arial"/>
                <w:sz w:val="20"/>
                <w:szCs w:val="20"/>
              </w:rPr>
              <w:t>;</w:t>
            </w:r>
            <w:r w:rsidRPr="005176BD">
              <w:rPr>
                <w:rFonts w:cs="Arial"/>
                <w:sz w:val="20"/>
                <w:szCs w:val="20"/>
              </w:rPr>
              <w:t xml:space="preserve"> 24(1)</w:t>
            </w:r>
            <w:r w:rsidR="000E0984" w:rsidRPr="005176BD">
              <w:rPr>
                <w:rFonts w:cs="Arial"/>
                <w:sz w:val="20"/>
                <w:szCs w:val="20"/>
              </w:rPr>
              <w:t xml:space="preserve">: </w:t>
            </w:r>
            <w:r w:rsidRPr="005176BD">
              <w:rPr>
                <w:rFonts w:cs="Arial"/>
                <w:sz w:val="20"/>
                <w:szCs w:val="20"/>
              </w:rPr>
              <w:t>53-60</w:t>
            </w:r>
            <w:r w:rsidR="000E0984" w:rsidRPr="005176BD">
              <w:rPr>
                <w:rFonts w:cs="Arial"/>
                <w:sz w:val="20"/>
                <w:szCs w:val="20"/>
              </w:rPr>
              <w:t>.</w:t>
            </w:r>
          </w:p>
        </w:tc>
        <w:tc>
          <w:tcPr>
            <w:tcW w:w="3977" w:type="dxa"/>
          </w:tcPr>
          <w:p w14:paraId="11E93F08" w14:textId="77777777" w:rsidR="00084B2B" w:rsidRPr="005176BD" w:rsidRDefault="00084B2B" w:rsidP="003B611A">
            <w:pPr>
              <w:rPr>
                <w:rFonts w:cs="Arial"/>
                <w:sz w:val="20"/>
                <w:szCs w:val="20"/>
              </w:rPr>
            </w:pPr>
            <w:r w:rsidRPr="005176BD">
              <w:rPr>
                <w:rFonts w:cs="Arial"/>
                <w:sz w:val="20"/>
                <w:szCs w:val="20"/>
              </w:rPr>
              <w:t>Byles J, Francis L, Chojenta C &amp; Hubbard I.</w:t>
            </w:r>
          </w:p>
        </w:tc>
        <w:tc>
          <w:tcPr>
            <w:tcW w:w="1440" w:type="dxa"/>
          </w:tcPr>
          <w:p w14:paraId="3C23C0B1" w14:textId="5F0A76C0" w:rsidR="00084B2B" w:rsidRPr="005176BD" w:rsidRDefault="00F5504C" w:rsidP="003B611A">
            <w:pPr>
              <w:rPr>
                <w:rFonts w:cs="Arial"/>
                <w:sz w:val="20"/>
                <w:szCs w:val="20"/>
              </w:rPr>
            </w:pPr>
            <w:r w:rsidRPr="005176BD">
              <w:rPr>
                <w:rFonts w:cs="Arial"/>
                <w:sz w:val="20"/>
                <w:szCs w:val="20"/>
              </w:rPr>
              <w:t>8</w:t>
            </w:r>
          </w:p>
        </w:tc>
      </w:tr>
      <w:tr w:rsidR="00084B2B" w:rsidRPr="00084B2B" w14:paraId="46A70B96" w14:textId="77777777" w:rsidTr="0011030B">
        <w:tc>
          <w:tcPr>
            <w:tcW w:w="8438" w:type="dxa"/>
          </w:tcPr>
          <w:p w14:paraId="2BD10981" w14:textId="26862175" w:rsidR="00084B2B" w:rsidRPr="005176BD" w:rsidRDefault="00084B2B" w:rsidP="003B611A">
            <w:pPr>
              <w:rPr>
                <w:rFonts w:cs="Arial"/>
                <w:sz w:val="20"/>
                <w:szCs w:val="20"/>
              </w:rPr>
            </w:pPr>
            <w:r w:rsidRPr="005176BD">
              <w:rPr>
                <w:rFonts w:cs="Arial"/>
                <w:sz w:val="20"/>
                <w:szCs w:val="20"/>
              </w:rPr>
              <w:t>Anticholinergic burden in older women: Not seeing the wood for the trees? Medical Journal of Australia, 2015</w:t>
            </w:r>
            <w:r w:rsidR="000E0984" w:rsidRPr="005176BD">
              <w:rPr>
                <w:rFonts w:cs="Arial"/>
                <w:sz w:val="20"/>
                <w:szCs w:val="20"/>
              </w:rPr>
              <w:t>;</w:t>
            </w:r>
            <w:r w:rsidRPr="005176BD">
              <w:rPr>
                <w:rFonts w:cs="Arial"/>
                <w:sz w:val="20"/>
                <w:szCs w:val="20"/>
              </w:rPr>
              <w:t xml:space="preserve"> 202(2)</w:t>
            </w:r>
            <w:r w:rsidR="000E0984" w:rsidRPr="005176BD">
              <w:rPr>
                <w:rFonts w:cs="Arial"/>
                <w:sz w:val="20"/>
                <w:szCs w:val="20"/>
              </w:rPr>
              <w:t xml:space="preserve">: </w:t>
            </w:r>
            <w:r w:rsidRPr="005176BD">
              <w:rPr>
                <w:rFonts w:cs="Arial"/>
                <w:sz w:val="20"/>
                <w:szCs w:val="20"/>
              </w:rPr>
              <w:t>91-94</w:t>
            </w:r>
            <w:r w:rsidR="000E0984" w:rsidRPr="005176BD">
              <w:rPr>
                <w:rFonts w:cs="Arial"/>
                <w:sz w:val="20"/>
                <w:szCs w:val="20"/>
              </w:rPr>
              <w:t>.</w:t>
            </w:r>
          </w:p>
        </w:tc>
        <w:tc>
          <w:tcPr>
            <w:tcW w:w="3977" w:type="dxa"/>
          </w:tcPr>
          <w:p w14:paraId="0D6662FF" w14:textId="77777777" w:rsidR="00084B2B" w:rsidRPr="005176BD" w:rsidRDefault="00084B2B" w:rsidP="003B611A">
            <w:pPr>
              <w:rPr>
                <w:rFonts w:cs="Arial"/>
                <w:sz w:val="20"/>
                <w:szCs w:val="20"/>
              </w:rPr>
            </w:pPr>
            <w:r w:rsidRPr="005176BD">
              <w:rPr>
                <w:rFonts w:cs="Arial"/>
                <w:sz w:val="20"/>
                <w:szCs w:val="20"/>
              </w:rPr>
              <w:t xml:space="preserve">Parkinson L, </w:t>
            </w:r>
            <w:proofErr w:type="spellStart"/>
            <w:r w:rsidRPr="005176BD">
              <w:rPr>
                <w:rFonts w:cs="Arial"/>
                <w:sz w:val="20"/>
                <w:szCs w:val="20"/>
              </w:rPr>
              <w:t>Magin</w:t>
            </w:r>
            <w:proofErr w:type="spellEnd"/>
            <w:r w:rsidRPr="005176BD">
              <w:rPr>
                <w:rFonts w:cs="Arial"/>
                <w:sz w:val="20"/>
                <w:szCs w:val="20"/>
              </w:rPr>
              <w:t xml:space="preserve"> P Thomson, A, Byles J, </w:t>
            </w:r>
            <w:proofErr w:type="spellStart"/>
            <w:r w:rsidRPr="005176BD">
              <w:rPr>
                <w:rFonts w:cs="Arial"/>
                <w:sz w:val="20"/>
                <w:szCs w:val="20"/>
              </w:rPr>
              <w:t>Caughey</w:t>
            </w:r>
            <w:proofErr w:type="spellEnd"/>
            <w:r w:rsidRPr="005176BD">
              <w:rPr>
                <w:rFonts w:cs="Arial"/>
                <w:sz w:val="20"/>
                <w:szCs w:val="20"/>
              </w:rPr>
              <w:t xml:space="preserve">, G, </w:t>
            </w:r>
            <w:proofErr w:type="spellStart"/>
            <w:r w:rsidRPr="005176BD">
              <w:rPr>
                <w:rFonts w:cs="Arial"/>
                <w:sz w:val="20"/>
                <w:szCs w:val="20"/>
              </w:rPr>
              <w:t>Etherton</w:t>
            </w:r>
            <w:proofErr w:type="spellEnd"/>
            <w:r w:rsidRPr="005176BD">
              <w:rPr>
                <w:rFonts w:cs="Arial"/>
                <w:sz w:val="20"/>
                <w:szCs w:val="20"/>
              </w:rPr>
              <w:t xml:space="preserve">-Beer C, </w:t>
            </w:r>
            <w:proofErr w:type="spellStart"/>
            <w:r w:rsidRPr="005176BD">
              <w:rPr>
                <w:rFonts w:cs="Arial"/>
                <w:sz w:val="20"/>
                <w:szCs w:val="20"/>
              </w:rPr>
              <w:t>Gnjidic</w:t>
            </w:r>
            <w:proofErr w:type="spellEnd"/>
            <w:r w:rsidRPr="005176BD">
              <w:rPr>
                <w:rFonts w:cs="Arial"/>
                <w:sz w:val="20"/>
                <w:szCs w:val="20"/>
              </w:rPr>
              <w:t xml:space="preserve"> D, </w:t>
            </w:r>
            <w:proofErr w:type="spellStart"/>
            <w:r w:rsidRPr="005176BD">
              <w:rPr>
                <w:rFonts w:cs="Arial"/>
                <w:sz w:val="20"/>
                <w:szCs w:val="20"/>
              </w:rPr>
              <w:t>Hilmer</w:t>
            </w:r>
            <w:proofErr w:type="spellEnd"/>
            <w:r w:rsidRPr="005176BD">
              <w:rPr>
                <w:rFonts w:cs="Arial"/>
                <w:sz w:val="20"/>
                <w:szCs w:val="20"/>
              </w:rPr>
              <w:t xml:space="preserve"> S, Lo T, </w:t>
            </w:r>
            <w:proofErr w:type="spellStart"/>
            <w:r w:rsidRPr="005176BD">
              <w:rPr>
                <w:rFonts w:cs="Arial"/>
                <w:sz w:val="20"/>
                <w:szCs w:val="20"/>
              </w:rPr>
              <w:t>McCowan</w:t>
            </w:r>
            <w:proofErr w:type="spellEnd"/>
            <w:r w:rsidRPr="005176BD">
              <w:rPr>
                <w:rFonts w:cs="Arial"/>
                <w:sz w:val="20"/>
                <w:szCs w:val="20"/>
              </w:rPr>
              <w:t xml:space="preserve"> C, </w:t>
            </w:r>
            <w:proofErr w:type="spellStart"/>
            <w:r w:rsidRPr="005176BD">
              <w:rPr>
                <w:rFonts w:cs="Arial"/>
                <w:sz w:val="20"/>
                <w:szCs w:val="20"/>
              </w:rPr>
              <w:t>Moorin</w:t>
            </w:r>
            <w:proofErr w:type="spellEnd"/>
            <w:r w:rsidRPr="005176BD">
              <w:rPr>
                <w:rFonts w:cs="Arial"/>
                <w:sz w:val="20"/>
                <w:szCs w:val="20"/>
              </w:rPr>
              <w:t>, R &amp; Pond D.</w:t>
            </w:r>
          </w:p>
        </w:tc>
        <w:tc>
          <w:tcPr>
            <w:tcW w:w="1440" w:type="dxa"/>
          </w:tcPr>
          <w:p w14:paraId="2BF08EE7" w14:textId="1F7A309B" w:rsidR="00084B2B" w:rsidRPr="005176BD" w:rsidRDefault="00F5504C" w:rsidP="003B611A">
            <w:pPr>
              <w:rPr>
                <w:rFonts w:cs="Arial"/>
                <w:sz w:val="20"/>
                <w:szCs w:val="20"/>
              </w:rPr>
            </w:pPr>
            <w:r w:rsidRPr="005176BD">
              <w:rPr>
                <w:rFonts w:cs="Arial"/>
                <w:sz w:val="20"/>
                <w:szCs w:val="20"/>
              </w:rPr>
              <w:t>12</w:t>
            </w:r>
          </w:p>
        </w:tc>
      </w:tr>
      <w:tr w:rsidR="00A10485" w:rsidRPr="009F5DCB" w14:paraId="48FD4448" w14:textId="77777777" w:rsidTr="0011030B">
        <w:tc>
          <w:tcPr>
            <w:tcW w:w="8438" w:type="dxa"/>
          </w:tcPr>
          <w:p w14:paraId="74D9D825" w14:textId="77777777" w:rsidR="00A10485" w:rsidRPr="005176BD" w:rsidRDefault="00A10485" w:rsidP="003B611A">
            <w:pPr>
              <w:rPr>
                <w:rFonts w:cs="Arial"/>
                <w:sz w:val="20"/>
                <w:szCs w:val="20"/>
                <w:lang w:eastAsia="en-AU"/>
              </w:rPr>
            </w:pPr>
            <w:r w:rsidRPr="005176BD">
              <w:rPr>
                <w:rFonts w:cs="Arial"/>
                <w:sz w:val="20"/>
                <w:szCs w:val="20"/>
                <w:lang w:eastAsia="en-AU"/>
              </w:rPr>
              <w:t>The utility of estimating population-level trajectories of terminal wellbeing decline within a growth mixture modelling framework. Social Psychiatry and Psychiatric Epidemiology, 2015; 50(3): 479-487.</w:t>
            </w:r>
          </w:p>
        </w:tc>
        <w:tc>
          <w:tcPr>
            <w:tcW w:w="3977" w:type="dxa"/>
          </w:tcPr>
          <w:p w14:paraId="6445E6DF" w14:textId="77777777" w:rsidR="00A10485" w:rsidRPr="005176BD" w:rsidRDefault="00A10485" w:rsidP="003B611A">
            <w:pPr>
              <w:rPr>
                <w:rFonts w:cs="Arial"/>
                <w:sz w:val="20"/>
                <w:szCs w:val="20"/>
              </w:rPr>
            </w:pPr>
            <w:r w:rsidRPr="005176BD">
              <w:rPr>
                <w:rFonts w:cs="Arial"/>
                <w:sz w:val="20"/>
                <w:szCs w:val="20"/>
              </w:rPr>
              <w:t xml:space="preserve">Burns RA, Byles J, </w:t>
            </w:r>
            <w:proofErr w:type="spellStart"/>
            <w:r w:rsidRPr="005176BD">
              <w:rPr>
                <w:rFonts w:cs="Arial"/>
                <w:sz w:val="20"/>
                <w:szCs w:val="20"/>
              </w:rPr>
              <w:t>Magliano</w:t>
            </w:r>
            <w:proofErr w:type="spellEnd"/>
            <w:r w:rsidRPr="005176BD">
              <w:rPr>
                <w:rFonts w:cs="Arial"/>
                <w:sz w:val="20"/>
                <w:szCs w:val="20"/>
              </w:rPr>
              <w:t xml:space="preserve"> DJ, Mitchell P, Anstey KJ.</w:t>
            </w:r>
          </w:p>
        </w:tc>
        <w:tc>
          <w:tcPr>
            <w:tcW w:w="1440" w:type="dxa"/>
          </w:tcPr>
          <w:p w14:paraId="68B6D459" w14:textId="77777777" w:rsidR="00A10485" w:rsidRPr="005176BD" w:rsidRDefault="00A10485" w:rsidP="003B611A">
            <w:pPr>
              <w:rPr>
                <w:rStyle w:val="Hyperlink"/>
                <w:rFonts w:ascii="Arial" w:hAnsi="Arial" w:cs="Arial"/>
                <w:color w:val="auto"/>
                <w:sz w:val="20"/>
                <w:szCs w:val="20"/>
                <w:u w:val="none"/>
              </w:rPr>
            </w:pPr>
            <w:r w:rsidRPr="005176BD">
              <w:rPr>
                <w:rStyle w:val="Hyperlink"/>
                <w:rFonts w:ascii="Arial" w:hAnsi="Arial" w:cs="Arial"/>
                <w:color w:val="auto"/>
                <w:sz w:val="20"/>
                <w:szCs w:val="20"/>
                <w:u w:val="none"/>
              </w:rPr>
              <w:t>3</w:t>
            </w:r>
          </w:p>
        </w:tc>
      </w:tr>
      <w:tr w:rsidR="00084B2B" w:rsidRPr="00084B2B" w14:paraId="0E473262" w14:textId="77777777" w:rsidTr="0011030B">
        <w:tc>
          <w:tcPr>
            <w:tcW w:w="8438" w:type="dxa"/>
          </w:tcPr>
          <w:p w14:paraId="117440E7" w14:textId="367FE5CF" w:rsidR="00084B2B" w:rsidRPr="005176BD" w:rsidRDefault="00084B2B" w:rsidP="003B611A">
            <w:pPr>
              <w:rPr>
                <w:rFonts w:cs="Arial"/>
                <w:sz w:val="20"/>
                <w:szCs w:val="20"/>
              </w:rPr>
            </w:pPr>
            <w:r w:rsidRPr="005176BD">
              <w:rPr>
                <w:rFonts w:cs="Arial"/>
                <w:sz w:val="20"/>
                <w:szCs w:val="20"/>
              </w:rPr>
              <w:t xml:space="preserve">A study protocol for the profile of pain in older women: Assessing the </w:t>
            </w:r>
            <w:proofErr w:type="spellStart"/>
            <w:r w:rsidRPr="005176BD">
              <w:rPr>
                <w:rFonts w:cs="Arial"/>
                <w:sz w:val="20"/>
                <w:szCs w:val="20"/>
              </w:rPr>
              <w:t>multi dimensional</w:t>
            </w:r>
            <w:proofErr w:type="spellEnd"/>
            <w:r w:rsidRPr="005176BD">
              <w:rPr>
                <w:rFonts w:cs="Arial"/>
                <w:sz w:val="20"/>
                <w:szCs w:val="20"/>
              </w:rPr>
              <w:t xml:space="preserve"> nature of the experience of pain in arthritis. Chiropractic &amp; Manual Therapies, 2014</w:t>
            </w:r>
            <w:r w:rsidR="000E0984" w:rsidRPr="005176BD">
              <w:rPr>
                <w:rFonts w:cs="Arial"/>
                <w:sz w:val="20"/>
                <w:szCs w:val="20"/>
              </w:rPr>
              <w:t>;</w:t>
            </w:r>
            <w:r w:rsidRPr="005176BD">
              <w:rPr>
                <w:rFonts w:cs="Arial"/>
                <w:sz w:val="20"/>
                <w:szCs w:val="20"/>
              </w:rPr>
              <w:t xml:space="preserve"> 22(28)</w:t>
            </w:r>
            <w:r w:rsidR="000E0984" w:rsidRPr="005176BD">
              <w:rPr>
                <w:rFonts w:cs="Arial"/>
                <w:sz w:val="20"/>
                <w:szCs w:val="20"/>
              </w:rPr>
              <w:t xml:space="preserve">: </w:t>
            </w:r>
            <w:r w:rsidR="000E0984" w:rsidRPr="003E0D26">
              <w:rPr>
                <w:rStyle w:val="Hyperlink"/>
                <w:rFonts w:ascii="Arial" w:hAnsi="Arial" w:cs="Arial"/>
                <w:color w:val="auto"/>
                <w:sz w:val="20"/>
                <w:szCs w:val="20"/>
                <w:u w:val="none"/>
              </w:rPr>
              <w:t>https://doi.org/10.1186/s12998-014-0028-5</w:t>
            </w:r>
            <w:r w:rsidR="000E0984" w:rsidRPr="003E0D26">
              <w:rPr>
                <w:rFonts w:cs="Arial"/>
                <w:sz w:val="20"/>
                <w:szCs w:val="20"/>
              </w:rPr>
              <w:t xml:space="preserve"> </w:t>
            </w:r>
          </w:p>
        </w:tc>
        <w:tc>
          <w:tcPr>
            <w:tcW w:w="3977" w:type="dxa"/>
          </w:tcPr>
          <w:p w14:paraId="33EA955E" w14:textId="77777777" w:rsidR="00084B2B" w:rsidRPr="005176BD" w:rsidRDefault="00084B2B" w:rsidP="003B611A">
            <w:pPr>
              <w:rPr>
                <w:rFonts w:cs="Arial"/>
                <w:sz w:val="20"/>
                <w:szCs w:val="20"/>
              </w:rPr>
            </w:pPr>
            <w:r w:rsidRPr="005176BD">
              <w:rPr>
                <w:rFonts w:cs="Arial"/>
                <w:sz w:val="20"/>
                <w:szCs w:val="20"/>
              </w:rPr>
              <w:t>de Luca K, Parkinson L &amp; Byles J.</w:t>
            </w:r>
          </w:p>
        </w:tc>
        <w:tc>
          <w:tcPr>
            <w:tcW w:w="1440" w:type="dxa"/>
          </w:tcPr>
          <w:p w14:paraId="4970FA82" w14:textId="6B8E759A" w:rsidR="00084B2B" w:rsidRPr="005176BD" w:rsidRDefault="0007184E" w:rsidP="003B611A">
            <w:pPr>
              <w:rPr>
                <w:rFonts w:cs="Arial"/>
                <w:sz w:val="20"/>
                <w:szCs w:val="20"/>
              </w:rPr>
            </w:pPr>
            <w:r w:rsidRPr="005176BD">
              <w:rPr>
                <w:rFonts w:cs="Arial"/>
                <w:sz w:val="20"/>
                <w:szCs w:val="20"/>
              </w:rPr>
              <w:t>6</w:t>
            </w:r>
          </w:p>
        </w:tc>
      </w:tr>
      <w:tr w:rsidR="00084B2B" w:rsidRPr="00084B2B" w14:paraId="54A2134B" w14:textId="77777777" w:rsidTr="0011030B">
        <w:tc>
          <w:tcPr>
            <w:tcW w:w="8438" w:type="dxa"/>
          </w:tcPr>
          <w:p w14:paraId="5C649551" w14:textId="746A4D3A" w:rsidR="00084B2B" w:rsidRPr="005176BD" w:rsidRDefault="00084B2B" w:rsidP="003B611A">
            <w:pPr>
              <w:rPr>
                <w:rFonts w:cs="Arial"/>
                <w:sz w:val="20"/>
                <w:szCs w:val="20"/>
              </w:rPr>
            </w:pPr>
            <w:r w:rsidRPr="005176BD">
              <w:rPr>
                <w:rFonts w:cs="Arial"/>
                <w:color w:val="000000"/>
                <w:sz w:val="20"/>
                <w:szCs w:val="20"/>
                <w:lang w:eastAsia="en-AU"/>
              </w:rPr>
              <w:t>Can the International Classification of Functioning, Disability and Health (ICF) be used to understand risk factors for falls in older Australian women</w:t>
            </w:r>
            <w:r w:rsidRPr="005176BD">
              <w:rPr>
                <w:rFonts w:cs="Arial"/>
                <w:iCs/>
                <w:color w:val="000000"/>
                <w:sz w:val="20"/>
                <w:szCs w:val="20"/>
                <w:lang w:eastAsia="en-AU"/>
              </w:rPr>
              <w:t>? Health</w:t>
            </w:r>
            <w:r w:rsidR="00E64051" w:rsidRPr="005176BD">
              <w:rPr>
                <w:rFonts w:cs="Arial"/>
                <w:iCs/>
                <w:color w:val="000000"/>
                <w:sz w:val="20"/>
                <w:szCs w:val="20"/>
                <w:lang w:eastAsia="en-AU"/>
              </w:rPr>
              <w:t>, 2013</w:t>
            </w:r>
            <w:r w:rsidR="000E0984" w:rsidRPr="005176BD">
              <w:rPr>
                <w:rFonts w:cs="Arial"/>
                <w:iCs/>
                <w:color w:val="000000"/>
                <w:sz w:val="20"/>
                <w:szCs w:val="20"/>
                <w:lang w:eastAsia="en-AU"/>
              </w:rPr>
              <w:t>;</w:t>
            </w:r>
            <w:r w:rsidR="00E64051" w:rsidRPr="005176BD">
              <w:rPr>
                <w:rFonts w:cs="Arial"/>
                <w:iCs/>
                <w:color w:val="000000"/>
                <w:sz w:val="20"/>
                <w:szCs w:val="20"/>
                <w:lang w:eastAsia="en-AU"/>
              </w:rPr>
              <w:t xml:space="preserve"> 5</w:t>
            </w:r>
            <w:r w:rsidR="000E0984" w:rsidRPr="005176BD">
              <w:rPr>
                <w:rFonts w:cs="Arial"/>
                <w:iCs/>
                <w:color w:val="000000"/>
                <w:sz w:val="20"/>
                <w:szCs w:val="20"/>
                <w:lang w:eastAsia="en-AU"/>
              </w:rPr>
              <w:t>(12A):</w:t>
            </w:r>
            <w:r w:rsidR="0092052D" w:rsidRPr="005176BD">
              <w:rPr>
                <w:rFonts w:cs="Arial"/>
                <w:iCs/>
                <w:color w:val="000000"/>
                <w:sz w:val="20"/>
                <w:szCs w:val="20"/>
                <w:lang w:eastAsia="en-AU"/>
              </w:rPr>
              <w:t xml:space="preserve"> 39-48.</w:t>
            </w:r>
            <w:r w:rsidR="00E64051" w:rsidRPr="005176BD">
              <w:rPr>
                <w:rFonts w:cs="Arial"/>
                <w:iCs/>
                <w:color w:val="000000"/>
                <w:sz w:val="20"/>
                <w:szCs w:val="20"/>
                <w:lang w:eastAsia="en-AU"/>
              </w:rPr>
              <w:t xml:space="preserve"> </w:t>
            </w:r>
          </w:p>
        </w:tc>
        <w:tc>
          <w:tcPr>
            <w:tcW w:w="3977" w:type="dxa"/>
          </w:tcPr>
          <w:p w14:paraId="19C13BB7" w14:textId="635FACDA" w:rsidR="00084B2B" w:rsidRPr="005176BD" w:rsidRDefault="00084B2B" w:rsidP="003B611A">
            <w:pPr>
              <w:rPr>
                <w:rFonts w:cs="Arial"/>
                <w:sz w:val="20"/>
                <w:szCs w:val="20"/>
                <w:highlight w:val="yellow"/>
              </w:rPr>
            </w:pPr>
            <w:proofErr w:type="spellStart"/>
            <w:r w:rsidRPr="005176BD">
              <w:rPr>
                <w:rFonts w:cs="Arial"/>
                <w:sz w:val="20"/>
                <w:szCs w:val="20"/>
              </w:rPr>
              <w:t>Mehraban</w:t>
            </w:r>
            <w:proofErr w:type="spellEnd"/>
            <w:r w:rsidRPr="005176BD">
              <w:rPr>
                <w:rFonts w:cs="Arial"/>
                <w:sz w:val="20"/>
                <w:szCs w:val="20"/>
              </w:rPr>
              <w:t xml:space="preserve"> A</w:t>
            </w:r>
            <w:r w:rsidR="00E64051" w:rsidRPr="005176BD">
              <w:rPr>
                <w:rFonts w:cs="Arial"/>
                <w:sz w:val="20"/>
                <w:szCs w:val="20"/>
              </w:rPr>
              <w:t xml:space="preserve">, Mackenzie L, Byles J, Gibson R &amp; </w:t>
            </w:r>
            <w:proofErr w:type="spellStart"/>
            <w:r w:rsidR="00E64051" w:rsidRPr="005176BD">
              <w:rPr>
                <w:rFonts w:cs="Arial"/>
                <w:sz w:val="20"/>
                <w:szCs w:val="20"/>
              </w:rPr>
              <w:t>Curryer</w:t>
            </w:r>
            <w:proofErr w:type="spellEnd"/>
            <w:r w:rsidR="00E64051" w:rsidRPr="005176BD">
              <w:rPr>
                <w:rFonts w:cs="Arial"/>
                <w:sz w:val="20"/>
                <w:szCs w:val="20"/>
              </w:rPr>
              <w:t xml:space="preserve"> C.</w:t>
            </w:r>
          </w:p>
        </w:tc>
        <w:tc>
          <w:tcPr>
            <w:tcW w:w="1440" w:type="dxa"/>
          </w:tcPr>
          <w:p w14:paraId="251C958D" w14:textId="385BA54B" w:rsidR="00084B2B" w:rsidRPr="005176BD" w:rsidRDefault="0007184E" w:rsidP="003B611A">
            <w:pPr>
              <w:rPr>
                <w:rFonts w:cs="Arial"/>
                <w:sz w:val="20"/>
                <w:szCs w:val="20"/>
              </w:rPr>
            </w:pPr>
            <w:r w:rsidRPr="005176BD">
              <w:rPr>
                <w:rFonts w:cs="Arial"/>
                <w:sz w:val="20"/>
                <w:szCs w:val="20"/>
              </w:rPr>
              <w:t>2</w:t>
            </w:r>
          </w:p>
        </w:tc>
      </w:tr>
      <w:tr w:rsidR="00A10485" w:rsidRPr="00BE49A1" w14:paraId="78AFD423" w14:textId="77777777" w:rsidTr="0011030B">
        <w:tc>
          <w:tcPr>
            <w:tcW w:w="8438" w:type="dxa"/>
          </w:tcPr>
          <w:p w14:paraId="381F5E1A" w14:textId="77777777" w:rsidR="00A10485" w:rsidRPr="005176BD" w:rsidRDefault="00A10485" w:rsidP="003B611A">
            <w:pPr>
              <w:rPr>
                <w:rFonts w:cs="Arial"/>
                <w:sz w:val="20"/>
                <w:szCs w:val="20"/>
                <w:lang w:eastAsia="en-AU"/>
              </w:rPr>
            </w:pPr>
            <w:r w:rsidRPr="005176BD">
              <w:rPr>
                <w:rFonts w:cs="Arial"/>
                <w:sz w:val="20"/>
                <w:szCs w:val="20"/>
                <w:lang w:eastAsia="en-AU"/>
              </w:rPr>
              <w:t>Age, physical functioning, and affect in midlife and older adulthood. Journal of Gerontology: Psychological Sciences, 2013; 68(3): 395-399.</w:t>
            </w:r>
          </w:p>
        </w:tc>
        <w:tc>
          <w:tcPr>
            <w:tcW w:w="3977" w:type="dxa"/>
          </w:tcPr>
          <w:p w14:paraId="2669DE78" w14:textId="77777777" w:rsidR="00A10485" w:rsidRPr="005176BD" w:rsidRDefault="00A10485" w:rsidP="003B611A">
            <w:pPr>
              <w:rPr>
                <w:rFonts w:cs="Arial"/>
                <w:sz w:val="20"/>
                <w:szCs w:val="20"/>
              </w:rPr>
            </w:pPr>
            <w:r w:rsidRPr="005176BD">
              <w:rPr>
                <w:rFonts w:cs="Arial"/>
                <w:sz w:val="20"/>
                <w:szCs w:val="20"/>
              </w:rPr>
              <w:t>Windsor TD, Burns RA, Byles JE.</w:t>
            </w:r>
          </w:p>
        </w:tc>
        <w:tc>
          <w:tcPr>
            <w:tcW w:w="1440" w:type="dxa"/>
          </w:tcPr>
          <w:p w14:paraId="46885EF6" w14:textId="77777777" w:rsidR="00A10485" w:rsidRPr="005176BD" w:rsidRDefault="00A10485" w:rsidP="003B611A">
            <w:pPr>
              <w:rPr>
                <w:rStyle w:val="Hyperlink"/>
                <w:rFonts w:ascii="Arial" w:hAnsi="Arial" w:cs="Arial"/>
                <w:color w:val="auto"/>
                <w:sz w:val="20"/>
                <w:szCs w:val="20"/>
                <w:u w:val="none"/>
              </w:rPr>
            </w:pPr>
            <w:r w:rsidRPr="005176BD">
              <w:rPr>
                <w:rStyle w:val="Hyperlink"/>
                <w:rFonts w:ascii="Arial" w:hAnsi="Arial" w:cs="Arial"/>
                <w:color w:val="auto"/>
                <w:sz w:val="20"/>
                <w:szCs w:val="20"/>
                <w:u w:val="none"/>
              </w:rPr>
              <w:t>19</w:t>
            </w:r>
          </w:p>
        </w:tc>
      </w:tr>
      <w:tr w:rsidR="00084B2B" w:rsidRPr="00084B2B" w14:paraId="74753996" w14:textId="77777777" w:rsidTr="0011030B">
        <w:tc>
          <w:tcPr>
            <w:tcW w:w="8438" w:type="dxa"/>
          </w:tcPr>
          <w:p w14:paraId="68CB129D" w14:textId="2D219D76" w:rsidR="00084B2B" w:rsidRPr="005176BD" w:rsidRDefault="00084B2B" w:rsidP="003B611A">
            <w:pPr>
              <w:rPr>
                <w:rFonts w:cs="Arial"/>
                <w:sz w:val="20"/>
                <w:szCs w:val="20"/>
              </w:rPr>
            </w:pPr>
            <w:r w:rsidRPr="005176BD">
              <w:rPr>
                <w:rFonts w:cs="Arial"/>
                <w:color w:val="000000"/>
                <w:sz w:val="20"/>
                <w:szCs w:val="20"/>
                <w:lang w:eastAsia="en-AU"/>
              </w:rPr>
              <w:t xml:space="preserve">A life-course perspective on physical functioning in women. </w:t>
            </w:r>
            <w:r w:rsidRPr="005176BD">
              <w:rPr>
                <w:rFonts w:cs="Arial"/>
                <w:iCs/>
                <w:color w:val="000000"/>
                <w:sz w:val="20"/>
                <w:szCs w:val="20"/>
                <w:lang w:eastAsia="en-AU"/>
              </w:rPr>
              <w:t>Bulletin of the World Health Organization</w:t>
            </w:r>
            <w:r w:rsidRPr="005176BD">
              <w:rPr>
                <w:rFonts w:cs="Arial"/>
                <w:color w:val="000000"/>
                <w:sz w:val="20"/>
                <w:szCs w:val="20"/>
                <w:lang w:eastAsia="en-AU"/>
              </w:rPr>
              <w:t xml:space="preserve">, </w:t>
            </w:r>
            <w:r w:rsidR="000E0984" w:rsidRPr="005176BD">
              <w:rPr>
                <w:rFonts w:cs="Arial"/>
                <w:color w:val="000000"/>
                <w:sz w:val="20"/>
                <w:szCs w:val="20"/>
                <w:lang w:eastAsia="en-AU"/>
              </w:rPr>
              <w:t xml:space="preserve">2013; </w:t>
            </w:r>
            <w:r w:rsidRPr="005176BD">
              <w:rPr>
                <w:rFonts w:cs="Arial"/>
                <w:iCs/>
                <w:color w:val="000000"/>
                <w:sz w:val="20"/>
                <w:szCs w:val="20"/>
                <w:lang w:eastAsia="en-AU"/>
              </w:rPr>
              <w:t>91</w:t>
            </w:r>
            <w:r w:rsidRPr="005176BD">
              <w:rPr>
                <w:rFonts w:cs="Arial"/>
                <w:color w:val="000000"/>
                <w:sz w:val="20"/>
                <w:szCs w:val="20"/>
                <w:lang w:eastAsia="en-AU"/>
              </w:rPr>
              <w:t>(9): 661-670.</w:t>
            </w:r>
          </w:p>
        </w:tc>
        <w:tc>
          <w:tcPr>
            <w:tcW w:w="3977" w:type="dxa"/>
          </w:tcPr>
          <w:p w14:paraId="5196003A" w14:textId="77777777" w:rsidR="00084B2B" w:rsidRPr="005176BD" w:rsidRDefault="00084B2B" w:rsidP="003B611A">
            <w:pPr>
              <w:rPr>
                <w:rFonts w:cs="Arial"/>
                <w:sz w:val="20"/>
                <w:szCs w:val="20"/>
              </w:rPr>
            </w:pPr>
            <w:r w:rsidRPr="005176BD">
              <w:rPr>
                <w:rFonts w:cs="Arial"/>
                <w:sz w:val="20"/>
                <w:szCs w:val="20"/>
              </w:rPr>
              <w:t xml:space="preserve">Peeters G, Dobson A, </w:t>
            </w:r>
            <w:proofErr w:type="spellStart"/>
            <w:r w:rsidRPr="005176BD">
              <w:rPr>
                <w:rFonts w:cs="Arial"/>
                <w:sz w:val="20"/>
                <w:szCs w:val="20"/>
              </w:rPr>
              <w:t>Deeg</w:t>
            </w:r>
            <w:proofErr w:type="spellEnd"/>
            <w:r w:rsidRPr="005176BD">
              <w:rPr>
                <w:rFonts w:cs="Arial"/>
                <w:sz w:val="20"/>
                <w:szCs w:val="20"/>
              </w:rPr>
              <w:t xml:space="preserve"> D &amp; Brown WJ.</w:t>
            </w:r>
          </w:p>
        </w:tc>
        <w:tc>
          <w:tcPr>
            <w:tcW w:w="1440" w:type="dxa"/>
          </w:tcPr>
          <w:p w14:paraId="0293A031" w14:textId="6C70BA9F" w:rsidR="00084B2B" w:rsidRPr="005176BD" w:rsidRDefault="00F5504C" w:rsidP="003B611A">
            <w:pPr>
              <w:rPr>
                <w:rFonts w:cs="Arial"/>
                <w:sz w:val="20"/>
                <w:szCs w:val="20"/>
              </w:rPr>
            </w:pPr>
            <w:r w:rsidRPr="005176BD">
              <w:rPr>
                <w:rFonts w:cs="Arial"/>
                <w:sz w:val="20"/>
                <w:szCs w:val="20"/>
              </w:rPr>
              <w:t>42</w:t>
            </w:r>
          </w:p>
        </w:tc>
      </w:tr>
      <w:tr w:rsidR="00A10485" w:rsidRPr="00D43962" w14:paraId="277CB3B3" w14:textId="77777777" w:rsidTr="0011030B">
        <w:tc>
          <w:tcPr>
            <w:tcW w:w="8438" w:type="dxa"/>
          </w:tcPr>
          <w:p w14:paraId="16D4A5E7" w14:textId="77777777" w:rsidR="00A10485" w:rsidRPr="005176BD" w:rsidRDefault="00A10485" w:rsidP="003B611A">
            <w:pPr>
              <w:rPr>
                <w:rFonts w:cs="Arial"/>
                <w:sz w:val="20"/>
                <w:szCs w:val="20"/>
                <w:lang w:eastAsia="en-AU"/>
              </w:rPr>
            </w:pPr>
            <w:r w:rsidRPr="005176BD">
              <w:rPr>
                <w:rFonts w:cs="Arial"/>
                <w:sz w:val="20"/>
                <w:szCs w:val="20"/>
                <w:lang w:eastAsia="en-AU"/>
              </w:rPr>
              <w:t xml:space="preserve">Alcohol, hospital admissions and falls in older adults: A longitudinal evaluation.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2013; 25(6): 901-912.</w:t>
            </w:r>
          </w:p>
        </w:tc>
        <w:tc>
          <w:tcPr>
            <w:tcW w:w="3977" w:type="dxa"/>
          </w:tcPr>
          <w:p w14:paraId="76ED3F65" w14:textId="77777777" w:rsidR="00A10485" w:rsidRPr="005176BD" w:rsidRDefault="00A10485" w:rsidP="003B611A">
            <w:pPr>
              <w:rPr>
                <w:rFonts w:cs="Arial"/>
                <w:sz w:val="20"/>
                <w:szCs w:val="20"/>
              </w:rPr>
            </w:pPr>
            <w:r w:rsidRPr="005176BD">
              <w:rPr>
                <w:rFonts w:cs="Arial"/>
                <w:sz w:val="20"/>
                <w:szCs w:val="20"/>
              </w:rPr>
              <w:t>Tait RJ, French DJ, Burns RA, Byles JE, Anstey KJ.</w:t>
            </w:r>
          </w:p>
        </w:tc>
        <w:tc>
          <w:tcPr>
            <w:tcW w:w="1440" w:type="dxa"/>
          </w:tcPr>
          <w:p w14:paraId="06A5F38A" w14:textId="77777777" w:rsidR="00A10485" w:rsidRPr="005176BD" w:rsidRDefault="00A10485" w:rsidP="003B611A">
            <w:pPr>
              <w:rPr>
                <w:rFonts w:cs="Arial"/>
                <w:sz w:val="20"/>
                <w:szCs w:val="20"/>
              </w:rPr>
            </w:pPr>
            <w:r w:rsidRPr="005176BD">
              <w:rPr>
                <w:rFonts w:cs="Arial"/>
                <w:sz w:val="20"/>
                <w:szCs w:val="20"/>
              </w:rPr>
              <w:t>4</w:t>
            </w:r>
          </w:p>
        </w:tc>
      </w:tr>
      <w:tr w:rsidR="00A10485" w:rsidRPr="00A04D4E" w14:paraId="493EC968" w14:textId="77777777" w:rsidTr="0011030B">
        <w:trPr>
          <w:trHeight w:val="441"/>
        </w:trPr>
        <w:tc>
          <w:tcPr>
            <w:tcW w:w="8438" w:type="dxa"/>
          </w:tcPr>
          <w:p w14:paraId="6B54E43C" w14:textId="727B1D28" w:rsidR="00A10485" w:rsidRPr="005176BD" w:rsidRDefault="00A10485" w:rsidP="003B611A">
            <w:pPr>
              <w:rPr>
                <w:rFonts w:cs="Arial"/>
                <w:sz w:val="20"/>
                <w:szCs w:val="20"/>
              </w:rPr>
            </w:pPr>
            <w:r w:rsidRPr="005176BD">
              <w:rPr>
                <w:rFonts w:cs="Arial"/>
                <w:color w:val="000000"/>
                <w:sz w:val="20"/>
                <w:szCs w:val="20"/>
              </w:rPr>
              <w:lastRenderedPageBreak/>
              <w:t xml:space="preserve">Positive components of mental health provide significant protection against likelihood of falling in older women over a 13-year period. International </w:t>
            </w:r>
            <w:proofErr w:type="spellStart"/>
            <w:r w:rsidRPr="005176BD">
              <w:rPr>
                <w:rFonts w:cs="Arial"/>
                <w:color w:val="000000"/>
                <w:sz w:val="20"/>
                <w:szCs w:val="20"/>
              </w:rPr>
              <w:t>Psychogeriatrics</w:t>
            </w:r>
            <w:proofErr w:type="spellEnd"/>
            <w:r w:rsidRPr="005176BD">
              <w:rPr>
                <w:rFonts w:cs="Arial"/>
                <w:color w:val="000000"/>
                <w:sz w:val="20"/>
                <w:szCs w:val="20"/>
              </w:rPr>
              <w:t>, 2012; 24(9): 1419-1428.</w:t>
            </w:r>
          </w:p>
        </w:tc>
        <w:tc>
          <w:tcPr>
            <w:tcW w:w="3977" w:type="dxa"/>
          </w:tcPr>
          <w:p w14:paraId="32C4C93C" w14:textId="77777777" w:rsidR="00A10485" w:rsidRPr="005176BD" w:rsidRDefault="00A10485" w:rsidP="003B611A">
            <w:pPr>
              <w:rPr>
                <w:rFonts w:cs="Arial"/>
                <w:color w:val="000000"/>
                <w:sz w:val="20"/>
                <w:szCs w:val="20"/>
              </w:rPr>
            </w:pPr>
            <w:r w:rsidRPr="005176BD">
              <w:rPr>
                <w:rFonts w:cs="Arial"/>
                <w:color w:val="000000"/>
                <w:sz w:val="20"/>
                <w:szCs w:val="20"/>
              </w:rPr>
              <w:t>Burns R, Byles J, Mitchell P &amp; Anstey K.</w:t>
            </w:r>
          </w:p>
        </w:tc>
        <w:tc>
          <w:tcPr>
            <w:tcW w:w="1440" w:type="dxa"/>
          </w:tcPr>
          <w:p w14:paraId="4268CAF4" w14:textId="77777777" w:rsidR="00A10485" w:rsidRPr="005176BD" w:rsidRDefault="00A10485" w:rsidP="003B611A">
            <w:pPr>
              <w:rPr>
                <w:rFonts w:cs="Arial"/>
                <w:color w:val="000000"/>
                <w:sz w:val="20"/>
                <w:szCs w:val="20"/>
              </w:rPr>
            </w:pPr>
            <w:r w:rsidRPr="005176BD">
              <w:rPr>
                <w:rFonts w:cs="Arial"/>
                <w:color w:val="000000"/>
                <w:sz w:val="20"/>
                <w:szCs w:val="20"/>
              </w:rPr>
              <w:t>8</w:t>
            </w:r>
          </w:p>
        </w:tc>
      </w:tr>
      <w:tr w:rsidR="00084B2B" w:rsidRPr="00084B2B" w14:paraId="3D37E093" w14:textId="77777777" w:rsidTr="0011030B">
        <w:tc>
          <w:tcPr>
            <w:tcW w:w="8438" w:type="dxa"/>
          </w:tcPr>
          <w:p w14:paraId="502F1BC4" w14:textId="7094AC71" w:rsidR="00084B2B" w:rsidRPr="005176BD" w:rsidRDefault="00084B2B" w:rsidP="003B611A">
            <w:pPr>
              <w:rPr>
                <w:rFonts w:cs="Arial"/>
                <w:sz w:val="20"/>
                <w:szCs w:val="20"/>
              </w:rPr>
            </w:pPr>
            <w:r w:rsidRPr="005176BD">
              <w:rPr>
                <w:rFonts w:cs="Arial"/>
                <w:color w:val="000000"/>
                <w:sz w:val="20"/>
                <w:szCs w:val="20"/>
                <w:lang w:eastAsia="en-AU"/>
              </w:rPr>
              <w:t xml:space="preserve">Sitting-time and 9-year all-cause mortality in older women. </w:t>
            </w:r>
            <w:r w:rsidRPr="005176BD">
              <w:rPr>
                <w:rFonts w:cs="Arial"/>
                <w:iCs/>
                <w:color w:val="000000"/>
                <w:sz w:val="20"/>
                <w:szCs w:val="20"/>
                <w:lang w:eastAsia="en-AU"/>
              </w:rPr>
              <w:t>British Journal of Sports Medicine</w:t>
            </w:r>
            <w:r w:rsidR="0092052D" w:rsidRPr="005176BD">
              <w:rPr>
                <w:rFonts w:cs="Arial"/>
                <w:iCs/>
                <w:color w:val="000000"/>
                <w:sz w:val="20"/>
                <w:szCs w:val="20"/>
                <w:lang w:eastAsia="en-AU"/>
              </w:rPr>
              <w:t xml:space="preserve">, </w:t>
            </w:r>
            <w:r w:rsidR="000E0984" w:rsidRPr="005176BD">
              <w:rPr>
                <w:rFonts w:cs="Arial"/>
                <w:color w:val="000000"/>
                <w:sz w:val="20"/>
                <w:szCs w:val="20"/>
                <w:lang w:eastAsia="en-AU"/>
              </w:rPr>
              <w:t xml:space="preserve">2012; </w:t>
            </w:r>
            <w:r w:rsidR="0092052D" w:rsidRPr="005176BD">
              <w:rPr>
                <w:rFonts w:cs="Arial"/>
                <w:iCs/>
                <w:color w:val="000000"/>
                <w:sz w:val="20"/>
                <w:szCs w:val="20"/>
                <w:lang w:eastAsia="en-AU"/>
              </w:rPr>
              <w:t>49</w:t>
            </w:r>
            <w:r w:rsidR="000E0984" w:rsidRPr="005176BD">
              <w:rPr>
                <w:rFonts w:cs="Arial"/>
                <w:iCs/>
                <w:color w:val="000000"/>
                <w:sz w:val="20"/>
                <w:szCs w:val="20"/>
                <w:lang w:eastAsia="en-AU"/>
              </w:rPr>
              <w:t xml:space="preserve">: </w:t>
            </w:r>
            <w:r w:rsidR="0092052D" w:rsidRPr="005176BD">
              <w:rPr>
                <w:rFonts w:cs="Arial"/>
                <w:iCs/>
                <w:color w:val="000000"/>
                <w:sz w:val="20"/>
                <w:szCs w:val="20"/>
                <w:lang w:eastAsia="en-AU"/>
              </w:rPr>
              <w:t>95-99.</w:t>
            </w:r>
            <w:r w:rsidRPr="005176BD">
              <w:rPr>
                <w:rFonts w:cs="Arial"/>
                <w:iCs/>
                <w:color w:val="000000"/>
                <w:sz w:val="20"/>
                <w:szCs w:val="20"/>
                <w:lang w:eastAsia="en-AU"/>
              </w:rPr>
              <w:t xml:space="preserve"> </w:t>
            </w:r>
          </w:p>
        </w:tc>
        <w:tc>
          <w:tcPr>
            <w:tcW w:w="3977" w:type="dxa"/>
          </w:tcPr>
          <w:p w14:paraId="3A490ABE" w14:textId="77777777" w:rsidR="00084B2B" w:rsidRPr="005176BD" w:rsidRDefault="00084B2B" w:rsidP="003B611A">
            <w:pPr>
              <w:rPr>
                <w:rFonts w:cs="Arial"/>
                <w:sz w:val="20"/>
                <w:szCs w:val="20"/>
              </w:rPr>
            </w:pPr>
            <w:proofErr w:type="spellStart"/>
            <w:r w:rsidRPr="005176BD">
              <w:rPr>
                <w:rFonts w:cs="Arial"/>
                <w:sz w:val="20"/>
                <w:szCs w:val="20"/>
              </w:rPr>
              <w:t>Pavey</w:t>
            </w:r>
            <w:proofErr w:type="spellEnd"/>
            <w:r w:rsidRPr="005176BD">
              <w:rPr>
                <w:rFonts w:cs="Arial"/>
                <w:sz w:val="20"/>
                <w:szCs w:val="20"/>
              </w:rPr>
              <w:t xml:space="preserve"> T, Peeters G &amp; Brown WJ.</w:t>
            </w:r>
          </w:p>
        </w:tc>
        <w:tc>
          <w:tcPr>
            <w:tcW w:w="1440" w:type="dxa"/>
          </w:tcPr>
          <w:p w14:paraId="1F2DDB04" w14:textId="53427514" w:rsidR="00084B2B" w:rsidRPr="005176BD" w:rsidRDefault="0007184E" w:rsidP="003B611A">
            <w:pPr>
              <w:rPr>
                <w:rFonts w:cs="Arial"/>
                <w:sz w:val="20"/>
                <w:szCs w:val="20"/>
              </w:rPr>
            </w:pPr>
            <w:r w:rsidRPr="005176BD">
              <w:rPr>
                <w:rFonts w:cs="Arial"/>
                <w:sz w:val="20"/>
                <w:szCs w:val="20"/>
              </w:rPr>
              <w:t>95</w:t>
            </w:r>
          </w:p>
        </w:tc>
      </w:tr>
      <w:tr w:rsidR="008F3670" w:rsidRPr="008F3670" w14:paraId="63186232" w14:textId="77777777" w:rsidTr="0011030B">
        <w:tc>
          <w:tcPr>
            <w:tcW w:w="8438" w:type="dxa"/>
          </w:tcPr>
          <w:p w14:paraId="4B1043ED" w14:textId="17AE4633" w:rsidR="008F3670" w:rsidRPr="005176BD" w:rsidRDefault="008F3670" w:rsidP="003B611A">
            <w:pPr>
              <w:rPr>
                <w:rFonts w:cs="Arial"/>
                <w:color w:val="000000"/>
                <w:sz w:val="20"/>
                <w:szCs w:val="20"/>
                <w:lang w:eastAsia="en-AU"/>
              </w:rPr>
            </w:pPr>
            <w:r w:rsidRPr="005176BD">
              <w:rPr>
                <w:rFonts w:eastAsia="Calibri" w:cs="Arial"/>
                <w:color w:val="000000"/>
                <w:sz w:val="20"/>
                <w:szCs w:val="20"/>
              </w:rPr>
              <w:t>Falls, injuries from falls, health related quality of life and mortality in older adults with vision and hearing impairment - Is there a gender difference? Maturitas, 2011</w:t>
            </w:r>
            <w:r w:rsidR="0060036C" w:rsidRPr="005176BD">
              <w:rPr>
                <w:rFonts w:eastAsia="Calibri" w:cs="Arial"/>
                <w:color w:val="000000"/>
                <w:sz w:val="20"/>
                <w:szCs w:val="20"/>
              </w:rPr>
              <w:t>;</w:t>
            </w:r>
            <w:r w:rsidRPr="005176BD">
              <w:rPr>
                <w:rFonts w:eastAsia="Calibri" w:cs="Arial"/>
                <w:color w:val="000000"/>
                <w:sz w:val="20"/>
                <w:szCs w:val="20"/>
              </w:rPr>
              <w:t xml:space="preserve"> 69(4)</w:t>
            </w:r>
            <w:r w:rsidR="0060036C" w:rsidRPr="005176BD">
              <w:rPr>
                <w:rFonts w:eastAsia="Calibri" w:cs="Arial"/>
                <w:color w:val="000000"/>
                <w:sz w:val="20"/>
                <w:szCs w:val="20"/>
              </w:rPr>
              <w:t>:</w:t>
            </w:r>
            <w:r w:rsidRPr="005176BD">
              <w:rPr>
                <w:rFonts w:eastAsia="Calibri" w:cs="Arial"/>
                <w:color w:val="000000"/>
                <w:sz w:val="20"/>
                <w:szCs w:val="20"/>
              </w:rPr>
              <w:t xml:space="preserve"> 359-364</w:t>
            </w:r>
            <w:r w:rsidR="0060036C" w:rsidRPr="005176BD">
              <w:rPr>
                <w:rFonts w:eastAsia="Calibri" w:cs="Arial"/>
                <w:color w:val="000000"/>
                <w:sz w:val="20"/>
                <w:szCs w:val="20"/>
              </w:rPr>
              <w:t>.</w:t>
            </w:r>
          </w:p>
        </w:tc>
        <w:tc>
          <w:tcPr>
            <w:tcW w:w="3977" w:type="dxa"/>
          </w:tcPr>
          <w:p w14:paraId="4A0AC785" w14:textId="6544CC5B" w:rsidR="008F3670" w:rsidRPr="005176BD" w:rsidRDefault="008F3670" w:rsidP="003B611A">
            <w:pPr>
              <w:rPr>
                <w:rFonts w:cs="Arial"/>
                <w:sz w:val="20"/>
                <w:szCs w:val="20"/>
              </w:rPr>
            </w:pPr>
            <w:r w:rsidRPr="005176BD">
              <w:rPr>
                <w:rFonts w:cs="Arial"/>
                <w:color w:val="000000"/>
                <w:sz w:val="20"/>
                <w:szCs w:val="20"/>
              </w:rPr>
              <w:t xml:space="preserve">Lopez D, McCaul K, Hankey G, Norman P, Almeida O, Dobson A, Byles J, </w:t>
            </w:r>
            <w:proofErr w:type="spellStart"/>
            <w:r w:rsidRPr="005176BD">
              <w:rPr>
                <w:rFonts w:cs="Arial"/>
                <w:color w:val="000000"/>
                <w:sz w:val="20"/>
                <w:szCs w:val="20"/>
              </w:rPr>
              <w:t>Yeap</w:t>
            </w:r>
            <w:proofErr w:type="spellEnd"/>
            <w:r w:rsidR="00012F17" w:rsidRPr="005176BD">
              <w:rPr>
                <w:rFonts w:cs="Arial"/>
                <w:color w:val="000000"/>
                <w:sz w:val="20"/>
                <w:szCs w:val="20"/>
              </w:rPr>
              <w:t xml:space="preserve"> </w:t>
            </w:r>
            <w:r w:rsidRPr="005176BD">
              <w:rPr>
                <w:rFonts w:cs="Arial"/>
                <w:color w:val="000000"/>
                <w:sz w:val="20"/>
                <w:szCs w:val="20"/>
              </w:rPr>
              <w:t>B &amp; Flicker L.</w:t>
            </w:r>
          </w:p>
        </w:tc>
        <w:tc>
          <w:tcPr>
            <w:tcW w:w="1440" w:type="dxa"/>
          </w:tcPr>
          <w:p w14:paraId="1A950CCA" w14:textId="0E2D3496" w:rsidR="008F3670" w:rsidRPr="005176BD" w:rsidRDefault="008F3670" w:rsidP="003B611A">
            <w:pPr>
              <w:rPr>
                <w:rFonts w:cs="Arial"/>
                <w:sz w:val="20"/>
                <w:szCs w:val="20"/>
              </w:rPr>
            </w:pPr>
            <w:r w:rsidRPr="005176BD">
              <w:rPr>
                <w:rFonts w:cs="Arial"/>
                <w:sz w:val="20"/>
                <w:szCs w:val="20"/>
              </w:rPr>
              <w:t>84</w:t>
            </w:r>
          </w:p>
        </w:tc>
      </w:tr>
      <w:tr w:rsidR="003A6BE6" w:rsidRPr="003A6BE6" w14:paraId="1E39CF6C" w14:textId="77777777" w:rsidTr="0011030B">
        <w:tc>
          <w:tcPr>
            <w:tcW w:w="8438" w:type="dxa"/>
          </w:tcPr>
          <w:p w14:paraId="556DDBDE" w14:textId="77777777" w:rsidR="003A6BE6" w:rsidRPr="005176BD" w:rsidRDefault="003A6BE6" w:rsidP="003B611A">
            <w:pPr>
              <w:rPr>
                <w:rFonts w:cs="Arial"/>
                <w:color w:val="000000"/>
                <w:sz w:val="20"/>
                <w:szCs w:val="20"/>
                <w:lang w:eastAsia="en-AU"/>
              </w:rPr>
            </w:pPr>
            <w:r w:rsidRPr="005176BD">
              <w:rPr>
                <w:rFonts w:cs="Arial"/>
                <w:color w:val="000000"/>
                <w:sz w:val="20"/>
                <w:szCs w:val="20"/>
              </w:rPr>
              <w:t>A self-report home environment screening tool identified older women at risk of falls. Journal of Clinical Epidemiology; 2011, 64(2), 191-199.</w:t>
            </w:r>
          </w:p>
        </w:tc>
        <w:tc>
          <w:tcPr>
            <w:tcW w:w="3977" w:type="dxa"/>
          </w:tcPr>
          <w:p w14:paraId="7298AD43" w14:textId="77777777" w:rsidR="003A6BE6" w:rsidRPr="005176BD" w:rsidRDefault="003A6BE6" w:rsidP="003B611A">
            <w:pPr>
              <w:rPr>
                <w:rFonts w:cs="Arial"/>
                <w:sz w:val="20"/>
                <w:szCs w:val="20"/>
              </w:rPr>
            </w:pPr>
            <w:proofErr w:type="spellStart"/>
            <w:r w:rsidRPr="005176BD">
              <w:rPr>
                <w:rFonts w:cs="Arial"/>
                <w:color w:val="000000"/>
                <w:sz w:val="20"/>
                <w:szCs w:val="20"/>
              </w:rPr>
              <w:t>Mehranban</w:t>
            </w:r>
            <w:proofErr w:type="spellEnd"/>
            <w:r w:rsidRPr="005176BD">
              <w:rPr>
                <w:rFonts w:cs="Arial"/>
                <w:color w:val="000000"/>
                <w:sz w:val="20"/>
                <w:szCs w:val="20"/>
              </w:rPr>
              <w:t xml:space="preserve"> A H, </w:t>
            </w:r>
            <w:proofErr w:type="spellStart"/>
            <w:r w:rsidRPr="005176BD">
              <w:rPr>
                <w:rFonts w:cs="Arial"/>
                <w:color w:val="000000"/>
                <w:sz w:val="20"/>
                <w:szCs w:val="20"/>
              </w:rPr>
              <w:t>MacKenzie</w:t>
            </w:r>
            <w:proofErr w:type="spellEnd"/>
            <w:r w:rsidRPr="005176BD">
              <w:rPr>
                <w:rFonts w:cs="Arial"/>
                <w:color w:val="000000"/>
                <w:sz w:val="20"/>
                <w:szCs w:val="20"/>
              </w:rPr>
              <w:t xml:space="preserve"> L &amp; Byles J.</w:t>
            </w:r>
          </w:p>
        </w:tc>
        <w:tc>
          <w:tcPr>
            <w:tcW w:w="1440" w:type="dxa"/>
          </w:tcPr>
          <w:p w14:paraId="663BC678" w14:textId="77777777" w:rsidR="003A6BE6" w:rsidRPr="005176BD" w:rsidRDefault="003A6BE6" w:rsidP="003B611A">
            <w:pPr>
              <w:rPr>
                <w:rFonts w:cs="Arial"/>
                <w:sz w:val="20"/>
                <w:szCs w:val="20"/>
              </w:rPr>
            </w:pPr>
            <w:r w:rsidRPr="005176BD">
              <w:rPr>
                <w:rFonts w:cs="Arial"/>
                <w:sz w:val="20"/>
                <w:szCs w:val="20"/>
              </w:rPr>
              <w:t>25</w:t>
            </w:r>
          </w:p>
        </w:tc>
      </w:tr>
      <w:tr w:rsidR="00640D50" w:rsidRPr="0060036C" w14:paraId="2AE09C1F" w14:textId="77777777" w:rsidTr="0011030B">
        <w:tc>
          <w:tcPr>
            <w:tcW w:w="8438" w:type="dxa"/>
          </w:tcPr>
          <w:p w14:paraId="4E3DB95C" w14:textId="77777777" w:rsidR="00640D50" w:rsidRPr="005176BD" w:rsidRDefault="00640D50" w:rsidP="003B611A">
            <w:pPr>
              <w:rPr>
                <w:rFonts w:cs="Arial"/>
                <w:color w:val="000000"/>
                <w:sz w:val="20"/>
                <w:szCs w:val="20"/>
                <w:lang w:eastAsia="en-AU"/>
              </w:rPr>
            </w:pPr>
            <w:r w:rsidRPr="005176BD">
              <w:rPr>
                <w:rFonts w:cs="Arial"/>
                <w:color w:val="000000"/>
                <w:sz w:val="20"/>
                <w:szCs w:val="20"/>
              </w:rPr>
              <w:t>The value of time in longitudinal studies on ageing. Lessons from the Australian Longitudinal Study on Women’s Health. Australasian Journal of Ageing, 2011; 30(</w:t>
            </w:r>
            <w:proofErr w:type="spellStart"/>
            <w:r w:rsidRPr="005176BD">
              <w:rPr>
                <w:rFonts w:cs="Arial"/>
                <w:color w:val="000000"/>
                <w:sz w:val="20"/>
                <w:szCs w:val="20"/>
              </w:rPr>
              <w:t>Supp</w:t>
            </w:r>
            <w:proofErr w:type="spellEnd"/>
            <w:r w:rsidRPr="005176BD">
              <w:rPr>
                <w:rFonts w:cs="Arial"/>
                <w:color w:val="000000"/>
                <w:sz w:val="20"/>
                <w:szCs w:val="20"/>
              </w:rPr>
              <w:t xml:space="preserve"> 2): 6-12.</w:t>
            </w:r>
          </w:p>
        </w:tc>
        <w:tc>
          <w:tcPr>
            <w:tcW w:w="3977" w:type="dxa"/>
          </w:tcPr>
          <w:p w14:paraId="30FCD723" w14:textId="77777777" w:rsidR="00640D50" w:rsidRPr="005176BD" w:rsidRDefault="00640D50" w:rsidP="003B611A">
            <w:pPr>
              <w:rPr>
                <w:rFonts w:cs="Arial"/>
                <w:sz w:val="20"/>
                <w:szCs w:val="20"/>
              </w:rPr>
            </w:pPr>
            <w:r w:rsidRPr="005176BD">
              <w:rPr>
                <w:rFonts w:cs="Arial"/>
                <w:color w:val="000000"/>
                <w:sz w:val="20"/>
                <w:szCs w:val="20"/>
              </w:rPr>
              <w:t>Byles J &amp; Dobson A.</w:t>
            </w:r>
          </w:p>
        </w:tc>
        <w:tc>
          <w:tcPr>
            <w:tcW w:w="1440" w:type="dxa"/>
          </w:tcPr>
          <w:p w14:paraId="6ED635F3" w14:textId="77777777" w:rsidR="00640D50" w:rsidRPr="005176BD" w:rsidRDefault="00640D50" w:rsidP="003B611A">
            <w:pPr>
              <w:rPr>
                <w:rFonts w:cs="Arial"/>
                <w:sz w:val="20"/>
                <w:szCs w:val="20"/>
              </w:rPr>
            </w:pPr>
            <w:r w:rsidRPr="005176BD">
              <w:rPr>
                <w:rFonts w:cs="Arial"/>
                <w:sz w:val="20"/>
                <w:szCs w:val="20"/>
              </w:rPr>
              <w:t>10</w:t>
            </w:r>
          </w:p>
        </w:tc>
      </w:tr>
      <w:tr w:rsidR="003A6BE6" w:rsidRPr="003A6BE6" w14:paraId="698D9426" w14:textId="77777777" w:rsidTr="0011030B">
        <w:tc>
          <w:tcPr>
            <w:tcW w:w="8438" w:type="dxa"/>
          </w:tcPr>
          <w:p w14:paraId="7D46BB3E" w14:textId="5C2045C6" w:rsidR="003A6BE6" w:rsidRPr="005176BD" w:rsidRDefault="003A6BE6" w:rsidP="003B611A">
            <w:pPr>
              <w:rPr>
                <w:rFonts w:cs="Arial"/>
                <w:color w:val="000000"/>
                <w:sz w:val="20"/>
                <w:szCs w:val="20"/>
              </w:rPr>
            </w:pPr>
            <w:r w:rsidRPr="005176BD">
              <w:rPr>
                <w:rFonts w:cs="Arial"/>
                <w:color w:val="000000"/>
                <w:sz w:val="20"/>
                <w:szCs w:val="20"/>
              </w:rPr>
              <w:t>Examining the SF-36 in an older population: Analysis of data from the Dynamic Analyses to Optimise Ageing (DYNOPTA) project. Quality of Life Research, 2011; 20(8): 1227-1236.</w:t>
            </w:r>
          </w:p>
        </w:tc>
        <w:tc>
          <w:tcPr>
            <w:tcW w:w="3977" w:type="dxa"/>
          </w:tcPr>
          <w:p w14:paraId="1D8A2D24" w14:textId="506F7A37" w:rsidR="003A6BE6" w:rsidRPr="005176BD" w:rsidRDefault="003A6BE6" w:rsidP="003B611A">
            <w:pPr>
              <w:rPr>
                <w:rFonts w:cs="Arial"/>
                <w:color w:val="000000"/>
                <w:sz w:val="20"/>
                <w:szCs w:val="20"/>
              </w:rPr>
            </w:pPr>
            <w:proofErr w:type="spellStart"/>
            <w:r w:rsidRPr="005176BD">
              <w:rPr>
                <w:rFonts w:cs="Arial"/>
                <w:color w:val="000000"/>
                <w:sz w:val="20"/>
                <w:szCs w:val="20"/>
              </w:rPr>
              <w:t>Bartsch</w:t>
            </w:r>
            <w:proofErr w:type="spellEnd"/>
            <w:r w:rsidRPr="005176BD">
              <w:rPr>
                <w:rFonts w:cs="Arial"/>
                <w:color w:val="000000"/>
                <w:sz w:val="20"/>
                <w:szCs w:val="20"/>
              </w:rPr>
              <w:t xml:space="preserve"> L, Butterworth P, Byles J, Mitchell P, Shaw J &amp; Anstey K.</w:t>
            </w:r>
          </w:p>
        </w:tc>
        <w:tc>
          <w:tcPr>
            <w:tcW w:w="1440" w:type="dxa"/>
          </w:tcPr>
          <w:p w14:paraId="58F27C0B" w14:textId="6371E14F" w:rsidR="003A6BE6" w:rsidRPr="005176BD" w:rsidRDefault="003A6BE6" w:rsidP="003B611A">
            <w:pPr>
              <w:rPr>
                <w:rFonts w:cs="Arial"/>
                <w:sz w:val="20"/>
                <w:szCs w:val="20"/>
              </w:rPr>
            </w:pPr>
            <w:r w:rsidRPr="005176BD">
              <w:rPr>
                <w:rFonts w:cs="Arial"/>
                <w:sz w:val="20"/>
                <w:szCs w:val="20"/>
              </w:rPr>
              <w:t>26</w:t>
            </w:r>
          </w:p>
        </w:tc>
      </w:tr>
      <w:tr w:rsidR="0060036C" w:rsidRPr="0060036C" w14:paraId="4DECD8CD" w14:textId="77777777" w:rsidTr="0011030B">
        <w:tc>
          <w:tcPr>
            <w:tcW w:w="8438" w:type="dxa"/>
          </w:tcPr>
          <w:p w14:paraId="6131F185" w14:textId="471608D4" w:rsidR="0060036C" w:rsidRPr="005176BD" w:rsidRDefault="0060036C" w:rsidP="003B611A">
            <w:pPr>
              <w:rPr>
                <w:rFonts w:eastAsia="Calibri" w:cs="Arial"/>
                <w:color w:val="000000"/>
                <w:sz w:val="20"/>
                <w:szCs w:val="20"/>
              </w:rPr>
            </w:pPr>
            <w:r w:rsidRPr="005176BD">
              <w:rPr>
                <w:rFonts w:eastAsia="Calibri" w:cs="Arial"/>
                <w:color w:val="000000"/>
                <w:sz w:val="20"/>
                <w:szCs w:val="20"/>
              </w:rPr>
              <w:t>Living with stairs: Functioning in a large cohort of older Australian men and women. Journal of the American Geriatrics Society, 2011; 59(8): 1560-1562.</w:t>
            </w:r>
          </w:p>
        </w:tc>
        <w:tc>
          <w:tcPr>
            <w:tcW w:w="3977" w:type="dxa"/>
          </w:tcPr>
          <w:p w14:paraId="540B61D1" w14:textId="1FA1B755" w:rsidR="0060036C" w:rsidRPr="005176BD" w:rsidRDefault="0060036C" w:rsidP="003B611A">
            <w:pPr>
              <w:rPr>
                <w:rFonts w:cs="Arial"/>
                <w:color w:val="000000"/>
                <w:sz w:val="20"/>
                <w:szCs w:val="20"/>
              </w:rPr>
            </w:pPr>
            <w:r w:rsidRPr="005176BD">
              <w:rPr>
                <w:rFonts w:cs="Arial"/>
                <w:color w:val="000000"/>
                <w:sz w:val="20"/>
                <w:szCs w:val="20"/>
              </w:rPr>
              <w:t>McLaughlin D, Leung J, Byles J &amp; Dobson A.</w:t>
            </w:r>
          </w:p>
        </w:tc>
        <w:tc>
          <w:tcPr>
            <w:tcW w:w="1440" w:type="dxa"/>
          </w:tcPr>
          <w:p w14:paraId="53B47B59" w14:textId="354BDEBC" w:rsidR="0060036C" w:rsidRPr="005176BD" w:rsidRDefault="0060036C" w:rsidP="003B611A">
            <w:pPr>
              <w:rPr>
                <w:rFonts w:cs="Arial"/>
                <w:sz w:val="20"/>
                <w:szCs w:val="20"/>
              </w:rPr>
            </w:pPr>
            <w:r w:rsidRPr="005176BD">
              <w:rPr>
                <w:rFonts w:cs="Arial"/>
                <w:sz w:val="20"/>
                <w:szCs w:val="20"/>
              </w:rPr>
              <w:t>9</w:t>
            </w:r>
          </w:p>
        </w:tc>
      </w:tr>
      <w:tr w:rsidR="00640D50" w:rsidRPr="00640D50" w14:paraId="0AA03BBA" w14:textId="77777777" w:rsidTr="0011030B">
        <w:tc>
          <w:tcPr>
            <w:tcW w:w="8438" w:type="dxa"/>
          </w:tcPr>
          <w:p w14:paraId="28949F83" w14:textId="523D5746" w:rsidR="00640D50" w:rsidRPr="005176BD" w:rsidRDefault="00640D50" w:rsidP="003B611A">
            <w:pPr>
              <w:rPr>
                <w:rFonts w:eastAsia="Calibri" w:cs="Arial"/>
                <w:color w:val="000000"/>
                <w:sz w:val="20"/>
                <w:szCs w:val="20"/>
              </w:rPr>
            </w:pPr>
            <w:r w:rsidRPr="005176BD">
              <w:rPr>
                <w:rFonts w:cs="Arial"/>
                <w:color w:val="000000"/>
                <w:sz w:val="20"/>
                <w:szCs w:val="20"/>
              </w:rPr>
              <w:t>Body mass index and survival in men and women aged 70 to 75 years. Journal of the American Geriatric Society, 2010; 58(2): 234-241.</w:t>
            </w:r>
          </w:p>
        </w:tc>
        <w:tc>
          <w:tcPr>
            <w:tcW w:w="3977" w:type="dxa"/>
          </w:tcPr>
          <w:p w14:paraId="68B81A76" w14:textId="0177F98C" w:rsidR="00640D50" w:rsidRPr="005176BD" w:rsidRDefault="00640D50" w:rsidP="003B611A">
            <w:pPr>
              <w:rPr>
                <w:rFonts w:cs="Arial"/>
                <w:color w:val="000000"/>
                <w:sz w:val="20"/>
                <w:szCs w:val="20"/>
              </w:rPr>
            </w:pPr>
            <w:r w:rsidRPr="005176BD">
              <w:rPr>
                <w:rFonts w:cs="Arial"/>
                <w:color w:val="000000"/>
                <w:sz w:val="20"/>
                <w:szCs w:val="20"/>
              </w:rPr>
              <w:t xml:space="preserve">Flicker L, McCaul KA, Hankey GJ, </w:t>
            </w:r>
            <w:proofErr w:type="spellStart"/>
            <w:r w:rsidRPr="005176BD">
              <w:rPr>
                <w:rFonts w:cs="Arial"/>
                <w:color w:val="000000"/>
                <w:sz w:val="20"/>
                <w:szCs w:val="20"/>
              </w:rPr>
              <w:t>Jamrozik</w:t>
            </w:r>
            <w:proofErr w:type="spellEnd"/>
            <w:r w:rsidRPr="005176BD">
              <w:rPr>
                <w:rFonts w:cs="Arial"/>
                <w:color w:val="000000"/>
                <w:sz w:val="20"/>
                <w:szCs w:val="20"/>
              </w:rPr>
              <w:t xml:space="preserve"> K, Brown W, Byles J &amp; Almeida OP.</w:t>
            </w:r>
          </w:p>
        </w:tc>
        <w:tc>
          <w:tcPr>
            <w:tcW w:w="1440" w:type="dxa"/>
          </w:tcPr>
          <w:p w14:paraId="79DC11B5" w14:textId="5FE87AD3" w:rsidR="00640D50" w:rsidRPr="005176BD" w:rsidRDefault="00640D50" w:rsidP="003B611A">
            <w:pPr>
              <w:rPr>
                <w:rFonts w:cs="Arial"/>
                <w:sz w:val="20"/>
                <w:szCs w:val="20"/>
              </w:rPr>
            </w:pPr>
            <w:r w:rsidRPr="005176BD">
              <w:rPr>
                <w:rFonts w:cs="Arial"/>
                <w:sz w:val="20"/>
                <w:szCs w:val="20"/>
              </w:rPr>
              <w:t>211</w:t>
            </w:r>
          </w:p>
        </w:tc>
      </w:tr>
      <w:tr w:rsidR="00084B2B" w:rsidRPr="00084B2B" w14:paraId="741FC6E1" w14:textId="77777777" w:rsidTr="0011030B">
        <w:tc>
          <w:tcPr>
            <w:tcW w:w="8438" w:type="dxa"/>
          </w:tcPr>
          <w:p w14:paraId="23AF431E" w14:textId="48F1064B" w:rsidR="00084B2B" w:rsidRPr="005176BD" w:rsidRDefault="00084B2B" w:rsidP="003B611A">
            <w:pPr>
              <w:rPr>
                <w:rFonts w:cs="Arial"/>
                <w:sz w:val="20"/>
                <w:szCs w:val="20"/>
              </w:rPr>
            </w:pPr>
            <w:r w:rsidRPr="005176BD">
              <w:rPr>
                <w:rFonts w:cs="Arial"/>
                <w:color w:val="000000"/>
                <w:sz w:val="20"/>
                <w:szCs w:val="20"/>
                <w:lang w:eastAsia="en-AU"/>
              </w:rPr>
              <w:t xml:space="preserve">What is a healthy body mass index for women in their seventies? Results from the Australian Longitudinal Study on Women’s Health. Journals of Gerontology - Series A: Biological Sciences and Medical Sciences, </w:t>
            </w:r>
            <w:r w:rsidR="000E0984" w:rsidRPr="005176BD">
              <w:rPr>
                <w:rFonts w:cs="Arial"/>
                <w:color w:val="000000"/>
                <w:sz w:val="20"/>
                <w:szCs w:val="20"/>
                <w:lang w:eastAsia="en-AU"/>
              </w:rPr>
              <w:t xml:space="preserve">2010; </w:t>
            </w:r>
            <w:proofErr w:type="gramStart"/>
            <w:r w:rsidRPr="005176BD">
              <w:rPr>
                <w:rFonts w:cs="Arial"/>
                <w:color w:val="000000"/>
                <w:sz w:val="20"/>
                <w:szCs w:val="20"/>
                <w:lang w:eastAsia="en-AU"/>
              </w:rPr>
              <w:t>65A(</w:t>
            </w:r>
            <w:proofErr w:type="gramEnd"/>
            <w:r w:rsidRPr="005176BD">
              <w:rPr>
                <w:rFonts w:cs="Arial"/>
                <w:color w:val="000000"/>
                <w:sz w:val="20"/>
                <w:szCs w:val="20"/>
                <w:lang w:eastAsia="en-AU"/>
              </w:rPr>
              <w:t>8)</w:t>
            </w:r>
            <w:r w:rsidR="000E0984" w:rsidRPr="005176BD">
              <w:rPr>
                <w:rFonts w:cs="Arial"/>
                <w:color w:val="000000"/>
                <w:sz w:val="20"/>
                <w:szCs w:val="20"/>
                <w:lang w:eastAsia="en-AU"/>
              </w:rPr>
              <w:t>:</w:t>
            </w:r>
            <w:r w:rsidR="00012F17" w:rsidRPr="005176BD">
              <w:rPr>
                <w:rFonts w:cs="Arial"/>
                <w:color w:val="000000"/>
                <w:sz w:val="20"/>
                <w:szCs w:val="20"/>
                <w:lang w:eastAsia="en-AU"/>
              </w:rPr>
              <w:t xml:space="preserve"> </w:t>
            </w:r>
            <w:r w:rsidRPr="005176BD">
              <w:rPr>
                <w:rFonts w:cs="Arial"/>
                <w:color w:val="000000"/>
                <w:sz w:val="20"/>
                <w:szCs w:val="20"/>
                <w:lang w:eastAsia="en-AU"/>
              </w:rPr>
              <w:t>847-853.</w:t>
            </w:r>
            <w:r w:rsidRPr="005176BD">
              <w:rPr>
                <w:rFonts w:cs="Arial"/>
                <w:sz w:val="20"/>
                <w:szCs w:val="20"/>
              </w:rPr>
              <w:t xml:space="preserve"> </w:t>
            </w:r>
          </w:p>
        </w:tc>
        <w:tc>
          <w:tcPr>
            <w:tcW w:w="3977" w:type="dxa"/>
          </w:tcPr>
          <w:p w14:paraId="15AE95F7" w14:textId="77777777" w:rsidR="00084B2B" w:rsidRPr="005176BD" w:rsidRDefault="00084B2B" w:rsidP="003B611A">
            <w:pPr>
              <w:rPr>
                <w:rFonts w:cs="Arial"/>
                <w:sz w:val="20"/>
                <w:szCs w:val="20"/>
              </w:rPr>
            </w:pPr>
            <w:proofErr w:type="gramStart"/>
            <w:r w:rsidRPr="005176BD">
              <w:rPr>
                <w:rFonts w:cs="Arial"/>
                <w:sz w:val="20"/>
                <w:szCs w:val="20"/>
              </w:rPr>
              <w:t>van</w:t>
            </w:r>
            <w:proofErr w:type="gramEnd"/>
            <w:r w:rsidRPr="005176BD">
              <w:rPr>
                <w:rFonts w:cs="Arial"/>
                <w:sz w:val="20"/>
                <w:szCs w:val="20"/>
              </w:rPr>
              <w:t xml:space="preserve"> </w:t>
            </w:r>
            <w:proofErr w:type="spellStart"/>
            <w:r w:rsidRPr="005176BD">
              <w:rPr>
                <w:rFonts w:cs="Arial"/>
                <w:sz w:val="20"/>
                <w:szCs w:val="20"/>
              </w:rPr>
              <w:t>Uffelen</w:t>
            </w:r>
            <w:proofErr w:type="spellEnd"/>
            <w:r w:rsidRPr="005176BD">
              <w:rPr>
                <w:rFonts w:cs="Arial"/>
                <w:sz w:val="20"/>
                <w:szCs w:val="20"/>
              </w:rPr>
              <w:t xml:space="preserve"> J, Berecki J, Brown WJ &amp; Dobson AJ. </w:t>
            </w:r>
          </w:p>
        </w:tc>
        <w:tc>
          <w:tcPr>
            <w:tcW w:w="1440" w:type="dxa"/>
          </w:tcPr>
          <w:p w14:paraId="65BBE3D1" w14:textId="73AD9FEF" w:rsidR="00084B2B" w:rsidRPr="005176BD" w:rsidRDefault="00F5504C" w:rsidP="003B611A">
            <w:pPr>
              <w:rPr>
                <w:rFonts w:cs="Arial"/>
                <w:sz w:val="20"/>
                <w:szCs w:val="20"/>
              </w:rPr>
            </w:pPr>
            <w:r w:rsidRPr="005176BD">
              <w:rPr>
                <w:rFonts w:cs="Arial"/>
                <w:sz w:val="20"/>
                <w:szCs w:val="20"/>
              </w:rPr>
              <w:t>25</w:t>
            </w:r>
          </w:p>
        </w:tc>
      </w:tr>
      <w:tr w:rsidR="00084B2B" w:rsidRPr="00084B2B" w14:paraId="3DFAA393" w14:textId="77777777" w:rsidTr="0011030B">
        <w:tc>
          <w:tcPr>
            <w:tcW w:w="8438" w:type="dxa"/>
          </w:tcPr>
          <w:p w14:paraId="021D8C8B" w14:textId="5D88690C" w:rsidR="00084B2B" w:rsidRPr="005176BD" w:rsidRDefault="00084B2B" w:rsidP="003B611A">
            <w:pPr>
              <w:rPr>
                <w:rFonts w:cs="Arial"/>
                <w:sz w:val="20"/>
                <w:szCs w:val="20"/>
              </w:rPr>
            </w:pPr>
            <w:r w:rsidRPr="005176BD">
              <w:rPr>
                <w:rFonts w:cs="Arial"/>
                <w:color w:val="000000"/>
                <w:sz w:val="20"/>
                <w:szCs w:val="20"/>
                <w:lang w:eastAsia="en-AU"/>
              </w:rPr>
              <w:t>Height loss in elderly women is preceded by osteoporosis and is associated with digestive problems and urinary incontinence.</w:t>
            </w:r>
            <w:r w:rsidR="000E0984" w:rsidRPr="005176BD">
              <w:rPr>
                <w:rFonts w:cs="Arial"/>
                <w:color w:val="000000"/>
                <w:sz w:val="20"/>
                <w:szCs w:val="20"/>
                <w:lang w:eastAsia="en-AU"/>
              </w:rPr>
              <w:t xml:space="preserve"> </w:t>
            </w:r>
            <w:r w:rsidRPr="005176BD">
              <w:rPr>
                <w:rFonts w:cs="Arial"/>
                <w:iCs/>
                <w:color w:val="000000"/>
                <w:sz w:val="20"/>
                <w:szCs w:val="20"/>
                <w:lang w:eastAsia="en-AU"/>
              </w:rPr>
              <w:t xml:space="preserve">Osteoporosis International, </w:t>
            </w:r>
            <w:r w:rsidR="000E0984" w:rsidRPr="005176BD">
              <w:rPr>
                <w:rFonts w:cs="Arial"/>
                <w:color w:val="000000"/>
                <w:sz w:val="20"/>
                <w:szCs w:val="20"/>
                <w:lang w:eastAsia="en-AU"/>
              </w:rPr>
              <w:t xml:space="preserve">2010; </w:t>
            </w:r>
            <w:r w:rsidR="000E0984" w:rsidRPr="005176BD">
              <w:rPr>
                <w:rFonts w:cs="Arial"/>
                <w:iCs/>
                <w:color w:val="000000"/>
                <w:sz w:val="20"/>
                <w:szCs w:val="20"/>
                <w:lang w:eastAsia="en-AU"/>
              </w:rPr>
              <w:t>21</w:t>
            </w:r>
            <w:r w:rsidRPr="005176BD">
              <w:rPr>
                <w:rFonts w:cs="Arial"/>
                <w:color w:val="000000"/>
                <w:sz w:val="20"/>
                <w:szCs w:val="20"/>
                <w:lang w:eastAsia="en-AU"/>
              </w:rPr>
              <w:t>(3)</w:t>
            </w:r>
            <w:r w:rsidR="000E0984" w:rsidRPr="005176BD">
              <w:rPr>
                <w:rFonts w:cs="Arial"/>
                <w:color w:val="000000"/>
                <w:sz w:val="20"/>
                <w:szCs w:val="20"/>
                <w:lang w:eastAsia="en-AU"/>
              </w:rPr>
              <w:t>:</w:t>
            </w:r>
            <w:r w:rsidRPr="005176BD">
              <w:rPr>
                <w:rFonts w:cs="Arial"/>
                <w:color w:val="000000"/>
                <w:sz w:val="20"/>
                <w:szCs w:val="20"/>
                <w:lang w:eastAsia="en-AU"/>
              </w:rPr>
              <w:t xml:space="preserve"> 479-485.</w:t>
            </w:r>
          </w:p>
        </w:tc>
        <w:tc>
          <w:tcPr>
            <w:tcW w:w="3977" w:type="dxa"/>
          </w:tcPr>
          <w:p w14:paraId="42A56C10" w14:textId="77777777" w:rsidR="00084B2B" w:rsidRPr="005176BD" w:rsidRDefault="00084B2B" w:rsidP="003B611A">
            <w:pPr>
              <w:rPr>
                <w:rFonts w:cs="Arial"/>
                <w:sz w:val="20"/>
                <w:szCs w:val="20"/>
              </w:rPr>
            </w:pPr>
            <w:r w:rsidRPr="005176BD">
              <w:rPr>
                <w:rFonts w:cs="Arial"/>
                <w:sz w:val="20"/>
                <w:szCs w:val="20"/>
              </w:rPr>
              <w:t xml:space="preserve">Berecki J, </w:t>
            </w:r>
            <w:proofErr w:type="spellStart"/>
            <w:r w:rsidRPr="005176BD">
              <w:rPr>
                <w:rFonts w:cs="Arial"/>
                <w:sz w:val="20"/>
                <w:szCs w:val="20"/>
              </w:rPr>
              <w:t>Spallek</w:t>
            </w:r>
            <w:proofErr w:type="spellEnd"/>
            <w:r w:rsidRPr="005176BD">
              <w:rPr>
                <w:rFonts w:cs="Arial"/>
                <w:sz w:val="20"/>
                <w:szCs w:val="20"/>
              </w:rPr>
              <w:t xml:space="preserve"> M, Hockey R &amp; Dobson A.</w:t>
            </w:r>
          </w:p>
        </w:tc>
        <w:tc>
          <w:tcPr>
            <w:tcW w:w="1440" w:type="dxa"/>
          </w:tcPr>
          <w:p w14:paraId="5F2F8B2A" w14:textId="6C579A8B" w:rsidR="00084B2B" w:rsidRPr="005176BD" w:rsidRDefault="00F5504C" w:rsidP="003B611A">
            <w:pPr>
              <w:rPr>
                <w:rFonts w:cs="Arial"/>
                <w:sz w:val="20"/>
                <w:szCs w:val="20"/>
              </w:rPr>
            </w:pPr>
            <w:r w:rsidRPr="005176BD">
              <w:rPr>
                <w:rFonts w:cs="Arial"/>
                <w:sz w:val="20"/>
                <w:szCs w:val="20"/>
              </w:rPr>
              <w:t>27</w:t>
            </w:r>
          </w:p>
        </w:tc>
      </w:tr>
      <w:tr w:rsidR="00084B2B" w:rsidRPr="00084B2B" w14:paraId="4B347299" w14:textId="77777777" w:rsidTr="0011030B">
        <w:tc>
          <w:tcPr>
            <w:tcW w:w="8438" w:type="dxa"/>
          </w:tcPr>
          <w:p w14:paraId="536205A9" w14:textId="5532CC52" w:rsidR="00084B2B" w:rsidRPr="005176BD" w:rsidRDefault="00084B2B" w:rsidP="003B611A">
            <w:pPr>
              <w:rPr>
                <w:rFonts w:cs="Arial"/>
                <w:sz w:val="20"/>
                <w:szCs w:val="20"/>
              </w:rPr>
            </w:pPr>
            <w:r w:rsidRPr="005176BD">
              <w:rPr>
                <w:rFonts w:cs="Arial"/>
                <w:color w:val="000000"/>
                <w:sz w:val="20"/>
                <w:szCs w:val="20"/>
                <w:lang w:eastAsia="en-AU"/>
              </w:rPr>
              <w:t xml:space="preserve">Regional variation in the survival and health of older Australian women: </w:t>
            </w:r>
            <w:r w:rsidR="0092052D" w:rsidRPr="005176BD">
              <w:rPr>
                <w:rFonts w:cs="Arial"/>
                <w:color w:val="000000"/>
                <w:sz w:val="20"/>
                <w:szCs w:val="20"/>
                <w:lang w:eastAsia="en-AU"/>
              </w:rPr>
              <w:t>A</w:t>
            </w:r>
            <w:r w:rsidRPr="005176BD">
              <w:rPr>
                <w:rFonts w:cs="Arial"/>
                <w:color w:val="000000"/>
                <w:sz w:val="20"/>
                <w:szCs w:val="20"/>
                <w:lang w:eastAsia="en-AU"/>
              </w:rPr>
              <w:t xml:space="preserve"> prospective cohort study. </w:t>
            </w:r>
            <w:r w:rsidRPr="005176BD">
              <w:rPr>
                <w:rFonts w:cs="Arial"/>
                <w:iCs/>
                <w:color w:val="000000"/>
                <w:sz w:val="20"/>
                <w:szCs w:val="20"/>
                <w:lang w:eastAsia="en-AU"/>
              </w:rPr>
              <w:t xml:space="preserve">Australian and New Zealand Journal of Public Health, </w:t>
            </w:r>
            <w:r w:rsidR="000E0984" w:rsidRPr="005176BD">
              <w:rPr>
                <w:rFonts w:cs="Arial"/>
                <w:color w:val="000000"/>
                <w:sz w:val="20"/>
                <w:szCs w:val="20"/>
                <w:lang w:eastAsia="en-AU"/>
              </w:rPr>
              <w:t>2009</w:t>
            </w:r>
            <w:r w:rsidR="001D5FFB" w:rsidRPr="005176BD">
              <w:rPr>
                <w:rFonts w:cs="Arial"/>
                <w:color w:val="000000"/>
                <w:sz w:val="20"/>
                <w:szCs w:val="20"/>
                <w:lang w:eastAsia="en-AU"/>
              </w:rPr>
              <w:t>;</w:t>
            </w:r>
            <w:r w:rsidR="000E0984" w:rsidRPr="005176BD">
              <w:rPr>
                <w:rFonts w:cs="Arial"/>
                <w:color w:val="000000"/>
                <w:sz w:val="20"/>
                <w:szCs w:val="20"/>
                <w:lang w:eastAsia="en-AU"/>
              </w:rPr>
              <w:t xml:space="preserve"> </w:t>
            </w:r>
            <w:r w:rsidRPr="005176BD">
              <w:rPr>
                <w:rFonts w:cs="Arial"/>
                <w:iCs/>
                <w:color w:val="000000"/>
                <w:sz w:val="20"/>
                <w:szCs w:val="20"/>
                <w:lang w:eastAsia="en-AU"/>
              </w:rPr>
              <w:t>33</w:t>
            </w:r>
            <w:r w:rsidRPr="005176BD">
              <w:rPr>
                <w:rFonts w:cs="Arial"/>
                <w:color w:val="000000"/>
                <w:sz w:val="20"/>
                <w:szCs w:val="20"/>
                <w:lang w:eastAsia="en-AU"/>
              </w:rPr>
              <w:t>(2): 119-125.</w:t>
            </w:r>
            <w:r w:rsidRPr="005176BD">
              <w:rPr>
                <w:rFonts w:cs="Arial"/>
                <w:iCs/>
                <w:color w:val="000000"/>
                <w:sz w:val="20"/>
                <w:szCs w:val="20"/>
                <w:lang w:eastAsia="en-AU"/>
              </w:rPr>
              <w:t xml:space="preserve"> </w:t>
            </w:r>
          </w:p>
        </w:tc>
        <w:tc>
          <w:tcPr>
            <w:tcW w:w="3977" w:type="dxa"/>
          </w:tcPr>
          <w:p w14:paraId="727FF444" w14:textId="77777777" w:rsidR="00084B2B" w:rsidRPr="005176BD" w:rsidRDefault="00084B2B" w:rsidP="003B611A">
            <w:pPr>
              <w:rPr>
                <w:rFonts w:cs="Arial"/>
                <w:sz w:val="20"/>
                <w:szCs w:val="20"/>
              </w:rPr>
            </w:pPr>
            <w:proofErr w:type="spellStart"/>
            <w:r w:rsidRPr="005176BD">
              <w:rPr>
                <w:rFonts w:cs="Arial"/>
                <w:sz w:val="20"/>
                <w:szCs w:val="20"/>
              </w:rPr>
              <w:t>Vagenas</w:t>
            </w:r>
            <w:proofErr w:type="spellEnd"/>
            <w:r w:rsidRPr="005176BD">
              <w:rPr>
                <w:rFonts w:cs="Arial"/>
                <w:sz w:val="20"/>
                <w:szCs w:val="20"/>
              </w:rPr>
              <w:t xml:space="preserve"> D, McLaughlin D &amp; Dobson A.</w:t>
            </w:r>
          </w:p>
        </w:tc>
        <w:tc>
          <w:tcPr>
            <w:tcW w:w="1440" w:type="dxa"/>
          </w:tcPr>
          <w:p w14:paraId="31CAC6AC" w14:textId="3D23A517" w:rsidR="00084B2B" w:rsidRPr="005176BD" w:rsidRDefault="00F5504C" w:rsidP="003B611A">
            <w:pPr>
              <w:rPr>
                <w:rFonts w:cs="Arial"/>
                <w:sz w:val="20"/>
                <w:szCs w:val="20"/>
              </w:rPr>
            </w:pPr>
            <w:r w:rsidRPr="005176BD">
              <w:rPr>
                <w:rFonts w:cs="Arial"/>
                <w:sz w:val="20"/>
                <w:szCs w:val="20"/>
              </w:rPr>
              <w:t>9</w:t>
            </w:r>
          </w:p>
        </w:tc>
      </w:tr>
      <w:tr w:rsidR="00640D50" w:rsidRPr="0060036C" w14:paraId="66647ADF" w14:textId="77777777" w:rsidTr="0011030B">
        <w:tc>
          <w:tcPr>
            <w:tcW w:w="8438" w:type="dxa"/>
          </w:tcPr>
          <w:p w14:paraId="1D05A9E6" w14:textId="77777777" w:rsidR="00640D50" w:rsidRPr="005176BD" w:rsidRDefault="00640D50" w:rsidP="003B611A">
            <w:pPr>
              <w:rPr>
                <w:rFonts w:cs="Arial"/>
                <w:color w:val="000000"/>
                <w:sz w:val="20"/>
                <w:szCs w:val="20"/>
                <w:lang w:eastAsia="en-AU"/>
              </w:rPr>
            </w:pPr>
            <w:r w:rsidRPr="005176BD">
              <w:rPr>
                <w:rFonts w:cs="Arial"/>
                <w:color w:val="000000"/>
                <w:sz w:val="20"/>
                <w:szCs w:val="20"/>
              </w:rPr>
              <w:t>Older drivers in Australia: Trends in driving status and cognitive and visual impairment. Journal of the American Geriatrics Society, 2009; 57(10): 1868-1873.</w:t>
            </w:r>
          </w:p>
        </w:tc>
        <w:tc>
          <w:tcPr>
            <w:tcW w:w="3977" w:type="dxa"/>
          </w:tcPr>
          <w:p w14:paraId="7D538D7B" w14:textId="77777777" w:rsidR="00640D50" w:rsidRPr="005176BD" w:rsidRDefault="00640D50" w:rsidP="003B611A">
            <w:pPr>
              <w:rPr>
                <w:rFonts w:cs="Arial"/>
                <w:sz w:val="20"/>
                <w:szCs w:val="20"/>
              </w:rPr>
            </w:pPr>
            <w:r w:rsidRPr="005176BD">
              <w:rPr>
                <w:rFonts w:cs="Arial"/>
                <w:color w:val="000000"/>
                <w:sz w:val="20"/>
                <w:szCs w:val="20"/>
              </w:rPr>
              <w:t xml:space="preserve">Ross L, Anstey K, Kiely K, Windsor T, Byles J, </w:t>
            </w:r>
            <w:proofErr w:type="spellStart"/>
            <w:r w:rsidRPr="005176BD">
              <w:rPr>
                <w:rFonts w:cs="Arial"/>
                <w:color w:val="000000"/>
                <w:sz w:val="20"/>
                <w:szCs w:val="20"/>
              </w:rPr>
              <w:t>Luszcz</w:t>
            </w:r>
            <w:proofErr w:type="spellEnd"/>
            <w:r w:rsidRPr="005176BD">
              <w:rPr>
                <w:rFonts w:cs="Arial"/>
                <w:color w:val="000000"/>
                <w:sz w:val="20"/>
                <w:szCs w:val="20"/>
              </w:rPr>
              <w:t xml:space="preserve"> M &amp; Mitchell P.</w:t>
            </w:r>
          </w:p>
        </w:tc>
        <w:tc>
          <w:tcPr>
            <w:tcW w:w="1440" w:type="dxa"/>
          </w:tcPr>
          <w:p w14:paraId="096798FB" w14:textId="77777777" w:rsidR="00640D50" w:rsidRPr="005176BD" w:rsidRDefault="00640D50" w:rsidP="003B611A">
            <w:pPr>
              <w:rPr>
                <w:rFonts w:cs="Arial"/>
                <w:sz w:val="20"/>
                <w:szCs w:val="20"/>
              </w:rPr>
            </w:pPr>
            <w:r w:rsidRPr="005176BD">
              <w:rPr>
                <w:rFonts w:cs="Arial"/>
                <w:sz w:val="20"/>
                <w:szCs w:val="20"/>
              </w:rPr>
              <w:t>57</w:t>
            </w:r>
          </w:p>
        </w:tc>
      </w:tr>
      <w:tr w:rsidR="00084B2B" w:rsidRPr="00084B2B" w14:paraId="52E89EEE" w14:textId="77777777" w:rsidTr="0011030B">
        <w:tc>
          <w:tcPr>
            <w:tcW w:w="8438" w:type="dxa"/>
          </w:tcPr>
          <w:p w14:paraId="361D47AD" w14:textId="3F6CBEA3" w:rsidR="00084B2B" w:rsidRPr="005176BD" w:rsidRDefault="00084B2B" w:rsidP="003B611A">
            <w:pPr>
              <w:rPr>
                <w:rFonts w:cs="Arial"/>
                <w:sz w:val="20"/>
                <w:szCs w:val="20"/>
              </w:rPr>
            </w:pPr>
            <w:r w:rsidRPr="005176BD">
              <w:rPr>
                <w:rFonts w:cs="Arial"/>
                <w:color w:val="000000"/>
                <w:sz w:val="20"/>
                <w:szCs w:val="20"/>
                <w:lang w:eastAsia="en-AU"/>
              </w:rPr>
              <w:t xml:space="preserve">Self-rated health and a healthy lifestyle are the most important predictors of survival in elderly women. </w:t>
            </w:r>
            <w:r w:rsidRPr="005176BD">
              <w:rPr>
                <w:rFonts w:cs="Arial"/>
                <w:iCs/>
                <w:color w:val="000000"/>
                <w:sz w:val="20"/>
                <w:szCs w:val="20"/>
                <w:lang w:eastAsia="en-AU"/>
              </w:rPr>
              <w:t xml:space="preserve">Age &amp; Ageing, </w:t>
            </w:r>
            <w:r w:rsidR="000E0984" w:rsidRPr="005176BD">
              <w:rPr>
                <w:rFonts w:cs="Arial"/>
                <w:color w:val="000000"/>
                <w:sz w:val="20"/>
                <w:szCs w:val="20"/>
                <w:lang w:eastAsia="en-AU"/>
              </w:rPr>
              <w:t>2008</w:t>
            </w:r>
            <w:r w:rsidR="001D5FFB" w:rsidRPr="005176BD">
              <w:rPr>
                <w:rFonts w:cs="Arial"/>
                <w:color w:val="000000"/>
                <w:sz w:val="20"/>
                <w:szCs w:val="20"/>
                <w:lang w:eastAsia="en-AU"/>
              </w:rPr>
              <w:t xml:space="preserve">; </w:t>
            </w:r>
            <w:r w:rsidRPr="005176BD">
              <w:rPr>
                <w:rFonts w:cs="Arial"/>
                <w:iCs/>
                <w:color w:val="000000"/>
                <w:sz w:val="20"/>
                <w:szCs w:val="20"/>
                <w:lang w:eastAsia="en-AU"/>
              </w:rPr>
              <w:t>37</w:t>
            </w:r>
            <w:r w:rsidRPr="005176BD">
              <w:rPr>
                <w:rFonts w:cs="Arial"/>
                <w:color w:val="000000"/>
                <w:sz w:val="20"/>
                <w:szCs w:val="20"/>
                <w:lang w:eastAsia="en-AU"/>
              </w:rPr>
              <w:t>(2)</w:t>
            </w:r>
            <w:r w:rsidR="001D5FFB" w:rsidRPr="005176BD">
              <w:rPr>
                <w:rFonts w:cs="Arial"/>
                <w:color w:val="000000"/>
                <w:sz w:val="20"/>
                <w:szCs w:val="20"/>
                <w:lang w:eastAsia="en-AU"/>
              </w:rPr>
              <w:t>:</w:t>
            </w:r>
            <w:r w:rsidRPr="005176BD">
              <w:rPr>
                <w:rFonts w:cs="Arial"/>
                <w:color w:val="000000"/>
                <w:sz w:val="20"/>
                <w:szCs w:val="20"/>
                <w:lang w:eastAsia="en-AU"/>
              </w:rPr>
              <w:t xml:space="preserve"> 194-200</w:t>
            </w:r>
            <w:r w:rsidRPr="005176BD">
              <w:rPr>
                <w:rFonts w:cs="Arial"/>
                <w:iCs/>
                <w:color w:val="000000"/>
                <w:sz w:val="20"/>
                <w:szCs w:val="20"/>
                <w:lang w:eastAsia="en-AU"/>
              </w:rPr>
              <w:t xml:space="preserve">. </w:t>
            </w:r>
          </w:p>
        </w:tc>
        <w:tc>
          <w:tcPr>
            <w:tcW w:w="3977" w:type="dxa"/>
          </w:tcPr>
          <w:p w14:paraId="1C538780" w14:textId="77777777" w:rsidR="00084B2B" w:rsidRPr="005176BD" w:rsidRDefault="00084B2B" w:rsidP="003B611A">
            <w:pPr>
              <w:rPr>
                <w:rFonts w:cs="Arial"/>
                <w:sz w:val="20"/>
                <w:szCs w:val="20"/>
              </w:rPr>
            </w:pPr>
            <w:r w:rsidRPr="005176BD">
              <w:rPr>
                <w:rFonts w:cs="Arial"/>
                <w:sz w:val="20"/>
                <w:szCs w:val="20"/>
              </w:rPr>
              <w:t xml:space="preserve">Ford J, </w:t>
            </w:r>
            <w:proofErr w:type="spellStart"/>
            <w:r w:rsidRPr="005176BD">
              <w:rPr>
                <w:rFonts w:cs="Arial"/>
                <w:sz w:val="20"/>
                <w:szCs w:val="20"/>
              </w:rPr>
              <w:t>Spallek</w:t>
            </w:r>
            <w:proofErr w:type="spellEnd"/>
            <w:r w:rsidRPr="005176BD">
              <w:rPr>
                <w:rFonts w:cs="Arial"/>
                <w:sz w:val="20"/>
                <w:szCs w:val="20"/>
              </w:rPr>
              <w:t xml:space="preserve"> M &amp; Dobson A.</w:t>
            </w:r>
          </w:p>
        </w:tc>
        <w:tc>
          <w:tcPr>
            <w:tcW w:w="1440" w:type="dxa"/>
          </w:tcPr>
          <w:p w14:paraId="4B81F033" w14:textId="25459B6E" w:rsidR="00084B2B" w:rsidRPr="005176BD" w:rsidRDefault="00F5504C" w:rsidP="003B611A">
            <w:pPr>
              <w:rPr>
                <w:rFonts w:cs="Arial"/>
                <w:sz w:val="20"/>
                <w:szCs w:val="20"/>
              </w:rPr>
            </w:pPr>
            <w:r w:rsidRPr="005176BD">
              <w:rPr>
                <w:rFonts w:cs="Arial"/>
                <w:sz w:val="20"/>
                <w:szCs w:val="20"/>
              </w:rPr>
              <w:t>127</w:t>
            </w:r>
          </w:p>
        </w:tc>
      </w:tr>
      <w:tr w:rsidR="00084B2B" w:rsidRPr="00084B2B" w14:paraId="63C52D6D" w14:textId="77777777" w:rsidTr="0011030B">
        <w:tc>
          <w:tcPr>
            <w:tcW w:w="8438" w:type="dxa"/>
          </w:tcPr>
          <w:p w14:paraId="4125F876" w14:textId="584372D1" w:rsidR="00084B2B" w:rsidRPr="005176BD" w:rsidRDefault="00084B2B" w:rsidP="003B611A">
            <w:pPr>
              <w:tabs>
                <w:tab w:val="left" w:pos="1260"/>
              </w:tabs>
              <w:rPr>
                <w:rFonts w:cs="Arial"/>
                <w:sz w:val="20"/>
                <w:szCs w:val="20"/>
              </w:rPr>
            </w:pPr>
            <w:r w:rsidRPr="005176BD">
              <w:rPr>
                <w:rFonts w:cs="Arial"/>
                <w:color w:val="000000"/>
                <w:sz w:val="20"/>
                <w:szCs w:val="20"/>
                <w:lang w:eastAsia="en-AU"/>
              </w:rPr>
              <w:t xml:space="preserve">Alcohol consumption and physical health-related quality of life in older women using the transformation of SF-36 to account for death. </w:t>
            </w:r>
            <w:r w:rsidRPr="005176BD">
              <w:rPr>
                <w:rFonts w:cs="Arial"/>
                <w:iCs/>
                <w:color w:val="000000"/>
                <w:sz w:val="20"/>
                <w:szCs w:val="20"/>
                <w:lang w:eastAsia="en-AU"/>
              </w:rPr>
              <w:t xml:space="preserve">Japanese Journal of Alcohol &amp; Drug Dependence, </w:t>
            </w:r>
            <w:r w:rsidR="000E0984" w:rsidRPr="005176BD">
              <w:rPr>
                <w:rFonts w:cs="Arial"/>
                <w:color w:val="000000"/>
                <w:sz w:val="20"/>
                <w:szCs w:val="20"/>
                <w:lang w:eastAsia="en-AU"/>
              </w:rPr>
              <w:t>2008</w:t>
            </w:r>
            <w:r w:rsidR="001D5FFB" w:rsidRPr="005176BD">
              <w:rPr>
                <w:rFonts w:cs="Arial"/>
                <w:color w:val="000000"/>
                <w:sz w:val="20"/>
                <w:szCs w:val="20"/>
                <w:lang w:eastAsia="en-AU"/>
              </w:rPr>
              <w:t>;</w:t>
            </w:r>
            <w:r w:rsidR="000E0984" w:rsidRPr="005176BD">
              <w:rPr>
                <w:rFonts w:cs="Arial"/>
                <w:color w:val="000000"/>
                <w:sz w:val="20"/>
                <w:szCs w:val="20"/>
                <w:lang w:eastAsia="en-AU"/>
              </w:rPr>
              <w:t xml:space="preserve"> </w:t>
            </w:r>
            <w:r w:rsidRPr="005176BD">
              <w:rPr>
                <w:rFonts w:cs="Arial"/>
                <w:iCs/>
                <w:color w:val="000000"/>
                <w:sz w:val="20"/>
                <w:szCs w:val="20"/>
                <w:lang w:eastAsia="en-AU"/>
              </w:rPr>
              <w:t>43(2)</w:t>
            </w:r>
            <w:r w:rsidR="001D5FFB" w:rsidRPr="005176BD">
              <w:rPr>
                <w:rFonts w:cs="Arial"/>
                <w:iCs/>
                <w:color w:val="000000"/>
                <w:sz w:val="20"/>
                <w:szCs w:val="20"/>
                <w:lang w:eastAsia="en-AU"/>
              </w:rPr>
              <w:t>:</w:t>
            </w:r>
            <w:r w:rsidRPr="005176BD">
              <w:rPr>
                <w:rFonts w:cs="Arial"/>
                <w:iCs/>
                <w:color w:val="000000"/>
                <w:sz w:val="20"/>
                <w:szCs w:val="20"/>
                <w:lang w:eastAsia="en-AU"/>
              </w:rPr>
              <w:t xml:space="preserve"> 97-109. </w:t>
            </w:r>
          </w:p>
        </w:tc>
        <w:tc>
          <w:tcPr>
            <w:tcW w:w="3977" w:type="dxa"/>
          </w:tcPr>
          <w:p w14:paraId="68B9A533" w14:textId="77777777" w:rsidR="00084B2B" w:rsidRPr="005176BD" w:rsidRDefault="00084B2B" w:rsidP="003B611A">
            <w:pPr>
              <w:rPr>
                <w:rFonts w:cs="Arial"/>
                <w:sz w:val="20"/>
                <w:szCs w:val="20"/>
              </w:rPr>
            </w:pPr>
            <w:proofErr w:type="spellStart"/>
            <w:r w:rsidRPr="005176BD">
              <w:rPr>
                <w:rFonts w:cs="Arial"/>
                <w:sz w:val="20"/>
                <w:szCs w:val="20"/>
              </w:rPr>
              <w:t>Furuya</w:t>
            </w:r>
            <w:proofErr w:type="spellEnd"/>
            <w:r w:rsidRPr="005176BD">
              <w:rPr>
                <w:rFonts w:cs="Arial"/>
                <w:sz w:val="20"/>
                <w:szCs w:val="20"/>
              </w:rPr>
              <w:t xml:space="preserve"> H, Young A, Powers J &amp; Byles J. </w:t>
            </w:r>
          </w:p>
        </w:tc>
        <w:tc>
          <w:tcPr>
            <w:tcW w:w="1440" w:type="dxa"/>
          </w:tcPr>
          <w:p w14:paraId="350389AB" w14:textId="17E74C95" w:rsidR="00084B2B" w:rsidRPr="005176BD" w:rsidRDefault="00F5504C" w:rsidP="003B611A">
            <w:pPr>
              <w:rPr>
                <w:rFonts w:cs="Arial"/>
                <w:sz w:val="20"/>
                <w:szCs w:val="20"/>
              </w:rPr>
            </w:pPr>
            <w:r w:rsidRPr="005176BD">
              <w:rPr>
                <w:rFonts w:cs="Arial"/>
                <w:sz w:val="20"/>
                <w:szCs w:val="20"/>
              </w:rPr>
              <w:t>4</w:t>
            </w:r>
          </w:p>
        </w:tc>
      </w:tr>
      <w:tr w:rsidR="00084B2B" w:rsidRPr="00084B2B" w14:paraId="4B6CD330" w14:textId="77777777" w:rsidTr="0011030B">
        <w:tc>
          <w:tcPr>
            <w:tcW w:w="8438" w:type="dxa"/>
          </w:tcPr>
          <w:p w14:paraId="1E6C934E" w14:textId="1D9C0E78" w:rsidR="00084B2B" w:rsidRPr="005176BD" w:rsidRDefault="00084B2B" w:rsidP="003B611A">
            <w:pPr>
              <w:rPr>
                <w:rFonts w:cs="Arial"/>
                <w:sz w:val="20"/>
                <w:szCs w:val="20"/>
              </w:rPr>
            </w:pPr>
            <w:r w:rsidRPr="005176BD">
              <w:rPr>
                <w:rFonts w:cs="Arial"/>
                <w:color w:val="000000"/>
                <w:sz w:val="20"/>
                <w:szCs w:val="20"/>
                <w:lang w:eastAsia="en-AU"/>
              </w:rPr>
              <w:t xml:space="preserve">Updating the evidence on physical activity and health in women. </w:t>
            </w:r>
            <w:r w:rsidRPr="005176BD">
              <w:rPr>
                <w:rFonts w:cs="Arial"/>
                <w:iCs/>
                <w:color w:val="000000"/>
                <w:sz w:val="20"/>
                <w:szCs w:val="20"/>
                <w:lang w:eastAsia="en-AU"/>
              </w:rPr>
              <w:t xml:space="preserve">American Journal of Preventive Medicine, </w:t>
            </w:r>
            <w:r w:rsidR="000E0984" w:rsidRPr="005176BD">
              <w:rPr>
                <w:rFonts w:cs="Arial"/>
                <w:color w:val="000000"/>
                <w:sz w:val="20"/>
                <w:szCs w:val="20"/>
                <w:lang w:eastAsia="en-AU"/>
              </w:rPr>
              <w:t>2007</w:t>
            </w:r>
            <w:r w:rsidR="001D5FFB" w:rsidRPr="005176BD">
              <w:rPr>
                <w:rFonts w:cs="Arial"/>
                <w:color w:val="000000"/>
                <w:sz w:val="20"/>
                <w:szCs w:val="20"/>
                <w:lang w:eastAsia="en-AU"/>
              </w:rPr>
              <w:t xml:space="preserve">; </w:t>
            </w:r>
            <w:r w:rsidRPr="005176BD">
              <w:rPr>
                <w:rFonts w:cs="Arial"/>
                <w:iCs/>
                <w:color w:val="000000"/>
                <w:sz w:val="20"/>
                <w:szCs w:val="20"/>
                <w:lang w:eastAsia="en-AU"/>
              </w:rPr>
              <w:t>14</w:t>
            </w:r>
            <w:r w:rsidRPr="005176BD">
              <w:rPr>
                <w:rFonts w:cs="Arial"/>
                <w:color w:val="000000"/>
                <w:sz w:val="20"/>
                <w:szCs w:val="20"/>
                <w:lang w:eastAsia="en-AU"/>
              </w:rPr>
              <w:t>(4)</w:t>
            </w:r>
            <w:r w:rsidR="001D5FFB" w:rsidRPr="005176BD">
              <w:rPr>
                <w:rFonts w:cs="Arial"/>
                <w:color w:val="000000"/>
                <w:sz w:val="20"/>
                <w:szCs w:val="20"/>
                <w:lang w:eastAsia="en-AU"/>
              </w:rPr>
              <w:t>:</w:t>
            </w:r>
            <w:r w:rsidRPr="005176BD">
              <w:rPr>
                <w:rFonts w:cs="Arial"/>
                <w:color w:val="000000"/>
                <w:sz w:val="20"/>
                <w:szCs w:val="20"/>
                <w:lang w:eastAsia="en-AU"/>
              </w:rPr>
              <w:t xml:space="preserve"> 380-391.</w:t>
            </w:r>
            <w:r w:rsidRPr="005176BD">
              <w:rPr>
                <w:rFonts w:cs="Arial"/>
                <w:iCs/>
                <w:color w:val="000000"/>
                <w:sz w:val="20"/>
                <w:szCs w:val="20"/>
                <w:lang w:eastAsia="en-AU"/>
              </w:rPr>
              <w:t xml:space="preserve"> </w:t>
            </w:r>
          </w:p>
        </w:tc>
        <w:tc>
          <w:tcPr>
            <w:tcW w:w="3977" w:type="dxa"/>
          </w:tcPr>
          <w:p w14:paraId="465BCF9B" w14:textId="77777777" w:rsidR="00084B2B" w:rsidRPr="005176BD" w:rsidRDefault="00084B2B" w:rsidP="003B611A">
            <w:pPr>
              <w:rPr>
                <w:rFonts w:cs="Arial"/>
                <w:sz w:val="20"/>
                <w:szCs w:val="20"/>
              </w:rPr>
            </w:pPr>
            <w:r w:rsidRPr="005176BD">
              <w:rPr>
                <w:rFonts w:cs="Arial"/>
                <w:sz w:val="20"/>
                <w:szCs w:val="20"/>
              </w:rPr>
              <w:t xml:space="preserve">Brown WJ, Burton N &amp; Rowan P. </w:t>
            </w:r>
          </w:p>
        </w:tc>
        <w:tc>
          <w:tcPr>
            <w:tcW w:w="1440" w:type="dxa"/>
          </w:tcPr>
          <w:p w14:paraId="4B3856F5" w14:textId="7B5E20B5" w:rsidR="00084B2B" w:rsidRPr="005176BD" w:rsidRDefault="00F5504C" w:rsidP="003B611A">
            <w:pPr>
              <w:rPr>
                <w:rFonts w:cs="Arial"/>
                <w:sz w:val="20"/>
                <w:szCs w:val="20"/>
              </w:rPr>
            </w:pPr>
            <w:r w:rsidRPr="005176BD">
              <w:rPr>
                <w:rFonts w:cs="Arial"/>
                <w:sz w:val="20"/>
                <w:szCs w:val="20"/>
              </w:rPr>
              <w:t>199</w:t>
            </w:r>
          </w:p>
        </w:tc>
      </w:tr>
      <w:tr w:rsidR="00084B2B" w:rsidRPr="00084B2B" w14:paraId="02D2E073" w14:textId="77777777" w:rsidTr="0011030B">
        <w:tc>
          <w:tcPr>
            <w:tcW w:w="8438" w:type="dxa"/>
          </w:tcPr>
          <w:p w14:paraId="28EEBEA4" w14:textId="6CA442D8" w:rsidR="00084B2B" w:rsidRPr="005176BD" w:rsidRDefault="00084B2B" w:rsidP="003B611A">
            <w:pPr>
              <w:rPr>
                <w:rFonts w:cs="Arial"/>
                <w:sz w:val="20"/>
                <w:szCs w:val="20"/>
              </w:rPr>
            </w:pPr>
            <w:r w:rsidRPr="005176BD">
              <w:rPr>
                <w:rFonts w:cs="Arial"/>
                <w:color w:val="000000"/>
                <w:sz w:val="20"/>
                <w:szCs w:val="20"/>
                <w:lang w:eastAsia="en-AU"/>
              </w:rPr>
              <w:t xml:space="preserve">Fit and well at 80: Defying the stereotypes of age and illness. </w:t>
            </w:r>
            <w:r w:rsidRPr="005176BD">
              <w:rPr>
                <w:rFonts w:cs="Arial"/>
                <w:iCs/>
                <w:color w:val="000000"/>
                <w:sz w:val="20"/>
                <w:szCs w:val="20"/>
                <w:lang w:eastAsia="en-AU"/>
              </w:rPr>
              <w:t xml:space="preserve">Annals of the New York Academy of Sciences, </w:t>
            </w:r>
            <w:r w:rsidR="000E0984" w:rsidRPr="005176BD">
              <w:rPr>
                <w:rFonts w:cs="Arial"/>
                <w:color w:val="000000"/>
                <w:sz w:val="20"/>
                <w:szCs w:val="20"/>
                <w:lang w:eastAsia="en-AU"/>
              </w:rPr>
              <w:t>2007</w:t>
            </w:r>
            <w:r w:rsidR="001D5FFB" w:rsidRPr="005176BD">
              <w:rPr>
                <w:rFonts w:cs="Arial"/>
                <w:color w:val="000000"/>
                <w:sz w:val="20"/>
                <w:szCs w:val="20"/>
                <w:lang w:eastAsia="en-AU"/>
              </w:rPr>
              <w:t>;</w:t>
            </w:r>
            <w:r w:rsidR="000E0984" w:rsidRPr="005176BD">
              <w:rPr>
                <w:rFonts w:cs="Arial"/>
                <w:color w:val="000000"/>
                <w:sz w:val="20"/>
                <w:szCs w:val="20"/>
                <w:lang w:eastAsia="en-AU"/>
              </w:rPr>
              <w:t xml:space="preserve"> </w:t>
            </w:r>
            <w:r w:rsidRPr="005176BD">
              <w:rPr>
                <w:rFonts w:cs="Arial"/>
                <w:iCs/>
                <w:color w:val="000000"/>
                <w:sz w:val="20"/>
                <w:szCs w:val="20"/>
                <w:lang w:eastAsia="en-AU"/>
              </w:rPr>
              <w:t>1114</w:t>
            </w:r>
            <w:r w:rsidR="001D5FFB" w:rsidRPr="005176BD">
              <w:rPr>
                <w:rFonts w:cs="Arial"/>
                <w:color w:val="000000"/>
                <w:sz w:val="20"/>
                <w:szCs w:val="20"/>
                <w:lang w:eastAsia="en-AU"/>
              </w:rPr>
              <w:t>:</w:t>
            </w:r>
            <w:r w:rsidRPr="005176BD">
              <w:rPr>
                <w:rFonts w:cs="Arial"/>
                <w:color w:val="000000"/>
                <w:sz w:val="20"/>
                <w:szCs w:val="20"/>
                <w:lang w:eastAsia="en-AU"/>
              </w:rPr>
              <w:t xml:space="preserve"> 107-120. </w:t>
            </w:r>
          </w:p>
        </w:tc>
        <w:tc>
          <w:tcPr>
            <w:tcW w:w="3977" w:type="dxa"/>
          </w:tcPr>
          <w:p w14:paraId="6A146A20" w14:textId="77777777" w:rsidR="00084B2B" w:rsidRPr="005176BD" w:rsidRDefault="00084B2B" w:rsidP="003B611A">
            <w:pPr>
              <w:rPr>
                <w:rFonts w:cs="Arial"/>
                <w:sz w:val="20"/>
                <w:szCs w:val="20"/>
              </w:rPr>
            </w:pPr>
            <w:r w:rsidRPr="005176BD">
              <w:rPr>
                <w:rFonts w:cs="Arial"/>
                <w:sz w:val="20"/>
                <w:szCs w:val="20"/>
              </w:rPr>
              <w:t>Byles JE.</w:t>
            </w:r>
          </w:p>
        </w:tc>
        <w:tc>
          <w:tcPr>
            <w:tcW w:w="1440" w:type="dxa"/>
          </w:tcPr>
          <w:p w14:paraId="2C383195" w14:textId="32894EBF" w:rsidR="00084B2B" w:rsidRPr="005176BD" w:rsidRDefault="00F5504C" w:rsidP="003B611A">
            <w:pPr>
              <w:rPr>
                <w:rFonts w:cs="Arial"/>
                <w:sz w:val="20"/>
                <w:szCs w:val="20"/>
              </w:rPr>
            </w:pPr>
            <w:r w:rsidRPr="005176BD">
              <w:rPr>
                <w:rFonts w:cs="Arial"/>
                <w:sz w:val="20"/>
                <w:szCs w:val="20"/>
              </w:rPr>
              <w:t>9</w:t>
            </w:r>
          </w:p>
        </w:tc>
      </w:tr>
      <w:tr w:rsidR="00084B2B" w:rsidRPr="00084B2B" w14:paraId="4595A2D7" w14:textId="77777777" w:rsidTr="0011030B">
        <w:tc>
          <w:tcPr>
            <w:tcW w:w="8438" w:type="dxa"/>
          </w:tcPr>
          <w:p w14:paraId="6EF93B8B" w14:textId="6D0CC6BC" w:rsidR="00084B2B" w:rsidRPr="005176BD" w:rsidRDefault="00084B2B" w:rsidP="003B611A">
            <w:pPr>
              <w:rPr>
                <w:rFonts w:cs="Arial"/>
                <w:sz w:val="20"/>
                <w:szCs w:val="20"/>
              </w:rPr>
            </w:pPr>
            <w:r w:rsidRPr="005176BD">
              <w:rPr>
                <w:rFonts w:cs="Arial"/>
                <w:color w:val="000000"/>
                <w:sz w:val="20"/>
                <w:szCs w:val="20"/>
                <w:lang w:eastAsia="en-AU"/>
              </w:rPr>
              <w:lastRenderedPageBreak/>
              <w:t xml:space="preserve">Factors associated with decline in physical functional health in a cohort of older women. </w:t>
            </w:r>
            <w:r w:rsidRPr="005176BD">
              <w:rPr>
                <w:rFonts w:cs="Arial"/>
                <w:iCs/>
                <w:color w:val="000000"/>
                <w:sz w:val="20"/>
                <w:szCs w:val="20"/>
                <w:lang w:eastAsia="en-AU"/>
              </w:rPr>
              <w:t>Age &amp; Ageing,</w:t>
            </w:r>
            <w:r w:rsidR="000E0984" w:rsidRPr="005176BD">
              <w:rPr>
                <w:rFonts w:cs="Arial"/>
                <w:color w:val="000000"/>
                <w:sz w:val="20"/>
                <w:szCs w:val="20"/>
                <w:lang w:eastAsia="en-AU"/>
              </w:rPr>
              <w:t xml:space="preserve"> 2007</w:t>
            </w:r>
            <w:r w:rsidR="001D5FFB" w:rsidRPr="005176BD">
              <w:rPr>
                <w:rFonts w:cs="Arial"/>
                <w:color w:val="000000"/>
                <w:sz w:val="20"/>
                <w:szCs w:val="20"/>
                <w:lang w:eastAsia="en-AU"/>
              </w:rPr>
              <w:t>;</w:t>
            </w:r>
            <w:r w:rsidRPr="005176BD">
              <w:rPr>
                <w:rFonts w:cs="Arial"/>
                <w:iCs/>
                <w:color w:val="000000"/>
                <w:sz w:val="20"/>
                <w:szCs w:val="20"/>
                <w:lang w:eastAsia="en-AU"/>
              </w:rPr>
              <w:t xml:space="preserve"> 36(4)</w:t>
            </w:r>
            <w:r w:rsidR="001D5FFB" w:rsidRPr="005176BD">
              <w:rPr>
                <w:rFonts w:cs="Arial"/>
                <w:iCs/>
                <w:color w:val="000000"/>
                <w:sz w:val="20"/>
                <w:szCs w:val="20"/>
                <w:lang w:eastAsia="en-AU"/>
              </w:rPr>
              <w:t>:</w:t>
            </w:r>
            <w:r w:rsidRPr="005176BD">
              <w:rPr>
                <w:rFonts w:cs="Arial"/>
                <w:iCs/>
                <w:color w:val="000000"/>
                <w:sz w:val="20"/>
                <w:szCs w:val="20"/>
                <w:lang w:eastAsia="en-AU"/>
              </w:rPr>
              <w:t xml:space="preserve"> 382-388. </w:t>
            </w:r>
          </w:p>
        </w:tc>
        <w:tc>
          <w:tcPr>
            <w:tcW w:w="3977" w:type="dxa"/>
          </w:tcPr>
          <w:p w14:paraId="6A6E444C" w14:textId="77777777" w:rsidR="00084B2B" w:rsidRPr="005176BD" w:rsidRDefault="00084B2B" w:rsidP="003B611A">
            <w:pPr>
              <w:rPr>
                <w:rFonts w:cs="Arial"/>
                <w:sz w:val="20"/>
                <w:szCs w:val="20"/>
              </w:rPr>
            </w:pPr>
            <w:r w:rsidRPr="005176BD">
              <w:rPr>
                <w:rFonts w:cs="Arial"/>
                <w:sz w:val="20"/>
                <w:szCs w:val="20"/>
              </w:rPr>
              <w:t>Sibbritt D, Byles J &amp; Regan C.</w:t>
            </w:r>
          </w:p>
        </w:tc>
        <w:tc>
          <w:tcPr>
            <w:tcW w:w="1440" w:type="dxa"/>
          </w:tcPr>
          <w:p w14:paraId="233F11AB" w14:textId="40273420" w:rsidR="00084B2B" w:rsidRPr="005176BD" w:rsidRDefault="00F5504C" w:rsidP="003B611A">
            <w:pPr>
              <w:rPr>
                <w:rFonts w:cs="Arial"/>
                <w:sz w:val="20"/>
                <w:szCs w:val="20"/>
              </w:rPr>
            </w:pPr>
            <w:r w:rsidRPr="005176BD">
              <w:rPr>
                <w:rFonts w:cs="Arial"/>
                <w:sz w:val="20"/>
                <w:szCs w:val="20"/>
              </w:rPr>
              <w:t>28</w:t>
            </w:r>
          </w:p>
        </w:tc>
      </w:tr>
      <w:tr w:rsidR="00084B2B" w:rsidRPr="00084B2B" w14:paraId="22E0523E" w14:textId="77777777" w:rsidTr="0011030B">
        <w:tc>
          <w:tcPr>
            <w:tcW w:w="8438" w:type="dxa"/>
          </w:tcPr>
          <w:p w14:paraId="1894E428" w14:textId="599F372E" w:rsidR="00084B2B" w:rsidRPr="005176BD" w:rsidRDefault="00084B2B" w:rsidP="003B611A">
            <w:pPr>
              <w:rPr>
                <w:rFonts w:cs="Arial"/>
                <w:sz w:val="20"/>
                <w:szCs w:val="20"/>
              </w:rPr>
            </w:pPr>
            <w:r w:rsidRPr="005176BD">
              <w:rPr>
                <w:rFonts w:cs="Arial"/>
                <w:color w:val="000000"/>
                <w:sz w:val="20"/>
                <w:szCs w:val="20"/>
                <w:lang w:eastAsia="en-AU"/>
              </w:rPr>
              <w:t xml:space="preserve">A drink to healthy ageing: The association between older women's use of alcohol and their health-related quality of life. </w:t>
            </w:r>
            <w:r w:rsidRPr="005176BD">
              <w:rPr>
                <w:rFonts w:cs="Arial"/>
                <w:iCs/>
                <w:color w:val="000000"/>
                <w:sz w:val="20"/>
                <w:szCs w:val="20"/>
                <w:lang w:eastAsia="en-AU"/>
              </w:rPr>
              <w:t>Journal of the American Geriatric Society</w:t>
            </w:r>
            <w:r w:rsidRPr="005176BD">
              <w:rPr>
                <w:rFonts w:cs="Arial"/>
                <w:color w:val="000000"/>
                <w:sz w:val="20"/>
                <w:szCs w:val="20"/>
                <w:lang w:eastAsia="en-AU"/>
              </w:rPr>
              <w:t>,</w:t>
            </w:r>
            <w:r w:rsidRPr="005176BD">
              <w:rPr>
                <w:rFonts w:cs="Arial"/>
                <w:iCs/>
                <w:color w:val="000000"/>
                <w:sz w:val="20"/>
                <w:szCs w:val="20"/>
                <w:lang w:eastAsia="en-AU"/>
              </w:rPr>
              <w:t xml:space="preserve"> </w:t>
            </w:r>
            <w:r w:rsidR="000E0984" w:rsidRPr="005176BD">
              <w:rPr>
                <w:rFonts w:cs="Arial"/>
                <w:color w:val="000000"/>
                <w:sz w:val="20"/>
                <w:szCs w:val="20"/>
                <w:lang w:eastAsia="en-AU"/>
              </w:rPr>
              <w:t>2006</w:t>
            </w:r>
            <w:r w:rsidR="001D5FFB" w:rsidRPr="005176BD">
              <w:rPr>
                <w:rFonts w:cs="Arial"/>
                <w:color w:val="000000"/>
                <w:sz w:val="20"/>
                <w:szCs w:val="20"/>
                <w:lang w:eastAsia="en-AU"/>
              </w:rPr>
              <w:t>;</w:t>
            </w:r>
            <w:r w:rsidR="000E0984" w:rsidRPr="005176BD">
              <w:rPr>
                <w:rFonts w:cs="Arial"/>
                <w:color w:val="000000"/>
                <w:sz w:val="20"/>
                <w:szCs w:val="20"/>
                <w:lang w:eastAsia="en-AU"/>
              </w:rPr>
              <w:t xml:space="preserve"> </w:t>
            </w:r>
            <w:r w:rsidRPr="005176BD">
              <w:rPr>
                <w:rFonts w:cs="Arial"/>
                <w:iCs/>
                <w:color w:val="000000"/>
                <w:sz w:val="20"/>
                <w:szCs w:val="20"/>
                <w:lang w:eastAsia="en-AU"/>
              </w:rPr>
              <w:t>54</w:t>
            </w:r>
            <w:r w:rsidRPr="005176BD">
              <w:rPr>
                <w:rFonts w:cs="Arial"/>
                <w:color w:val="000000"/>
                <w:sz w:val="20"/>
                <w:szCs w:val="20"/>
                <w:lang w:eastAsia="en-AU"/>
              </w:rPr>
              <w:t>(9)</w:t>
            </w:r>
            <w:r w:rsidR="001D5FFB" w:rsidRPr="005176BD">
              <w:rPr>
                <w:rFonts w:cs="Arial"/>
                <w:color w:val="000000"/>
                <w:sz w:val="20"/>
                <w:szCs w:val="20"/>
                <w:lang w:eastAsia="en-AU"/>
              </w:rPr>
              <w:t>:</w:t>
            </w:r>
            <w:r w:rsidRPr="005176BD">
              <w:rPr>
                <w:rFonts w:cs="Arial"/>
                <w:color w:val="000000"/>
                <w:sz w:val="20"/>
                <w:szCs w:val="20"/>
                <w:lang w:eastAsia="en-AU"/>
              </w:rPr>
              <w:t xml:space="preserve"> 1341-1347.</w:t>
            </w:r>
          </w:p>
        </w:tc>
        <w:tc>
          <w:tcPr>
            <w:tcW w:w="3977" w:type="dxa"/>
          </w:tcPr>
          <w:p w14:paraId="2301820A" w14:textId="77777777" w:rsidR="00084B2B" w:rsidRPr="005176BD" w:rsidRDefault="00084B2B" w:rsidP="003B611A">
            <w:pPr>
              <w:rPr>
                <w:rFonts w:cs="Arial"/>
                <w:sz w:val="20"/>
                <w:szCs w:val="20"/>
              </w:rPr>
            </w:pPr>
            <w:r w:rsidRPr="005176BD">
              <w:rPr>
                <w:rFonts w:cs="Arial"/>
                <w:sz w:val="20"/>
                <w:szCs w:val="20"/>
              </w:rPr>
              <w:t xml:space="preserve">Byles J, Young A, </w:t>
            </w:r>
            <w:proofErr w:type="spellStart"/>
            <w:r w:rsidRPr="005176BD">
              <w:rPr>
                <w:rFonts w:cs="Arial"/>
                <w:sz w:val="20"/>
                <w:szCs w:val="20"/>
              </w:rPr>
              <w:t>Furuya</w:t>
            </w:r>
            <w:proofErr w:type="spellEnd"/>
            <w:r w:rsidRPr="005176BD">
              <w:rPr>
                <w:rFonts w:cs="Arial"/>
                <w:sz w:val="20"/>
                <w:szCs w:val="20"/>
              </w:rPr>
              <w:t xml:space="preserve"> H &amp; Parkinson L.</w:t>
            </w:r>
          </w:p>
        </w:tc>
        <w:tc>
          <w:tcPr>
            <w:tcW w:w="1440" w:type="dxa"/>
          </w:tcPr>
          <w:p w14:paraId="0BE67342" w14:textId="5A0D5BA8" w:rsidR="00084B2B" w:rsidRPr="005176BD" w:rsidRDefault="00F5504C" w:rsidP="003B611A">
            <w:pPr>
              <w:rPr>
                <w:rFonts w:cs="Arial"/>
                <w:sz w:val="20"/>
                <w:szCs w:val="20"/>
              </w:rPr>
            </w:pPr>
            <w:r w:rsidRPr="005176BD">
              <w:rPr>
                <w:rFonts w:cs="Arial"/>
                <w:sz w:val="20"/>
                <w:szCs w:val="20"/>
              </w:rPr>
              <w:t>90</w:t>
            </w:r>
          </w:p>
        </w:tc>
      </w:tr>
      <w:tr w:rsidR="00084B2B" w:rsidRPr="00084B2B" w14:paraId="0F98F642" w14:textId="77777777" w:rsidTr="0011030B">
        <w:tc>
          <w:tcPr>
            <w:tcW w:w="8438" w:type="dxa"/>
          </w:tcPr>
          <w:p w14:paraId="12BFCEE5" w14:textId="51EE4A18" w:rsidR="00084B2B" w:rsidRPr="005176BD" w:rsidRDefault="00084B2B" w:rsidP="003B611A">
            <w:pPr>
              <w:rPr>
                <w:rFonts w:cs="Arial"/>
                <w:sz w:val="20"/>
                <w:szCs w:val="20"/>
              </w:rPr>
            </w:pPr>
            <w:r w:rsidRPr="005176BD">
              <w:rPr>
                <w:rFonts w:cs="Arial"/>
                <w:color w:val="000000"/>
                <w:sz w:val="20"/>
                <w:szCs w:val="20"/>
                <w:lang w:eastAsia="en-AU"/>
              </w:rPr>
              <w:t xml:space="preserve">Relations between companion animals and self-reported health in older women: Cause, effect or </w:t>
            </w:r>
            <w:proofErr w:type="spellStart"/>
            <w:r w:rsidRPr="005176BD">
              <w:rPr>
                <w:rFonts w:cs="Arial"/>
                <w:color w:val="000000"/>
                <w:sz w:val="20"/>
                <w:szCs w:val="20"/>
                <w:lang w:eastAsia="en-AU"/>
              </w:rPr>
              <w:t>artifact</w:t>
            </w:r>
            <w:proofErr w:type="spellEnd"/>
            <w:r w:rsidRPr="005176BD">
              <w:rPr>
                <w:rFonts w:cs="Arial"/>
                <w:color w:val="000000"/>
                <w:sz w:val="20"/>
                <w:szCs w:val="20"/>
                <w:lang w:eastAsia="en-AU"/>
              </w:rPr>
              <w:t xml:space="preserve">? </w:t>
            </w:r>
            <w:r w:rsidRPr="005176BD">
              <w:rPr>
                <w:rFonts w:cs="Arial"/>
                <w:iCs/>
                <w:color w:val="000000"/>
                <w:sz w:val="20"/>
                <w:szCs w:val="20"/>
                <w:lang w:eastAsia="en-AU"/>
              </w:rPr>
              <w:t xml:space="preserve">International Journal of </w:t>
            </w:r>
            <w:proofErr w:type="spellStart"/>
            <w:r w:rsidRPr="005176BD">
              <w:rPr>
                <w:rFonts w:cs="Arial"/>
                <w:iCs/>
                <w:color w:val="000000"/>
                <w:sz w:val="20"/>
                <w:szCs w:val="20"/>
                <w:lang w:eastAsia="en-AU"/>
              </w:rPr>
              <w:t>Behavioral</w:t>
            </w:r>
            <w:proofErr w:type="spellEnd"/>
            <w:r w:rsidRPr="005176BD">
              <w:rPr>
                <w:rFonts w:cs="Arial"/>
                <w:iCs/>
                <w:color w:val="000000"/>
                <w:sz w:val="20"/>
                <w:szCs w:val="20"/>
                <w:lang w:eastAsia="en-AU"/>
              </w:rPr>
              <w:t xml:space="preserve"> Medicine</w:t>
            </w:r>
            <w:r w:rsidRPr="005176BD">
              <w:rPr>
                <w:rFonts w:cs="Arial"/>
                <w:color w:val="000000"/>
                <w:sz w:val="20"/>
                <w:szCs w:val="20"/>
                <w:lang w:eastAsia="en-AU"/>
              </w:rPr>
              <w:t xml:space="preserve">, </w:t>
            </w:r>
            <w:r w:rsidR="000E0984" w:rsidRPr="005176BD">
              <w:rPr>
                <w:rFonts w:cs="Arial"/>
                <w:color w:val="000000"/>
                <w:sz w:val="20"/>
                <w:szCs w:val="20"/>
                <w:lang w:eastAsia="en-AU"/>
              </w:rPr>
              <w:t>2005</w:t>
            </w:r>
            <w:r w:rsidR="001D5FFB" w:rsidRPr="005176BD">
              <w:rPr>
                <w:rFonts w:cs="Arial"/>
                <w:color w:val="000000"/>
                <w:sz w:val="20"/>
                <w:szCs w:val="20"/>
                <w:lang w:eastAsia="en-AU"/>
              </w:rPr>
              <w:t>;</w:t>
            </w:r>
            <w:r w:rsidR="000E0984" w:rsidRPr="005176BD">
              <w:rPr>
                <w:rFonts w:cs="Arial"/>
                <w:color w:val="000000"/>
                <w:sz w:val="20"/>
                <w:szCs w:val="20"/>
                <w:lang w:eastAsia="en-AU"/>
              </w:rPr>
              <w:t xml:space="preserve"> </w:t>
            </w:r>
            <w:r w:rsidRPr="005176BD">
              <w:rPr>
                <w:rFonts w:cs="Arial"/>
                <w:color w:val="000000"/>
                <w:sz w:val="20"/>
                <w:szCs w:val="20"/>
                <w:lang w:eastAsia="en-AU"/>
              </w:rPr>
              <w:t>12(2)</w:t>
            </w:r>
            <w:r w:rsidR="001D5FFB" w:rsidRPr="005176BD">
              <w:rPr>
                <w:rFonts w:cs="Arial"/>
                <w:color w:val="000000"/>
                <w:sz w:val="20"/>
                <w:szCs w:val="20"/>
                <w:lang w:eastAsia="en-AU"/>
              </w:rPr>
              <w:t>:</w:t>
            </w:r>
            <w:r w:rsidRPr="005176BD">
              <w:rPr>
                <w:rFonts w:cs="Arial"/>
                <w:color w:val="000000"/>
                <w:sz w:val="20"/>
                <w:szCs w:val="20"/>
                <w:lang w:eastAsia="en-AU"/>
              </w:rPr>
              <w:t xml:space="preserve"> 103-110. </w:t>
            </w:r>
          </w:p>
        </w:tc>
        <w:tc>
          <w:tcPr>
            <w:tcW w:w="3977" w:type="dxa"/>
          </w:tcPr>
          <w:p w14:paraId="6370EDC6" w14:textId="77777777" w:rsidR="00084B2B" w:rsidRPr="005176BD" w:rsidRDefault="00084B2B" w:rsidP="003B611A">
            <w:pPr>
              <w:rPr>
                <w:rFonts w:cs="Arial"/>
                <w:sz w:val="20"/>
                <w:szCs w:val="20"/>
              </w:rPr>
            </w:pPr>
            <w:r w:rsidRPr="005176BD">
              <w:rPr>
                <w:rFonts w:cs="Arial"/>
                <w:sz w:val="20"/>
                <w:szCs w:val="20"/>
              </w:rPr>
              <w:t>Pachana NA, Ford JH, Andrew B &amp; Dobson AJ.</w:t>
            </w:r>
          </w:p>
        </w:tc>
        <w:tc>
          <w:tcPr>
            <w:tcW w:w="1440" w:type="dxa"/>
          </w:tcPr>
          <w:p w14:paraId="7E5EA2D0" w14:textId="0327B86C" w:rsidR="00084B2B" w:rsidRPr="005176BD" w:rsidRDefault="00F5504C" w:rsidP="003B611A">
            <w:pPr>
              <w:rPr>
                <w:rFonts w:cs="Arial"/>
                <w:sz w:val="20"/>
                <w:szCs w:val="20"/>
              </w:rPr>
            </w:pPr>
            <w:r w:rsidRPr="005176BD">
              <w:rPr>
                <w:rFonts w:cs="Arial"/>
                <w:sz w:val="20"/>
                <w:szCs w:val="20"/>
              </w:rPr>
              <w:t>66</w:t>
            </w:r>
          </w:p>
        </w:tc>
      </w:tr>
      <w:tr w:rsidR="00084B2B" w:rsidRPr="00084B2B" w14:paraId="0C0B7A14" w14:textId="77777777" w:rsidTr="0011030B">
        <w:tc>
          <w:tcPr>
            <w:tcW w:w="8438" w:type="dxa"/>
          </w:tcPr>
          <w:p w14:paraId="7A2BFCA4" w14:textId="3D9D4D71" w:rsidR="00084B2B" w:rsidRPr="005176BD" w:rsidRDefault="00084B2B" w:rsidP="003B611A">
            <w:pPr>
              <w:rPr>
                <w:rFonts w:cs="Arial"/>
                <w:sz w:val="20"/>
                <w:szCs w:val="20"/>
              </w:rPr>
            </w:pPr>
            <w:r w:rsidRPr="005176BD">
              <w:rPr>
                <w:rFonts w:cs="Arial"/>
                <w:color w:val="000000"/>
                <w:sz w:val="20"/>
                <w:szCs w:val="20"/>
                <w:lang w:eastAsia="en-AU"/>
              </w:rPr>
              <w:t xml:space="preserve">An occupational focus on falls and serious injury among older women in Australia. </w:t>
            </w:r>
            <w:r w:rsidRPr="005176BD">
              <w:rPr>
                <w:rFonts w:cs="Arial"/>
                <w:iCs/>
                <w:color w:val="000000"/>
                <w:sz w:val="20"/>
                <w:szCs w:val="20"/>
                <w:lang w:eastAsia="en-AU"/>
              </w:rPr>
              <w:t xml:space="preserve">Australian Occupational Therapy Journal, </w:t>
            </w:r>
            <w:r w:rsidR="000E0984" w:rsidRPr="005176BD">
              <w:rPr>
                <w:rFonts w:cs="Arial"/>
                <w:color w:val="000000"/>
                <w:sz w:val="20"/>
                <w:szCs w:val="20"/>
                <w:lang w:eastAsia="en-AU"/>
              </w:rPr>
              <w:t>2004</w:t>
            </w:r>
            <w:r w:rsidR="001D5FFB" w:rsidRPr="005176BD">
              <w:rPr>
                <w:rFonts w:cs="Arial"/>
                <w:color w:val="000000"/>
                <w:sz w:val="20"/>
                <w:szCs w:val="20"/>
                <w:lang w:eastAsia="en-AU"/>
              </w:rPr>
              <w:t>;</w:t>
            </w:r>
            <w:r w:rsidR="000E0984" w:rsidRPr="005176BD">
              <w:rPr>
                <w:rFonts w:cs="Arial"/>
                <w:color w:val="000000"/>
                <w:sz w:val="20"/>
                <w:szCs w:val="20"/>
                <w:lang w:eastAsia="en-AU"/>
              </w:rPr>
              <w:t xml:space="preserve"> </w:t>
            </w:r>
            <w:r w:rsidRPr="005176BD">
              <w:rPr>
                <w:rFonts w:cs="Arial"/>
                <w:iCs/>
                <w:color w:val="000000"/>
                <w:sz w:val="20"/>
                <w:szCs w:val="20"/>
                <w:lang w:eastAsia="en-AU"/>
              </w:rPr>
              <w:t>51</w:t>
            </w:r>
            <w:r w:rsidRPr="005176BD">
              <w:rPr>
                <w:rFonts w:cs="Arial"/>
                <w:color w:val="000000"/>
                <w:sz w:val="20"/>
                <w:szCs w:val="20"/>
                <w:lang w:eastAsia="en-AU"/>
              </w:rPr>
              <w:t>(3): 144-154.</w:t>
            </w:r>
          </w:p>
        </w:tc>
        <w:tc>
          <w:tcPr>
            <w:tcW w:w="3977" w:type="dxa"/>
          </w:tcPr>
          <w:p w14:paraId="04882867" w14:textId="77777777" w:rsidR="00084B2B" w:rsidRPr="005176BD" w:rsidRDefault="00084B2B" w:rsidP="003B611A">
            <w:pPr>
              <w:rPr>
                <w:rFonts w:cs="Arial"/>
                <w:sz w:val="20"/>
                <w:szCs w:val="20"/>
              </w:rPr>
            </w:pPr>
            <w:r w:rsidRPr="005176BD">
              <w:rPr>
                <w:rFonts w:cs="Arial"/>
                <w:sz w:val="20"/>
                <w:szCs w:val="20"/>
              </w:rPr>
              <w:t>Mackenzie L, Byles J &amp; Mishra G.</w:t>
            </w:r>
          </w:p>
        </w:tc>
        <w:tc>
          <w:tcPr>
            <w:tcW w:w="1440" w:type="dxa"/>
          </w:tcPr>
          <w:p w14:paraId="76829E9A" w14:textId="78F53848" w:rsidR="00084B2B" w:rsidRPr="005176BD" w:rsidRDefault="00F5504C" w:rsidP="003B611A">
            <w:pPr>
              <w:rPr>
                <w:rFonts w:cs="Arial"/>
                <w:sz w:val="20"/>
                <w:szCs w:val="20"/>
              </w:rPr>
            </w:pPr>
            <w:r w:rsidRPr="005176BD">
              <w:rPr>
                <w:rFonts w:cs="Arial"/>
                <w:sz w:val="20"/>
                <w:szCs w:val="20"/>
              </w:rPr>
              <w:t>8</w:t>
            </w:r>
          </w:p>
        </w:tc>
      </w:tr>
      <w:tr w:rsidR="00084B2B" w:rsidRPr="00084B2B" w14:paraId="7B901AC1" w14:textId="77777777" w:rsidTr="0011030B">
        <w:tc>
          <w:tcPr>
            <w:tcW w:w="8438" w:type="dxa"/>
          </w:tcPr>
          <w:p w14:paraId="2F56F5C2" w14:textId="5359388A" w:rsidR="00084B2B" w:rsidRPr="005176BD" w:rsidRDefault="00084B2B" w:rsidP="003B611A">
            <w:pPr>
              <w:rPr>
                <w:rFonts w:cs="Arial"/>
                <w:sz w:val="20"/>
                <w:szCs w:val="20"/>
              </w:rPr>
            </w:pPr>
            <w:r w:rsidRPr="005176BD">
              <w:rPr>
                <w:rFonts w:cs="Arial"/>
                <w:color w:val="000000"/>
                <w:sz w:val="20"/>
                <w:szCs w:val="20"/>
                <w:lang w:eastAsia="en-AU"/>
              </w:rPr>
              <w:t xml:space="preserve">The big picture: The health and wellbeing of three generations of women in rural and remote areas of Australia. </w:t>
            </w:r>
            <w:r w:rsidRPr="005176BD">
              <w:rPr>
                <w:rFonts w:cs="Arial"/>
                <w:iCs/>
                <w:color w:val="000000"/>
                <w:sz w:val="20"/>
                <w:szCs w:val="20"/>
                <w:lang w:eastAsia="en-AU"/>
              </w:rPr>
              <w:t>Health Sociology Review</w:t>
            </w:r>
            <w:r w:rsidRPr="005176BD">
              <w:rPr>
                <w:rFonts w:cs="Arial"/>
                <w:color w:val="000000"/>
                <w:sz w:val="20"/>
                <w:szCs w:val="20"/>
                <w:lang w:eastAsia="en-AU"/>
              </w:rPr>
              <w:t xml:space="preserve">, </w:t>
            </w:r>
            <w:r w:rsidR="000E0984" w:rsidRPr="005176BD">
              <w:rPr>
                <w:rFonts w:cs="Arial"/>
                <w:color w:val="000000"/>
                <w:sz w:val="20"/>
                <w:szCs w:val="20"/>
                <w:lang w:eastAsia="en-AU"/>
              </w:rPr>
              <w:t xml:space="preserve">2004; </w:t>
            </w:r>
            <w:r w:rsidRPr="005176BD">
              <w:rPr>
                <w:rFonts w:cs="Arial"/>
                <w:color w:val="000000"/>
                <w:sz w:val="20"/>
                <w:szCs w:val="20"/>
                <w:lang w:eastAsia="en-AU"/>
              </w:rPr>
              <w:t>13(1)</w:t>
            </w:r>
            <w:r w:rsidR="000E0984" w:rsidRPr="005176BD">
              <w:rPr>
                <w:rFonts w:cs="Arial"/>
                <w:color w:val="000000"/>
                <w:sz w:val="20"/>
                <w:szCs w:val="20"/>
                <w:lang w:eastAsia="en-AU"/>
              </w:rPr>
              <w:t>:</w:t>
            </w:r>
            <w:r w:rsidRPr="005176BD">
              <w:rPr>
                <w:rFonts w:cs="Arial"/>
                <w:color w:val="000000"/>
                <w:sz w:val="20"/>
                <w:szCs w:val="20"/>
                <w:lang w:eastAsia="en-AU"/>
              </w:rPr>
              <w:t xml:space="preserve"> 15-26.</w:t>
            </w:r>
          </w:p>
        </w:tc>
        <w:tc>
          <w:tcPr>
            <w:tcW w:w="3977" w:type="dxa"/>
          </w:tcPr>
          <w:p w14:paraId="361ED890" w14:textId="77777777" w:rsidR="00084B2B" w:rsidRPr="005176BD" w:rsidRDefault="00084B2B" w:rsidP="003B611A">
            <w:pPr>
              <w:rPr>
                <w:rFonts w:cs="Arial"/>
                <w:sz w:val="20"/>
                <w:szCs w:val="20"/>
              </w:rPr>
            </w:pPr>
            <w:r w:rsidRPr="005176BD">
              <w:rPr>
                <w:rFonts w:cs="Arial"/>
                <w:sz w:val="20"/>
                <w:szCs w:val="20"/>
              </w:rPr>
              <w:t>Warner-Smith P, Bryson L &amp; Byles J.</w:t>
            </w:r>
          </w:p>
        </w:tc>
        <w:tc>
          <w:tcPr>
            <w:tcW w:w="1440" w:type="dxa"/>
          </w:tcPr>
          <w:p w14:paraId="5866D1EB" w14:textId="2057404C" w:rsidR="00084B2B" w:rsidRPr="005176BD" w:rsidRDefault="00F5504C" w:rsidP="003B611A">
            <w:pPr>
              <w:rPr>
                <w:rFonts w:cs="Arial"/>
                <w:sz w:val="20"/>
                <w:szCs w:val="20"/>
              </w:rPr>
            </w:pPr>
            <w:r w:rsidRPr="005176BD">
              <w:rPr>
                <w:rFonts w:cs="Arial"/>
                <w:sz w:val="20"/>
                <w:szCs w:val="20"/>
              </w:rPr>
              <w:t>11</w:t>
            </w:r>
          </w:p>
        </w:tc>
      </w:tr>
    </w:tbl>
    <w:p w14:paraId="625F5E04" w14:textId="6C301E8C" w:rsidR="00084B2B" w:rsidRPr="00084B2B" w:rsidRDefault="00084B2B" w:rsidP="003B611A">
      <w:pPr>
        <w:pStyle w:val="Heading2"/>
        <w:ind w:left="578" w:hanging="578"/>
      </w:pPr>
      <w:bookmarkStart w:id="72" w:name="_Toc530561281"/>
      <w:r w:rsidRPr="00084B2B">
        <w:t>Caring</w:t>
      </w:r>
      <w:bookmarkEnd w:id="72"/>
    </w:p>
    <w:tbl>
      <w:tblPr>
        <w:tblStyle w:val="TableGrid1"/>
        <w:tblW w:w="13855" w:type="dxa"/>
        <w:tblLook w:val="04A0" w:firstRow="1" w:lastRow="0" w:firstColumn="1" w:lastColumn="0" w:noHBand="0" w:noVBand="1"/>
        <w:tblCaption w:val="Category: Caring"/>
      </w:tblPr>
      <w:tblGrid>
        <w:gridCol w:w="8373"/>
        <w:gridCol w:w="4145"/>
        <w:gridCol w:w="1337"/>
      </w:tblGrid>
      <w:tr w:rsidR="00084B2B" w:rsidRPr="00084B2B" w14:paraId="4291984C" w14:textId="77777777" w:rsidTr="0011030B">
        <w:trPr>
          <w:tblHeader/>
        </w:trPr>
        <w:tc>
          <w:tcPr>
            <w:tcW w:w="8991" w:type="dxa"/>
            <w:shd w:val="clear" w:color="auto" w:fill="F1E9F3"/>
          </w:tcPr>
          <w:p w14:paraId="7FA69BB0"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409" w:type="dxa"/>
            <w:shd w:val="clear" w:color="auto" w:fill="F1E9F3"/>
          </w:tcPr>
          <w:p w14:paraId="35AF9FC8"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455" w:type="dxa"/>
            <w:shd w:val="clear" w:color="auto" w:fill="F1E9F3"/>
          </w:tcPr>
          <w:p w14:paraId="2D91846A" w14:textId="5CCB3FC4"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A10485" w:rsidRPr="002D6728" w14:paraId="0B34B447" w14:textId="77777777" w:rsidTr="0011030B">
        <w:tc>
          <w:tcPr>
            <w:tcW w:w="8991" w:type="dxa"/>
          </w:tcPr>
          <w:p w14:paraId="412E085E" w14:textId="15C2A1E5" w:rsidR="00A10485" w:rsidRPr="005176BD" w:rsidRDefault="00A10485" w:rsidP="003B611A">
            <w:pPr>
              <w:rPr>
                <w:rFonts w:cs="Arial"/>
                <w:sz w:val="20"/>
                <w:szCs w:val="20"/>
                <w:lang w:eastAsia="en-AU"/>
              </w:rPr>
            </w:pPr>
            <w:r w:rsidRPr="005176BD">
              <w:rPr>
                <w:rFonts w:cs="Arial"/>
                <w:sz w:val="20"/>
                <w:szCs w:val="20"/>
                <w:lang w:eastAsia="en-AU"/>
              </w:rPr>
              <w:t>Older women’s expectations of care, reciprocity, and government support in Australia. ‘Am I not worthy?’ Ethics and Social Welfare, 2018; Published online 15 August 2018.</w:t>
            </w:r>
          </w:p>
        </w:tc>
        <w:tc>
          <w:tcPr>
            <w:tcW w:w="4409" w:type="dxa"/>
          </w:tcPr>
          <w:p w14:paraId="1E03CE07" w14:textId="77777777" w:rsidR="00A10485" w:rsidRPr="005176BD" w:rsidRDefault="00A10485" w:rsidP="003B611A">
            <w:pPr>
              <w:rPr>
                <w:rFonts w:cs="Arial"/>
                <w:sz w:val="20"/>
                <w:szCs w:val="20"/>
                <w:lang w:eastAsia="en-AU"/>
              </w:rPr>
            </w:pPr>
            <w:proofErr w:type="spellStart"/>
            <w:r w:rsidRPr="005176BD">
              <w:rPr>
                <w:rFonts w:cs="Arial"/>
                <w:sz w:val="20"/>
                <w:szCs w:val="20"/>
                <w:lang w:eastAsia="en-AU"/>
              </w:rPr>
              <w:t>Curryer</w:t>
            </w:r>
            <w:proofErr w:type="spellEnd"/>
            <w:r w:rsidRPr="005176BD">
              <w:rPr>
                <w:rFonts w:cs="Arial"/>
                <w:sz w:val="20"/>
                <w:szCs w:val="20"/>
                <w:lang w:eastAsia="en-AU"/>
              </w:rPr>
              <w:t xml:space="preserve"> C, </w:t>
            </w:r>
            <w:proofErr w:type="spellStart"/>
            <w:r w:rsidRPr="005176BD">
              <w:rPr>
                <w:rFonts w:cs="Arial"/>
                <w:sz w:val="20"/>
                <w:szCs w:val="20"/>
                <w:lang w:eastAsia="en-AU"/>
              </w:rPr>
              <w:t>Gray</w:t>
            </w:r>
            <w:proofErr w:type="spellEnd"/>
            <w:r w:rsidRPr="005176BD">
              <w:rPr>
                <w:rFonts w:cs="Arial"/>
                <w:sz w:val="20"/>
                <w:szCs w:val="20"/>
                <w:lang w:eastAsia="en-AU"/>
              </w:rPr>
              <w:t xml:space="preserve"> M, Byles J.</w:t>
            </w:r>
          </w:p>
        </w:tc>
        <w:tc>
          <w:tcPr>
            <w:tcW w:w="455" w:type="dxa"/>
          </w:tcPr>
          <w:p w14:paraId="13039340" w14:textId="77777777" w:rsidR="00A10485" w:rsidRPr="005176BD" w:rsidRDefault="00A10485" w:rsidP="003B611A">
            <w:pPr>
              <w:rPr>
                <w:rFonts w:cs="Arial"/>
                <w:sz w:val="20"/>
                <w:szCs w:val="20"/>
                <w:lang w:eastAsia="en-AU"/>
              </w:rPr>
            </w:pPr>
          </w:p>
        </w:tc>
      </w:tr>
      <w:tr w:rsidR="00084B2B" w:rsidRPr="00084B2B" w14:paraId="572B08E9" w14:textId="77777777" w:rsidTr="0011030B">
        <w:tc>
          <w:tcPr>
            <w:tcW w:w="8991" w:type="dxa"/>
          </w:tcPr>
          <w:p w14:paraId="668C6184" w14:textId="067BF465" w:rsidR="00084B2B" w:rsidRPr="005176BD" w:rsidRDefault="00084B2B" w:rsidP="003B611A">
            <w:pPr>
              <w:rPr>
                <w:rFonts w:cs="Arial"/>
                <w:sz w:val="20"/>
                <w:szCs w:val="20"/>
                <w:lang w:eastAsia="en-AU"/>
              </w:rPr>
            </w:pPr>
            <w:r w:rsidRPr="005176BD">
              <w:rPr>
                <w:rFonts w:cs="Arial"/>
                <w:sz w:val="20"/>
                <w:szCs w:val="20"/>
                <w:lang w:eastAsia="en-AU"/>
              </w:rPr>
              <w:t xml:space="preserve">Is use of formal community services by older women related to changes in their informal care arrangements? Ageing &amp; Society, </w:t>
            </w:r>
            <w:r w:rsidR="00A10485" w:rsidRPr="005176BD">
              <w:rPr>
                <w:rFonts w:cs="Arial"/>
                <w:sz w:val="20"/>
                <w:szCs w:val="20"/>
                <w:lang w:eastAsia="en-AU"/>
              </w:rPr>
              <w:t xml:space="preserve">2014; </w:t>
            </w:r>
            <w:r w:rsidRPr="005176BD">
              <w:rPr>
                <w:rFonts w:cs="Arial"/>
                <w:sz w:val="20"/>
                <w:szCs w:val="20"/>
                <w:lang w:eastAsia="en-AU"/>
              </w:rPr>
              <w:t>34(2)</w:t>
            </w:r>
            <w:r w:rsidR="00A10485" w:rsidRPr="005176BD">
              <w:rPr>
                <w:rFonts w:cs="Arial"/>
                <w:sz w:val="20"/>
                <w:szCs w:val="20"/>
                <w:lang w:eastAsia="en-AU"/>
              </w:rPr>
              <w:t xml:space="preserve">: </w:t>
            </w:r>
            <w:r w:rsidRPr="005176BD">
              <w:rPr>
                <w:rFonts w:cs="Arial"/>
                <w:sz w:val="20"/>
                <w:szCs w:val="20"/>
                <w:lang w:eastAsia="en-AU"/>
              </w:rPr>
              <w:t>310-329.</w:t>
            </w:r>
          </w:p>
        </w:tc>
        <w:tc>
          <w:tcPr>
            <w:tcW w:w="4409" w:type="dxa"/>
          </w:tcPr>
          <w:p w14:paraId="3285F0DA" w14:textId="77777777" w:rsidR="00084B2B" w:rsidRPr="005176BD" w:rsidRDefault="00084B2B" w:rsidP="003B611A">
            <w:pPr>
              <w:rPr>
                <w:rFonts w:cs="Arial"/>
                <w:sz w:val="20"/>
                <w:szCs w:val="20"/>
                <w:lang w:eastAsia="en-AU"/>
              </w:rPr>
            </w:pPr>
            <w:r w:rsidRPr="005176BD">
              <w:rPr>
                <w:rFonts w:cs="Arial"/>
                <w:sz w:val="20"/>
                <w:szCs w:val="20"/>
                <w:lang w:eastAsia="en-AU"/>
              </w:rPr>
              <w:t>McKenzie S, Lucke J, Hockey R, Dobson A &amp; Tooth L.</w:t>
            </w:r>
          </w:p>
        </w:tc>
        <w:tc>
          <w:tcPr>
            <w:tcW w:w="455" w:type="dxa"/>
          </w:tcPr>
          <w:p w14:paraId="5775A440" w14:textId="6D83E2B7" w:rsidR="00084B2B" w:rsidRPr="005176BD" w:rsidRDefault="00F5504C" w:rsidP="003B611A">
            <w:pPr>
              <w:rPr>
                <w:rFonts w:cs="Arial"/>
                <w:sz w:val="20"/>
                <w:szCs w:val="20"/>
                <w:lang w:eastAsia="en-AU"/>
              </w:rPr>
            </w:pPr>
            <w:r w:rsidRPr="005176BD">
              <w:rPr>
                <w:rFonts w:cs="Arial"/>
                <w:sz w:val="20"/>
                <w:szCs w:val="20"/>
                <w:lang w:eastAsia="en-AU"/>
              </w:rPr>
              <w:t>3</w:t>
            </w:r>
          </w:p>
        </w:tc>
      </w:tr>
      <w:tr w:rsidR="00084B2B" w:rsidRPr="00084B2B" w14:paraId="41EA9F4B" w14:textId="77777777" w:rsidTr="0011030B">
        <w:tc>
          <w:tcPr>
            <w:tcW w:w="8991" w:type="dxa"/>
          </w:tcPr>
          <w:p w14:paraId="2901AE6F" w14:textId="0EE627EF" w:rsidR="00084B2B" w:rsidRPr="005176BD" w:rsidRDefault="00084B2B" w:rsidP="003B611A">
            <w:pPr>
              <w:rPr>
                <w:rFonts w:cs="Arial"/>
                <w:sz w:val="20"/>
                <w:szCs w:val="20"/>
                <w:lang w:eastAsia="en-AU"/>
              </w:rPr>
            </w:pPr>
            <w:r w:rsidRPr="005176BD">
              <w:rPr>
                <w:rFonts w:cs="Arial"/>
                <w:sz w:val="20"/>
                <w:szCs w:val="20"/>
                <w:lang w:eastAsia="en-AU"/>
              </w:rPr>
              <w:t xml:space="preserve">Does Government subsidy for costs of medical and pharmaceutical services result in higher service utilization by older widowed women in Australia? BMC Health Services Research, </w:t>
            </w:r>
            <w:r w:rsidR="00A10485" w:rsidRPr="005176BD">
              <w:rPr>
                <w:rFonts w:cs="Arial"/>
                <w:sz w:val="20"/>
                <w:szCs w:val="20"/>
                <w:lang w:eastAsia="en-AU"/>
              </w:rPr>
              <w:t xml:space="preserve">2012; </w:t>
            </w:r>
            <w:r w:rsidRPr="005176BD">
              <w:rPr>
                <w:rFonts w:cs="Arial"/>
                <w:sz w:val="20"/>
                <w:szCs w:val="20"/>
                <w:lang w:eastAsia="en-AU"/>
              </w:rPr>
              <w:t>12(1)</w:t>
            </w:r>
            <w:r w:rsidR="00A10485" w:rsidRPr="005176BD">
              <w:rPr>
                <w:rFonts w:cs="Arial"/>
                <w:sz w:val="20"/>
                <w:szCs w:val="20"/>
                <w:lang w:eastAsia="en-AU"/>
              </w:rPr>
              <w:t>:</w:t>
            </w:r>
            <w:r w:rsidRPr="005176BD">
              <w:rPr>
                <w:rFonts w:cs="Arial"/>
                <w:sz w:val="20"/>
                <w:szCs w:val="20"/>
                <w:lang w:eastAsia="en-AU"/>
              </w:rPr>
              <w:t xml:space="preserve"> p179.</w:t>
            </w:r>
          </w:p>
        </w:tc>
        <w:tc>
          <w:tcPr>
            <w:tcW w:w="4409" w:type="dxa"/>
          </w:tcPr>
          <w:p w14:paraId="408D9F5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Tooth L, Hockey R, </w:t>
            </w:r>
            <w:proofErr w:type="spellStart"/>
            <w:r w:rsidRPr="005176BD">
              <w:rPr>
                <w:rFonts w:cs="Arial"/>
                <w:sz w:val="20"/>
                <w:szCs w:val="20"/>
                <w:lang w:eastAsia="en-AU"/>
              </w:rPr>
              <w:t>Treloar</w:t>
            </w:r>
            <w:proofErr w:type="spellEnd"/>
            <w:r w:rsidRPr="005176BD">
              <w:rPr>
                <w:rFonts w:cs="Arial"/>
                <w:sz w:val="20"/>
                <w:szCs w:val="20"/>
                <w:lang w:eastAsia="en-AU"/>
              </w:rPr>
              <w:t xml:space="preserve"> S, McClintock C &amp; Dobson A.</w:t>
            </w:r>
          </w:p>
        </w:tc>
        <w:tc>
          <w:tcPr>
            <w:tcW w:w="455" w:type="dxa"/>
          </w:tcPr>
          <w:p w14:paraId="14274765" w14:textId="1D1C1CB7" w:rsidR="00084B2B" w:rsidRPr="005176BD" w:rsidRDefault="00F5504C" w:rsidP="003B611A">
            <w:pPr>
              <w:rPr>
                <w:rFonts w:cs="Arial"/>
                <w:sz w:val="20"/>
                <w:szCs w:val="20"/>
                <w:lang w:eastAsia="en-AU"/>
              </w:rPr>
            </w:pPr>
            <w:r w:rsidRPr="005176BD">
              <w:rPr>
                <w:rFonts w:cs="Arial"/>
                <w:sz w:val="20"/>
                <w:szCs w:val="20"/>
                <w:lang w:eastAsia="en-AU"/>
              </w:rPr>
              <w:t>10</w:t>
            </w:r>
          </w:p>
        </w:tc>
      </w:tr>
      <w:tr w:rsidR="00084B2B" w:rsidRPr="00084B2B" w14:paraId="74E52793" w14:textId="77777777" w:rsidTr="0011030B">
        <w:tc>
          <w:tcPr>
            <w:tcW w:w="8991" w:type="dxa"/>
          </w:tcPr>
          <w:p w14:paraId="60EDE386" w14:textId="0D402DEB" w:rsidR="00084B2B" w:rsidRPr="005176BD" w:rsidRDefault="00084B2B" w:rsidP="003B611A">
            <w:pPr>
              <w:rPr>
                <w:rFonts w:cs="Arial"/>
                <w:sz w:val="20"/>
                <w:szCs w:val="20"/>
                <w:lang w:eastAsia="en-AU"/>
              </w:rPr>
            </w:pPr>
            <w:r w:rsidRPr="005176BD">
              <w:rPr>
                <w:rFonts w:cs="Arial"/>
                <w:sz w:val="20"/>
                <w:szCs w:val="20"/>
                <w:lang w:eastAsia="en-AU"/>
              </w:rPr>
              <w:t>Urban–rural comparisons of outcomes for informal carers of elderly people in the community: A systematic review. Maturitas, 2010; 67(2): 139-143</w:t>
            </w:r>
            <w:r w:rsidR="00A10485" w:rsidRPr="005176BD">
              <w:rPr>
                <w:rFonts w:cs="Arial"/>
                <w:sz w:val="20"/>
                <w:szCs w:val="20"/>
                <w:lang w:eastAsia="en-AU"/>
              </w:rPr>
              <w:t>.</w:t>
            </w:r>
          </w:p>
        </w:tc>
        <w:tc>
          <w:tcPr>
            <w:tcW w:w="4409" w:type="dxa"/>
          </w:tcPr>
          <w:p w14:paraId="213E7F5F" w14:textId="77777777" w:rsidR="00084B2B" w:rsidRPr="005176BD" w:rsidRDefault="00084B2B" w:rsidP="003B611A">
            <w:pPr>
              <w:rPr>
                <w:rFonts w:cs="Arial"/>
                <w:sz w:val="20"/>
                <w:szCs w:val="20"/>
                <w:lang w:eastAsia="en-AU"/>
              </w:rPr>
            </w:pPr>
            <w:r w:rsidRPr="005176BD">
              <w:rPr>
                <w:rFonts w:cs="Arial"/>
                <w:sz w:val="20"/>
                <w:szCs w:val="20"/>
                <w:lang w:eastAsia="en-AU"/>
              </w:rPr>
              <w:t>McKenzie S, McLaughlin D, Dobson A &amp; Byles J.</w:t>
            </w:r>
          </w:p>
        </w:tc>
        <w:tc>
          <w:tcPr>
            <w:tcW w:w="455" w:type="dxa"/>
          </w:tcPr>
          <w:p w14:paraId="75A9245E" w14:textId="4D0994A6" w:rsidR="00084B2B" w:rsidRPr="005176BD" w:rsidRDefault="00F5504C" w:rsidP="003B611A">
            <w:pPr>
              <w:rPr>
                <w:rFonts w:cs="Arial"/>
                <w:sz w:val="20"/>
                <w:szCs w:val="20"/>
                <w:lang w:eastAsia="en-AU"/>
              </w:rPr>
            </w:pPr>
            <w:r w:rsidRPr="005176BD">
              <w:rPr>
                <w:rFonts w:cs="Arial"/>
                <w:sz w:val="20"/>
                <w:szCs w:val="20"/>
                <w:lang w:eastAsia="en-AU"/>
              </w:rPr>
              <w:t>15</w:t>
            </w:r>
          </w:p>
        </w:tc>
      </w:tr>
      <w:tr w:rsidR="00084B2B" w:rsidRPr="00084B2B" w14:paraId="2B5601D2" w14:textId="77777777" w:rsidTr="0011030B">
        <w:tc>
          <w:tcPr>
            <w:tcW w:w="8991" w:type="dxa"/>
          </w:tcPr>
          <w:p w14:paraId="162C354E" w14:textId="5B48AEE7" w:rsidR="00084B2B" w:rsidRPr="005176BD" w:rsidRDefault="00084B2B" w:rsidP="003B611A">
            <w:pPr>
              <w:rPr>
                <w:rFonts w:cs="Arial"/>
                <w:sz w:val="20"/>
                <w:szCs w:val="20"/>
                <w:lang w:eastAsia="en-AU"/>
              </w:rPr>
            </w:pPr>
            <w:r w:rsidRPr="005176BD">
              <w:rPr>
                <w:rFonts w:cs="Arial"/>
                <w:sz w:val="20"/>
                <w:szCs w:val="20"/>
                <w:lang w:eastAsia="en-AU"/>
              </w:rPr>
              <w:t xml:space="preserve">Impact of cognitive and physical impairment on carer burden and quality of life. Quality of Life Research, </w:t>
            </w:r>
            <w:r w:rsidR="00A10485" w:rsidRPr="005176BD">
              <w:rPr>
                <w:rFonts w:cs="Arial"/>
                <w:sz w:val="20"/>
                <w:szCs w:val="20"/>
                <w:lang w:eastAsia="en-AU"/>
              </w:rPr>
              <w:t xml:space="preserve">2008; </w:t>
            </w:r>
            <w:r w:rsidRPr="005176BD">
              <w:rPr>
                <w:rFonts w:cs="Arial"/>
                <w:sz w:val="20"/>
                <w:szCs w:val="20"/>
                <w:lang w:eastAsia="en-AU"/>
              </w:rPr>
              <w:t>17(2)</w:t>
            </w:r>
            <w:r w:rsidR="00A10485" w:rsidRPr="005176BD">
              <w:rPr>
                <w:rFonts w:cs="Arial"/>
                <w:sz w:val="20"/>
                <w:szCs w:val="20"/>
                <w:lang w:eastAsia="en-AU"/>
              </w:rPr>
              <w:t>:</w:t>
            </w:r>
            <w:r w:rsidRPr="005176BD">
              <w:rPr>
                <w:rFonts w:cs="Arial"/>
                <w:sz w:val="20"/>
                <w:szCs w:val="20"/>
                <w:lang w:eastAsia="en-AU"/>
              </w:rPr>
              <w:t xml:space="preserve"> 267-273.</w:t>
            </w:r>
          </w:p>
        </w:tc>
        <w:tc>
          <w:tcPr>
            <w:tcW w:w="4409" w:type="dxa"/>
          </w:tcPr>
          <w:p w14:paraId="3905B166" w14:textId="77777777" w:rsidR="00084B2B" w:rsidRPr="005176BD" w:rsidRDefault="00084B2B" w:rsidP="003B611A">
            <w:pPr>
              <w:rPr>
                <w:rFonts w:cs="Arial"/>
                <w:sz w:val="20"/>
                <w:szCs w:val="20"/>
                <w:lang w:eastAsia="en-AU"/>
              </w:rPr>
            </w:pPr>
            <w:r w:rsidRPr="005176BD">
              <w:rPr>
                <w:rFonts w:cs="Arial"/>
                <w:sz w:val="20"/>
                <w:szCs w:val="20"/>
                <w:lang w:eastAsia="en-AU"/>
              </w:rPr>
              <w:t>Tooth L, Russell A, Lucke J, Byrne G, Lee C, Wilson A &amp; Dobson A.</w:t>
            </w:r>
          </w:p>
        </w:tc>
        <w:tc>
          <w:tcPr>
            <w:tcW w:w="455" w:type="dxa"/>
          </w:tcPr>
          <w:p w14:paraId="2A737B82" w14:textId="3E7B5DF6" w:rsidR="00084B2B" w:rsidRPr="005176BD" w:rsidRDefault="00F5504C" w:rsidP="003B611A">
            <w:pPr>
              <w:rPr>
                <w:rFonts w:cs="Arial"/>
                <w:sz w:val="20"/>
                <w:szCs w:val="20"/>
                <w:lang w:eastAsia="en-AU"/>
              </w:rPr>
            </w:pPr>
            <w:r w:rsidRPr="005176BD">
              <w:rPr>
                <w:rFonts w:cs="Arial"/>
                <w:sz w:val="20"/>
                <w:szCs w:val="20"/>
                <w:lang w:eastAsia="en-AU"/>
              </w:rPr>
              <w:t>47</w:t>
            </w:r>
          </w:p>
        </w:tc>
      </w:tr>
      <w:tr w:rsidR="00084B2B" w:rsidRPr="00084B2B" w14:paraId="78F73A81" w14:textId="77777777" w:rsidTr="0011030B">
        <w:tc>
          <w:tcPr>
            <w:tcW w:w="8991" w:type="dxa"/>
          </w:tcPr>
          <w:p w14:paraId="1D9095BB" w14:textId="77777777" w:rsidR="00084B2B" w:rsidRPr="005176BD" w:rsidRDefault="00084B2B" w:rsidP="003B611A">
            <w:pPr>
              <w:rPr>
                <w:rFonts w:cs="Arial"/>
                <w:sz w:val="20"/>
                <w:szCs w:val="20"/>
                <w:lang w:eastAsia="en-AU"/>
              </w:rPr>
            </w:pPr>
            <w:r w:rsidRPr="005176BD">
              <w:rPr>
                <w:rFonts w:cs="Arial"/>
                <w:sz w:val="20"/>
                <w:szCs w:val="20"/>
                <w:lang w:eastAsia="en-AU"/>
              </w:rPr>
              <w:t>Experiences of family caregiving among older Australian women. Journal of Health Psychology, 2001; 6: 393-404.</w:t>
            </w:r>
          </w:p>
        </w:tc>
        <w:tc>
          <w:tcPr>
            <w:tcW w:w="4409" w:type="dxa"/>
          </w:tcPr>
          <w:p w14:paraId="4ECCE280" w14:textId="77777777" w:rsidR="00084B2B" w:rsidRPr="005176BD" w:rsidRDefault="00084B2B" w:rsidP="003B611A">
            <w:pPr>
              <w:rPr>
                <w:rFonts w:cs="Arial"/>
                <w:sz w:val="20"/>
                <w:szCs w:val="20"/>
                <w:lang w:eastAsia="en-AU"/>
              </w:rPr>
            </w:pPr>
            <w:r w:rsidRPr="005176BD">
              <w:rPr>
                <w:rFonts w:cs="Arial"/>
                <w:sz w:val="20"/>
                <w:szCs w:val="20"/>
                <w:lang w:eastAsia="en-AU"/>
              </w:rPr>
              <w:t>Lee C.</w:t>
            </w:r>
          </w:p>
        </w:tc>
        <w:tc>
          <w:tcPr>
            <w:tcW w:w="455" w:type="dxa"/>
          </w:tcPr>
          <w:p w14:paraId="251A31DA" w14:textId="64791904" w:rsidR="00084B2B" w:rsidRPr="005176BD" w:rsidRDefault="00F5504C" w:rsidP="003B611A">
            <w:pPr>
              <w:rPr>
                <w:rFonts w:cs="Arial"/>
                <w:sz w:val="20"/>
                <w:szCs w:val="20"/>
                <w:lang w:eastAsia="en-AU"/>
              </w:rPr>
            </w:pPr>
            <w:r w:rsidRPr="005176BD">
              <w:rPr>
                <w:rFonts w:cs="Arial"/>
                <w:sz w:val="20"/>
                <w:szCs w:val="20"/>
                <w:lang w:eastAsia="en-AU"/>
              </w:rPr>
              <w:t>31</w:t>
            </w:r>
          </w:p>
        </w:tc>
      </w:tr>
    </w:tbl>
    <w:p w14:paraId="06EDB947" w14:textId="10D6B459" w:rsidR="00084B2B" w:rsidRPr="00084B2B" w:rsidRDefault="00084B2B" w:rsidP="003B611A">
      <w:pPr>
        <w:pStyle w:val="Heading2"/>
        <w:ind w:left="578" w:hanging="578"/>
      </w:pPr>
      <w:bookmarkStart w:id="73" w:name="_Toc530561282"/>
      <w:r w:rsidRPr="00084B2B">
        <w:t>Comorbidity/Multimorbidity</w:t>
      </w:r>
      <w:bookmarkEnd w:id="73"/>
    </w:p>
    <w:tbl>
      <w:tblPr>
        <w:tblStyle w:val="TableGrid1"/>
        <w:tblW w:w="13855" w:type="dxa"/>
        <w:tblLook w:val="04A0" w:firstRow="1" w:lastRow="0" w:firstColumn="1" w:lastColumn="0" w:noHBand="0" w:noVBand="1"/>
        <w:tblCaption w:val="Category: Comorbidity/Multimorbidity"/>
      </w:tblPr>
      <w:tblGrid>
        <w:gridCol w:w="8582"/>
        <w:gridCol w:w="3936"/>
        <w:gridCol w:w="1337"/>
      </w:tblGrid>
      <w:tr w:rsidR="00084B2B" w:rsidRPr="00084B2B" w14:paraId="41DAAAA0" w14:textId="77777777" w:rsidTr="0011030B">
        <w:trPr>
          <w:tblHeader/>
        </w:trPr>
        <w:tc>
          <w:tcPr>
            <w:tcW w:w="9157" w:type="dxa"/>
            <w:shd w:val="clear" w:color="auto" w:fill="F1E9F3"/>
          </w:tcPr>
          <w:p w14:paraId="68E97E1B"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243" w:type="dxa"/>
            <w:shd w:val="clear" w:color="auto" w:fill="F1E9F3"/>
          </w:tcPr>
          <w:p w14:paraId="6097BD2E"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455" w:type="dxa"/>
            <w:shd w:val="clear" w:color="auto" w:fill="F1E9F3"/>
          </w:tcPr>
          <w:p w14:paraId="384172B7" w14:textId="7E6A6655"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5176BD" w14:paraId="4C522F78" w14:textId="77777777" w:rsidTr="0011030B">
        <w:tc>
          <w:tcPr>
            <w:tcW w:w="9157" w:type="dxa"/>
          </w:tcPr>
          <w:p w14:paraId="7CD09549" w14:textId="1C9B1DA9" w:rsidR="00084B2B" w:rsidRPr="005176BD" w:rsidRDefault="00084B2B" w:rsidP="003B611A">
            <w:pPr>
              <w:rPr>
                <w:rFonts w:cs="Arial"/>
                <w:sz w:val="20"/>
                <w:szCs w:val="20"/>
                <w:lang w:eastAsia="en-AU"/>
              </w:rPr>
            </w:pPr>
            <w:r w:rsidRPr="005176BD">
              <w:rPr>
                <w:rFonts w:cs="Arial"/>
                <w:sz w:val="20"/>
                <w:szCs w:val="20"/>
                <w:lang w:eastAsia="en-AU"/>
              </w:rPr>
              <w:t>The relationship between spinal pain and comorbidity: A cross-sectional analysis of 579 community-dwelling, older, Australia women. Journal of Manipulative and Physiological Therapeutics, 2017</w:t>
            </w:r>
            <w:r w:rsidR="00A10485" w:rsidRPr="005176BD">
              <w:rPr>
                <w:rFonts w:cs="Arial"/>
                <w:sz w:val="20"/>
                <w:szCs w:val="20"/>
                <w:lang w:eastAsia="en-AU"/>
              </w:rPr>
              <w:t xml:space="preserve">; </w:t>
            </w:r>
            <w:r w:rsidRPr="005176BD">
              <w:rPr>
                <w:rFonts w:cs="Arial"/>
                <w:sz w:val="20"/>
                <w:szCs w:val="20"/>
                <w:lang w:eastAsia="en-AU"/>
              </w:rPr>
              <w:t>40(7)</w:t>
            </w:r>
            <w:r w:rsidR="00A10485" w:rsidRPr="005176BD">
              <w:rPr>
                <w:rFonts w:cs="Arial"/>
                <w:sz w:val="20"/>
                <w:szCs w:val="20"/>
                <w:lang w:eastAsia="en-AU"/>
              </w:rPr>
              <w:t>:</w:t>
            </w:r>
            <w:r w:rsidRPr="005176BD">
              <w:rPr>
                <w:rFonts w:cs="Arial"/>
                <w:sz w:val="20"/>
                <w:szCs w:val="20"/>
                <w:lang w:eastAsia="en-AU"/>
              </w:rPr>
              <w:t xml:space="preserve"> 459-466</w:t>
            </w:r>
            <w:r w:rsidR="00A10485" w:rsidRPr="005176BD">
              <w:rPr>
                <w:rFonts w:cs="Arial"/>
                <w:sz w:val="20"/>
                <w:szCs w:val="20"/>
                <w:lang w:eastAsia="en-AU"/>
              </w:rPr>
              <w:t>.</w:t>
            </w:r>
          </w:p>
        </w:tc>
        <w:tc>
          <w:tcPr>
            <w:tcW w:w="4243" w:type="dxa"/>
          </w:tcPr>
          <w:p w14:paraId="68FC1790" w14:textId="77777777" w:rsidR="00084B2B" w:rsidRPr="005176BD" w:rsidRDefault="00084B2B" w:rsidP="003B611A">
            <w:pPr>
              <w:rPr>
                <w:rFonts w:cs="Arial"/>
                <w:sz w:val="20"/>
                <w:szCs w:val="20"/>
                <w:lang w:eastAsia="en-AU"/>
              </w:rPr>
            </w:pPr>
            <w:r w:rsidRPr="005176BD">
              <w:rPr>
                <w:rFonts w:cs="Arial"/>
                <w:sz w:val="20"/>
                <w:szCs w:val="20"/>
                <w:lang w:eastAsia="en-AU"/>
              </w:rPr>
              <w:t>de Luca K, Parkinson L, Haldeman S, Byles J, Blyth F.</w:t>
            </w:r>
          </w:p>
        </w:tc>
        <w:tc>
          <w:tcPr>
            <w:tcW w:w="455" w:type="dxa"/>
          </w:tcPr>
          <w:p w14:paraId="2A20EDDE" w14:textId="2CC3DB91"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5176BD" w14:paraId="24ACE245" w14:textId="77777777" w:rsidTr="0011030B">
        <w:tc>
          <w:tcPr>
            <w:tcW w:w="9157" w:type="dxa"/>
            <w:tcBorders>
              <w:bottom w:val="single" w:sz="4" w:space="0" w:color="000000" w:themeColor="text1"/>
            </w:tcBorders>
          </w:tcPr>
          <w:p w14:paraId="07F3F5EC" w14:textId="52861DA1" w:rsidR="00084B2B" w:rsidRPr="005176BD" w:rsidRDefault="00084B2B" w:rsidP="003B611A">
            <w:pPr>
              <w:rPr>
                <w:rFonts w:cs="Arial"/>
                <w:sz w:val="20"/>
                <w:szCs w:val="20"/>
                <w:lang w:eastAsia="en-AU"/>
              </w:rPr>
            </w:pPr>
            <w:r w:rsidRPr="005176BD">
              <w:rPr>
                <w:rFonts w:cs="Arial"/>
                <w:sz w:val="20"/>
                <w:szCs w:val="20"/>
                <w:lang w:eastAsia="en-AU"/>
              </w:rPr>
              <w:lastRenderedPageBreak/>
              <w:t>Impact of asthma on mortality in older women: An Australian cohort study of 10,413 women. Respiratory Medicine, 2016</w:t>
            </w:r>
            <w:r w:rsidR="00A10485" w:rsidRPr="005176BD">
              <w:rPr>
                <w:rFonts w:cs="Arial"/>
                <w:sz w:val="20"/>
                <w:szCs w:val="20"/>
                <w:lang w:eastAsia="en-AU"/>
              </w:rPr>
              <w:t>;</w:t>
            </w:r>
            <w:r w:rsidRPr="005176BD">
              <w:rPr>
                <w:rFonts w:cs="Arial"/>
                <w:sz w:val="20"/>
                <w:szCs w:val="20"/>
                <w:lang w:eastAsia="en-AU"/>
              </w:rPr>
              <w:t xml:space="preserve"> 119</w:t>
            </w:r>
            <w:r w:rsidR="00A10485" w:rsidRPr="005176BD">
              <w:rPr>
                <w:rFonts w:cs="Arial"/>
                <w:sz w:val="20"/>
                <w:szCs w:val="20"/>
                <w:lang w:eastAsia="en-AU"/>
              </w:rPr>
              <w:t xml:space="preserve">: </w:t>
            </w:r>
            <w:r w:rsidRPr="005176BD">
              <w:rPr>
                <w:rFonts w:cs="Arial"/>
                <w:sz w:val="20"/>
                <w:szCs w:val="20"/>
                <w:lang w:eastAsia="en-AU"/>
              </w:rPr>
              <w:t>102-108</w:t>
            </w:r>
            <w:r w:rsidR="00A10485" w:rsidRPr="005176BD">
              <w:rPr>
                <w:rFonts w:cs="Arial"/>
                <w:sz w:val="20"/>
                <w:szCs w:val="20"/>
                <w:lang w:eastAsia="en-AU"/>
              </w:rPr>
              <w:t>.</w:t>
            </w:r>
          </w:p>
        </w:tc>
        <w:tc>
          <w:tcPr>
            <w:tcW w:w="4243" w:type="dxa"/>
          </w:tcPr>
          <w:p w14:paraId="352E24B8"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Eftekhari</w:t>
            </w:r>
            <w:proofErr w:type="spellEnd"/>
            <w:r w:rsidRPr="005176BD">
              <w:rPr>
                <w:rFonts w:cs="Arial"/>
                <w:sz w:val="20"/>
                <w:szCs w:val="20"/>
                <w:lang w:eastAsia="en-AU"/>
              </w:rPr>
              <w:t xml:space="preserve"> P, Forder PM, Majeed T&amp; Byles JE.</w:t>
            </w:r>
          </w:p>
        </w:tc>
        <w:tc>
          <w:tcPr>
            <w:tcW w:w="455" w:type="dxa"/>
          </w:tcPr>
          <w:p w14:paraId="46437358" w14:textId="1255E940"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5176BD" w14:paraId="0B3215C0" w14:textId="77777777" w:rsidTr="0011030B">
        <w:tc>
          <w:tcPr>
            <w:tcW w:w="9157" w:type="dxa"/>
            <w:tcBorders>
              <w:top w:val="single" w:sz="4" w:space="0" w:color="000000" w:themeColor="text1"/>
              <w:left w:val="single" w:sz="4" w:space="0" w:color="auto"/>
              <w:bottom w:val="single" w:sz="4" w:space="0" w:color="auto"/>
              <w:right w:val="single" w:sz="4" w:space="0" w:color="C0C0C0"/>
            </w:tcBorders>
            <w:shd w:val="clear" w:color="auto" w:fill="auto"/>
          </w:tcPr>
          <w:p w14:paraId="177128BE" w14:textId="7F8AEF0D" w:rsidR="00084B2B" w:rsidRPr="005176BD" w:rsidRDefault="00084B2B" w:rsidP="003B611A">
            <w:pPr>
              <w:rPr>
                <w:rFonts w:cs="Arial"/>
                <w:sz w:val="20"/>
                <w:szCs w:val="20"/>
                <w:lang w:eastAsia="en-AU"/>
              </w:rPr>
            </w:pPr>
            <w:r w:rsidRPr="005176BD">
              <w:rPr>
                <w:rFonts w:cs="Arial"/>
                <w:sz w:val="20"/>
                <w:szCs w:val="20"/>
                <w:lang w:eastAsia="en-AU"/>
              </w:rPr>
              <w:t>Changes in housing among older women: Latent class analysis of housing patterns in older Australian women. Urban Studies, 2016</w:t>
            </w:r>
            <w:r w:rsidR="00A10485" w:rsidRPr="005176BD">
              <w:rPr>
                <w:rFonts w:cs="Arial"/>
                <w:sz w:val="20"/>
                <w:szCs w:val="20"/>
                <w:lang w:eastAsia="en-AU"/>
              </w:rPr>
              <w:t xml:space="preserve">; </w:t>
            </w:r>
            <w:r w:rsidRPr="005176BD">
              <w:rPr>
                <w:rFonts w:cs="Arial"/>
                <w:sz w:val="20"/>
                <w:szCs w:val="20"/>
                <w:lang w:eastAsia="en-AU"/>
              </w:rPr>
              <w:t>55(4)</w:t>
            </w:r>
            <w:r w:rsidR="00A10485" w:rsidRPr="005176BD">
              <w:rPr>
                <w:rFonts w:cs="Arial"/>
                <w:sz w:val="20"/>
                <w:szCs w:val="20"/>
                <w:lang w:eastAsia="en-AU"/>
              </w:rPr>
              <w:t xml:space="preserve">: </w:t>
            </w:r>
            <w:r w:rsidRPr="005176BD">
              <w:rPr>
                <w:rFonts w:cs="Arial"/>
                <w:sz w:val="20"/>
                <w:szCs w:val="20"/>
                <w:lang w:eastAsia="en-AU"/>
              </w:rPr>
              <w:t>1-17</w:t>
            </w:r>
            <w:r w:rsidR="00A10485" w:rsidRPr="005176BD">
              <w:rPr>
                <w:rFonts w:cs="Arial"/>
                <w:sz w:val="20"/>
                <w:szCs w:val="20"/>
                <w:lang w:eastAsia="en-AU"/>
              </w:rPr>
              <w:t>.</w:t>
            </w:r>
          </w:p>
        </w:tc>
        <w:tc>
          <w:tcPr>
            <w:tcW w:w="4243" w:type="dxa"/>
          </w:tcPr>
          <w:p w14:paraId="6B34B2EC"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 </w:t>
            </w:r>
            <w:proofErr w:type="spellStart"/>
            <w:r w:rsidRPr="005176BD">
              <w:rPr>
                <w:rFonts w:cs="Arial"/>
                <w:sz w:val="20"/>
                <w:szCs w:val="20"/>
                <w:lang w:eastAsia="en-AU"/>
              </w:rPr>
              <w:t>Curryer</w:t>
            </w:r>
            <w:proofErr w:type="spellEnd"/>
            <w:r w:rsidRPr="005176BD">
              <w:rPr>
                <w:rFonts w:cs="Arial"/>
                <w:sz w:val="20"/>
                <w:szCs w:val="20"/>
                <w:lang w:eastAsia="en-AU"/>
              </w:rPr>
              <w:t xml:space="preserve"> C, Vo K, Forder P, Loxton D &amp; McLaughlin D.</w:t>
            </w:r>
          </w:p>
        </w:tc>
        <w:tc>
          <w:tcPr>
            <w:tcW w:w="455" w:type="dxa"/>
          </w:tcPr>
          <w:p w14:paraId="5FC106E3" w14:textId="4A6C900F" w:rsidR="00084B2B" w:rsidRPr="005176BD" w:rsidRDefault="00F5504C" w:rsidP="003B611A">
            <w:pPr>
              <w:rPr>
                <w:rFonts w:cs="Arial"/>
                <w:sz w:val="20"/>
                <w:szCs w:val="20"/>
                <w:lang w:eastAsia="en-AU"/>
              </w:rPr>
            </w:pPr>
            <w:r w:rsidRPr="005176BD">
              <w:rPr>
                <w:rFonts w:cs="Arial"/>
                <w:sz w:val="20"/>
                <w:szCs w:val="20"/>
                <w:lang w:eastAsia="en-AU"/>
              </w:rPr>
              <w:t>3</w:t>
            </w:r>
          </w:p>
        </w:tc>
      </w:tr>
      <w:tr w:rsidR="00084B2B" w:rsidRPr="005176BD" w14:paraId="2B0DBCDF" w14:textId="77777777" w:rsidTr="0011030B">
        <w:tc>
          <w:tcPr>
            <w:tcW w:w="9157" w:type="dxa"/>
          </w:tcPr>
          <w:p w14:paraId="1B790DB7" w14:textId="77777777" w:rsidR="00084B2B" w:rsidRPr="005176BD" w:rsidRDefault="00084B2B" w:rsidP="003B611A">
            <w:pPr>
              <w:rPr>
                <w:rFonts w:cs="Arial"/>
                <w:sz w:val="20"/>
                <w:szCs w:val="20"/>
                <w:lang w:eastAsia="en-AU"/>
              </w:rPr>
            </w:pPr>
            <w:r w:rsidRPr="005176BD">
              <w:rPr>
                <w:rFonts w:cs="Arial"/>
                <w:sz w:val="20"/>
                <w:szCs w:val="20"/>
                <w:lang w:eastAsia="en-AU"/>
              </w:rPr>
              <w:t>Late life changes in mental health: A longitudinal study of 9683 women. Aging and Mental Health, 2015, doi:10.1080/13607863.2015.1060943</w:t>
            </w:r>
          </w:p>
        </w:tc>
        <w:tc>
          <w:tcPr>
            <w:tcW w:w="4243" w:type="dxa"/>
          </w:tcPr>
          <w:p w14:paraId="0E0FEA58" w14:textId="77777777" w:rsidR="00084B2B" w:rsidRPr="005176BD" w:rsidRDefault="00084B2B" w:rsidP="003B611A">
            <w:pPr>
              <w:rPr>
                <w:rFonts w:cs="Arial"/>
                <w:sz w:val="20"/>
                <w:szCs w:val="20"/>
                <w:lang w:eastAsia="en-AU"/>
              </w:rPr>
            </w:pPr>
            <w:r w:rsidRPr="005176BD">
              <w:rPr>
                <w:rFonts w:cs="Arial"/>
                <w:sz w:val="20"/>
                <w:szCs w:val="20"/>
                <w:lang w:eastAsia="en-AU"/>
              </w:rPr>
              <w:t>Leigh L, Byles J, Chojenta C &amp; Pachana N.</w:t>
            </w:r>
          </w:p>
        </w:tc>
        <w:tc>
          <w:tcPr>
            <w:tcW w:w="455" w:type="dxa"/>
          </w:tcPr>
          <w:p w14:paraId="139DE2AD" w14:textId="4D1A44AD" w:rsidR="00084B2B" w:rsidRPr="005176BD" w:rsidRDefault="00F5504C" w:rsidP="003B611A">
            <w:pPr>
              <w:rPr>
                <w:rFonts w:cs="Arial"/>
                <w:sz w:val="20"/>
                <w:szCs w:val="20"/>
                <w:lang w:eastAsia="en-AU"/>
              </w:rPr>
            </w:pPr>
            <w:r w:rsidRPr="005176BD">
              <w:rPr>
                <w:rFonts w:cs="Arial"/>
                <w:sz w:val="20"/>
                <w:szCs w:val="20"/>
                <w:lang w:eastAsia="en-AU"/>
              </w:rPr>
              <w:t>3</w:t>
            </w:r>
          </w:p>
        </w:tc>
      </w:tr>
      <w:tr w:rsidR="00084B2B" w:rsidRPr="005176BD" w14:paraId="69BD6C01" w14:textId="77777777" w:rsidTr="0011030B">
        <w:tc>
          <w:tcPr>
            <w:tcW w:w="9157" w:type="dxa"/>
          </w:tcPr>
          <w:p w14:paraId="49138F6D" w14:textId="2C69A592" w:rsidR="00084B2B" w:rsidRPr="005176BD" w:rsidRDefault="00084B2B" w:rsidP="003B611A">
            <w:pPr>
              <w:rPr>
                <w:rFonts w:cs="Arial"/>
                <w:sz w:val="20"/>
                <w:szCs w:val="20"/>
                <w:lang w:eastAsia="en-AU"/>
              </w:rPr>
            </w:pPr>
            <w:r w:rsidRPr="005176BD">
              <w:rPr>
                <w:rFonts w:cs="Arial"/>
                <w:sz w:val="20"/>
                <w:szCs w:val="20"/>
                <w:lang w:eastAsia="en-AU"/>
              </w:rPr>
              <w:t>The relationship between incontinence, breathing disorders, gastrointestinal symptoms, and back pain in women: A longitudinal cohort study. Clinical Journal of Pain, 2014</w:t>
            </w:r>
            <w:r w:rsidR="00A10485" w:rsidRPr="005176BD">
              <w:rPr>
                <w:rFonts w:cs="Arial"/>
                <w:sz w:val="20"/>
                <w:szCs w:val="20"/>
                <w:lang w:eastAsia="en-AU"/>
              </w:rPr>
              <w:t xml:space="preserve">; </w:t>
            </w:r>
            <w:r w:rsidRPr="005176BD">
              <w:rPr>
                <w:rFonts w:cs="Arial"/>
                <w:sz w:val="20"/>
                <w:szCs w:val="20"/>
                <w:lang w:eastAsia="en-AU"/>
              </w:rPr>
              <w:t>30(2)</w:t>
            </w:r>
            <w:r w:rsidR="00A10485" w:rsidRPr="005176BD">
              <w:rPr>
                <w:rFonts w:cs="Arial"/>
                <w:sz w:val="20"/>
                <w:szCs w:val="20"/>
                <w:lang w:eastAsia="en-AU"/>
              </w:rPr>
              <w:t xml:space="preserve">: </w:t>
            </w:r>
            <w:r w:rsidRPr="005176BD">
              <w:rPr>
                <w:rFonts w:cs="Arial"/>
                <w:sz w:val="20"/>
                <w:szCs w:val="20"/>
                <w:lang w:eastAsia="en-AU"/>
              </w:rPr>
              <w:t>162-167</w:t>
            </w:r>
            <w:r w:rsidR="00A10485" w:rsidRPr="005176BD">
              <w:rPr>
                <w:rFonts w:cs="Arial"/>
                <w:sz w:val="20"/>
                <w:szCs w:val="20"/>
                <w:lang w:eastAsia="en-AU"/>
              </w:rPr>
              <w:t>.</w:t>
            </w:r>
          </w:p>
        </w:tc>
        <w:tc>
          <w:tcPr>
            <w:tcW w:w="4243" w:type="dxa"/>
          </w:tcPr>
          <w:p w14:paraId="0E722F54" w14:textId="77777777" w:rsidR="00084B2B" w:rsidRPr="005176BD" w:rsidRDefault="00084B2B" w:rsidP="003B611A">
            <w:pPr>
              <w:rPr>
                <w:rFonts w:cs="Arial"/>
                <w:sz w:val="20"/>
                <w:szCs w:val="20"/>
                <w:lang w:eastAsia="en-AU"/>
              </w:rPr>
            </w:pPr>
            <w:r w:rsidRPr="005176BD">
              <w:rPr>
                <w:rFonts w:cs="Arial"/>
                <w:sz w:val="20"/>
                <w:szCs w:val="20"/>
                <w:lang w:eastAsia="en-AU"/>
              </w:rPr>
              <w:t xml:space="preserve">Smith M </w:t>
            </w:r>
            <w:proofErr w:type="spellStart"/>
            <w:r w:rsidRPr="005176BD">
              <w:rPr>
                <w:rFonts w:cs="Arial"/>
                <w:sz w:val="20"/>
                <w:szCs w:val="20"/>
                <w:lang w:eastAsia="en-AU"/>
              </w:rPr>
              <w:t>D,Russell</w:t>
            </w:r>
            <w:proofErr w:type="spellEnd"/>
            <w:r w:rsidRPr="005176BD">
              <w:rPr>
                <w:rFonts w:cs="Arial"/>
                <w:sz w:val="20"/>
                <w:szCs w:val="20"/>
                <w:lang w:eastAsia="en-AU"/>
              </w:rPr>
              <w:t xml:space="preserve"> A Hodges P.</w:t>
            </w:r>
          </w:p>
        </w:tc>
        <w:tc>
          <w:tcPr>
            <w:tcW w:w="455" w:type="dxa"/>
          </w:tcPr>
          <w:p w14:paraId="4D8E5E1D" w14:textId="1DF02F8A" w:rsidR="00084B2B" w:rsidRPr="005176BD" w:rsidRDefault="00F5504C" w:rsidP="003B611A">
            <w:pPr>
              <w:rPr>
                <w:rFonts w:cs="Arial"/>
                <w:sz w:val="20"/>
                <w:szCs w:val="20"/>
                <w:lang w:eastAsia="en-AU"/>
              </w:rPr>
            </w:pPr>
            <w:r w:rsidRPr="005176BD">
              <w:rPr>
                <w:rFonts w:cs="Arial"/>
                <w:sz w:val="20"/>
                <w:szCs w:val="20"/>
                <w:lang w:eastAsia="en-AU"/>
              </w:rPr>
              <w:t>20</w:t>
            </w:r>
          </w:p>
        </w:tc>
      </w:tr>
      <w:tr w:rsidR="009A7725" w:rsidRPr="005176BD" w14:paraId="5B5877C7" w14:textId="77777777" w:rsidTr="0011030B">
        <w:tc>
          <w:tcPr>
            <w:tcW w:w="9157" w:type="dxa"/>
          </w:tcPr>
          <w:p w14:paraId="2D148DE9" w14:textId="77777777" w:rsidR="009A7725" w:rsidRPr="005176BD" w:rsidRDefault="009A7725" w:rsidP="003B611A">
            <w:pPr>
              <w:rPr>
                <w:rFonts w:cs="Arial"/>
                <w:sz w:val="20"/>
                <w:szCs w:val="20"/>
                <w:lang w:eastAsia="en-AU"/>
              </w:rPr>
            </w:pPr>
            <w:r w:rsidRPr="005176BD">
              <w:rPr>
                <w:rFonts w:cs="Arial"/>
                <w:sz w:val="20"/>
                <w:szCs w:val="20"/>
                <w:lang w:eastAsia="en-AU"/>
              </w:rPr>
              <w:t>Combining longitudinal studies showed prevalence of disease differed throughout older adulthood. Journal of Clinical Epidemiology, 2012; 65(3): 317-24.</w:t>
            </w:r>
          </w:p>
        </w:tc>
        <w:tc>
          <w:tcPr>
            <w:tcW w:w="4243" w:type="dxa"/>
          </w:tcPr>
          <w:p w14:paraId="0894DC38" w14:textId="77777777" w:rsidR="009A7725" w:rsidRPr="005176BD" w:rsidRDefault="009A7725" w:rsidP="003B611A">
            <w:pPr>
              <w:rPr>
                <w:rFonts w:cs="Arial"/>
                <w:sz w:val="20"/>
                <w:szCs w:val="20"/>
                <w:lang w:eastAsia="en-AU"/>
              </w:rPr>
            </w:pPr>
            <w:proofErr w:type="spellStart"/>
            <w:r w:rsidRPr="005176BD">
              <w:rPr>
                <w:rFonts w:cs="Arial"/>
                <w:sz w:val="20"/>
                <w:szCs w:val="20"/>
                <w:lang w:eastAsia="en-AU"/>
              </w:rPr>
              <w:t>Bielak</w:t>
            </w:r>
            <w:proofErr w:type="spellEnd"/>
            <w:r w:rsidRPr="005176BD">
              <w:rPr>
                <w:rFonts w:cs="Arial"/>
                <w:sz w:val="20"/>
                <w:szCs w:val="20"/>
                <w:lang w:eastAsia="en-AU"/>
              </w:rPr>
              <w:t xml:space="preserve"> AAM, Byles JE, </w:t>
            </w:r>
            <w:proofErr w:type="spellStart"/>
            <w:r w:rsidRPr="005176BD">
              <w:rPr>
                <w:rFonts w:cs="Arial"/>
                <w:sz w:val="20"/>
                <w:szCs w:val="20"/>
                <w:lang w:eastAsia="en-AU"/>
              </w:rPr>
              <w:t>Luszcz</w:t>
            </w:r>
            <w:proofErr w:type="spellEnd"/>
            <w:r w:rsidRPr="005176BD">
              <w:rPr>
                <w:rFonts w:cs="Arial"/>
                <w:sz w:val="20"/>
                <w:szCs w:val="20"/>
                <w:lang w:eastAsia="en-AU"/>
              </w:rPr>
              <w:t xml:space="preserve"> MA, Anstey KJ.</w:t>
            </w:r>
          </w:p>
        </w:tc>
        <w:tc>
          <w:tcPr>
            <w:tcW w:w="455" w:type="dxa"/>
          </w:tcPr>
          <w:p w14:paraId="51D10923" w14:textId="77777777" w:rsidR="009A7725" w:rsidRPr="005176BD" w:rsidRDefault="009A7725" w:rsidP="003B611A">
            <w:pPr>
              <w:rPr>
                <w:rFonts w:cs="Arial"/>
                <w:sz w:val="20"/>
                <w:szCs w:val="20"/>
                <w:lang w:eastAsia="en-AU"/>
              </w:rPr>
            </w:pPr>
            <w:r w:rsidRPr="005176BD">
              <w:rPr>
                <w:rFonts w:cs="Arial"/>
                <w:sz w:val="20"/>
                <w:szCs w:val="20"/>
                <w:lang w:eastAsia="en-AU"/>
              </w:rPr>
              <w:t>4</w:t>
            </w:r>
          </w:p>
        </w:tc>
      </w:tr>
      <w:tr w:rsidR="00084B2B" w:rsidRPr="005176BD" w14:paraId="27147FC0" w14:textId="77777777" w:rsidTr="0011030B">
        <w:tc>
          <w:tcPr>
            <w:tcW w:w="9157" w:type="dxa"/>
          </w:tcPr>
          <w:p w14:paraId="22E54AAA" w14:textId="1614D4F5" w:rsidR="00084B2B" w:rsidRPr="005176BD" w:rsidRDefault="00084B2B" w:rsidP="003B611A">
            <w:pPr>
              <w:rPr>
                <w:rFonts w:cs="Arial"/>
                <w:sz w:val="20"/>
                <w:szCs w:val="20"/>
                <w:lang w:eastAsia="en-AU"/>
              </w:rPr>
            </w:pPr>
            <w:r w:rsidRPr="005176BD">
              <w:rPr>
                <w:rFonts w:cs="Arial"/>
                <w:sz w:val="20"/>
                <w:szCs w:val="20"/>
                <w:lang w:eastAsia="en-AU"/>
              </w:rPr>
              <w:t xml:space="preserve">Weighted multi-morbidity indexes predict mortality, health service use and health-related quality of life in older women. Journal of Clinical Epidemiology, </w:t>
            </w:r>
            <w:r w:rsidR="00A10485" w:rsidRPr="005176BD">
              <w:rPr>
                <w:rFonts w:cs="Arial"/>
                <w:sz w:val="20"/>
                <w:szCs w:val="20"/>
                <w:lang w:eastAsia="en-AU"/>
              </w:rPr>
              <w:t xml:space="preserve">2008; </w:t>
            </w:r>
            <w:r w:rsidRPr="005176BD">
              <w:rPr>
                <w:rFonts w:cs="Arial"/>
                <w:sz w:val="20"/>
                <w:szCs w:val="20"/>
                <w:lang w:eastAsia="en-AU"/>
              </w:rPr>
              <w:t>6(12)</w:t>
            </w:r>
            <w:r w:rsidR="00A10485" w:rsidRPr="005176BD">
              <w:rPr>
                <w:rFonts w:cs="Arial"/>
                <w:sz w:val="20"/>
                <w:szCs w:val="20"/>
                <w:lang w:eastAsia="en-AU"/>
              </w:rPr>
              <w:t>:</w:t>
            </w:r>
            <w:r w:rsidRPr="005176BD">
              <w:rPr>
                <w:rFonts w:cs="Arial"/>
                <w:sz w:val="20"/>
                <w:szCs w:val="20"/>
                <w:lang w:eastAsia="en-AU"/>
              </w:rPr>
              <w:t xml:space="preserve"> 151-159.</w:t>
            </w:r>
          </w:p>
        </w:tc>
        <w:tc>
          <w:tcPr>
            <w:tcW w:w="4243" w:type="dxa"/>
          </w:tcPr>
          <w:p w14:paraId="516E2F9A" w14:textId="77777777" w:rsidR="00084B2B" w:rsidRPr="005176BD" w:rsidRDefault="00084B2B" w:rsidP="003B611A">
            <w:pPr>
              <w:rPr>
                <w:rFonts w:cs="Arial"/>
                <w:sz w:val="20"/>
                <w:szCs w:val="20"/>
                <w:lang w:eastAsia="en-AU"/>
              </w:rPr>
            </w:pPr>
            <w:r w:rsidRPr="005176BD">
              <w:rPr>
                <w:rFonts w:cs="Arial"/>
                <w:sz w:val="20"/>
                <w:szCs w:val="20"/>
                <w:lang w:eastAsia="en-AU"/>
              </w:rPr>
              <w:t>Tooth L, Hockey R, Byles J &amp; Dobson A.</w:t>
            </w:r>
          </w:p>
        </w:tc>
        <w:tc>
          <w:tcPr>
            <w:tcW w:w="455" w:type="dxa"/>
          </w:tcPr>
          <w:p w14:paraId="0B250A9A" w14:textId="6CE30B60" w:rsidR="00084B2B" w:rsidRPr="005176BD" w:rsidRDefault="00F5504C" w:rsidP="003B611A">
            <w:pPr>
              <w:rPr>
                <w:rFonts w:cs="Arial"/>
                <w:sz w:val="20"/>
                <w:szCs w:val="20"/>
                <w:lang w:eastAsia="en-AU"/>
              </w:rPr>
            </w:pPr>
            <w:r w:rsidRPr="005176BD">
              <w:rPr>
                <w:rFonts w:cs="Arial"/>
                <w:sz w:val="20"/>
                <w:szCs w:val="20"/>
                <w:lang w:eastAsia="en-AU"/>
              </w:rPr>
              <w:t>80</w:t>
            </w:r>
          </w:p>
        </w:tc>
      </w:tr>
    </w:tbl>
    <w:p w14:paraId="383B5217" w14:textId="5468EBC4" w:rsidR="00084B2B" w:rsidRPr="005176BD" w:rsidRDefault="005B689E" w:rsidP="003B611A">
      <w:pPr>
        <w:pStyle w:val="Heading2"/>
        <w:ind w:left="578" w:hanging="578"/>
      </w:pPr>
      <w:bookmarkStart w:id="74" w:name="_Toc530561283"/>
      <w:r w:rsidRPr="005176BD">
        <w:t>Rural and remote health</w:t>
      </w:r>
      <w:bookmarkEnd w:id="74"/>
    </w:p>
    <w:tbl>
      <w:tblPr>
        <w:tblStyle w:val="TableGrid1"/>
        <w:tblW w:w="13855" w:type="dxa"/>
        <w:tblLook w:val="04A0" w:firstRow="1" w:lastRow="0" w:firstColumn="1" w:lastColumn="0" w:noHBand="0" w:noVBand="1"/>
        <w:tblCaption w:val="Category: Rural and remote health"/>
      </w:tblPr>
      <w:tblGrid>
        <w:gridCol w:w="8505"/>
        <w:gridCol w:w="4013"/>
        <w:gridCol w:w="1337"/>
      </w:tblGrid>
      <w:tr w:rsidR="00084B2B" w:rsidRPr="005176BD" w14:paraId="2DBCC1D2" w14:textId="77777777" w:rsidTr="0011030B">
        <w:trPr>
          <w:tblHeader/>
        </w:trPr>
        <w:tc>
          <w:tcPr>
            <w:tcW w:w="9130" w:type="dxa"/>
            <w:shd w:val="clear" w:color="auto" w:fill="F1E9F3"/>
          </w:tcPr>
          <w:p w14:paraId="56C90722" w14:textId="77777777" w:rsidR="00084B2B" w:rsidRPr="001601B4" w:rsidRDefault="00084B2B" w:rsidP="003B611A">
            <w:pPr>
              <w:rPr>
                <w:rFonts w:cs="Times New Roman"/>
                <w:b/>
                <w:sz w:val="24"/>
                <w:szCs w:val="24"/>
              </w:rPr>
            </w:pPr>
            <w:r w:rsidRPr="001601B4">
              <w:rPr>
                <w:rFonts w:cs="Times New Roman"/>
                <w:b/>
                <w:sz w:val="24"/>
                <w:szCs w:val="24"/>
              </w:rPr>
              <w:t>Details</w:t>
            </w:r>
          </w:p>
        </w:tc>
        <w:tc>
          <w:tcPr>
            <w:tcW w:w="4270" w:type="dxa"/>
            <w:shd w:val="clear" w:color="auto" w:fill="F1E9F3"/>
          </w:tcPr>
          <w:p w14:paraId="792387D4" w14:textId="77777777" w:rsidR="00084B2B" w:rsidRPr="001601B4" w:rsidRDefault="00084B2B" w:rsidP="003B611A">
            <w:pPr>
              <w:rPr>
                <w:rFonts w:cs="Times New Roman"/>
                <w:b/>
                <w:sz w:val="24"/>
                <w:szCs w:val="24"/>
              </w:rPr>
            </w:pPr>
            <w:r w:rsidRPr="001601B4">
              <w:rPr>
                <w:rFonts w:cs="Times New Roman"/>
                <w:b/>
                <w:sz w:val="24"/>
                <w:szCs w:val="24"/>
              </w:rPr>
              <w:t>Authors</w:t>
            </w:r>
          </w:p>
        </w:tc>
        <w:tc>
          <w:tcPr>
            <w:tcW w:w="455" w:type="dxa"/>
            <w:shd w:val="clear" w:color="auto" w:fill="F1E9F3"/>
          </w:tcPr>
          <w:p w14:paraId="631EC01B" w14:textId="3606C5F0" w:rsidR="00084B2B" w:rsidRPr="001601B4" w:rsidRDefault="00084B2B" w:rsidP="003B611A">
            <w:pPr>
              <w:rPr>
                <w:rFonts w:cs="Times New Roman"/>
                <w:b/>
                <w:sz w:val="24"/>
                <w:szCs w:val="24"/>
              </w:rPr>
            </w:pPr>
            <w:r w:rsidRPr="001601B4">
              <w:rPr>
                <w:rFonts w:cs="Times New Roman"/>
                <w:b/>
                <w:sz w:val="24"/>
                <w:szCs w:val="24"/>
              </w:rPr>
              <w:t>Citations</w:t>
            </w:r>
            <w:r w:rsidR="0011030B">
              <w:rPr>
                <w:rFonts w:cs="Times New Roman"/>
                <w:b/>
                <w:sz w:val="24"/>
                <w:szCs w:val="24"/>
              </w:rPr>
              <w:t>*</w:t>
            </w:r>
          </w:p>
        </w:tc>
      </w:tr>
      <w:tr w:rsidR="00084B2B" w:rsidRPr="005176BD" w14:paraId="31F9A7F7" w14:textId="77777777" w:rsidTr="0011030B">
        <w:tc>
          <w:tcPr>
            <w:tcW w:w="9130" w:type="dxa"/>
          </w:tcPr>
          <w:p w14:paraId="3D64725A" w14:textId="5FBFBB07" w:rsidR="00084B2B" w:rsidRPr="005176BD" w:rsidRDefault="00084B2B" w:rsidP="003B611A">
            <w:pPr>
              <w:rPr>
                <w:rFonts w:cs="Arial"/>
                <w:sz w:val="20"/>
                <w:szCs w:val="20"/>
                <w:lang w:eastAsia="en-AU"/>
              </w:rPr>
            </w:pPr>
            <w:r w:rsidRPr="005176BD">
              <w:rPr>
                <w:rFonts w:cs="Arial"/>
                <w:sz w:val="20"/>
                <w:szCs w:val="20"/>
                <w:lang w:eastAsia="en-AU"/>
              </w:rPr>
              <w:t>First incident hospitalisation for Australian women aged 70 and beyond: A 10 year examination using competing risks. Archives of Gerontology and Geriatrics, 2016</w:t>
            </w:r>
            <w:r w:rsidR="009A7725" w:rsidRPr="005176BD">
              <w:rPr>
                <w:rFonts w:cs="Arial"/>
                <w:sz w:val="20"/>
                <w:szCs w:val="20"/>
                <w:lang w:eastAsia="en-AU"/>
              </w:rPr>
              <w:t>; 64: 29-37.</w:t>
            </w:r>
          </w:p>
        </w:tc>
        <w:tc>
          <w:tcPr>
            <w:tcW w:w="4270" w:type="dxa"/>
          </w:tcPr>
          <w:p w14:paraId="5183B11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Harris ML, Dolja-Gore X, </w:t>
            </w:r>
            <w:proofErr w:type="spellStart"/>
            <w:r w:rsidRPr="005176BD">
              <w:rPr>
                <w:rFonts w:cs="Arial"/>
                <w:sz w:val="20"/>
                <w:szCs w:val="20"/>
                <w:lang w:eastAsia="en-AU"/>
              </w:rPr>
              <w:t>Kendig</w:t>
            </w:r>
            <w:proofErr w:type="spellEnd"/>
            <w:r w:rsidRPr="005176BD">
              <w:rPr>
                <w:rFonts w:cs="Arial"/>
                <w:sz w:val="20"/>
                <w:szCs w:val="20"/>
                <w:lang w:eastAsia="en-AU"/>
              </w:rPr>
              <w:t xml:space="preserve"> H &amp; Byles JE.</w:t>
            </w:r>
          </w:p>
        </w:tc>
        <w:tc>
          <w:tcPr>
            <w:tcW w:w="455" w:type="dxa"/>
          </w:tcPr>
          <w:p w14:paraId="442DF415" w14:textId="1D9CE986"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5176BD" w14:paraId="569A85CE" w14:textId="77777777" w:rsidTr="0011030B">
        <w:tc>
          <w:tcPr>
            <w:tcW w:w="9130" w:type="dxa"/>
          </w:tcPr>
          <w:p w14:paraId="51AD7C81" w14:textId="11A07695" w:rsidR="00084B2B" w:rsidRPr="005176BD" w:rsidRDefault="00084B2B" w:rsidP="003B611A">
            <w:pPr>
              <w:rPr>
                <w:rFonts w:cs="Arial"/>
                <w:sz w:val="20"/>
                <w:szCs w:val="20"/>
                <w:lang w:eastAsia="en-AU"/>
              </w:rPr>
            </w:pPr>
            <w:r w:rsidRPr="005176BD">
              <w:rPr>
                <w:rFonts w:cs="Arial"/>
                <w:sz w:val="20"/>
                <w:szCs w:val="20"/>
                <w:lang w:eastAsia="en-AU"/>
              </w:rPr>
              <w:t xml:space="preserve">Driving in older age: </w:t>
            </w:r>
            <w:r w:rsidR="009A7725" w:rsidRPr="005176BD">
              <w:rPr>
                <w:rFonts w:cs="Arial"/>
                <w:sz w:val="20"/>
                <w:szCs w:val="20"/>
                <w:lang w:eastAsia="en-AU"/>
              </w:rPr>
              <w:t xml:space="preserve">A </w:t>
            </w:r>
            <w:r w:rsidRPr="005176BD">
              <w:rPr>
                <w:rFonts w:cs="Arial"/>
                <w:sz w:val="20"/>
                <w:szCs w:val="20"/>
                <w:lang w:eastAsia="en-AU"/>
              </w:rPr>
              <w:t xml:space="preserve">longitudinal study of women in urban, regional and remote areas and the impact of caregiving. Journal of Women and Aging, </w:t>
            </w:r>
            <w:r w:rsidR="009A7725" w:rsidRPr="005176BD">
              <w:rPr>
                <w:rFonts w:cs="Arial"/>
                <w:sz w:val="20"/>
                <w:szCs w:val="20"/>
                <w:lang w:eastAsia="en-AU"/>
              </w:rPr>
              <w:t xml:space="preserve">2012; </w:t>
            </w:r>
            <w:r w:rsidRPr="005176BD">
              <w:rPr>
                <w:rFonts w:cs="Arial"/>
                <w:sz w:val="20"/>
                <w:szCs w:val="20"/>
                <w:lang w:eastAsia="en-AU"/>
              </w:rPr>
              <w:t>24(2)</w:t>
            </w:r>
            <w:r w:rsidR="009A7725" w:rsidRPr="005176BD">
              <w:rPr>
                <w:rFonts w:cs="Arial"/>
                <w:sz w:val="20"/>
                <w:szCs w:val="20"/>
                <w:lang w:eastAsia="en-AU"/>
              </w:rPr>
              <w:t>:</w:t>
            </w:r>
            <w:r w:rsidRPr="005176BD">
              <w:rPr>
                <w:rFonts w:cs="Arial"/>
                <w:sz w:val="20"/>
                <w:szCs w:val="20"/>
                <w:lang w:eastAsia="en-AU"/>
              </w:rPr>
              <w:t xml:space="preserve"> 112-125.</w:t>
            </w:r>
          </w:p>
        </w:tc>
        <w:tc>
          <w:tcPr>
            <w:tcW w:w="4270" w:type="dxa"/>
          </w:tcPr>
          <w:p w14:paraId="078E4F8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JE &amp; </w:t>
            </w:r>
            <w:proofErr w:type="spellStart"/>
            <w:r w:rsidRPr="005176BD">
              <w:rPr>
                <w:rFonts w:cs="Arial"/>
                <w:sz w:val="20"/>
                <w:szCs w:val="20"/>
                <w:lang w:eastAsia="en-AU"/>
              </w:rPr>
              <w:t>Galliene</w:t>
            </w:r>
            <w:proofErr w:type="spellEnd"/>
            <w:r w:rsidRPr="005176BD">
              <w:rPr>
                <w:rFonts w:cs="Arial"/>
                <w:sz w:val="20"/>
                <w:szCs w:val="20"/>
                <w:lang w:eastAsia="en-AU"/>
              </w:rPr>
              <w:t xml:space="preserve"> L.</w:t>
            </w:r>
          </w:p>
        </w:tc>
        <w:tc>
          <w:tcPr>
            <w:tcW w:w="455" w:type="dxa"/>
          </w:tcPr>
          <w:p w14:paraId="798DF91B" w14:textId="04704B9A" w:rsidR="00B43DDD" w:rsidRPr="005176BD" w:rsidRDefault="00F5504C" w:rsidP="003B611A">
            <w:pPr>
              <w:rPr>
                <w:rFonts w:cs="Arial"/>
                <w:sz w:val="20"/>
                <w:szCs w:val="20"/>
                <w:lang w:eastAsia="en-AU"/>
              </w:rPr>
            </w:pPr>
            <w:r w:rsidRPr="005176BD">
              <w:rPr>
                <w:rFonts w:cs="Arial"/>
                <w:sz w:val="20"/>
                <w:szCs w:val="20"/>
                <w:lang w:eastAsia="en-AU"/>
              </w:rPr>
              <w:t>7</w:t>
            </w:r>
          </w:p>
        </w:tc>
      </w:tr>
      <w:tr w:rsidR="00084B2B" w:rsidRPr="005176BD" w14:paraId="13C20A6F" w14:textId="77777777" w:rsidTr="0011030B">
        <w:tc>
          <w:tcPr>
            <w:tcW w:w="9130" w:type="dxa"/>
          </w:tcPr>
          <w:p w14:paraId="010C199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Predictors of Complementary and Alternative Medicine (CAM) use in two cohorts of Australian women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2012; 25(1): 168-170.</w:t>
            </w:r>
          </w:p>
        </w:tc>
        <w:tc>
          <w:tcPr>
            <w:tcW w:w="4270" w:type="dxa"/>
          </w:tcPr>
          <w:p w14:paraId="483D681A"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Poulsen</w:t>
            </w:r>
            <w:proofErr w:type="spellEnd"/>
            <w:r w:rsidRPr="005176BD">
              <w:rPr>
                <w:rFonts w:cs="Arial"/>
                <w:sz w:val="20"/>
                <w:szCs w:val="20"/>
                <w:lang w:eastAsia="en-AU"/>
              </w:rPr>
              <w:t xml:space="preserve"> E, Sibbritt D, McLaughlin D, Adams J &amp; Pachana N. </w:t>
            </w:r>
          </w:p>
        </w:tc>
        <w:tc>
          <w:tcPr>
            <w:tcW w:w="455" w:type="dxa"/>
          </w:tcPr>
          <w:p w14:paraId="76CF8F86" w14:textId="0CA43C93"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5176BD" w14:paraId="54D196F4" w14:textId="77777777" w:rsidTr="0011030B">
        <w:tc>
          <w:tcPr>
            <w:tcW w:w="9130" w:type="dxa"/>
          </w:tcPr>
          <w:p w14:paraId="1616F674" w14:textId="341D3AFB" w:rsidR="00084B2B" w:rsidRPr="005176BD" w:rsidRDefault="00084B2B" w:rsidP="003B611A">
            <w:pPr>
              <w:rPr>
                <w:rFonts w:cs="Arial"/>
                <w:sz w:val="20"/>
                <w:szCs w:val="20"/>
                <w:lang w:eastAsia="en-AU"/>
              </w:rPr>
            </w:pPr>
            <w:r w:rsidRPr="005176BD">
              <w:rPr>
                <w:rFonts w:cs="Arial"/>
                <w:sz w:val="20"/>
                <w:szCs w:val="20"/>
                <w:lang w:eastAsia="en-AU"/>
              </w:rPr>
              <w:t>Empirical evidence suggests adverse climate events have not affected Australian women's health and well-being. Australian and New Zealand Journal of Public Health, 2012; 36(5): 452-457.</w:t>
            </w:r>
          </w:p>
        </w:tc>
        <w:tc>
          <w:tcPr>
            <w:tcW w:w="4270" w:type="dxa"/>
          </w:tcPr>
          <w:p w14:paraId="09F9877A"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Powers J, Loxton D, Baker </w:t>
            </w:r>
            <w:proofErr w:type="spellStart"/>
            <w:r w:rsidRPr="005176BD">
              <w:rPr>
                <w:rFonts w:cs="Arial"/>
                <w:sz w:val="20"/>
                <w:szCs w:val="20"/>
                <w:lang w:eastAsia="en-AU"/>
              </w:rPr>
              <w:t>J,Rich</w:t>
            </w:r>
            <w:proofErr w:type="spellEnd"/>
            <w:r w:rsidRPr="005176BD">
              <w:rPr>
                <w:rFonts w:cs="Arial"/>
                <w:sz w:val="20"/>
                <w:szCs w:val="20"/>
                <w:lang w:eastAsia="en-AU"/>
              </w:rPr>
              <w:t xml:space="preserve"> J &amp; Dobson A. </w:t>
            </w:r>
          </w:p>
        </w:tc>
        <w:tc>
          <w:tcPr>
            <w:tcW w:w="455" w:type="dxa"/>
          </w:tcPr>
          <w:p w14:paraId="44CF03CD" w14:textId="5D019560" w:rsidR="00084B2B" w:rsidRPr="005176BD" w:rsidRDefault="00F5504C" w:rsidP="003B611A">
            <w:pPr>
              <w:rPr>
                <w:rFonts w:cs="Arial"/>
                <w:sz w:val="20"/>
                <w:szCs w:val="20"/>
                <w:lang w:eastAsia="en-AU"/>
              </w:rPr>
            </w:pPr>
            <w:r w:rsidRPr="005176BD">
              <w:rPr>
                <w:rFonts w:cs="Arial"/>
                <w:sz w:val="20"/>
                <w:szCs w:val="20"/>
                <w:lang w:eastAsia="en-AU"/>
              </w:rPr>
              <w:t>5</w:t>
            </w:r>
          </w:p>
        </w:tc>
      </w:tr>
      <w:tr w:rsidR="00084B2B" w:rsidRPr="005176BD" w14:paraId="34B09B9B" w14:textId="77777777" w:rsidTr="0011030B">
        <w:tc>
          <w:tcPr>
            <w:tcW w:w="9130" w:type="dxa"/>
          </w:tcPr>
          <w:p w14:paraId="0798F36C" w14:textId="02867709" w:rsidR="00084B2B" w:rsidRPr="005176BD" w:rsidRDefault="00084B2B" w:rsidP="003B611A">
            <w:pPr>
              <w:rPr>
                <w:rFonts w:cs="Arial"/>
                <w:sz w:val="20"/>
                <w:szCs w:val="20"/>
                <w:lang w:eastAsia="en-AU"/>
              </w:rPr>
            </w:pPr>
            <w:r w:rsidRPr="005176BD">
              <w:rPr>
                <w:rFonts w:cs="Arial"/>
                <w:sz w:val="20"/>
                <w:szCs w:val="20"/>
                <w:lang w:eastAsia="en-AU"/>
              </w:rPr>
              <w:t xml:space="preserve">Increased bulk-billing for general practice consultations in regional and remote areas, 2002-2008. Medical Journal of Australia, </w:t>
            </w:r>
            <w:r w:rsidR="009A7725" w:rsidRPr="005176BD">
              <w:rPr>
                <w:rFonts w:cs="Arial"/>
                <w:sz w:val="20"/>
                <w:szCs w:val="20"/>
                <w:lang w:eastAsia="en-AU"/>
              </w:rPr>
              <w:t xml:space="preserve">2011; </w:t>
            </w:r>
            <w:r w:rsidRPr="005176BD">
              <w:rPr>
                <w:rFonts w:cs="Arial"/>
                <w:sz w:val="20"/>
                <w:szCs w:val="20"/>
                <w:lang w:eastAsia="en-AU"/>
              </w:rPr>
              <w:t>195(4)</w:t>
            </w:r>
            <w:r w:rsidR="009A7725" w:rsidRPr="005176BD">
              <w:rPr>
                <w:rFonts w:cs="Arial"/>
                <w:sz w:val="20"/>
                <w:szCs w:val="20"/>
                <w:lang w:eastAsia="en-AU"/>
              </w:rPr>
              <w:t>:</w:t>
            </w:r>
            <w:r w:rsidRPr="005176BD">
              <w:rPr>
                <w:rFonts w:cs="Arial"/>
                <w:sz w:val="20"/>
                <w:szCs w:val="20"/>
                <w:lang w:eastAsia="en-AU"/>
              </w:rPr>
              <w:t xml:space="preserve"> 203-204.</w:t>
            </w:r>
          </w:p>
        </w:tc>
        <w:tc>
          <w:tcPr>
            <w:tcW w:w="4270" w:type="dxa"/>
          </w:tcPr>
          <w:p w14:paraId="11BF357A" w14:textId="77777777" w:rsidR="00084B2B" w:rsidRPr="005176BD" w:rsidRDefault="00084B2B" w:rsidP="003B611A">
            <w:pPr>
              <w:rPr>
                <w:rFonts w:cs="Arial"/>
                <w:sz w:val="20"/>
                <w:szCs w:val="20"/>
                <w:lang w:eastAsia="en-AU"/>
              </w:rPr>
            </w:pPr>
            <w:r w:rsidRPr="005176BD">
              <w:rPr>
                <w:rFonts w:cs="Arial"/>
                <w:sz w:val="20"/>
                <w:szCs w:val="20"/>
                <w:lang w:eastAsia="en-AU"/>
              </w:rPr>
              <w:t>Dolja-Gore X, Byles J, Loxton D, Hockey R &amp; Dobson A.</w:t>
            </w:r>
          </w:p>
        </w:tc>
        <w:tc>
          <w:tcPr>
            <w:tcW w:w="455" w:type="dxa"/>
          </w:tcPr>
          <w:p w14:paraId="6F73487B" w14:textId="15844F72" w:rsidR="00084B2B" w:rsidRPr="005176BD" w:rsidRDefault="00F5504C" w:rsidP="003B611A">
            <w:pPr>
              <w:rPr>
                <w:rFonts w:cs="Arial"/>
                <w:sz w:val="20"/>
                <w:szCs w:val="20"/>
                <w:lang w:eastAsia="en-AU"/>
              </w:rPr>
            </w:pPr>
            <w:r w:rsidRPr="005176BD">
              <w:rPr>
                <w:rFonts w:cs="Arial"/>
                <w:sz w:val="20"/>
                <w:szCs w:val="20"/>
                <w:lang w:eastAsia="en-AU"/>
              </w:rPr>
              <w:t>7</w:t>
            </w:r>
          </w:p>
        </w:tc>
      </w:tr>
      <w:tr w:rsidR="00084B2B" w:rsidRPr="005176BD" w14:paraId="6F48336A" w14:textId="77777777" w:rsidTr="0011030B">
        <w:tc>
          <w:tcPr>
            <w:tcW w:w="9130" w:type="dxa"/>
          </w:tcPr>
          <w:p w14:paraId="764E6C23" w14:textId="77777777" w:rsidR="00084B2B" w:rsidRPr="005176BD" w:rsidRDefault="00084B2B" w:rsidP="003B611A">
            <w:pPr>
              <w:rPr>
                <w:rFonts w:cs="Arial"/>
                <w:sz w:val="20"/>
                <w:szCs w:val="20"/>
                <w:lang w:eastAsia="en-AU"/>
              </w:rPr>
            </w:pPr>
            <w:r w:rsidRPr="005176BD">
              <w:rPr>
                <w:rFonts w:cs="Arial"/>
                <w:sz w:val="20"/>
                <w:szCs w:val="20"/>
                <w:lang w:eastAsia="en-AU"/>
              </w:rPr>
              <w:t>The management of heart conditions in older rural and urban Australian women. Internal Medicine Journal, 2011; 41(10): 722-729.</w:t>
            </w:r>
          </w:p>
        </w:tc>
        <w:tc>
          <w:tcPr>
            <w:tcW w:w="4270" w:type="dxa"/>
          </w:tcPr>
          <w:p w14:paraId="39976AF5" w14:textId="38048F79" w:rsidR="00084B2B" w:rsidRPr="005176BD" w:rsidRDefault="00084B2B" w:rsidP="003B611A">
            <w:pPr>
              <w:rPr>
                <w:rFonts w:cs="Arial"/>
                <w:sz w:val="20"/>
                <w:szCs w:val="20"/>
                <w:lang w:eastAsia="en-AU"/>
              </w:rPr>
            </w:pPr>
            <w:r w:rsidRPr="005176BD">
              <w:rPr>
                <w:rFonts w:cs="Arial"/>
                <w:sz w:val="20"/>
                <w:szCs w:val="20"/>
                <w:lang w:eastAsia="en-AU"/>
              </w:rPr>
              <w:t>Jordan S, Wilson A</w:t>
            </w:r>
            <w:r w:rsidR="005B689E" w:rsidRPr="005176BD">
              <w:rPr>
                <w:rFonts w:cs="Arial"/>
                <w:sz w:val="20"/>
                <w:szCs w:val="20"/>
                <w:lang w:eastAsia="en-AU"/>
              </w:rPr>
              <w:t xml:space="preserve"> &amp; </w:t>
            </w:r>
            <w:r w:rsidRPr="005176BD">
              <w:rPr>
                <w:rFonts w:cs="Arial"/>
                <w:sz w:val="20"/>
                <w:szCs w:val="20"/>
                <w:lang w:eastAsia="en-AU"/>
              </w:rPr>
              <w:t xml:space="preserve">Dobson A. </w:t>
            </w:r>
          </w:p>
        </w:tc>
        <w:tc>
          <w:tcPr>
            <w:tcW w:w="455" w:type="dxa"/>
          </w:tcPr>
          <w:p w14:paraId="00EF16BE" w14:textId="19EBB4F8" w:rsidR="00084B2B" w:rsidRPr="005176BD" w:rsidRDefault="00F5504C" w:rsidP="003B611A">
            <w:pPr>
              <w:rPr>
                <w:rFonts w:cs="Arial"/>
                <w:sz w:val="20"/>
                <w:szCs w:val="20"/>
                <w:lang w:eastAsia="en-AU"/>
              </w:rPr>
            </w:pPr>
            <w:r w:rsidRPr="005176BD">
              <w:rPr>
                <w:rFonts w:cs="Arial"/>
                <w:sz w:val="20"/>
                <w:szCs w:val="20"/>
                <w:lang w:eastAsia="en-AU"/>
              </w:rPr>
              <w:t>22</w:t>
            </w:r>
          </w:p>
        </w:tc>
      </w:tr>
      <w:tr w:rsidR="00084B2B" w:rsidRPr="005176BD" w14:paraId="6CBEBB4F" w14:textId="77777777" w:rsidTr="0011030B">
        <w:tc>
          <w:tcPr>
            <w:tcW w:w="9130" w:type="dxa"/>
          </w:tcPr>
          <w:p w14:paraId="3FE952C9" w14:textId="3B36C65E" w:rsidR="00084B2B" w:rsidRPr="005176BD" w:rsidRDefault="00084B2B" w:rsidP="003B611A">
            <w:pPr>
              <w:rPr>
                <w:rFonts w:cs="Arial"/>
                <w:sz w:val="20"/>
                <w:szCs w:val="20"/>
                <w:lang w:eastAsia="en-AU"/>
              </w:rPr>
            </w:pPr>
            <w:r w:rsidRPr="005176BD">
              <w:rPr>
                <w:rFonts w:cs="Arial"/>
                <w:sz w:val="20"/>
                <w:szCs w:val="20"/>
                <w:lang w:eastAsia="en-AU"/>
              </w:rPr>
              <w:t>Urban–rural comparisons of outcomes for informal carers of elderly people in the</w:t>
            </w:r>
            <w:r w:rsidR="005B689E" w:rsidRPr="005176BD">
              <w:rPr>
                <w:rFonts w:cs="Arial"/>
                <w:sz w:val="20"/>
                <w:szCs w:val="20"/>
                <w:lang w:eastAsia="en-AU"/>
              </w:rPr>
              <w:t xml:space="preserve"> </w:t>
            </w:r>
            <w:r w:rsidRPr="005176BD">
              <w:rPr>
                <w:rFonts w:cs="Arial"/>
                <w:sz w:val="20"/>
                <w:szCs w:val="20"/>
                <w:lang w:eastAsia="en-AU"/>
              </w:rPr>
              <w:t>community:</w:t>
            </w:r>
            <w:r w:rsidR="005B689E" w:rsidRPr="005176BD">
              <w:rPr>
                <w:rFonts w:cs="Arial"/>
                <w:sz w:val="20"/>
                <w:szCs w:val="20"/>
                <w:lang w:eastAsia="en-AU"/>
              </w:rPr>
              <w:t xml:space="preserve"> </w:t>
            </w:r>
            <w:r w:rsidRPr="005176BD">
              <w:rPr>
                <w:rFonts w:cs="Arial"/>
                <w:sz w:val="20"/>
                <w:szCs w:val="20"/>
                <w:lang w:eastAsia="en-AU"/>
              </w:rPr>
              <w:t>A systematic review. Maturitas, 2010; 67(2): 139-143</w:t>
            </w:r>
          </w:p>
        </w:tc>
        <w:tc>
          <w:tcPr>
            <w:tcW w:w="4270" w:type="dxa"/>
          </w:tcPr>
          <w:p w14:paraId="7519AFF9" w14:textId="77777777" w:rsidR="00084B2B" w:rsidRPr="005176BD" w:rsidRDefault="00084B2B" w:rsidP="003B611A">
            <w:pPr>
              <w:rPr>
                <w:rFonts w:cs="Arial"/>
                <w:sz w:val="20"/>
                <w:szCs w:val="20"/>
                <w:lang w:eastAsia="en-AU"/>
              </w:rPr>
            </w:pPr>
            <w:r w:rsidRPr="005176BD">
              <w:rPr>
                <w:rFonts w:cs="Arial"/>
                <w:sz w:val="20"/>
                <w:szCs w:val="20"/>
                <w:lang w:eastAsia="en-AU"/>
              </w:rPr>
              <w:t>McKenzie S, McLaughlin D, Dobson A &amp; Byles J.</w:t>
            </w:r>
          </w:p>
        </w:tc>
        <w:tc>
          <w:tcPr>
            <w:tcW w:w="455" w:type="dxa"/>
          </w:tcPr>
          <w:p w14:paraId="7580E42E" w14:textId="7A68F582" w:rsidR="00084B2B" w:rsidRPr="005176BD" w:rsidRDefault="00F5504C" w:rsidP="003B611A">
            <w:pPr>
              <w:rPr>
                <w:rFonts w:cs="Arial"/>
                <w:sz w:val="20"/>
                <w:szCs w:val="20"/>
                <w:lang w:eastAsia="en-AU"/>
              </w:rPr>
            </w:pPr>
            <w:r w:rsidRPr="005176BD">
              <w:rPr>
                <w:rFonts w:cs="Arial"/>
                <w:sz w:val="20"/>
                <w:szCs w:val="20"/>
                <w:lang w:eastAsia="en-AU"/>
              </w:rPr>
              <w:t>15</w:t>
            </w:r>
          </w:p>
        </w:tc>
      </w:tr>
      <w:tr w:rsidR="00084B2B" w:rsidRPr="005176BD" w14:paraId="6C5FF182" w14:textId="77777777" w:rsidTr="0011030B">
        <w:tc>
          <w:tcPr>
            <w:tcW w:w="9130" w:type="dxa"/>
          </w:tcPr>
          <w:p w14:paraId="6C24B69D" w14:textId="3F64C9AF" w:rsidR="00084B2B" w:rsidRPr="005176BD" w:rsidRDefault="00084B2B" w:rsidP="003B611A">
            <w:pPr>
              <w:rPr>
                <w:rFonts w:cs="Arial"/>
                <w:sz w:val="20"/>
                <w:szCs w:val="20"/>
                <w:lang w:eastAsia="en-AU"/>
              </w:rPr>
            </w:pPr>
            <w:r w:rsidRPr="005176BD">
              <w:rPr>
                <w:rFonts w:cs="Arial"/>
                <w:sz w:val="20"/>
                <w:szCs w:val="20"/>
                <w:lang w:eastAsia="en-AU"/>
              </w:rPr>
              <w:t xml:space="preserve">Why are death rates higher in rural areas? Evidence from the Australian Longitudinal Study on Women’s Health. </w:t>
            </w:r>
            <w:r w:rsidR="005B689E" w:rsidRPr="005176BD">
              <w:rPr>
                <w:rFonts w:cs="Arial"/>
                <w:sz w:val="20"/>
                <w:szCs w:val="20"/>
                <w:lang w:eastAsia="en-AU"/>
              </w:rPr>
              <w:t>Australian and New Zealand Journal of Public Health</w:t>
            </w:r>
            <w:r w:rsidRPr="005176BD">
              <w:rPr>
                <w:rFonts w:cs="Arial"/>
                <w:sz w:val="20"/>
                <w:szCs w:val="20"/>
                <w:lang w:eastAsia="en-AU"/>
              </w:rPr>
              <w:t>, 2010; 34(6): 624-628.</w:t>
            </w:r>
          </w:p>
        </w:tc>
        <w:tc>
          <w:tcPr>
            <w:tcW w:w="4270" w:type="dxa"/>
          </w:tcPr>
          <w:p w14:paraId="577E9B0C" w14:textId="77777777" w:rsidR="00084B2B" w:rsidRPr="005176BD" w:rsidRDefault="00084B2B" w:rsidP="003B611A">
            <w:pPr>
              <w:rPr>
                <w:rFonts w:cs="Arial"/>
                <w:sz w:val="20"/>
                <w:szCs w:val="20"/>
                <w:lang w:eastAsia="en-AU"/>
              </w:rPr>
            </w:pPr>
            <w:r w:rsidRPr="005176BD">
              <w:rPr>
                <w:rFonts w:cs="Arial"/>
                <w:sz w:val="20"/>
                <w:szCs w:val="20"/>
                <w:lang w:eastAsia="en-AU"/>
              </w:rPr>
              <w:t xml:space="preserve">Dobson A, McLaughlin D, </w:t>
            </w:r>
            <w:proofErr w:type="spellStart"/>
            <w:r w:rsidRPr="005176BD">
              <w:rPr>
                <w:rFonts w:cs="Arial"/>
                <w:sz w:val="20"/>
                <w:szCs w:val="20"/>
                <w:lang w:eastAsia="en-AU"/>
              </w:rPr>
              <w:t>Vagenas</w:t>
            </w:r>
            <w:proofErr w:type="spellEnd"/>
            <w:r w:rsidRPr="005176BD">
              <w:rPr>
                <w:rFonts w:cs="Arial"/>
                <w:sz w:val="20"/>
                <w:szCs w:val="20"/>
                <w:lang w:eastAsia="en-AU"/>
              </w:rPr>
              <w:t xml:space="preserve"> D &amp; Wong K. </w:t>
            </w:r>
          </w:p>
        </w:tc>
        <w:tc>
          <w:tcPr>
            <w:tcW w:w="455" w:type="dxa"/>
          </w:tcPr>
          <w:p w14:paraId="2F0EF87F" w14:textId="0E0965B3" w:rsidR="00084B2B" w:rsidRPr="005176BD" w:rsidRDefault="00F5504C" w:rsidP="003B611A">
            <w:pPr>
              <w:rPr>
                <w:rFonts w:cs="Arial"/>
                <w:sz w:val="20"/>
                <w:szCs w:val="20"/>
                <w:lang w:eastAsia="en-AU"/>
              </w:rPr>
            </w:pPr>
            <w:r w:rsidRPr="005176BD">
              <w:rPr>
                <w:rFonts w:cs="Arial"/>
                <w:sz w:val="20"/>
                <w:szCs w:val="20"/>
                <w:lang w:eastAsia="en-AU"/>
              </w:rPr>
              <w:t>29</w:t>
            </w:r>
          </w:p>
        </w:tc>
      </w:tr>
      <w:tr w:rsidR="00084B2B" w:rsidRPr="005176BD" w14:paraId="65CA52FE" w14:textId="77777777" w:rsidTr="0011030B">
        <w:tc>
          <w:tcPr>
            <w:tcW w:w="9130" w:type="dxa"/>
          </w:tcPr>
          <w:p w14:paraId="37C0EC1B" w14:textId="7B91498A"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Regional variation in the survival and health of older Australian women: </w:t>
            </w:r>
            <w:r w:rsidR="009A7725" w:rsidRPr="005176BD">
              <w:rPr>
                <w:rFonts w:cs="Arial"/>
                <w:sz w:val="20"/>
                <w:szCs w:val="20"/>
                <w:lang w:eastAsia="en-AU"/>
              </w:rPr>
              <w:t xml:space="preserve">A </w:t>
            </w:r>
            <w:r w:rsidRPr="005176BD">
              <w:rPr>
                <w:rFonts w:cs="Arial"/>
                <w:sz w:val="20"/>
                <w:szCs w:val="20"/>
                <w:lang w:eastAsia="en-AU"/>
              </w:rPr>
              <w:t xml:space="preserve">prospective cohort study. </w:t>
            </w:r>
            <w:r w:rsidR="005B689E" w:rsidRPr="005176BD">
              <w:rPr>
                <w:rFonts w:cs="Arial"/>
                <w:sz w:val="20"/>
                <w:szCs w:val="20"/>
                <w:lang w:eastAsia="en-AU"/>
              </w:rPr>
              <w:t>Australian and New Zealand Journal of Public Health</w:t>
            </w:r>
            <w:r w:rsidRPr="005176BD">
              <w:rPr>
                <w:rFonts w:cs="Arial"/>
                <w:sz w:val="20"/>
                <w:szCs w:val="20"/>
                <w:lang w:eastAsia="en-AU"/>
              </w:rPr>
              <w:t>, 2009; 33(2): 119-125.</w:t>
            </w:r>
          </w:p>
        </w:tc>
        <w:tc>
          <w:tcPr>
            <w:tcW w:w="4270" w:type="dxa"/>
          </w:tcPr>
          <w:p w14:paraId="7F2EA697"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Vagenas</w:t>
            </w:r>
            <w:proofErr w:type="spellEnd"/>
            <w:r w:rsidRPr="005176BD">
              <w:rPr>
                <w:rFonts w:cs="Arial"/>
                <w:sz w:val="20"/>
                <w:szCs w:val="20"/>
                <w:lang w:eastAsia="en-AU"/>
              </w:rPr>
              <w:t xml:space="preserve"> D, McLaughlin D &amp; Dobson A. </w:t>
            </w:r>
          </w:p>
        </w:tc>
        <w:tc>
          <w:tcPr>
            <w:tcW w:w="455" w:type="dxa"/>
          </w:tcPr>
          <w:p w14:paraId="3BB9E671" w14:textId="099DBB35" w:rsidR="00084B2B" w:rsidRPr="005176BD" w:rsidRDefault="00F5504C" w:rsidP="003B611A">
            <w:pPr>
              <w:rPr>
                <w:rFonts w:cs="Arial"/>
                <w:sz w:val="20"/>
                <w:szCs w:val="20"/>
                <w:lang w:eastAsia="en-AU"/>
              </w:rPr>
            </w:pPr>
            <w:r w:rsidRPr="005176BD">
              <w:rPr>
                <w:rFonts w:cs="Arial"/>
                <w:sz w:val="20"/>
                <w:szCs w:val="20"/>
                <w:lang w:eastAsia="en-AU"/>
              </w:rPr>
              <w:t>9</w:t>
            </w:r>
          </w:p>
        </w:tc>
      </w:tr>
      <w:tr w:rsidR="00084B2B" w:rsidRPr="005176BD" w14:paraId="794F3BA6" w14:textId="77777777" w:rsidTr="0011030B">
        <w:tc>
          <w:tcPr>
            <w:tcW w:w="9130" w:type="dxa"/>
          </w:tcPr>
          <w:p w14:paraId="1DDEC13A" w14:textId="77777777" w:rsidR="00084B2B" w:rsidRPr="005176BD" w:rsidRDefault="00084B2B" w:rsidP="003B611A">
            <w:pPr>
              <w:rPr>
                <w:rFonts w:cs="Arial"/>
                <w:sz w:val="20"/>
                <w:szCs w:val="20"/>
                <w:lang w:eastAsia="en-AU"/>
              </w:rPr>
            </w:pPr>
            <w:r w:rsidRPr="005176BD">
              <w:rPr>
                <w:rFonts w:cs="Arial"/>
                <w:sz w:val="20"/>
                <w:szCs w:val="20"/>
                <w:lang w:eastAsia="en-AU"/>
              </w:rPr>
              <w:t>Few urban-rural differences in older carers' access to community services. Australian Health Review, 2008; 32(4): 684-690.</w:t>
            </w:r>
          </w:p>
        </w:tc>
        <w:tc>
          <w:tcPr>
            <w:tcW w:w="4270" w:type="dxa"/>
          </w:tcPr>
          <w:p w14:paraId="05A79794" w14:textId="77777777" w:rsidR="00084B2B" w:rsidRPr="005176BD" w:rsidRDefault="00084B2B" w:rsidP="003B611A">
            <w:pPr>
              <w:rPr>
                <w:rFonts w:cs="Arial"/>
                <w:sz w:val="20"/>
                <w:szCs w:val="20"/>
                <w:lang w:eastAsia="en-AU"/>
              </w:rPr>
            </w:pPr>
            <w:r w:rsidRPr="005176BD">
              <w:rPr>
                <w:rFonts w:cs="Arial"/>
                <w:sz w:val="20"/>
                <w:szCs w:val="20"/>
                <w:lang w:eastAsia="en-AU"/>
              </w:rPr>
              <w:t xml:space="preserve">Lucke J, Russell A, Tooth L, Lee C, Watson M, Byrne G, Wilson A &amp; Dobson A. </w:t>
            </w:r>
          </w:p>
        </w:tc>
        <w:tc>
          <w:tcPr>
            <w:tcW w:w="455" w:type="dxa"/>
          </w:tcPr>
          <w:p w14:paraId="096EC383" w14:textId="72D55E88" w:rsidR="00084B2B" w:rsidRPr="005176BD" w:rsidRDefault="00F5504C" w:rsidP="003B611A">
            <w:pPr>
              <w:rPr>
                <w:rFonts w:cs="Arial"/>
                <w:sz w:val="20"/>
                <w:szCs w:val="20"/>
                <w:lang w:eastAsia="en-AU"/>
              </w:rPr>
            </w:pPr>
            <w:r w:rsidRPr="005176BD">
              <w:rPr>
                <w:rFonts w:cs="Arial"/>
                <w:sz w:val="20"/>
                <w:szCs w:val="20"/>
                <w:lang w:eastAsia="en-AU"/>
              </w:rPr>
              <w:t>16</w:t>
            </w:r>
          </w:p>
        </w:tc>
      </w:tr>
      <w:tr w:rsidR="00084B2B" w:rsidRPr="005176BD" w14:paraId="6690CFFA" w14:textId="77777777" w:rsidTr="0011030B">
        <w:tc>
          <w:tcPr>
            <w:tcW w:w="9130" w:type="dxa"/>
          </w:tcPr>
          <w:p w14:paraId="6FB03EF2" w14:textId="35F8E94B" w:rsidR="00084B2B" w:rsidRPr="005176BD" w:rsidRDefault="00084B2B" w:rsidP="003B611A">
            <w:pPr>
              <w:rPr>
                <w:rFonts w:cs="Arial"/>
                <w:sz w:val="20"/>
                <w:szCs w:val="20"/>
                <w:lang w:eastAsia="en-AU"/>
              </w:rPr>
            </w:pPr>
            <w:r w:rsidRPr="005176BD">
              <w:rPr>
                <w:rFonts w:cs="Arial"/>
                <w:sz w:val="20"/>
                <w:szCs w:val="20"/>
                <w:lang w:eastAsia="en-AU"/>
              </w:rPr>
              <w:t xml:space="preserve">Fit and well at 80: Defying the stereotypes of age and illness. Annals of the New York Academy of Sciences, </w:t>
            </w:r>
            <w:r w:rsidR="009A7725" w:rsidRPr="005176BD">
              <w:rPr>
                <w:rFonts w:cs="Arial"/>
                <w:sz w:val="20"/>
                <w:szCs w:val="20"/>
                <w:lang w:eastAsia="en-AU"/>
              </w:rPr>
              <w:t xml:space="preserve">2007; </w:t>
            </w:r>
            <w:r w:rsidRPr="005176BD">
              <w:rPr>
                <w:rFonts w:cs="Arial"/>
                <w:sz w:val="20"/>
                <w:szCs w:val="20"/>
                <w:lang w:eastAsia="en-AU"/>
              </w:rPr>
              <w:t>1114</w:t>
            </w:r>
            <w:r w:rsidR="009A7725" w:rsidRPr="005176BD">
              <w:rPr>
                <w:rFonts w:cs="Arial"/>
                <w:sz w:val="20"/>
                <w:szCs w:val="20"/>
                <w:lang w:eastAsia="en-AU"/>
              </w:rPr>
              <w:t>:</w:t>
            </w:r>
            <w:r w:rsidRPr="005176BD">
              <w:rPr>
                <w:rFonts w:cs="Arial"/>
                <w:sz w:val="20"/>
                <w:szCs w:val="20"/>
                <w:lang w:eastAsia="en-AU"/>
              </w:rPr>
              <w:t xml:space="preserve"> 107-120.</w:t>
            </w:r>
          </w:p>
        </w:tc>
        <w:tc>
          <w:tcPr>
            <w:tcW w:w="4270" w:type="dxa"/>
          </w:tcPr>
          <w:p w14:paraId="576BBCA1" w14:textId="77777777" w:rsidR="00084B2B" w:rsidRPr="005176BD" w:rsidRDefault="00084B2B" w:rsidP="003B611A">
            <w:pPr>
              <w:rPr>
                <w:rFonts w:cs="Arial"/>
                <w:sz w:val="20"/>
                <w:szCs w:val="20"/>
                <w:lang w:eastAsia="en-AU"/>
              </w:rPr>
            </w:pPr>
            <w:r w:rsidRPr="005176BD">
              <w:rPr>
                <w:rFonts w:cs="Arial"/>
                <w:sz w:val="20"/>
                <w:szCs w:val="20"/>
                <w:lang w:eastAsia="en-AU"/>
              </w:rPr>
              <w:t>Byles JE.</w:t>
            </w:r>
          </w:p>
        </w:tc>
        <w:tc>
          <w:tcPr>
            <w:tcW w:w="455" w:type="dxa"/>
          </w:tcPr>
          <w:p w14:paraId="5B3049EC" w14:textId="6E22F52B" w:rsidR="00084B2B" w:rsidRPr="005176BD" w:rsidRDefault="00F5504C" w:rsidP="003B611A">
            <w:pPr>
              <w:rPr>
                <w:rFonts w:cs="Arial"/>
                <w:sz w:val="20"/>
                <w:szCs w:val="20"/>
                <w:lang w:eastAsia="en-AU"/>
              </w:rPr>
            </w:pPr>
            <w:r w:rsidRPr="005176BD">
              <w:rPr>
                <w:rFonts w:cs="Arial"/>
                <w:sz w:val="20"/>
                <w:szCs w:val="20"/>
                <w:lang w:eastAsia="en-AU"/>
              </w:rPr>
              <w:t>9</w:t>
            </w:r>
          </w:p>
        </w:tc>
      </w:tr>
      <w:tr w:rsidR="00084B2B" w:rsidRPr="005176BD" w14:paraId="70F74C47" w14:textId="77777777" w:rsidTr="0011030B">
        <w:tc>
          <w:tcPr>
            <w:tcW w:w="9130" w:type="dxa"/>
          </w:tcPr>
          <w:p w14:paraId="5C87A394" w14:textId="77777777" w:rsidR="00084B2B" w:rsidRPr="005176BD" w:rsidRDefault="00084B2B" w:rsidP="003B611A">
            <w:pPr>
              <w:rPr>
                <w:rFonts w:cs="Arial"/>
                <w:sz w:val="20"/>
                <w:szCs w:val="20"/>
                <w:lang w:eastAsia="en-AU"/>
              </w:rPr>
            </w:pPr>
            <w:r w:rsidRPr="005176BD">
              <w:rPr>
                <w:rFonts w:cs="Arial"/>
                <w:sz w:val="20"/>
                <w:szCs w:val="20"/>
                <w:lang w:eastAsia="en-AU"/>
              </w:rPr>
              <w:t>Prevalence and characteristics of older Australian women who consult dentists. Australian Journal of Rural Health, 2007; 15(6): 387-388.</w:t>
            </w:r>
          </w:p>
        </w:tc>
        <w:tc>
          <w:tcPr>
            <w:tcW w:w="4270" w:type="dxa"/>
          </w:tcPr>
          <w:p w14:paraId="5A9B44F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Sibbritt D, Byles J &amp; Cockrell D. </w:t>
            </w:r>
          </w:p>
        </w:tc>
        <w:tc>
          <w:tcPr>
            <w:tcW w:w="455" w:type="dxa"/>
          </w:tcPr>
          <w:p w14:paraId="11B1E6FE" w14:textId="4226E3EE"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5176BD" w14:paraId="7E8B4C66" w14:textId="77777777" w:rsidTr="0011030B">
        <w:tc>
          <w:tcPr>
            <w:tcW w:w="9130" w:type="dxa"/>
          </w:tcPr>
          <w:p w14:paraId="5A362DDD" w14:textId="00F951D1" w:rsidR="00084B2B" w:rsidRPr="005176BD" w:rsidRDefault="00084B2B" w:rsidP="003B611A">
            <w:pPr>
              <w:rPr>
                <w:rFonts w:cs="Arial"/>
                <w:sz w:val="20"/>
                <w:szCs w:val="20"/>
                <w:lang w:eastAsia="en-AU"/>
              </w:rPr>
            </w:pPr>
            <w:r w:rsidRPr="005176BD">
              <w:rPr>
                <w:rFonts w:cs="Arial"/>
                <w:sz w:val="20"/>
                <w:szCs w:val="20"/>
                <w:lang w:eastAsia="en-AU"/>
              </w:rPr>
              <w:t xml:space="preserve">Older women in Australia: Aging in urban, rural and remote environments. Australasian Journal on Ageing, </w:t>
            </w:r>
            <w:r w:rsidR="009A7725" w:rsidRPr="005176BD">
              <w:rPr>
                <w:rFonts w:cs="Arial"/>
                <w:sz w:val="20"/>
                <w:szCs w:val="20"/>
                <w:lang w:eastAsia="en-AU"/>
              </w:rPr>
              <w:t xml:space="preserve">2006; </w:t>
            </w:r>
            <w:r w:rsidRPr="005176BD">
              <w:rPr>
                <w:rFonts w:cs="Arial"/>
                <w:sz w:val="20"/>
                <w:szCs w:val="20"/>
                <w:lang w:eastAsia="en-AU"/>
              </w:rPr>
              <w:t>25(3)</w:t>
            </w:r>
            <w:r w:rsidR="009A7725" w:rsidRPr="005176BD">
              <w:rPr>
                <w:rFonts w:cs="Arial"/>
                <w:sz w:val="20"/>
                <w:szCs w:val="20"/>
                <w:lang w:eastAsia="en-AU"/>
              </w:rPr>
              <w:t>:</w:t>
            </w:r>
            <w:r w:rsidRPr="005176BD">
              <w:rPr>
                <w:rFonts w:cs="Arial"/>
                <w:sz w:val="20"/>
                <w:szCs w:val="20"/>
                <w:lang w:eastAsia="en-AU"/>
              </w:rPr>
              <w:t xml:space="preserve"> 151-157.</w:t>
            </w:r>
          </w:p>
        </w:tc>
        <w:tc>
          <w:tcPr>
            <w:tcW w:w="4270" w:type="dxa"/>
          </w:tcPr>
          <w:p w14:paraId="6B8A4AAE" w14:textId="77777777" w:rsidR="00084B2B" w:rsidRPr="005176BD" w:rsidRDefault="00084B2B" w:rsidP="003B611A">
            <w:pPr>
              <w:rPr>
                <w:rFonts w:cs="Arial"/>
                <w:sz w:val="20"/>
                <w:szCs w:val="20"/>
                <w:lang w:eastAsia="en-AU"/>
              </w:rPr>
            </w:pPr>
            <w:r w:rsidRPr="005176BD">
              <w:rPr>
                <w:rFonts w:cs="Arial"/>
                <w:sz w:val="20"/>
                <w:szCs w:val="20"/>
                <w:lang w:eastAsia="en-AU"/>
              </w:rPr>
              <w:t>Byles J, Powers J, Chojenta C &amp; Warner-Smith P.</w:t>
            </w:r>
          </w:p>
        </w:tc>
        <w:tc>
          <w:tcPr>
            <w:tcW w:w="455" w:type="dxa"/>
          </w:tcPr>
          <w:p w14:paraId="335FD56C" w14:textId="2E2DA865" w:rsidR="00084B2B" w:rsidRPr="005176BD" w:rsidRDefault="00F5504C" w:rsidP="003B611A">
            <w:pPr>
              <w:rPr>
                <w:rFonts w:cs="Arial"/>
                <w:sz w:val="20"/>
                <w:szCs w:val="20"/>
                <w:lang w:eastAsia="en-AU"/>
              </w:rPr>
            </w:pPr>
            <w:r w:rsidRPr="005176BD">
              <w:rPr>
                <w:rFonts w:cs="Arial"/>
                <w:sz w:val="20"/>
                <w:szCs w:val="20"/>
                <w:lang w:eastAsia="en-AU"/>
              </w:rPr>
              <w:t>30</w:t>
            </w:r>
          </w:p>
        </w:tc>
      </w:tr>
      <w:tr w:rsidR="00084B2B" w:rsidRPr="005176BD" w14:paraId="37733ADF" w14:textId="77777777" w:rsidTr="0011030B">
        <w:tc>
          <w:tcPr>
            <w:tcW w:w="9130" w:type="dxa"/>
          </w:tcPr>
          <w:p w14:paraId="40FEDFCA" w14:textId="44FE5B42" w:rsidR="00084B2B" w:rsidRPr="005176BD" w:rsidRDefault="00084B2B" w:rsidP="003B611A">
            <w:pPr>
              <w:rPr>
                <w:rFonts w:cs="Arial"/>
                <w:sz w:val="20"/>
                <w:szCs w:val="20"/>
                <w:lang w:eastAsia="en-AU"/>
              </w:rPr>
            </w:pPr>
            <w:r w:rsidRPr="005176BD">
              <w:rPr>
                <w:rFonts w:cs="Arial"/>
                <w:sz w:val="20"/>
                <w:szCs w:val="20"/>
                <w:lang w:eastAsia="en-AU"/>
              </w:rPr>
              <w:t xml:space="preserve">The big picture: The health and wellbeing of three generations of women in rural and remote areas of Australia. Health Sociology Review, </w:t>
            </w:r>
            <w:r w:rsidR="009A7725" w:rsidRPr="005176BD">
              <w:rPr>
                <w:rFonts w:cs="Arial"/>
                <w:sz w:val="20"/>
                <w:szCs w:val="20"/>
                <w:lang w:eastAsia="en-AU"/>
              </w:rPr>
              <w:t xml:space="preserve">2004; </w:t>
            </w:r>
            <w:r w:rsidRPr="005176BD">
              <w:rPr>
                <w:rFonts w:cs="Arial"/>
                <w:sz w:val="20"/>
                <w:szCs w:val="20"/>
                <w:lang w:eastAsia="en-AU"/>
              </w:rPr>
              <w:t>13(1)</w:t>
            </w:r>
            <w:r w:rsidR="009A7725" w:rsidRPr="005176BD">
              <w:rPr>
                <w:rFonts w:cs="Arial"/>
                <w:sz w:val="20"/>
                <w:szCs w:val="20"/>
                <w:lang w:eastAsia="en-AU"/>
              </w:rPr>
              <w:t>:</w:t>
            </w:r>
            <w:r w:rsidRPr="005176BD">
              <w:rPr>
                <w:rFonts w:cs="Arial"/>
                <w:sz w:val="20"/>
                <w:szCs w:val="20"/>
                <w:lang w:eastAsia="en-AU"/>
              </w:rPr>
              <w:t xml:space="preserve"> 15-26. </w:t>
            </w:r>
          </w:p>
        </w:tc>
        <w:tc>
          <w:tcPr>
            <w:tcW w:w="4270" w:type="dxa"/>
          </w:tcPr>
          <w:p w14:paraId="0CDC103E" w14:textId="77777777" w:rsidR="00084B2B" w:rsidRPr="005176BD" w:rsidRDefault="00084B2B" w:rsidP="003B611A">
            <w:pPr>
              <w:rPr>
                <w:rFonts w:cs="Arial"/>
                <w:sz w:val="20"/>
                <w:szCs w:val="20"/>
                <w:lang w:eastAsia="en-AU"/>
              </w:rPr>
            </w:pPr>
            <w:r w:rsidRPr="005176BD">
              <w:rPr>
                <w:rFonts w:cs="Arial"/>
                <w:sz w:val="20"/>
                <w:szCs w:val="20"/>
                <w:lang w:eastAsia="en-AU"/>
              </w:rPr>
              <w:t xml:space="preserve">Warner-Smith P, Bryson L &amp; Byles J. </w:t>
            </w:r>
          </w:p>
        </w:tc>
        <w:tc>
          <w:tcPr>
            <w:tcW w:w="455" w:type="dxa"/>
          </w:tcPr>
          <w:p w14:paraId="7167D56A" w14:textId="45AC313C" w:rsidR="00084B2B" w:rsidRPr="005176BD" w:rsidRDefault="00F5504C" w:rsidP="003B611A">
            <w:pPr>
              <w:rPr>
                <w:rFonts w:cs="Arial"/>
                <w:sz w:val="20"/>
                <w:szCs w:val="20"/>
                <w:lang w:eastAsia="en-AU"/>
              </w:rPr>
            </w:pPr>
            <w:r w:rsidRPr="005176BD">
              <w:rPr>
                <w:rFonts w:cs="Arial"/>
                <w:sz w:val="20"/>
                <w:szCs w:val="20"/>
                <w:lang w:eastAsia="en-AU"/>
              </w:rPr>
              <w:t>11</w:t>
            </w:r>
          </w:p>
        </w:tc>
      </w:tr>
      <w:tr w:rsidR="00084B2B" w:rsidRPr="005176BD" w14:paraId="1C95DAF3" w14:textId="77777777" w:rsidTr="0011030B">
        <w:tc>
          <w:tcPr>
            <w:tcW w:w="9130" w:type="dxa"/>
          </w:tcPr>
          <w:p w14:paraId="5AA63E20" w14:textId="7E722434" w:rsidR="00084B2B" w:rsidRPr="005176BD" w:rsidRDefault="00084B2B" w:rsidP="003B611A">
            <w:pPr>
              <w:rPr>
                <w:rFonts w:cs="Arial"/>
                <w:sz w:val="20"/>
                <w:szCs w:val="20"/>
                <w:lang w:eastAsia="en-AU"/>
              </w:rPr>
            </w:pPr>
            <w:r w:rsidRPr="005176BD">
              <w:rPr>
                <w:rFonts w:cs="Arial"/>
                <w:sz w:val="20"/>
                <w:szCs w:val="20"/>
                <w:lang w:eastAsia="en-AU"/>
              </w:rPr>
              <w:t>The decline in bulk billing and increase in out-of-pocket costs for general practice consultations in rural areas of Australia, 1995-2001. Medical Journal of Australia, 2003; 178: 122-126</w:t>
            </w:r>
            <w:r w:rsidR="009A7725" w:rsidRPr="005176BD">
              <w:rPr>
                <w:rFonts w:cs="Arial"/>
                <w:sz w:val="20"/>
                <w:szCs w:val="20"/>
                <w:lang w:eastAsia="en-AU"/>
              </w:rPr>
              <w:t>.</w:t>
            </w:r>
          </w:p>
        </w:tc>
        <w:tc>
          <w:tcPr>
            <w:tcW w:w="4270" w:type="dxa"/>
          </w:tcPr>
          <w:p w14:paraId="36AA258C" w14:textId="77777777" w:rsidR="00084B2B" w:rsidRPr="005176BD" w:rsidRDefault="00084B2B" w:rsidP="003B611A">
            <w:pPr>
              <w:rPr>
                <w:rFonts w:cs="Arial"/>
                <w:sz w:val="20"/>
                <w:szCs w:val="20"/>
                <w:lang w:eastAsia="en-AU"/>
              </w:rPr>
            </w:pPr>
            <w:r w:rsidRPr="005176BD">
              <w:rPr>
                <w:rFonts w:cs="Arial"/>
                <w:sz w:val="20"/>
                <w:szCs w:val="20"/>
                <w:lang w:eastAsia="en-AU"/>
              </w:rPr>
              <w:t>Young AF &amp; Dobson AJ.</w:t>
            </w:r>
          </w:p>
        </w:tc>
        <w:tc>
          <w:tcPr>
            <w:tcW w:w="455" w:type="dxa"/>
          </w:tcPr>
          <w:p w14:paraId="386F301F" w14:textId="2D51E195" w:rsidR="00084B2B" w:rsidRPr="005176BD" w:rsidRDefault="00F5504C" w:rsidP="003B611A">
            <w:pPr>
              <w:rPr>
                <w:rFonts w:cs="Arial"/>
                <w:sz w:val="20"/>
                <w:szCs w:val="20"/>
                <w:lang w:eastAsia="en-AU"/>
              </w:rPr>
            </w:pPr>
            <w:r w:rsidRPr="005176BD">
              <w:rPr>
                <w:rFonts w:cs="Arial"/>
                <w:sz w:val="20"/>
                <w:szCs w:val="20"/>
                <w:lang w:eastAsia="en-AU"/>
              </w:rPr>
              <w:t>52</w:t>
            </w:r>
          </w:p>
        </w:tc>
      </w:tr>
    </w:tbl>
    <w:p w14:paraId="7F7C35B2" w14:textId="6588614B" w:rsidR="00084B2B" w:rsidRPr="00084B2B" w:rsidRDefault="00084B2B" w:rsidP="003B611A">
      <w:pPr>
        <w:pStyle w:val="Heading2"/>
        <w:ind w:left="578" w:hanging="578"/>
      </w:pPr>
      <w:bookmarkStart w:id="75" w:name="_Toc530561284"/>
      <w:r w:rsidRPr="00084B2B">
        <w:t>Health services systems</w:t>
      </w:r>
      <w:bookmarkEnd w:id="75"/>
    </w:p>
    <w:tbl>
      <w:tblPr>
        <w:tblStyle w:val="TableGrid1"/>
        <w:tblW w:w="13855" w:type="dxa"/>
        <w:tblLook w:val="04A0" w:firstRow="1" w:lastRow="0" w:firstColumn="1" w:lastColumn="0" w:noHBand="0" w:noVBand="1"/>
        <w:tblCaption w:val="Category: Health services systems"/>
      </w:tblPr>
      <w:tblGrid>
        <w:gridCol w:w="8516"/>
        <w:gridCol w:w="4002"/>
        <w:gridCol w:w="1337"/>
      </w:tblGrid>
      <w:tr w:rsidR="00084B2B" w:rsidRPr="00084B2B" w14:paraId="52B70220" w14:textId="77777777" w:rsidTr="0011030B">
        <w:trPr>
          <w:tblHeader/>
        </w:trPr>
        <w:tc>
          <w:tcPr>
            <w:tcW w:w="9196" w:type="dxa"/>
            <w:shd w:val="clear" w:color="auto" w:fill="F1E9F3"/>
          </w:tcPr>
          <w:p w14:paraId="5B24F090" w14:textId="77777777" w:rsidR="00084B2B" w:rsidRPr="00084B2B" w:rsidRDefault="00084B2B" w:rsidP="003B611A">
            <w:pPr>
              <w:rPr>
                <w:rFonts w:cstheme="minorHAnsi"/>
                <w:b/>
                <w:sz w:val="24"/>
                <w:szCs w:val="24"/>
              </w:rPr>
            </w:pPr>
            <w:r w:rsidRPr="00084B2B">
              <w:rPr>
                <w:rFonts w:cstheme="minorHAnsi"/>
                <w:b/>
                <w:sz w:val="24"/>
                <w:szCs w:val="24"/>
              </w:rPr>
              <w:t>Details</w:t>
            </w:r>
          </w:p>
        </w:tc>
        <w:tc>
          <w:tcPr>
            <w:tcW w:w="4298" w:type="dxa"/>
            <w:shd w:val="clear" w:color="auto" w:fill="F1E9F3"/>
          </w:tcPr>
          <w:p w14:paraId="332DAABE" w14:textId="77777777" w:rsidR="00084B2B" w:rsidRPr="00084B2B" w:rsidRDefault="00084B2B" w:rsidP="003B611A">
            <w:pPr>
              <w:rPr>
                <w:rFonts w:cstheme="minorHAnsi"/>
                <w:b/>
                <w:sz w:val="24"/>
                <w:szCs w:val="24"/>
              </w:rPr>
            </w:pPr>
            <w:r w:rsidRPr="00084B2B">
              <w:rPr>
                <w:rFonts w:cstheme="minorHAnsi"/>
                <w:b/>
                <w:sz w:val="24"/>
                <w:szCs w:val="24"/>
              </w:rPr>
              <w:t>Authors</w:t>
            </w:r>
          </w:p>
        </w:tc>
        <w:tc>
          <w:tcPr>
            <w:tcW w:w="361" w:type="dxa"/>
            <w:shd w:val="clear" w:color="auto" w:fill="F1E9F3"/>
          </w:tcPr>
          <w:p w14:paraId="79FBFA1C" w14:textId="0924422E" w:rsidR="00084B2B" w:rsidRPr="00084B2B" w:rsidRDefault="00084B2B" w:rsidP="003B611A">
            <w:pPr>
              <w:rPr>
                <w:rFonts w:cstheme="minorHAnsi"/>
                <w:b/>
                <w:sz w:val="24"/>
                <w:szCs w:val="24"/>
              </w:rPr>
            </w:pPr>
            <w:r w:rsidRPr="00084B2B">
              <w:rPr>
                <w:rFonts w:cstheme="minorHAnsi"/>
                <w:b/>
                <w:sz w:val="24"/>
                <w:szCs w:val="24"/>
              </w:rPr>
              <w:t>Citations</w:t>
            </w:r>
            <w:r w:rsidR="0011030B">
              <w:rPr>
                <w:rFonts w:cstheme="minorHAnsi"/>
                <w:b/>
                <w:sz w:val="24"/>
                <w:szCs w:val="24"/>
              </w:rPr>
              <w:t>*</w:t>
            </w:r>
          </w:p>
        </w:tc>
      </w:tr>
      <w:tr w:rsidR="00084B2B" w:rsidRPr="00084B2B" w14:paraId="42F49435" w14:textId="77777777" w:rsidTr="0011030B">
        <w:tc>
          <w:tcPr>
            <w:tcW w:w="9196" w:type="dxa"/>
          </w:tcPr>
          <w:p w14:paraId="51D96C80" w14:textId="2AC35239" w:rsidR="00084B2B" w:rsidRPr="005176BD" w:rsidRDefault="00084B2B" w:rsidP="003B611A">
            <w:pPr>
              <w:rPr>
                <w:rFonts w:cs="Arial"/>
                <w:sz w:val="20"/>
                <w:szCs w:val="20"/>
                <w:lang w:eastAsia="en-AU"/>
              </w:rPr>
            </w:pPr>
            <w:r w:rsidRPr="005176BD">
              <w:rPr>
                <w:rFonts w:cs="Arial"/>
                <w:sz w:val="20"/>
                <w:szCs w:val="20"/>
                <w:lang w:eastAsia="en-AU"/>
              </w:rPr>
              <w:t>Rehabilitation and convalescent hospital stay in New South Wales: An analysis of 3,979 women aged 75+. Australian and New Zealand Journal of Public Health, 2017</w:t>
            </w:r>
            <w:r w:rsidR="009A7725" w:rsidRPr="005176BD">
              <w:rPr>
                <w:rFonts w:cs="Arial"/>
                <w:sz w:val="20"/>
                <w:szCs w:val="20"/>
                <w:lang w:eastAsia="en-AU"/>
              </w:rPr>
              <w:t>;</w:t>
            </w:r>
            <w:r w:rsidR="00922DFC" w:rsidRPr="005176BD">
              <w:rPr>
                <w:rFonts w:cs="Arial"/>
                <w:sz w:val="20"/>
                <w:szCs w:val="20"/>
                <w:lang w:eastAsia="en-AU"/>
              </w:rPr>
              <w:t xml:space="preserve"> 42(2)</w:t>
            </w:r>
            <w:r w:rsidR="009A7725" w:rsidRPr="005176BD">
              <w:rPr>
                <w:rFonts w:cs="Arial"/>
                <w:sz w:val="20"/>
                <w:szCs w:val="20"/>
                <w:lang w:eastAsia="en-AU"/>
              </w:rPr>
              <w:t>:</w:t>
            </w:r>
            <w:r w:rsidR="00922DFC" w:rsidRPr="005176BD">
              <w:rPr>
                <w:rFonts w:cs="Arial"/>
                <w:sz w:val="20"/>
                <w:szCs w:val="20"/>
                <w:lang w:eastAsia="en-AU"/>
              </w:rPr>
              <w:t xml:space="preserve"> 195-199.</w:t>
            </w:r>
          </w:p>
        </w:tc>
        <w:tc>
          <w:tcPr>
            <w:tcW w:w="4298" w:type="dxa"/>
          </w:tcPr>
          <w:p w14:paraId="1D245367" w14:textId="77777777" w:rsidR="00084B2B" w:rsidRPr="005176BD" w:rsidRDefault="00084B2B" w:rsidP="003B611A">
            <w:pPr>
              <w:rPr>
                <w:rFonts w:cs="Arial"/>
                <w:sz w:val="20"/>
                <w:szCs w:val="20"/>
                <w:lang w:eastAsia="en-AU"/>
              </w:rPr>
            </w:pPr>
            <w:r w:rsidRPr="005176BD">
              <w:rPr>
                <w:rFonts w:cs="Arial"/>
                <w:sz w:val="20"/>
                <w:szCs w:val="20"/>
                <w:lang w:eastAsia="en-AU"/>
              </w:rPr>
              <w:t>Chojenta C, Byles J &amp; Nair B.</w:t>
            </w:r>
          </w:p>
        </w:tc>
        <w:tc>
          <w:tcPr>
            <w:tcW w:w="361" w:type="dxa"/>
          </w:tcPr>
          <w:p w14:paraId="15A05549" w14:textId="2200DF37" w:rsidR="00084B2B" w:rsidRPr="005176BD" w:rsidRDefault="00084B2B" w:rsidP="003B611A">
            <w:pPr>
              <w:rPr>
                <w:rFonts w:cs="Arial"/>
                <w:sz w:val="20"/>
                <w:szCs w:val="20"/>
                <w:lang w:eastAsia="en-AU"/>
              </w:rPr>
            </w:pPr>
          </w:p>
        </w:tc>
      </w:tr>
      <w:tr w:rsidR="00084B2B" w:rsidRPr="00084B2B" w14:paraId="746243C9" w14:textId="77777777" w:rsidTr="0011030B">
        <w:tc>
          <w:tcPr>
            <w:tcW w:w="9196" w:type="dxa"/>
          </w:tcPr>
          <w:p w14:paraId="3BE6820E" w14:textId="108B263A" w:rsidR="00084B2B" w:rsidRPr="005176BD" w:rsidRDefault="00084B2B" w:rsidP="003B611A">
            <w:pPr>
              <w:rPr>
                <w:rFonts w:cs="Arial"/>
                <w:sz w:val="20"/>
                <w:szCs w:val="20"/>
                <w:lang w:eastAsia="en-AU"/>
              </w:rPr>
            </w:pPr>
            <w:r w:rsidRPr="005176BD">
              <w:rPr>
                <w:rFonts w:cs="Arial"/>
                <w:sz w:val="20"/>
                <w:szCs w:val="20"/>
                <w:lang w:eastAsia="en-AU"/>
              </w:rPr>
              <w:t>Associations between physical activity, medical costs and hospitalisations in older Australian women: Results from the Australian Longitudinal Study on Women’s Health. Journal of Science and Medicine in Sport, 2017</w:t>
            </w:r>
            <w:r w:rsidR="009A7725" w:rsidRPr="005176BD">
              <w:rPr>
                <w:rFonts w:cs="Arial"/>
                <w:sz w:val="20"/>
                <w:szCs w:val="20"/>
                <w:lang w:eastAsia="en-AU"/>
              </w:rPr>
              <w:t>;</w:t>
            </w:r>
            <w:r w:rsidRPr="005176BD">
              <w:rPr>
                <w:rFonts w:cs="Arial"/>
                <w:sz w:val="20"/>
                <w:szCs w:val="20"/>
                <w:lang w:eastAsia="en-AU"/>
              </w:rPr>
              <w:t xml:space="preserve"> 21(6)</w:t>
            </w:r>
            <w:r w:rsidR="009A7725" w:rsidRPr="005176BD">
              <w:rPr>
                <w:rFonts w:cs="Arial"/>
                <w:sz w:val="20"/>
                <w:szCs w:val="20"/>
                <w:lang w:eastAsia="en-AU"/>
              </w:rPr>
              <w:t xml:space="preserve">: </w:t>
            </w:r>
            <w:r w:rsidRPr="005176BD">
              <w:rPr>
                <w:rFonts w:cs="Arial"/>
                <w:sz w:val="20"/>
                <w:szCs w:val="20"/>
                <w:lang w:eastAsia="en-AU"/>
              </w:rPr>
              <w:t>604-608</w:t>
            </w:r>
            <w:r w:rsidR="009A7725" w:rsidRPr="005176BD">
              <w:rPr>
                <w:rFonts w:cs="Arial"/>
                <w:sz w:val="20"/>
                <w:szCs w:val="20"/>
                <w:lang w:eastAsia="en-AU"/>
              </w:rPr>
              <w:t>.</w:t>
            </w:r>
          </w:p>
        </w:tc>
        <w:tc>
          <w:tcPr>
            <w:tcW w:w="4298" w:type="dxa"/>
          </w:tcPr>
          <w:p w14:paraId="151833E5" w14:textId="77777777" w:rsidR="00084B2B" w:rsidRPr="005176BD" w:rsidRDefault="00084B2B" w:rsidP="003B611A">
            <w:pPr>
              <w:rPr>
                <w:rFonts w:cs="Arial"/>
                <w:sz w:val="20"/>
                <w:szCs w:val="20"/>
                <w:lang w:eastAsia="en-AU"/>
              </w:rPr>
            </w:pPr>
            <w:r w:rsidRPr="005176BD">
              <w:rPr>
                <w:rFonts w:cs="Arial"/>
                <w:sz w:val="20"/>
                <w:szCs w:val="20"/>
                <w:lang w:eastAsia="en-AU"/>
              </w:rPr>
              <w:t>Peeters GMEE, Gardiner PA, Dobson AJ &amp; Brown WJ.</w:t>
            </w:r>
          </w:p>
        </w:tc>
        <w:tc>
          <w:tcPr>
            <w:tcW w:w="361" w:type="dxa"/>
          </w:tcPr>
          <w:p w14:paraId="5C8BA5BE" w14:textId="7DC03D00"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37A41384" w14:textId="77777777" w:rsidTr="0011030B">
        <w:tc>
          <w:tcPr>
            <w:tcW w:w="9196" w:type="dxa"/>
          </w:tcPr>
          <w:p w14:paraId="78CF6715" w14:textId="6D627126" w:rsidR="00084B2B" w:rsidRPr="005176BD" w:rsidRDefault="009D447F" w:rsidP="003B611A">
            <w:pPr>
              <w:rPr>
                <w:rFonts w:cs="Arial"/>
                <w:sz w:val="20"/>
                <w:szCs w:val="20"/>
                <w:lang w:eastAsia="en-AU"/>
              </w:rPr>
            </w:pPr>
            <w:r w:rsidRPr="005176BD">
              <w:rPr>
                <w:rFonts w:cs="Arial"/>
                <w:sz w:val="20"/>
                <w:szCs w:val="20"/>
                <w:lang w:eastAsia="en-AU"/>
              </w:rPr>
              <w:t>P</w:t>
            </w:r>
            <w:r w:rsidR="00084B2B" w:rsidRPr="005176BD">
              <w:rPr>
                <w:rFonts w:cs="Arial"/>
                <w:sz w:val="20"/>
                <w:szCs w:val="20"/>
                <w:lang w:eastAsia="en-AU"/>
              </w:rPr>
              <w:t>atterns of hospitalization risk for women surviving into very old age: Findings from the Australian Longitudinal Study on Women's Health. Medical Care, 2017</w:t>
            </w:r>
            <w:r w:rsidR="00521CBD" w:rsidRPr="005176BD">
              <w:rPr>
                <w:rFonts w:cs="Arial"/>
                <w:sz w:val="20"/>
                <w:szCs w:val="20"/>
                <w:lang w:eastAsia="en-AU"/>
              </w:rPr>
              <w:t xml:space="preserve">; </w:t>
            </w:r>
            <w:r w:rsidR="00084B2B" w:rsidRPr="005176BD">
              <w:rPr>
                <w:rFonts w:cs="Arial"/>
                <w:sz w:val="20"/>
                <w:szCs w:val="20"/>
                <w:lang w:eastAsia="en-AU"/>
              </w:rPr>
              <w:t>55(4)</w:t>
            </w:r>
            <w:r w:rsidR="00521CBD" w:rsidRPr="005176BD">
              <w:rPr>
                <w:rFonts w:cs="Arial"/>
                <w:sz w:val="20"/>
                <w:szCs w:val="20"/>
                <w:lang w:eastAsia="en-AU"/>
              </w:rPr>
              <w:t>:</w:t>
            </w:r>
            <w:r w:rsidR="00084B2B" w:rsidRPr="005176BD">
              <w:rPr>
                <w:rFonts w:cs="Arial"/>
                <w:sz w:val="20"/>
                <w:szCs w:val="20"/>
                <w:lang w:eastAsia="en-AU"/>
              </w:rPr>
              <w:t xml:space="preserve"> 352-361</w:t>
            </w:r>
            <w:r w:rsidR="00521CBD" w:rsidRPr="005176BD">
              <w:rPr>
                <w:rFonts w:cs="Arial"/>
                <w:sz w:val="20"/>
                <w:szCs w:val="20"/>
                <w:lang w:eastAsia="en-AU"/>
              </w:rPr>
              <w:t>.</w:t>
            </w:r>
          </w:p>
        </w:tc>
        <w:tc>
          <w:tcPr>
            <w:tcW w:w="4298" w:type="dxa"/>
          </w:tcPr>
          <w:p w14:paraId="47B29494" w14:textId="77777777" w:rsidR="00084B2B" w:rsidRPr="005176BD" w:rsidRDefault="00084B2B" w:rsidP="003B611A">
            <w:pPr>
              <w:rPr>
                <w:rFonts w:cs="Arial"/>
                <w:sz w:val="20"/>
                <w:szCs w:val="20"/>
                <w:lang w:eastAsia="en-AU"/>
              </w:rPr>
            </w:pPr>
            <w:r w:rsidRPr="005176BD">
              <w:rPr>
                <w:rFonts w:cs="Arial"/>
                <w:sz w:val="20"/>
                <w:szCs w:val="20"/>
                <w:lang w:eastAsia="en-AU"/>
              </w:rPr>
              <w:t xml:space="preserve">Dolja-Gore X, Harris M, </w:t>
            </w:r>
            <w:proofErr w:type="spellStart"/>
            <w:r w:rsidRPr="005176BD">
              <w:rPr>
                <w:rFonts w:cs="Arial"/>
                <w:sz w:val="20"/>
                <w:szCs w:val="20"/>
                <w:lang w:eastAsia="en-AU"/>
              </w:rPr>
              <w:t>Hendig</w:t>
            </w:r>
            <w:proofErr w:type="spellEnd"/>
            <w:r w:rsidRPr="005176BD">
              <w:rPr>
                <w:rFonts w:cs="Arial"/>
                <w:sz w:val="20"/>
                <w:szCs w:val="20"/>
                <w:lang w:eastAsia="en-AU"/>
              </w:rPr>
              <w:t xml:space="preserve"> H &amp; Byles JE.</w:t>
            </w:r>
          </w:p>
        </w:tc>
        <w:tc>
          <w:tcPr>
            <w:tcW w:w="361" w:type="dxa"/>
          </w:tcPr>
          <w:p w14:paraId="28FAC6A9" w14:textId="7C259FCC"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084B2B" w14:paraId="0F0D07AE" w14:textId="77777777" w:rsidTr="0011030B">
        <w:tc>
          <w:tcPr>
            <w:tcW w:w="9196" w:type="dxa"/>
          </w:tcPr>
          <w:p w14:paraId="2C8D8BCA" w14:textId="36999379" w:rsidR="00084B2B" w:rsidRPr="005176BD" w:rsidRDefault="00084B2B" w:rsidP="003B611A">
            <w:pPr>
              <w:rPr>
                <w:rFonts w:cs="Arial"/>
                <w:sz w:val="20"/>
                <w:szCs w:val="20"/>
                <w:lang w:eastAsia="en-AU"/>
              </w:rPr>
            </w:pPr>
            <w:r w:rsidRPr="005176BD">
              <w:rPr>
                <w:rFonts w:cs="Arial"/>
                <w:sz w:val="20"/>
                <w:szCs w:val="20"/>
                <w:lang w:eastAsia="en-AU"/>
              </w:rPr>
              <w:t>The rise and fall in out-of-pocket costs in Australia: An analysis of the strengthening Medicare reforms. Health Economics, 2017</w:t>
            </w:r>
            <w:r w:rsidR="00521CBD" w:rsidRPr="005176BD">
              <w:rPr>
                <w:rFonts w:cs="Arial"/>
                <w:sz w:val="20"/>
                <w:szCs w:val="20"/>
                <w:lang w:eastAsia="en-AU"/>
              </w:rPr>
              <w:t xml:space="preserve">; </w:t>
            </w:r>
            <w:r w:rsidRPr="005176BD">
              <w:rPr>
                <w:rFonts w:cs="Arial"/>
                <w:sz w:val="20"/>
                <w:szCs w:val="20"/>
                <w:lang w:eastAsia="en-AU"/>
              </w:rPr>
              <w:t>26(8)</w:t>
            </w:r>
            <w:r w:rsidR="00521CBD" w:rsidRPr="005176BD">
              <w:rPr>
                <w:rFonts w:cs="Arial"/>
                <w:sz w:val="20"/>
                <w:szCs w:val="20"/>
                <w:lang w:eastAsia="en-AU"/>
              </w:rPr>
              <w:t xml:space="preserve">: </w:t>
            </w:r>
            <w:r w:rsidRPr="005176BD">
              <w:rPr>
                <w:rFonts w:cs="Arial"/>
                <w:sz w:val="20"/>
                <w:szCs w:val="20"/>
                <w:lang w:eastAsia="en-AU"/>
              </w:rPr>
              <w:t>962-979</w:t>
            </w:r>
            <w:r w:rsidR="00521CBD" w:rsidRPr="005176BD">
              <w:rPr>
                <w:rFonts w:cs="Arial"/>
                <w:sz w:val="20"/>
                <w:szCs w:val="20"/>
                <w:lang w:eastAsia="en-AU"/>
              </w:rPr>
              <w:t>.</w:t>
            </w:r>
          </w:p>
        </w:tc>
        <w:tc>
          <w:tcPr>
            <w:tcW w:w="4298" w:type="dxa"/>
          </w:tcPr>
          <w:p w14:paraId="4D38A03F" w14:textId="77777777" w:rsidR="00084B2B" w:rsidRPr="005176BD" w:rsidRDefault="00084B2B" w:rsidP="003B611A">
            <w:pPr>
              <w:rPr>
                <w:rFonts w:cs="Arial"/>
                <w:sz w:val="20"/>
                <w:szCs w:val="20"/>
                <w:lang w:eastAsia="en-AU"/>
              </w:rPr>
            </w:pPr>
            <w:r w:rsidRPr="005176BD">
              <w:rPr>
                <w:rFonts w:cs="Arial"/>
                <w:sz w:val="20"/>
                <w:szCs w:val="20"/>
                <w:lang w:eastAsia="en-AU"/>
              </w:rPr>
              <w:t>Wong CY, Greene J, Dolja-Gore X &amp; van Gool K.</w:t>
            </w:r>
          </w:p>
        </w:tc>
        <w:tc>
          <w:tcPr>
            <w:tcW w:w="361" w:type="dxa"/>
          </w:tcPr>
          <w:p w14:paraId="10685EE4" w14:textId="72F2725C"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51B626FC" w14:textId="77777777" w:rsidTr="0011030B">
        <w:tc>
          <w:tcPr>
            <w:tcW w:w="9196" w:type="dxa"/>
          </w:tcPr>
          <w:p w14:paraId="01EC5031" w14:textId="4217F383" w:rsidR="00084B2B" w:rsidRPr="005176BD" w:rsidRDefault="00084B2B" w:rsidP="003B611A">
            <w:pPr>
              <w:rPr>
                <w:rFonts w:cs="Arial"/>
                <w:sz w:val="20"/>
                <w:szCs w:val="20"/>
                <w:lang w:eastAsia="en-AU"/>
              </w:rPr>
            </w:pPr>
            <w:r w:rsidRPr="005176BD">
              <w:rPr>
                <w:rFonts w:cs="Arial"/>
                <w:sz w:val="20"/>
                <w:szCs w:val="20"/>
                <w:lang w:eastAsia="en-AU"/>
              </w:rPr>
              <w:t>Asthma Cycle of Care uptake among Australian older women with asthma. International Medicine Journal, 2016</w:t>
            </w:r>
            <w:r w:rsidR="00521CBD" w:rsidRPr="005176BD">
              <w:rPr>
                <w:rFonts w:cs="Arial"/>
                <w:sz w:val="20"/>
                <w:szCs w:val="20"/>
                <w:lang w:eastAsia="en-AU"/>
              </w:rPr>
              <w:t xml:space="preserve">; </w:t>
            </w:r>
            <w:r w:rsidRPr="005176BD">
              <w:rPr>
                <w:rFonts w:cs="Arial"/>
                <w:sz w:val="20"/>
                <w:szCs w:val="20"/>
                <w:lang w:eastAsia="en-AU"/>
              </w:rPr>
              <w:t>46(8)</w:t>
            </w:r>
            <w:r w:rsidR="00521CBD" w:rsidRPr="005176BD">
              <w:rPr>
                <w:rFonts w:cs="Arial"/>
                <w:sz w:val="20"/>
                <w:szCs w:val="20"/>
                <w:lang w:eastAsia="en-AU"/>
              </w:rPr>
              <w:t xml:space="preserve">: </w:t>
            </w:r>
            <w:r w:rsidRPr="005176BD">
              <w:rPr>
                <w:rFonts w:cs="Arial"/>
                <w:sz w:val="20"/>
                <w:szCs w:val="20"/>
                <w:lang w:eastAsia="en-AU"/>
              </w:rPr>
              <w:t>990-991</w:t>
            </w:r>
            <w:r w:rsidR="00521CBD" w:rsidRPr="005176BD">
              <w:rPr>
                <w:rFonts w:cs="Arial"/>
                <w:sz w:val="20"/>
                <w:szCs w:val="20"/>
                <w:lang w:eastAsia="en-AU"/>
              </w:rPr>
              <w:t>.</w:t>
            </w:r>
          </w:p>
        </w:tc>
        <w:tc>
          <w:tcPr>
            <w:tcW w:w="4298" w:type="dxa"/>
          </w:tcPr>
          <w:p w14:paraId="61CD2132"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Eftekhari</w:t>
            </w:r>
            <w:proofErr w:type="spellEnd"/>
            <w:r w:rsidRPr="005176BD">
              <w:rPr>
                <w:rFonts w:cs="Arial"/>
                <w:sz w:val="20"/>
                <w:szCs w:val="20"/>
                <w:lang w:eastAsia="en-AU"/>
              </w:rPr>
              <w:t xml:space="preserve"> P, Forder P &amp; Byles J.</w:t>
            </w:r>
          </w:p>
        </w:tc>
        <w:tc>
          <w:tcPr>
            <w:tcW w:w="361" w:type="dxa"/>
          </w:tcPr>
          <w:p w14:paraId="157F5A41" w14:textId="7E5563D2"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084B2B" w14:paraId="0D30F4AB" w14:textId="77777777" w:rsidTr="0011030B">
        <w:tc>
          <w:tcPr>
            <w:tcW w:w="9196" w:type="dxa"/>
          </w:tcPr>
          <w:p w14:paraId="5402744D" w14:textId="31BFE334" w:rsidR="00084B2B" w:rsidRPr="005176BD" w:rsidRDefault="00084B2B" w:rsidP="003B611A">
            <w:pPr>
              <w:rPr>
                <w:rFonts w:cs="Arial"/>
                <w:sz w:val="20"/>
                <w:szCs w:val="20"/>
                <w:lang w:eastAsia="en-AU"/>
              </w:rPr>
            </w:pPr>
            <w:r w:rsidRPr="005176BD">
              <w:rPr>
                <w:rFonts w:cs="Arial"/>
                <w:sz w:val="20"/>
                <w:szCs w:val="20"/>
                <w:lang w:eastAsia="en-AU"/>
              </w:rPr>
              <w:t>First incident hospitalisation for Australian women aged 70 and beyond: A 10 year examination using competing risks. Archives of Gerontology and Geriatrics, 2016</w:t>
            </w:r>
            <w:r w:rsidR="00521CBD" w:rsidRPr="005176BD">
              <w:rPr>
                <w:rFonts w:cs="Arial"/>
                <w:sz w:val="20"/>
                <w:szCs w:val="20"/>
                <w:lang w:eastAsia="en-AU"/>
              </w:rPr>
              <w:t xml:space="preserve">; </w:t>
            </w:r>
            <w:r w:rsidR="00D80AE5" w:rsidRPr="005176BD">
              <w:rPr>
                <w:rFonts w:cs="Arial"/>
                <w:sz w:val="20"/>
                <w:szCs w:val="20"/>
                <w:lang w:eastAsia="en-AU"/>
              </w:rPr>
              <w:t>64</w:t>
            </w:r>
            <w:r w:rsidR="00521CBD" w:rsidRPr="005176BD">
              <w:rPr>
                <w:rFonts w:cs="Arial"/>
                <w:sz w:val="20"/>
                <w:szCs w:val="20"/>
                <w:lang w:eastAsia="en-AU"/>
              </w:rPr>
              <w:t>:</w:t>
            </w:r>
            <w:r w:rsidR="00D80AE5" w:rsidRPr="005176BD">
              <w:rPr>
                <w:rFonts w:cs="Arial"/>
                <w:sz w:val="20"/>
                <w:szCs w:val="20"/>
                <w:lang w:eastAsia="en-AU"/>
              </w:rPr>
              <w:t xml:space="preserve"> 29-37.</w:t>
            </w:r>
          </w:p>
        </w:tc>
        <w:tc>
          <w:tcPr>
            <w:tcW w:w="4298" w:type="dxa"/>
          </w:tcPr>
          <w:p w14:paraId="7D34973E"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Harris ML, Dolja-Gore X, </w:t>
            </w:r>
            <w:proofErr w:type="spellStart"/>
            <w:r w:rsidRPr="005176BD">
              <w:rPr>
                <w:rFonts w:cs="Arial"/>
                <w:sz w:val="20"/>
                <w:szCs w:val="20"/>
                <w:lang w:eastAsia="en-AU"/>
              </w:rPr>
              <w:t>Kendig</w:t>
            </w:r>
            <w:proofErr w:type="spellEnd"/>
            <w:r w:rsidRPr="005176BD">
              <w:rPr>
                <w:rFonts w:cs="Arial"/>
                <w:sz w:val="20"/>
                <w:szCs w:val="20"/>
                <w:lang w:eastAsia="en-AU"/>
              </w:rPr>
              <w:t xml:space="preserve"> H &amp; Byles JE.</w:t>
            </w:r>
          </w:p>
        </w:tc>
        <w:tc>
          <w:tcPr>
            <w:tcW w:w="361" w:type="dxa"/>
          </w:tcPr>
          <w:p w14:paraId="659B2D97" w14:textId="1E077012"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084B2B" w14:paraId="6E0FEB60" w14:textId="77777777" w:rsidTr="0011030B">
        <w:tc>
          <w:tcPr>
            <w:tcW w:w="9196" w:type="dxa"/>
          </w:tcPr>
          <w:p w14:paraId="2A26EC6F" w14:textId="15EAED05" w:rsidR="00084B2B" w:rsidRPr="005176BD" w:rsidRDefault="00084B2B" w:rsidP="003B611A">
            <w:pPr>
              <w:rPr>
                <w:rFonts w:cs="Arial"/>
                <w:sz w:val="20"/>
                <w:szCs w:val="20"/>
                <w:lang w:eastAsia="en-AU"/>
              </w:rPr>
            </w:pPr>
            <w:r w:rsidRPr="005176BD">
              <w:rPr>
                <w:rFonts w:cs="Arial"/>
                <w:sz w:val="20"/>
                <w:szCs w:val="20"/>
                <w:lang w:eastAsia="en-AU"/>
              </w:rPr>
              <w:t>End of life hospitalisations differ for older Australian women according to death trajectory: A longitudinal data linkage study. BMC Health Services, 2016</w:t>
            </w:r>
            <w:r w:rsidR="00521CBD" w:rsidRPr="005176BD">
              <w:rPr>
                <w:rFonts w:cs="Arial"/>
                <w:sz w:val="20"/>
                <w:szCs w:val="20"/>
                <w:lang w:eastAsia="en-AU"/>
              </w:rPr>
              <w:t>;</w:t>
            </w:r>
            <w:r w:rsidRPr="005176BD">
              <w:rPr>
                <w:rFonts w:cs="Arial"/>
                <w:sz w:val="20"/>
                <w:szCs w:val="20"/>
                <w:lang w:eastAsia="en-AU"/>
              </w:rPr>
              <w:t xml:space="preserve"> 16(1)</w:t>
            </w:r>
            <w:r w:rsidR="00521CBD" w:rsidRPr="005176BD">
              <w:rPr>
                <w:rFonts w:cs="Arial"/>
                <w:sz w:val="20"/>
                <w:szCs w:val="20"/>
                <w:lang w:eastAsia="en-AU"/>
              </w:rPr>
              <w:t xml:space="preserve">: </w:t>
            </w:r>
            <w:r w:rsidRPr="005176BD">
              <w:rPr>
                <w:rFonts w:cs="Arial"/>
                <w:sz w:val="20"/>
                <w:szCs w:val="20"/>
                <w:lang w:eastAsia="en-AU"/>
              </w:rPr>
              <w:t>484</w:t>
            </w:r>
            <w:r w:rsidR="00521CBD" w:rsidRPr="005176BD">
              <w:rPr>
                <w:rFonts w:cs="Arial"/>
                <w:sz w:val="20"/>
                <w:szCs w:val="20"/>
                <w:lang w:eastAsia="en-AU"/>
              </w:rPr>
              <w:t>.</w:t>
            </w:r>
          </w:p>
        </w:tc>
        <w:tc>
          <w:tcPr>
            <w:tcW w:w="4298" w:type="dxa"/>
          </w:tcPr>
          <w:p w14:paraId="32492D86"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Harris ML, Dolja-Gore X, </w:t>
            </w:r>
            <w:proofErr w:type="spellStart"/>
            <w:r w:rsidRPr="005176BD">
              <w:rPr>
                <w:rFonts w:cs="Arial"/>
                <w:sz w:val="20"/>
                <w:szCs w:val="20"/>
                <w:lang w:eastAsia="en-AU"/>
              </w:rPr>
              <w:t>Kendig</w:t>
            </w:r>
            <w:proofErr w:type="spellEnd"/>
            <w:r w:rsidRPr="005176BD">
              <w:rPr>
                <w:rFonts w:cs="Arial"/>
                <w:sz w:val="20"/>
                <w:szCs w:val="20"/>
                <w:lang w:eastAsia="en-AU"/>
              </w:rPr>
              <w:t xml:space="preserve"> H, Byles JE</w:t>
            </w:r>
          </w:p>
        </w:tc>
        <w:tc>
          <w:tcPr>
            <w:tcW w:w="361" w:type="dxa"/>
          </w:tcPr>
          <w:p w14:paraId="3C64474B" w14:textId="7B8B4FDE"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4F7AC211" w14:textId="77777777" w:rsidTr="0011030B">
        <w:tc>
          <w:tcPr>
            <w:tcW w:w="9196" w:type="dxa"/>
            <w:tcBorders>
              <w:top w:val="single" w:sz="4" w:space="0" w:color="auto"/>
              <w:left w:val="single" w:sz="4" w:space="0" w:color="C0C0C0"/>
              <w:bottom w:val="single" w:sz="4" w:space="0" w:color="auto"/>
              <w:right w:val="single" w:sz="4" w:space="0" w:color="C0C0C0"/>
            </w:tcBorders>
            <w:shd w:val="clear" w:color="auto" w:fill="auto"/>
          </w:tcPr>
          <w:p w14:paraId="73C5A7A0" w14:textId="1A1552DA" w:rsidR="00084B2B" w:rsidRPr="005176BD" w:rsidRDefault="00084B2B" w:rsidP="003B611A">
            <w:pPr>
              <w:rPr>
                <w:rFonts w:cs="Arial"/>
                <w:sz w:val="20"/>
                <w:szCs w:val="20"/>
                <w:lang w:eastAsia="en-AU"/>
              </w:rPr>
            </w:pPr>
            <w:r w:rsidRPr="005176BD">
              <w:rPr>
                <w:rFonts w:cs="Arial"/>
                <w:sz w:val="20"/>
                <w:szCs w:val="20"/>
                <w:lang w:eastAsia="en-AU"/>
              </w:rPr>
              <w:lastRenderedPageBreak/>
              <w:t>Changes in housing among older women: Latent class analysis of housing patterns in older Australian women. Urban Studies, 2016</w:t>
            </w:r>
            <w:r w:rsidR="00521CBD" w:rsidRPr="005176BD">
              <w:rPr>
                <w:rFonts w:cs="Arial"/>
                <w:sz w:val="20"/>
                <w:szCs w:val="20"/>
                <w:lang w:eastAsia="en-AU"/>
              </w:rPr>
              <w:t xml:space="preserve">; </w:t>
            </w:r>
            <w:r w:rsidRPr="005176BD">
              <w:rPr>
                <w:rFonts w:cs="Arial"/>
                <w:sz w:val="20"/>
                <w:szCs w:val="20"/>
                <w:lang w:eastAsia="en-AU"/>
              </w:rPr>
              <w:t>55(4)</w:t>
            </w:r>
            <w:r w:rsidR="00521CBD" w:rsidRPr="005176BD">
              <w:rPr>
                <w:rFonts w:cs="Arial"/>
                <w:sz w:val="20"/>
                <w:szCs w:val="20"/>
                <w:lang w:eastAsia="en-AU"/>
              </w:rPr>
              <w:t xml:space="preserve">: </w:t>
            </w:r>
            <w:r w:rsidRPr="005176BD">
              <w:rPr>
                <w:rFonts w:cs="Arial"/>
                <w:sz w:val="20"/>
                <w:szCs w:val="20"/>
                <w:lang w:eastAsia="en-AU"/>
              </w:rPr>
              <w:t>1-17</w:t>
            </w:r>
            <w:r w:rsidR="00521CBD" w:rsidRPr="005176BD">
              <w:rPr>
                <w:rFonts w:cs="Arial"/>
                <w:sz w:val="20"/>
                <w:szCs w:val="20"/>
                <w:lang w:eastAsia="en-AU"/>
              </w:rPr>
              <w:t>.</w:t>
            </w:r>
          </w:p>
        </w:tc>
        <w:tc>
          <w:tcPr>
            <w:tcW w:w="4298" w:type="dxa"/>
          </w:tcPr>
          <w:p w14:paraId="00BC98BE"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 </w:t>
            </w:r>
            <w:proofErr w:type="spellStart"/>
            <w:r w:rsidRPr="005176BD">
              <w:rPr>
                <w:rFonts w:cs="Arial"/>
                <w:sz w:val="20"/>
                <w:szCs w:val="20"/>
                <w:lang w:eastAsia="en-AU"/>
              </w:rPr>
              <w:t>Curryer</w:t>
            </w:r>
            <w:proofErr w:type="spellEnd"/>
            <w:r w:rsidRPr="005176BD">
              <w:rPr>
                <w:rFonts w:cs="Arial"/>
                <w:sz w:val="20"/>
                <w:szCs w:val="20"/>
                <w:lang w:eastAsia="en-AU"/>
              </w:rPr>
              <w:t xml:space="preserve"> C, Vo K, Forder P, Loxton D &amp; McLaughlin D.</w:t>
            </w:r>
          </w:p>
        </w:tc>
        <w:tc>
          <w:tcPr>
            <w:tcW w:w="361" w:type="dxa"/>
          </w:tcPr>
          <w:p w14:paraId="5E3C6EFD" w14:textId="1FD9935A" w:rsidR="00084B2B" w:rsidRPr="005176BD" w:rsidRDefault="00F5504C" w:rsidP="003B611A">
            <w:pPr>
              <w:rPr>
                <w:rFonts w:cs="Arial"/>
                <w:sz w:val="20"/>
                <w:szCs w:val="20"/>
                <w:lang w:eastAsia="en-AU"/>
              </w:rPr>
            </w:pPr>
            <w:r w:rsidRPr="005176BD">
              <w:rPr>
                <w:rFonts w:cs="Arial"/>
                <w:sz w:val="20"/>
                <w:szCs w:val="20"/>
                <w:lang w:eastAsia="en-AU"/>
              </w:rPr>
              <w:t>3</w:t>
            </w:r>
          </w:p>
        </w:tc>
      </w:tr>
      <w:tr w:rsidR="00084B2B" w:rsidRPr="00084B2B" w14:paraId="3A787526" w14:textId="77777777" w:rsidTr="0011030B">
        <w:tc>
          <w:tcPr>
            <w:tcW w:w="9196" w:type="dxa"/>
          </w:tcPr>
          <w:p w14:paraId="6D5AB153" w14:textId="4C49DAC9" w:rsidR="00084B2B" w:rsidRPr="005176BD" w:rsidRDefault="00084B2B" w:rsidP="003B611A">
            <w:pPr>
              <w:rPr>
                <w:rFonts w:cs="Arial"/>
                <w:sz w:val="20"/>
                <w:szCs w:val="20"/>
                <w:lang w:eastAsia="en-AU"/>
              </w:rPr>
            </w:pPr>
            <w:r w:rsidRPr="005176BD">
              <w:rPr>
                <w:rFonts w:cs="Arial"/>
                <w:sz w:val="20"/>
                <w:szCs w:val="20"/>
                <w:lang w:eastAsia="en-AU"/>
              </w:rPr>
              <w:t>A 6-year trend of the healthcare costs of arthritis in a population-based cohort of older women. Expert Rev</w:t>
            </w:r>
            <w:r w:rsidR="00DA3855" w:rsidRPr="005176BD">
              <w:rPr>
                <w:rFonts w:cs="Arial"/>
                <w:sz w:val="20"/>
                <w:szCs w:val="20"/>
                <w:lang w:eastAsia="en-AU"/>
              </w:rPr>
              <w:t>iew of</w:t>
            </w:r>
            <w:r w:rsidRPr="005176BD">
              <w:rPr>
                <w:rFonts w:cs="Arial"/>
                <w:sz w:val="20"/>
                <w:szCs w:val="20"/>
                <w:lang w:eastAsia="en-AU"/>
              </w:rPr>
              <w:t xml:space="preserve"> </w:t>
            </w:r>
            <w:proofErr w:type="spellStart"/>
            <w:r w:rsidRPr="005176BD">
              <w:rPr>
                <w:rFonts w:cs="Arial"/>
                <w:sz w:val="20"/>
                <w:szCs w:val="20"/>
                <w:lang w:eastAsia="en-AU"/>
              </w:rPr>
              <w:t>Pharmacoecon</w:t>
            </w:r>
            <w:r w:rsidR="00DA3855" w:rsidRPr="005176BD">
              <w:rPr>
                <w:rFonts w:cs="Arial"/>
                <w:sz w:val="20"/>
                <w:szCs w:val="20"/>
                <w:lang w:eastAsia="en-AU"/>
              </w:rPr>
              <w:t>omics</w:t>
            </w:r>
            <w:proofErr w:type="spellEnd"/>
            <w:r w:rsidR="00DA3855" w:rsidRPr="005176BD">
              <w:rPr>
                <w:rFonts w:cs="Arial"/>
                <w:sz w:val="20"/>
                <w:szCs w:val="20"/>
                <w:lang w:eastAsia="en-AU"/>
              </w:rPr>
              <w:t xml:space="preserve"> &amp;</w:t>
            </w:r>
            <w:r w:rsidRPr="005176BD">
              <w:rPr>
                <w:rFonts w:cs="Arial"/>
                <w:sz w:val="20"/>
                <w:szCs w:val="20"/>
                <w:lang w:eastAsia="en-AU"/>
              </w:rPr>
              <w:t xml:space="preserve"> Outcomes Res</w:t>
            </w:r>
            <w:r w:rsidR="00DA3855" w:rsidRPr="005176BD">
              <w:rPr>
                <w:rFonts w:cs="Arial"/>
                <w:sz w:val="20"/>
                <w:szCs w:val="20"/>
                <w:lang w:eastAsia="en-AU"/>
              </w:rPr>
              <w:t>earch</w:t>
            </w:r>
            <w:r w:rsidRPr="005176BD">
              <w:rPr>
                <w:rFonts w:cs="Arial"/>
                <w:sz w:val="20"/>
                <w:szCs w:val="20"/>
                <w:lang w:eastAsia="en-AU"/>
              </w:rPr>
              <w:t>, 2015</w:t>
            </w:r>
            <w:r w:rsidR="00B813C3" w:rsidRPr="005176BD">
              <w:rPr>
                <w:rFonts w:cs="Arial"/>
                <w:sz w:val="20"/>
                <w:szCs w:val="20"/>
                <w:lang w:eastAsia="en-AU"/>
              </w:rPr>
              <w:t xml:space="preserve">; </w:t>
            </w:r>
            <w:r w:rsidRPr="005176BD">
              <w:rPr>
                <w:rFonts w:cs="Arial"/>
                <w:sz w:val="20"/>
                <w:szCs w:val="20"/>
                <w:lang w:eastAsia="en-AU"/>
              </w:rPr>
              <w:t>2</w:t>
            </w:r>
            <w:r w:rsidR="00DA3855" w:rsidRPr="005176BD">
              <w:rPr>
                <w:rFonts w:cs="Arial"/>
                <w:sz w:val="20"/>
                <w:szCs w:val="20"/>
                <w:lang w:eastAsia="en-AU"/>
              </w:rPr>
              <w:t>:</w:t>
            </w:r>
            <w:r w:rsidR="00B813C3" w:rsidRPr="005176BD">
              <w:rPr>
                <w:rFonts w:cs="Arial"/>
                <w:sz w:val="20"/>
                <w:szCs w:val="20"/>
                <w:lang w:eastAsia="en-AU"/>
              </w:rPr>
              <w:t xml:space="preserve"> </w:t>
            </w:r>
            <w:r w:rsidRPr="005176BD">
              <w:rPr>
                <w:rFonts w:cs="Arial"/>
                <w:sz w:val="20"/>
                <w:szCs w:val="20"/>
                <w:lang w:eastAsia="en-AU"/>
              </w:rPr>
              <w:t>1-9. 10.1111/jgs.13853. (</w:t>
            </w:r>
            <w:r w:rsidR="00DA3855" w:rsidRPr="005176BD">
              <w:rPr>
                <w:rFonts w:cs="Arial"/>
                <w:sz w:val="20"/>
                <w:szCs w:val="20"/>
                <w:lang w:eastAsia="en-AU"/>
              </w:rPr>
              <w:t xml:space="preserve">letter </w:t>
            </w:r>
            <w:r w:rsidRPr="005176BD">
              <w:rPr>
                <w:rFonts w:cs="Arial"/>
                <w:sz w:val="20"/>
                <w:szCs w:val="20"/>
                <w:lang w:eastAsia="en-AU"/>
              </w:rPr>
              <w:t>to the editor)</w:t>
            </w:r>
          </w:p>
        </w:tc>
        <w:tc>
          <w:tcPr>
            <w:tcW w:w="4298" w:type="dxa"/>
          </w:tcPr>
          <w:p w14:paraId="4B51B5F0" w14:textId="77777777" w:rsidR="00084B2B" w:rsidRPr="005176BD" w:rsidRDefault="00084B2B" w:rsidP="003B611A">
            <w:pPr>
              <w:rPr>
                <w:rFonts w:cs="Arial"/>
                <w:sz w:val="20"/>
                <w:szCs w:val="20"/>
                <w:lang w:eastAsia="en-AU"/>
              </w:rPr>
            </w:pPr>
            <w:r w:rsidRPr="005176BD">
              <w:rPr>
                <w:rFonts w:cs="Arial"/>
                <w:sz w:val="20"/>
                <w:szCs w:val="20"/>
                <w:lang w:eastAsia="en-AU"/>
              </w:rPr>
              <w:t>Lo T, Parkinson L</w:t>
            </w:r>
          </w:p>
        </w:tc>
        <w:tc>
          <w:tcPr>
            <w:tcW w:w="361" w:type="dxa"/>
          </w:tcPr>
          <w:p w14:paraId="18BD8A89" w14:textId="788601D2"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084B2B" w14:paraId="3BE926D7" w14:textId="77777777" w:rsidTr="0011030B">
        <w:tc>
          <w:tcPr>
            <w:tcW w:w="9196" w:type="dxa"/>
          </w:tcPr>
          <w:p w14:paraId="3A33024E" w14:textId="2D32ACEE" w:rsidR="00084B2B" w:rsidRPr="005176BD" w:rsidRDefault="00084B2B" w:rsidP="003B611A">
            <w:pPr>
              <w:rPr>
                <w:rFonts w:cs="Arial"/>
                <w:sz w:val="20"/>
                <w:szCs w:val="20"/>
                <w:lang w:eastAsia="en-AU"/>
              </w:rPr>
            </w:pPr>
            <w:r w:rsidRPr="005176BD">
              <w:rPr>
                <w:rFonts w:cs="Arial"/>
                <w:sz w:val="20"/>
                <w:szCs w:val="20"/>
                <w:lang w:eastAsia="en-AU"/>
              </w:rPr>
              <w:t xml:space="preserve">Cost of arthritis: A systematic review of methodologies used for direct costs. </w:t>
            </w:r>
            <w:r w:rsidR="00DA3855" w:rsidRPr="005176BD">
              <w:rPr>
                <w:rFonts w:cs="Arial"/>
                <w:sz w:val="20"/>
                <w:szCs w:val="20"/>
                <w:lang w:eastAsia="en-AU"/>
              </w:rPr>
              <w:t xml:space="preserve">Expert Review of </w:t>
            </w:r>
            <w:proofErr w:type="spellStart"/>
            <w:r w:rsidR="00DA3855" w:rsidRPr="005176BD">
              <w:rPr>
                <w:rFonts w:cs="Arial"/>
                <w:sz w:val="20"/>
                <w:szCs w:val="20"/>
                <w:lang w:eastAsia="en-AU"/>
              </w:rPr>
              <w:t>Pharmacoeconomics</w:t>
            </w:r>
            <w:proofErr w:type="spellEnd"/>
            <w:r w:rsidR="00DA3855" w:rsidRPr="005176BD">
              <w:rPr>
                <w:rFonts w:cs="Arial"/>
                <w:sz w:val="20"/>
                <w:szCs w:val="20"/>
                <w:lang w:eastAsia="en-AU"/>
              </w:rPr>
              <w:t xml:space="preserve"> &amp; Outcomes Research,</w:t>
            </w:r>
            <w:r w:rsidRPr="005176BD">
              <w:rPr>
                <w:rFonts w:cs="Arial"/>
                <w:sz w:val="20"/>
                <w:szCs w:val="20"/>
                <w:lang w:eastAsia="en-AU"/>
              </w:rPr>
              <w:t xml:space="preserve"> 2015</w:t>
            </w:r>
            <w:r w:rsidR="00DA3855" w:rsidRPr="005176BD">
              <w:rPr>
                <w:rFonts w:cs="Arial"/>
                <w:sz w:val="20"/>
                <w:szCs w:val="20"/>
                <w:lang w:eastAsia="en-AU"/>
              </w:rPr>
              <w:t>;</w:t>
            </w:r>
            <w:r w:rsidRPr="005176BD">
              <w:rPr>
                <w:rFonts w:cs="Arial"/>
                <w:sz w:val="20"/>
                <w:szCs w:val="20"/>
                <w:lang w:eastAsia="en-AU"/>
              </w:rPr>
              <w:t xml:space="preserve"> 22</w:t>
            </w:r>
            <w:r w:rsidR="00DA3855" w:rsidRPr="005176BD">
              <w:rPr>
                <w:rFonts w:cs="Arial"/>
                <w:sz w:val="20"/>
                <w:szCs w:val="20"/>
                <w:lang w:eastAsia="en-AU"/>
              </w:rPr>
              <w:t xml:space="preserve">: </w:t>
            </w:r>
            <w:r w:rsidRPr="005176BD">
              <w:rPr>
                <w:rFonts w:cs="Arial"/>
                <w:sz w:val="20"/>
                <w:szCs w:val="20"/>
                <w:lang w:eastAsia="en-AU"/>
              </w:rPr>
              <w:t>1-15</w:t>
            </w:r>
            <w:r w:rsidR="00DA3855" w:rsidRPr="005176BD">
              <w:rPr>
                <w:rFonts w:cs="Arial"/>
                <w:sz w:val="20"/>
                <w:szCs w:val="20"/>
                <w:lang w:eastAsia="en-AU"/>
              </w:rPr>
              <w:t>.</w:t>
            </w:r>
          </w:p>
        </w:tc>
        <w:tc>
          <w:tcPr>
            <w:tcW w:w="4298" w:type="dxa"/>
          </w:tcPr>
          <w:p w14:paraId="51EC3976" w14:textId="77777777" w:rsidR="00084B2B" w:rsidRPr="005176BD" w:rsidRDefault="00084B2B" w:rsidP="003B611A">
            <w:pPr>
              <w:rPr>
                <w:rFonts w:cs="Arial"/>
                <w:sz w:val="20"/>
                <w:szCs w:val="20"/>
                <w:lang w:eastAsia="en-AU"/>
              </w:rPr>
            </w:pPr>
            <w:r w:rsidRPr="005176BD">
              <w:rPr>
                <w:rFonts w:cs="Arial"/>
                <w:sz w:val="20"/>
                <w:szCs w:val="20"/>
                <w:lang w:eastAsia="en-AU"/>
              </w:rPr>
              <w:t>Lo TKT, Parkinson L, Cunich M &amp; Byles J</w:t>
            </w:r>
          </w:p>
        </w:tc>
        <w:tc>
          <w:tcPr>
            <w:tcW w:w="361" w:type="dxa"/>
          </w:tcPr>
          <w:p w14:paraId="6E653683" w14:textId="4CEE3F71" w:rsidR="00084B2B" w:rsidRPr="005176BD" w:rsidRDefault="00F5504C" w:rsidP="003B611A">
            <w:pPr>
              <w:rPr>
                <w:rFonts w:cs="Arial"/>
                <w:sz w:val="20"/>
                <w:szCs w:val="20"/>
                <w:lang w:eastAsia="en-AU"/>
              </w:rPr>
            </w:pPr>
            <w:r w:rsidRPr="005176BD">
              <w:rPr>
                <w:rFonts w:cs="Arial"/>
                <w:sz w:val="20"/>
                <w:szCs w:val="20"/>
                <w:lang w:eastAsia="en-AU"/>
              </w:rPr>
              <w:t>1</w:t>
            </w:r>
          </w:p>
        </w:tc>
      </w:tr>
      <w:tr w:rsidR="00084B2B" w:rsidRPr="00084B2B" w14:paraId="30B24AB3" w14:textId="77777777" w:rsidTr="0011030B">
        <w:tc>
          <w:tcPr>
            <w:tcW w:w="9196" w:type="dxa"/>
          </w:tcPr>
          <w:p w14:paraId="7A83EBA1" w14:textId="579D6DDB" w:rsidR="00084B2B" w:rsidRPr="005176BD" w:rsidRDefault="00084B2B" w:rsidP="003B611A">
            <w:pPr>
              <w:rPr>
                <w:rFonts w:cs="Arial"/>
                <w:sz w:val="20"/>
                <w:szCs w:val="20"/>
                <w:lang w:eastAsia="en-AU"/>
              </w:rPr>
            </w:pPr>
            <w:r w:rsidRPr="005176BD">
              <w:rPr>
                <w:rFonts w:cs="Arial"/>
                <w:sz w:val="20"/>
                <w:szCs w:val="20"/>
                <w:lang w:eastAsia="en-AU"/>
              </w:rPr>
              <w:t xml:space="preserve">Factors associated with higher healthcare cost in individuals living with arthritis: </w:t>
            </w:r>
            <w:r w:rsidR="0001154E" w:rsidRPr="005176BD">
              <w:rPr>
                <w:rFonts w:cs="Arial"/>
                <w:sz w:val="20"/>
                <w:szCs w:val="20"/>
                <w:lang w:eastAsia="en-AU"/>
              </w:rPr>
              <w:t>E</w:t>
            </w:r>
            <w:r w:rsidRPr="005176BD">
              <w:rPr>
                <w:rFonts w:cs="Arial"/>
                <w:sz w:val="20"/>
                <w:szCs w:val="20"/>
                <w:lang w:eastAsia="en-AU"/>
              </w:rPr>
              <w:t xml:space="preserve">vidence from the quantile regression approach. </w:t>
            </w:r>
            <w:r w:rsidR="00DA3855" w:rsidRPr="005176BD">
              <w:rPr>
                <w:rFonts w:cs="Arial"/>
                <w:sz w:val="20"/>
                <w:szCs w:val="20"/>
                <w:lang w:eastAsia="en-AU"/>
              </w:rPr>
              <w:t xml:space="preserve">Expert Review of </w:t>
            </w:r>
            <w:proofErr w:type="spellStart"/>
            <w:r w:rsidR="00DA3855" w:rsidRPr="005176BD">
              <w:rPr>
                <w:rFonts w:cs="Arial"/>
                <w:sz w:val="20"/>
                <w:szCs w:val="20"/>
                <w:lang w:eastAsia="en-AU"/>
              </w:rPr>
              <w:t>Pharmacoeconomics</w:t>
            </w:r>
            <w:proofErr w:type="spellEnd"/>
            <w:r w:rsidR="00DA3855" w:rsidRPr="005176BD">
              <w:rPr>
                <w:rFonts w:cs="Arial"/>
                <w:sz w:val="20"/>
                <w:szCs w:val="20"/>
                <w:lang w:eastAsia="en-AU"/>
              </w:rPr>
              <w:t xml:space="preserve"> &amp; Outcomes Research,</w:t>
            </w:r>
            <w:r w:rsidRPr="005176BD">
              <w:rPr>
                <w:rFonts w:cs="Arial"/>
                <w:sz w:val="20"/>
                <w:szCs w:val="20"/>
                <w:lang w:eastAsia="en-AU"/>
              </w:rPr>
              <w:t xml:space="preserve"> 2015</w:t>
            </w:r>
            <w:r w:rsidR="00DA3855" w:rsidRPr="005176BD">
              <w:rPr>
                <w:rFonts w:cs="Arial"/>
                <w:sz w:val="20"/>
                <w:szCs w:val="20"/>
                <w:lang w:eastAsia="en-AU"/>
              </w:rPr>
              <w:t>;</w:t>
            </w:r>
            <w:r w:rsidRPr="005176BD">
              <w:rPr>
                <w:rFonts w:cs="Arial"/>
                <w:sz w:val="20"/>
                <w:szCs w:val="20"/>
                <w:lang w:eastAsia="en-AU"/>
              </w:rPr>
              <w:t xml:space="preserve"> 15(5)</w:t>
            </w:r>
            <w:r w:rsidR="00DA3855" w:rsidRPr="005176BD">
              <w:rPr>
                <w:rFonts w:cs="Arial"/>
                <w:sz w:val="20"/>
                <w:szCs w:val="20"/>
                <w:lang w:eastAsia="en-AU"/>
              </w:rPr>
              <w:t xml:space="preserve">: </w:t>
            </w:r>
            <w:r w:rsidRPr="005176BD">
              <w:rPr>
                <w:rFonts w:cs="Arial"/>
                <w:sz w:val="20"/>
                <w:szCs w:val="20"/>
                <w:lang w:eastAsia="en-AU"/>
              </w:rPr>
              <w:t>833-841</w:t>
            </w:r>
            <w:r w:rsidR="00DA3855" w:rsidRPr="005176BD">
              <w:rPr>
                <w:rFonts w:cs="Arial"/>
                <w:sz w:val="20"/>
                <w:szCs w:val="20"/>
                <w:lang w:eastAsia="en-AU"/>
              </w:rPr>
              <w:t>.</w:t>
            </w:r>
          </w:p>
        </w:tc>
        <w:tc>
          <w:tcPr>
            <w:tcW w:w="4298" w:type="dxa"/>
          </w:tcPr>
          <w:p w14:paraId="31F3846A" w14:textId="77777777" w:rsidR="00084B2B" w:rsidRPr="005176BD" w:rsidRDefault="00084B2B" w:rsidP="003B611A">
            <w:pPr>
              <w:rPr>
                <w:rFonts w:cs="Arial"/>
                <w:sz w:val="20"/>
                <w:szCs w:val="20"/>
                <w:lang w:eastAsia="en-AU"/>
              </w:rPr>
            </w:pPr>
            <w:r w:rsidRPr="005176BD">
              <w:rPr>
                <w:rFonts w:cs="Arial"/>
                <w:sz w:val="20"/>
                <w:szCs w:val="20"/>
                <w:lang w:eastAsia="en-AU"/>
              </w:rPr>
              <w:t>Lo TKT, Parkinson L, Cunich M &amp; Byles J.</w:t>
            </w:r>
          </w:p>
        </w:tc>
        <w:tc>
          <w:tcPr>
            <w:tcW w:w="361" w:type="dxa"/>
          </w:tcPr>
          <w:p w14:paraId="662B92F9" w14:textId="71EC143E" w:rsidR="00084B2B" w:rsidRPr="005176BD" w:rsidRDefault="00F5504C" w:rsidP="003B611A">
            <w:pPr>
              <w:rPr>
                <w:rFonts w:cs="Arial"/>
                <w:sz w:val="20"/>
                <w:szCs w:val="20"/>
                <w:lang w:eastAsia="en-AU"/>
              </w:rPr>
            </w:pPr>
            <w:r w:rsidRPr="005176BD">
              <w:rPr>
                <w:rFonts w:cs="Arial"/>
                <w:sz w:val="20"/>
                <w:szCs w:val="20"/>
                <w:lang w:eastAsia="en-AU"/>
              </w:rPr>
              <w:t>7</w:t>
            </w:r>
          </w:p>
        </w:tc>
      </w:tr>
      <w:tr w:rsidR="00084B2B" w:rsidRPr="00084B2B" w14:paraId="22372027" w14:textId="77777777" w:rsidTr="0011030B">
        <w:tc>
          <w:tcPr>
            <w:tcW w:w="9196" w:type="dxa"/>
          </w:tcPr>
          <w:p w14:paraId="42E8929D" w14:textId="6F1EB158" w:rsidR="00084B2B" w:rsidRPr="005176BD" w:rsidRDefault="00084B2B" w:rsidP="003B611A">
            <w:pPr>
              <w:rPr>
                <w:rFonts w:cs="Arial"/>
                <w:sz w:val="20"/>
                <w:szCs w:val="20"/>
                <w:lang w:eastAsia="en-AU"/>
              </w:rPr>
            </w:pPr>
            <w:r w:rsidRPr="005176BD">
              <w:rPr>
                <w:rFonts w:cs="Arial"/>
                <w:sz w:val="20"/>
                <w:szCs w:val="20"/>
                <w:lang w:eastAsia="en-AU"/>
              </w:rPr>
              <w:t>The decline of herbal medicine/naturopathy consultations: How research can help further the profession. Australian Journal of Herbal Medicine, 2014</w:t>
            </w:r>
            <w:r w:rsidR="00DA3855" w:rsidRPr="005176BD">
              <w:rPr>
                <w:rFonts w:cs="Arial"/>
                <w:sz w:val="20"/>
                <w:szCs w:val="20"/>
                <w:lang w:eastAsia="en-AU"/>
              </w:rPr>
              <w:t>;</w:t>
            </w:r>
            <w:r w:rsidRPr="005176BD">
              <w:rPr>
                <w:rFonts w:cs="Arial"/>
                <w:sz w:val="20"/>
                <w:szCs w:val="20"/>
                <w:lang w:eastAsia="en-AU"/>
              </w:rPr>
              <w:t xml:space="preserve"> 26(1)</w:t>
            </w:r>
            <w:r w:rsidR="00DA3855" w:rsidRPr="005176BD">
              <w:rPr>
                <w:rFonts w:cs="Arial"/>
                <w:sz w:val="20"/>
                <w:szCs w:val="20"/>
                <w:lang w:eastAsia="en-AU"/>
              </w:rPr>
              <w:t xml:space="preserve">: </w:t>
            </w:r>
            <w:r w:rsidRPr="005176BD">
              <w:rPr>
                <w:rFonts w:cs="Arial"/>
                <w:sz w:val="20"/>
                <w:szCs w:val="20"/>
                <w:lang w:eastAsia="en-AU"/>
              </w:rPr>
              <w:t>8-9</w:t>
            </w:r>
            <w:r w:rsidR="00DA3855" w:rsidRPr="005176BD">
              <w:rPr>
                <w:rFonts w:cs="Arial"/>
                <w:sz w:val="20"/>
                <w:szCs w:val="20"/>
                <w:lang w:eastAsia="en-AU"/>
              </w:rPr>
              <w:t>.</w:t>
            </w:r>
          </w:p>
        </w:tc>
        <w:tc>
          <w:tcPr>
            <w:tcW w:w="4298" w:type="dxa"/>
          </w:tcPr>
          <w:p w14:paraId="6F4D65DA" w14:textId="77777777" w:rsidR="00084B2B" w:rsidRPr="005176BD" w:rsidRDefault="00084B2B" w:rsidP="003B611A">
            <w:pPr>
              <w:rPr>
                <w:rFonts w:cs="Arial"/>
                <w:sz w:val="20"/>
                <w:szCs w:val="20"/>
                <w:lang w:eastAsia="en-AU"/>
              </w:rPr>
            </w:pPr>
            <w:r w:rsidRPr="005176BD">
              <w:rPr>
                <w:rFonts w:cs="Arial"/>
                <w:sz w:val="20"/>
                <w:szCs w:val="20"/>
                <w:lang w:eastAsia="en-AU"/>
              </w:rPr>
              <w:t>Sibbritt D.</w:t>
            </w:r>
          </w:p>
        </w:tc>
        <w:tc>
          <w:tcPr>
            <w:tcW w:w="361" w:type="dxa"/>
          </w:tcPr>
          <w:p w14:paraId="07494DB7" w14:textId="5C427EC3" w:rsidR="00084B2B" w:rsidRPr="005176BD" w:rsidRDefault="00F5504C" w:rsidP="003B611A">
            <w:pPr>
              <w:rPr>
                <w:rFonts w:cs="Arial"/>
                <w:sz w:val="20"/>
                <w:szCs w:val="20"/>
                <w:lang w:eastAsia="en-AU"/>
              </w:rPr>
            </w:pPr>
            <w:r w:rsidRPr="005176BD">
              <w:rPr>
                <w:rFonts w:cs="Arial"/>
                <w:sz w:val="20"/>
                <w:szCs w:val="20"/>
                <w:lang w:eastAsia="en-AU"/>
              </w:rPr>
              <w:t>7</w:t>
            </w:r>
          </w:p>
        </w:tc>
      </w:tr>
      <w:tr w:rsidR="00084B2B" w:rsidRPr="00084B2B" w14:paraId="47CB0524" w14:textId="77777777" w:rsidTr="0011030B">
        <w:tc>
          <w:tcPr>
            <w:tcW w:w="9196" w:type="dxa"/>
          </w:tcPr>
          <w:p w14:paraId="37D93443" w14:textId="4BA28825" w:rsidR="00084B2B" w:rsidRPr="005176BD" w:rsidRDefault="00084B2B" w:rsidP="003B611A">
            <w:pPr>
              <w:rPr>
                <w:rFonts w:cs="Arial"/>
                <w:sz w:val="20"/>
                <w:szCs w:val="20"/>
                <w:lang w:eastAsia="en-AU"/>
              </w:rPr>
            </w:pPr>
            <w:r w:rsidRPr="005176BD">
              <w:rPr>
                <w:rFonts w:cs="Arial"/>
                <w:sz w:val="20"/>
                <w:szCs w:val="20"/>
                <w:lang w:eastAsia="en-AU"/>
              </w:rPr>
              <w:t xml:space="preserve">Osteoporosis medication dispensing for older Australian women from 2002 to 2010: </w:t>
            </w:r>
            <w:r w:rsidR="009D447F" w:rsidRPr="005176BD">
              <w:rPr>
                <w:rFonts w:cs="Arial"/>
                <w:sz w:val="20"/>
                <w:szCs w:val="20"/>
                <w:lang w:eastAsia="en-AU"/>
              </w:rPr>
              <w:t>I</w:t>
            </w:r>
            <w:r w:rsidRPr="005176BD">
              <w:rPr>
                <w:rFonts w:cs="Arial"/>
                <w:sz w:val="20"/>
                <w:szCs w:val="20"/>
                <w:lang w:eastAsia="en-AU"/>
              </w:rPr>
              <w:t xml:space="preserve">nfluences of publications, guidelines, marketing activities and policy. </w:t>
            </w:r>
            <w:proofErr w:type="spellStart"/>
            <w:r w:rsidRPr="005176BD">
              <w:rPr>
                <w:rFonts w:cs="Arial"/>
                <w:sz w:val="20"/>
                <w:szCs w:val="20"/>
                <w:lang w:eastAsia="en-AU"/>
              </w:rPr>
              <w:t>Pharmacoepidemiology</w:t>
            </w:r>
            <w:proofErr w:type="spellEnd"/>
            <w:r w:rsidRPr="005176BD">
              <w:rPr>
                <w:rFonts w:cs="Arial"/>
                <w:sz w:val="20"/>
                <w:szCs w:val="20"/>
                <w:lang w:eastAsia="en-AU"/>
              </w:rPr>
              <w:t xml:space="preserve"> &amp; Drug Safety, 2014</w:t>
            </w:r>
            <w:r w:rsidR="00DA3855" w:rsidRPr="005176BD">
              <w:rPr>
                <w:rFonts w:cs="Arial"/>
                <w:sz w:val="20"/>
                <w:szCs w:val="20"/>
                <w:lang w:eastAsia="en-AU"/>
              </w:rPr>
              <w:t>;</w:t>
            </w:r>
            <w:r w:rsidRPr="005176BD">
              <w:rPr>
                <w:rFonts w:cs="Arial"/>
                <w:sz w:val="20"/>
                <w:szCs w:val="20"/>
                <w:lang w:eastAsia="en-AU"/>
              </w:rPr>
              <w:t xml:space="preserve"> 23(12)</w:t>
            </w:r>
            <w:r w:rsidR="00DA3855" w:rsidRPr="005176BD">
              <w:rPr>
                <w:rFonts w:cs="Arial"/>
                <w:sz w:val="20"/>
                <w:szCs w:val="20"/>
                <w:lang w:eastAsia="en-AU"/>
              </w:rPr>
              <w:t xml:space="preserve">: </w:t>
            </w:r>
            <w:r w:rsidRPr="005176BD">
              <w:rPr>
                <w:rFonts w:cs="Arial"/>
                <w:sz w:val="20"/>
                <w:szCs w:val="20"/>
                <w:lang w:eastAsia="en-AU"/>
              </w:rPr>
              <w:t>1303-</w:t>
            </w:r>
            <w:r w:rsidR="00DA3855" w:rsidRPr="005176BD">
              <w:rPr>
                <w:rFonts w:cs="Arial"/>
                <w:sz w:val="20"/>
                <w:szCs w:val="20"/>
                <w:lang w:eastAsia="en-AU"/>
              </w:rPr>
              <w:t>13</w:t>
            </w:r>
            <w:r w:rsidRPr="005176BD">
              <w:rPr>
                <w:rFonts w:cs="Arial"/>
                <w:sz w:val="20"/>
                <w:szCs w:val="20"/>
                <w:lang w:eastAsia="en-AU"/>
              </w:rPr>
              <w:t>11</w:t>
            </w:r>
            <w:r w:rsidR="00DA3855" w:rsidRPr="005176BD">
              <w:rPr>
                <w:rFonts w:cs="Arial"/>
                <w:sz w:val="20"/>
                <w:szCs w:val="20"/>
                <w:lang w:eastAsia="en-AU"/>
              </w:rPr>
              <w:t>.</w:t>
            </w:r>
          </w:p>
        </w:tc>
        <w:tc>
          <w:tcPr>
            <w:tcW w:w="4298" w:type="dxa"/>
          </w:tcPr>
          <w:p w14:paraId="22B6BBBE"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Duncan E, Mishra G &amp; Dobson A.</w:t>
            </w:r>
          </w:p>
        </w:tc>
        <w:tc>
          <w:tcPr>
            <w:tcW w:w="361" w:type="dxa"/>
          </w:tcPr>
          <w:p w14:paraId="574D33DA" w14:textId="484D6284" w:rsidR="00084B2B" w:rsidRPr="005176BD" w:rsidRDefault="00F5504C" w:rsidP="003B611A">
            <w:pPr>
              <w:rPr>
                <w:rFonts w:cs="Arial"/>
                <w:sz w:val="20"/>
                <w:szCs w:val="20"/>
                <w:lang w:eastAsia="en-AU"/>
              </w:rPr>
            </w:pPr>
            <w:r w:rsidRPr="005176BD">
              <w:rPr>
                <w:rFonts w:cs="Arial"/>
                <w:sz w:val="20"/>
                <w:szCs w:val="20"/>
                <w:lang w:eastAsia="en-AU"/>
              </w:rPr>
              <w:t>13</w:t>
            </w:r>
          </w:p>
        </w:tc>
      </w:tr>
      <w:tr w:rsidR="00084B2B" w:rsidRPr="00084B2B" w14:paraId="6AC35B18" w14:textId="77777777" w:rsidTr="0011030B">
        <w:tc>
          <w:tcPr>
            <w:tcW w:w="9196" w:type="dxa"/>
          </w:tcPr>
          <w:p w14:paraId="529112D7" w14:textId="05392FCA" w:rsidR="00084B2B" w:rsidRPr="005176BD" w:rsidRDefault="00084B2B" w:rsidP="003B611A">
            <w:pPr>
              <w:rPr>
                <w:rFonts w:cs="Arial"/>
                <w:sz w:val="20"/>
                <w:szCs w:val="20"/>
                <w:lang w:eastAsia="en-AU"/>
              </w:rPr>
            </w:pPr>
            <w:r w:rsidRPr="005176BD">
              <w:rPr>
                <w:rFonts w:cs="Arial"/>
                <w:sz w:val="20"/>
                <w:szCs w:val="20"/>
                <w:lang w:eastAsia="en-AU"/>
              </w:rPr>
              <w:t xml:space="preserve">Is use of formal community services by older women related to changes in their informal care arrangements? Ageing &amp; Society, </w:t>
            </w:r>
            <w:r w:rsidR="00DA3855" w:rsidRPr="005176BD">
              <w:rPr>
                <w:rFonts w:cs="Arial"/>
                <w:sz w:val="20"/>
                <w:szCs w:val="20"/>
                <w:lang w:eastAsia="en-AU"/>
              </w:rPr>
              <w:t xml:space="preserve">2014; </w:t>
            </w:r>
            <w:r w:rsidRPr="005176BD">
              <w:rPr>
                <w:rFonts w:cs="Arial"/>
                <w:sz w:val="20"/>
                <w:szCs w:val="20"/>
                <w:lang w:eastAsia="en-AU"/>
              </w:rPr>
              <w:t>34(2)</w:t>
            </w:r>
            <w:r w:rsidR="00DA3855" w:rsidRPr="005176BD">
              <w:rPr>
                <w:rFonts w:cs="Arial"/>
                <w:sz w:val="20"/>
                <w:szCs w:val="20"/>
                <w:lang w:eastAsia="en-AU"/>
              </w:rPr>
              <w:t>:</w:t>
            </w:r>
            <w:r w:rsidRPr="005176BD">
              <w:rPr>
                <w:rFonts w:cs="Arial"/>
                <w:sz w:val="20"/>
                <w:szCs w:val="20"/>
                <w:lang w:eastAsia="en-AU"/>
              </w:rPr>
              <w:t xml:space="preserve"> 310-329.</w:t>
            </w:r>
          </w:p>
        </w:tc>
        <w:tc>
          <w:tcPr>
            <w:tcW w:w="4298" w:type="dxa"/>
          </w:tcPr>
          <w:p w14:paraId="228C9700" w14:textId="77777777" w:rsidR="00084B2B" w:rsidRPr="005176BD" w:rsidRDefault="00084B2B" w:rsidP="003B611A">
            <w:pPr>
              <w:rPr>
                <w:rFonts w:cs="Arial"/>
                <w:sz w:val="20"/>
                <w:szCs w:val="20"/>
                <w:lang w:eastAsia="en-AU"/>
              </w:rPr>
            </w:pPr>
            <w:r w:rsidRPr="005176BD">
              <w:rPr>
                <w:rFonts w:cs="Arial"/>
                <w:sz w:val="20"/>
                <w:szCs w:val="20"/>
                <w:lang w:eastAsia="en-AU"/>
              </w:rPr>
              <w:t>McKenzie S, Lucke J, Hockey R, Dobson A &amp; Tooth L.</w:t>
            </w:r>
          </w:p>
        </w:tc>
        <w:tc>
          <w:tcPr>
            <w:tcW w:w="361" w:type="dxa"/>
          </w:tcPr>
          <w:p w14:paraId="0689AD20" w14:textId="7E35CD99" w:rsidR="00084B2B" w:rsidRPr="005176BD" w:rsidRDefault="00F5504C" w:rsidP="003B611A">
            <w:pPr>
              <w:rPr>
                <w:rFonts w:cs="Arial"/>
                <w:sz w:val="20"/>
                <w:szCs w:val="20"/>
                <w:lang w:eastAsia="en-AU"/>
              </w:rPr>
            </w:pPr>
            <w:r w:rsidRPr="005176BD">
              <w:rPr>
                <w:rFonts w:cs="Arial"/>
                <w:sz w:val="20"/>
                <w:szCs w:val="20"/>
                <w:lang w:eastAsia="en-AU"/>
              </w:rPr>
              <w:t>3</w:t>
            </w:r>
          </w:p>
        </w:tc>
      </w:tr>
      <w:tr w:rsidR="00084B2B" w:rsidRPr="00084B2B" w14:paraId="6BA358AF" w14:textId="77777777" w:rsidTr="0011030B">
        <w:tc>
          <w:tcPr>
            <w:tcW w:w="9196" w:type="dxa"/>
          </w:tcPr>
          <w:p w14:paraId="638AA9F1" w14:textId="01F1ADF3" w:rsidR="00084B2B" w:rsidRPr="005176BD" w:rsidRDefault="00084B2B" w:rsidP="003B611A">
            <w:pPr>
              <w:rPr>
                <w:rFonts w:cs="Arial"/>
                <w:sz w:val="20"/>
                <w:szCs w:val="20"/>
                <w:lang w:eastAsia="en-AU"/>
              </w:rPr>
            </w:pPr>
            <w:r w:rsidRPr="005176BD">
              <w:rPr>
                <w:rFonts w:cs="Arial"/>
                <w:sz w:val="20"/>
                <w:szCs w:val="20"/>
                <w:lang w:eastAsia="en-AU"/>
              </w:rPr>
              <w:t xml:space="preserve">Costs of medicines and health care: A concern for Australian women across the ages. BMC Health Services Research, </w:t>
            </w:r>
            <w:r w:rsidR="00DA3855" w:rsidRPr="005176BD">
              <w:rPr>
                <w:rFonts w:cs="Arial"/>
                <w:sz w:val="20"/>
                <w:szCs w:val="20"/>
                <w:lang w:eastAsia="en-AU"/>
              </w:rPr>
              <w:t xml:space="preserve">2013; </w:t>
            </w:r>
            <w:r w:rsidRPr="005176BD">
              <w:rPr>
                <w:rFonts w:cs="Arial"/>
                <w:sz w:val="20"/>
                <w:szCs w:val="20"/>
                <w:lang w:eastAsia="en-AU"/>
              </w:rPr>
              <w:t>13(1)</w:t>
            </w:r>
            <w:r w:rsidR="00DA3855" w:rsidRPr="005176BD">
              <w:rPr>
                <w:rFonts w:cs="Arial"/>
                <w:sz w:val="20"/>
                <w:szCs w:val="20"/>
                <w:lang w:eastAsia="en-AU"/>
              </w:rPr>
              <w:t>:</w:t>
            </w:r>
            <w:r w:rsidRPr="005176BD">
              <w:rPr>
                <w:rFonts w:cs="Arial"/>
                <w:sz w:val="20"/>
                <w:szCs w:val="20"/>
                <w:lang w:eastAsia="en-AU"/>
              </w:rPr>
              <w:t xml:space="preserve"> art 484.</w:t>
            </w:r>
          </w:p>
        </w:tc>
        <w:tc>
          <w:tcPr>
            <w:tcW w:w="4298" w:type="dxa"/>
          </w:tcPr>
          <w:p w14:paraId="59A676EA" w14:textId="6667AB61" w:rsidR="00084B2B" w:rsidRPr="005176BD" w:rsidRDefault="00084B2B" w:rsidP="003B611A">
            <w:pPr>
              <w:rPr>
                <w:rFonts w:cs="Arial"/>
                <w:sz w:val="20"/>
                <w:szCs w:val="20"/>
                <w:lang w:eastAsia="en-AU"/>
              </w:rPr>
            </w:pPr>
            <w:proofErr w:type="spellStart"/>
            <w:r w:rsidRPr="005176BD">
              <w:rPr>
                <w:rFonts w:cs="Arial"/>
                <w:sz w:val="20"/>
                <w:szCs w:val="20"/>
                <w:lang w:eastAsia="en-AU"/>
              </w:rPr>
              <w:t>Walkom</w:t>
            </w:r>
            <w:proofErr w:type="spellEnd"/>
            <w:r w:rsidRPr="005176BD">
              <w:rPr>
                <w:rFonts w:cs="Arial"/>
                <w:sz w:val="20"/>
                <w:szCs w:val="20"/>
                <w:lang w:eastAsia="en-AU"/>
              </w:rPr>
              <w:t xml:space="preserve"> E, Loxton D &amp; Robertson J.</w:t>
            </w:r>
            <w:r w:rsidR="00012F17" w:rsidRPr="005176BD">
              <w:rPr>
                <w:rFonts w:cs="Arial"/>
                <w:sz w:val="20"/>
                <w:szCs w:val="20"/>
                <w:lang w:eastAsia="en-AU"/>
              </w:rPr>
              <w:t xml:space="preserve"> </w:t>
            </w:r>
          </w:p>
        </w:tc>
        <w:tc>
          <w:tcPr>
            <w:tcW w:w="361" w:type="dxa"/>
          </w:tcPr>
          <w:p w14:paraId="622CCC38" w14:textId="48135CD0" w:rsidR="00084B2B" w:rsidRPr="005176BD" w:rsidRDefault="00F5504C" w:rsidP="003B611A">
            <w:pPr>
              <w:rPr>
                <w:rFonts w:cs="Arial"/>
                <w:sz w:val="20"/>
                <w:szCs w:val="20"/>
                <w:lang w:eastAsia="en-AU"/>
              </w:rPr>
            </w:pPr>
            <w:r w:rsidRPr="005176BD">
              <w:rPr>
                <w:rFonts w:cs="Arial"/>
                <w:sz w:val="20"/>
                <w:szCs w:val="20"/>
                <w:lang w:eastAsia="en-AU"/>
              </w:rPr>
              <w:t>11</w:t>
            </w:r>
          </w:p>
        </w:tc>
      </w:tr>
      <w:tr w:rsidR="00084B2B" w:rsidRPr="00084B2B" w14:paraId="5758B857" w14:textId="77777777" w:rsidTr="0011030B">
        <w:tc>
          <w:tcPr>
            <w:tcW w:w="9196" w:type="dxa"/>
          </w:tcPr>
          <w:p w14:paraId="748E1154" w14:textId="5A5AFB85" w:rsidR="00084B2B" w:rsidRPr="005176BD" w:rsidRDefault="00084B2B" w:rsidP="003B611A">
            <w:pPr>
              <w:rPr>
                <w:rFonts w:cs="Arial"/>
                <w:sz w:val="20"/>
                <w:szCs w:val="20"/>
                <w:lang w:eastAsia="en-AU"/>
              </w:rPr>
            </w:pPr>
            <w:r w:rsidRPr="005176BD">
              <w:rPr>
                <w:rFonts w:cs="Arial"/>
                <w:sz w:val="20"/>
                <w:szCs w:val="20"/>
                <w:lang w:eastAsia="en-AU"/>
              </w:rPr>
              <w:t xml:space="preserve">Good agreement between self-report and centralised hospitalisations data for arthritis related surgeries. Journal of Clinical Epidemiology, </w:t>
            </w:r>
            <w:r w:rsidR="00DA3855" w:rsidRPr="005176BD">
              <w:rPr>
                <w:rFonts w:cs="Arial"/>
                <w:sz w:val="20"/>
                <w:szCs w:val="20"/>
                <w:lang w:eastAsia="en-AU"/>
              </w:rPr>
              <w:t xml:space="preserve">2013; </w:t>
            </w:r>
            <w:r w:rsidRPr="005176BD">
              <w:rPr>
                <w:rFonts w:cs="Arial"/>
                <w:sz w:val="20"/>
                <w:szCs w:val="20"/>
                <w:lang w:eastAsia="en-AU"/>
              </w:rPr>
              <w:t>66(10)</w:t>
            </w:r>
            <w:r w:rsidR="00DA3855" w:rsidRPr="005176BD">
              <w:rPr>
                <w:rFonts w:cs="Arial"/>
                <w:sz w:val="20"/>
                <w:szCs w:val="20"/>
                <w:lang w:eastAsia="en-AU"/>
              </w:rPr>
              <w:t>:</w:t>
            </w:r>
            <w:r w:rsidRPr="005176BD">
              <w:rPr>
                <w:rFonts w:cs="Arial"/>
                <w:sz w:val="20"/>
                <w:szCs w:val="20"/>
                <w:lang w:eastAsia="en-AU"/>
              </w:rPr>
              <w:t xml:space="preserve"> 1128-1134. </w:t>
            </w:r>
          </w:p>
        </w:tc>
        <w:tc>
          <w:tcPr>
            <w:tcW w:w="4298" w:type="dxa"/>
          </w:tcPr>
          <w:p w14:paraId="093BC91E"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Parkinson L, </w:t>
            </w:r>
            <w:proofErr w:type="spellStart"/>
            <w:r w:rsidRPr="005176BD">
              <w:rPr>
                <w:rFonts w:cs="Arial"/>
                <w:sz w:val="20"/>
                <w:szCs w:val="20"/>
                <w:lang w:eastAsia="en-AU"/>
              </w:rPr>
              <w:t>Curryer</w:t>
            </w:r>
            <w:proofErr w:type="spellEnd"/>
            <w:r w:rsidRPr="005176BD">
              <w:rPr>
                <w:rFonts w:cs="Arial"/>
                <w:sz w:val="20"/>
                <w:szCs w:val="20"/>
                <w:lang w:eastAsia="en-AU"/>
              </w:rPr>
              <w:t xml:space="preserve"> C, </w:t>
            </w:r>
            <w:proofErr w:type="spellStart"/>
            <w:r w:rsidRPr="005176BD">
              <w:rPr>
                <w:rFonts w:cs="Arial"/>
                <w:sz w:val="20"/>
                <w:szCs w:val="20"/>
                <w:lang w:eastAsia="en-AU"/>
              </w:rPr>
              <w:t>Gibberd</w:t>
            </w:r>
            <w:proofErr w:type="spellEnd"/>
            <w:r w:rsidRPr="005176BD">
              <w:rPr>
                <w:rFonts w:cs="Arial"/>
                <w:sz w:val="20"/>
                <w:szCs w:val="20"/>
                <w:lang w:eastAsia="en-AU"/>
              </w:rPr>
              <w:t xml:space="preserve"> A, Cunich M &amp; Byles JE.</w:t>
            </w:r>
          </w:p>
        </w:tc>
        <w:tc>
          <w:tcPr>
            <w:tcW w:w="361" w:type="dxa"/>
          </w:tcPr>
          <w:p w14:paraId="559F3247" w14:textId="6CF312C5" w:rsidR="00084B2B" w:rsidRPr="005176BD" w:rsidRDefault="00F5504C" w:rsidP="003B611A">
            <w:pPr>
              <w:rPr>
                <w:rFonts w:cs="Arial"/>
                <w:sz w:val="20"/>
                <w:szCs w:val="20"/>
                <w:lang w:eastAsia="en-AU"/>
              </w:rPr>
            </w:pPr>
            <w:r w:rsidRPr="005176BD">
              <w:rPr>
                <w:rFonts w:cs="Arial"/>
                <w:sz w:val="20"/>
                <w:szCs w:val="20"/>
                <w:lang w:eastAsia="en-AU"/>
              </w:rPr>
              <w:t>11</w:t>
            </w:r>
          </w:p>
        </w:tc>
      </w:tr>
      <w:tr w:rsidR="00084B2B" w:rsidRPr="00084B2B" w14:paraId="5682FEBE" w14:textId="77777777" w:rsidTr="0011030B">
        <w:tc>
          <w:tcPr>
            <w:tcW w:w="9196" w:type="dxa"/>
          </w:tcPr>
          <w:p w14:paraId="01A4C6B0" w14:textId="56935316" w:rsidR="00084B2B" w:rsidRPr="005176BD" w:rsidRDefault="00084B2B" w:rsidP="003B611A">
            <w:pPr>
              <w:rPr>
                <w:rFonts w:cs="Arial"/>
                <w:sz w:val="20"/>
                <w:szCs w:val="20"/>
                <w:lang w:eastAsia="en-AU"/>
              </w:rPr>
            </w:pPr>
            <w:r w:rsidRPr="005176BD">
              <w:rPr>
                <w:rFonts w:cs="Arial"/>
                <w:sz w:val="20"/>
                <w:szCs w:val="20"/>
                <w:lang w:eastAsia="en-AU"/>
              </w:rPr>
              <w:t xml:space="preserve">Accuracy of self-reported medicines use compared to pharmaceutical claims data amongst a national sample of older Australian women. Open Journal of Epidemiology, </w:t>
            </w:r>
            <w:r w:rsidR="00DA3855" w:rsidRPr="005176BD">
              <w:rPr>
                <w:rFonts w:cs="Arial"/>
                <w:sz w:val="20"/>
                <w:szCs w:val="20"/>
                <w:lang w:eastAsia="en-AU"/>
              </w:rPr>
              <w:t xml:space="preserve">2013; </w:t>
            </w:r>
            <w:r w:rsidRPr="005176BD">
              <w:rPr>
                <w:rFonts w:cs="Arial"/>
                <w:sz w:val="20"/>
                <w:szCs w:val="20"/>
                <w:lang w:eastAsia="en-AU"/>
              </w:rPr>
              <w:t>3(1)</w:t>
            </w:r>
            <w:r w:rsidR="00DA3855" w:rsidRPr="005176BD">
              <w:rPr>
                <w:rFonts w:cs="Arial"/>
                <w:sz w:val="20"/>
                <w:szCs w:val="20"/>
                <w:lang w:eastAsia="en-AU"/>
              </w:rPr>
              <w:t>:</w:t>
            </w:r>
            <w:r w:rsidRPr="005176BD">
              <w:rPr>
                <w:rFonts w:cs="Arial"/>
                <w:sz w:val="20"/>
                <w:szCs w:val="20"/>
                <w:lang w:eastAsia="en-AU"/>
              </w:rPr>
              <w:t xml:space="preserve"> 25-32.</w:t>
            </w:r>
          </w:p>
        </w:tc>
        <w:tc>
          <w:tcPr>
            <w:tcW w:w="4298" w:type="dxa"/>
          </w:tcPr>
          <w:p w14:paraId="296702B0" w14:textId="77777777" w:rsidR="00084B2B" w:rsidRPr="005176BD" w:rsidRDefault="00084B2B" w:rsidP="003B611A">
            <w:pPr>
              <w:rPr>
                <w:rFonts w:cs="Arial"/>
                <w:sz w:val="20"/>
                <w:szCs w:val="20"/>
                <w:lang w:eastAsia="en-AU"/>
              </w:rPr>
            </w:pPr>
            <w:r w:rsidRPr="005176BD">
              <w:rPr>
                <w:rFonts w:cs="Arial"/>
                <w:sz w:val="20"/>
                <w:szCs w:val="20"/>
                <w:lang w:eastAsia="en-AU"/>
              </w:rPr>
              <w:t>Dolja-Gore X, Pit S, Parkinson L, Young A &amp; Byles J.</w:t>
            </w:r>
          </w:p>
        </w:tc>
        <w:tc>
          <w:tcPr>
            <w:tcW w:w="361" w:type="dxa"/>
          </w:tcPr>
          <w:p w14:paraId="6FDEEEFB" w14:textId="2FA935BB"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03925978" w14:textId="77777777" w:rsidTr="0011030B">
        <w:tc>
          <w:tcPr>
            <w:tcW w:w="9196" w:type="dxa"/>
          </w:tcPr>
          <w:p w14:paraId="7A73A24D" w14:textId="0089B869" w:rsidR="00084B2B" w:rsidRPr="005176BD" w:rsidRDefault="00084B2B" w:rsidP="003B611A">
            <w:pPr>
              <w:rPr>
                <w:rFonts w:cs="Arial"/>
                <w:sz w:val="20"/>
                <w:szCs w:val="20"/>
                <w:lang w:eastAsia="en-AU"/>
              </w:rPr>
            </w:pPr>
            <w:r w:rsidRPr="005176BD">
              <w:rPr>
                <w:rFonts w:cs="Arial"/>
                <w:sz w:val="20"/>
                <w:szCs w:val="20"/>
                <w:lang w:eastAsia="en-AU"/>
              </w:rPr>
              <w:t xml:space="preserve">Assessing patterns of use of cardio-protective </w:t>
            </w:r>
            <w:proofErr w:type="spellStart"/>
            <w:r w:rsidRPr="005176BD">
              <w:rPr>
                <w:rFonts w:cs="Arial"/>
                <w:sz w:val="20"/>
                <w:szCs w:val="20"/>
                <w:lang w:eastAsia="en-AU"/>
              </w:rPr>
              <w:t>polypill</w:t>
            </w:r>
            <w:proofErr w:type="spellEnd"/>
            <w:r w:rsidRPr="005176BD">
              <w:rPr>
                <w:rFonts w:cs="Arial"/>
                <w:sz w:val="20"/>
                <w:szCs w:val="20"/>
                <w:lang w:eastAsia="en-AU"/>
              </w:rPr>
              <w:t xml:space="preserve"> component medicines in Australian women. Drugs and Ageing, </w:t>
            </w:r>
            <w:r w:rsidR="00DA3855" w:rsidRPr="005176BD">
              <w:rPr>
                <w:rFonts w:cs="Arial"/>
                <w:sz w:val="20"/>
                <w:szCs w:val="20"/>
                <w:lang w:eastAsia="en-AU"/>
              </w:rPr>
              <w:t xml:space="preserve">2013; </w:t>
            </w:r>
            <w:r w:rsidRPr="005176BD">
              <w:rPr>
                <w:rFonts w:cs="Arial"/>
                <w:sz w:val="20"/>
                <w:szCs w:val="20"/>
                <w:lang w:eastAsia="en-AU"/>
              </w:rPr>
              <w:t>30(3)</w:t>
            </w:r>
            <w:r w:rsidR="00DA3855" w:rsidRPr="005176BD">
              <w:rPr>
                <w:rFonts w:cs="Arial"/>
                <w:sz w:val="20"/>
                <w:szCs w:val="20"/>
                <w:lang w:eastAsia="en-AU"/>
              </w:rPr>
              <w:t>:</w:t>
            </w:r>
            <w:r w:rsidRPr="005176BD">
              <w:rPr>
                <w:rFonts w:cs="Arial"/>
                <w:sz w:val="20"/>
                <w:szCs w:val="20"/>
                <w:lang w:eastAsia="en-AU"/>
              </w:rPr>
              <w:t xml:space="preserve"> 193-203.</w:t>
            </w:r>
          </w:p>
        </w:tc>
        <w:tc>
          <w:tcPr>
            <w:tcW w:w="4298" w:type="dxa"/>
          </w:tcPr>
          <w:p w14:paraId="412657AA" w14:textId="77777777" w:rsidR="00084B2B" w:rsidRPr="005176BD" w:rsidRDefault="00084B2B" w:rsidP="003B611A">
            <w:pPr>
              <w:rPr>
                <w:rFonts w:cs="Arial"/>
                <w:sz w:val="20"/>
                <w:szCs w:val="20"/>
                <w:lang w:eastAsia="en-AU"/>
              </w:rPr>
            </w:pPr>
            <w:r w:rsidRPr="005176BD">
              <w:rPr>
                <w:rFonts w:cs="Arial"/>
                <w:sz w:val="20"/>
                <w:szCs w:val="20"/>
                <w:lang w:eastAsia="en-AU"/>
              </w:rPr>
              <w:t xml:space="preserve">Stewart Williams J, </w:t>
            </w:r>
            <w:proofErr w:type="spellStart"/>
            <w:r w:rsidRPr="005176BD">
              <w:rPr>
                <w:rFonts w:cs="Arial"/>
                <w:sz w:val="20"/>
                <w:szCs w:val="20"/>
                <w:lang w:eastAsia="en-AU"/>
              </w:rPr>
              <w:t>Wallick</w:t>
            </w:r>
            <w:proofErr w:type="spellEnd"/>
            <w:r w:rsidRPr="005176BD">
              <w:rPr>
                <w:rFonts w:cs="Arial"/>
                <w:sz w:val="20"/>
                <w:szCs w:val="20"/>
                <w:lang w:eastAsia="en-AU"/>
              </w:rPr>
              <w:t xml:space="preserve"> J, Byles J &amp; Doran C.</w:t>
            </w:r>
          </w:p>
        </w:tc>
        <w:tc>
          <w:tcPr>
            <w:tcW w:w="361" w:type="dxa"/>
          </w:tcPr>
          <w:p w14:paraId="76FDD99D" w14:textId="51B3BF77"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5D67A740" w14:textId="77777777" w:rsidTr="0011030B">
        <w:tc>
          <w:tcPr>
            <w:tcW w:w="9196" w:type="dxa"/>
          </w:tcPr>
          <w:p w14:paraId="207F06C5" w14:textId="0AC794A6" w:rsidR="00084B2B" w:rsidRPr="005176BD" w:rsidRDefault="00084B2B" w:rsidP="003B611A">
            <w:pPr>
              <w:rPr>
                <w:rFonts w:cs="Arial"/>
                <w:sz w:val="20"/>
                <w:szCs w:val="20"/>
                <w:lang w:eastAsia="en-AU"/>
              </w:rPr>
            </w:pPr>
            <w:r w:rsidRPr="005176BD">
              <w:rPr>
                <w:rFonts w:cs="Arial"/>
                <w:sz w:val="20"/>
                <w:szCs w:val="20"/>
                <w:lang w:eastAsia="en-AU"/>
              </w:rPr>
              <w:t xml:space="preserve">Complementary and alternative medicine use among older Australian women – a qualitative study. BMC Complementary and Alternative Medicine, </w:t>
            </w:r>
            <w:r w:rsidR="00DA3855" w:rsidRPr="005176BD">
              <w:rPr>
                <w:rFonts w:cs="Arial"/>
                <w:sz w:val="20"/>
                <w:szCs w:val="20"/>
                <w:lang w:eastAsia="en-AU"/>
              </w:rPr>
              <w:t xml:space="preserve">2012; </w:t>
            </w:r>
            <w:r w:rsidRPr="005176BD">
              <w:rPr>
                <w:rFonts w:cs="Arial"/>
                <w:sz w:val="20"/>
                <w:szCs w:val="20"/>
                <w:lang w:eastAsia="en-AU"/>
              </w:rPr>
              <w:t>12</w:t>
            </w:r>
            <w:r w:rsidR="00DA3855" w:rsidRPr="005176BD">
              <w:rPr>
                <w:rFonts w:cs="Arial"/>
                <w:sz w:val="20"/>
                <w:szCs w:val="20"/>
                <w:lang w:eastAsia="en-AU"/>
              </w:rPr>
              <w:t>:</w:t>
            </w:r>
            <w:r w:rsidRPr="005176BD">
              <w:rPr>
                <w:rFonts w:cs="Arial"/>
                <w:sz w:val="20"/>
                <w:szCs w:val="20"/>
                <w:lang w:eastAsia="en-AU"/>
              </w:rPr>
              <w:t xml:space="preserve"> art 34.</w:t>
            </w:r>
          </w:p>
        </w:tc>
        <w:tc>
          <w:tcPr>
            <w:tcW w:w="4298" w:type="dxa"/>
          </w:tcPr>
          <w:p w14:paraId="4433738E" w14:textId="77777777" w:rsidR="00084B2B" w:rsidRPr="005176BD" w:rsidRDefault="00084B2B" w:rsidP="003B611A">
            <w:pPr>
              <w:rPr>
                <w:rFonts w:cs="Arial"/>
                <w:sz w:val="20"/>
                <w:szCs w:val="20"/>
                <w:lang w:eastAsia="en-AU"/>
              </w:rPr>
            </w:pPr>
            <w:r w:rsidRPr="005176BD">
              <w:rPr>
                <w:rFonts w:cs="Arial"/>
                <w:sz w:val="20"/>
                <w:szCs w:val="20"/>
                <w:lang w:eastAsia="en-AU"/>
              </w:rPr>
              <w:t>McLaughlin D, Liu C-W &amp; Adams J.</w:t>
            </w:r>
          </w:p>
        </w:tc>
        <w:tc>
          <w:tcPr>
            <w:tcW w:w="361" w:type="dxa"/>
          </w:tcPr>
          <w:p w14:paraId="04E4ED13" w14:textId="35A4D3A4" w:rsidR="00084B2B" w:rsidRPr="005176BD" w:rsidRDefault="00F5504C" w:rsidP="003B611A">
            <w:pPr>
              <w:rPr>
                <w:rFonts w:cs="Arial"/>
                <w:sz w:val="20"/>
                <w:szCs w:val="20"/>
                <w:lang w:eastAsia="en-AU"/>
              </w:rPr>
            </w:pPr>
            <w:r w:rsidRPr="005176BD">
              <w:rPr>
                <w:rFonts w:cs="Arial"/>
                <w:sz w:val="20"/>
                <w:szCs w:val="20"/>
                <w:lang w:eastAsia="en-AU"/>
              </w:rPr>
              <w:t>36</w:t>
            </w:r>
          </w:p>
        </w:tc>
      </w:tr>
      <w:tr w:rsidR="00084B2B" w:rsidRPr="00084B2B" w14:paraId="2FD721DB" w14:textId="77777777" w:rsidTr="0011030B">
        <w:tc>
          <w:tcPr>
            <w:tcW w:w="9196" w:type="dxa"/>
          </w:tcPr>
          <w:p w14:paraId="6C8828AD" w14:textId="117C7F94" w:rsidR="00084B2B" w:rsidRPr="005176BD" w:rsidRDefault="00084B2B" w:rsidP="003B611A">
            <w:pPr>
              <w:rPr>
                <w:rFonts w:cs="Arial"/>
                <w:sz w:val="20"/>
                <w:szCs w:val="20"/>
                <w:lang w:eastAsia="en-AU"/>
              </w:rPr>
            </w:pPr>
            <w:r w:rsidRPr="005176BD">
              <w:rPr>
                <w:rFonts w:cs="Arial"/>
                <w:sz w:val="20"/>
                <w:szCs w:val="20"/>
                <w:lang w:eastAsia="en-AU"/>
              </w:rPr>
              <w:t>Predictors of Complementary and Alternative Medicine (CAM) use in two cohorts of Australian women</w:t>
            </w:r>
            <w:r w:rsidR="00DA3855" w:rsidRPr="005176BD">
              <w:rPr>
                <w:rFonts w:cs="Arial"/>
                <w:sz w:val="20"/>
                <w:szCs w:val="20"/>
                <w:lang w:eastAsia="en-AU"/>
              </w:rPr>
              <w:t>.</w:t>
            </w:r>
            <w:r w:rsidRPr="005176BD">
              <w:rPr>
                <w:rFonts w:cs="Arial"/>
                <w:sz w:val="20"/>
                <w:szCs w:val="20"/>
                <w:lang w:eastAsia="en-AU"/>
              </w:rPr>
              <w:t xml:space="preserve">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2012; 25(1): 168-170.</w:t>
            </w:r>
          </w:p>
        </w:tc>
        <w:tc>
          <w:tcPr>
            <w:tcW w:w="4298" w:type="dxa"/>
          </w:tcPr>
          <w:p w14:paraId="3E8D5A4D"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Poulsen</w:t>
            </w:r>
            <w:proofErr w:type="spellEnd"/>
            <w:r w:rsidRPr="005176BD">
              <w:rPr>
                <w:rFonts w:cs="Arial"/>
                <w:sz w:val="20"/>
                <w:szCs w:val="20"/>
                <w:lang w:eastAsia="en-AU"/>
              </w:rPr>
              <w:t xml:space="preserve"> E, Sibbritt D, McLaughlin D, Adams J &amp; Pachana N. </w:t>
            </w:r>
          </w:p>
        </w:tc>
        <w:tc>
          <w:tcPr>
            <w:tcW w:w="361" w:type="dxa"/>
          </w:tcPr>
          <w:p w14:paraId="4FCE13B7" w14:textId="2C7EA729" w:rsidR="00084B2B" w:rsidRPr="005176BD" w:rsidRDefault="00640D50" w:rsidP="003B611A">
            <w:pPr>
              <w:rPr>
                <w:rFonts w:cs="Arial"/>
                <w:sz w:val="20"/>
                <w:szCs w:val="20"/>
                <w:lang w:eastAsia="en-AU"/>
              </w:rPr>
            </w:pPr>
            <w:r w:rsidRPr="005176BD">
              <w:rPr>
                <w:rFonts w:cs="Arial"/>
                <w:sz w:val="20"/>
                <w:szCs w:val="20"/>
                <w:lang w:eastAsia="en-AU"/>
              </w:rPr>
              <w:t>2</w:t>
            </w:r>
          </w:p>
        </w:tc>
      </w:tr>
      <w:tr w:rsidR="00640D50" w:rsidRPr="00640D50" w14:paraId="2361C839" w14:textId="77777777" w:rsidTr="0011030B">
        <w:tc>
          <w:tcPr>
            <w:tcW w:w="9196" w:type="dxa"/>
          </w:tcPr>
          <w:p w14:paraId="37149A65" w14:textId="537425E4" w:rsidR="00640D50" w:rsidRPr="005176BD" w:rsidRDefault="00640D50" w:rsidP="003B611A">
            <w:pPr>
              <w:rPr>
                <w:rFonts w:cs="Arial"/>
                <w:sz w:val="20"/>
                <w:szCs w:val="20"/>
                <w:lang w:eastAsia="en-AU"/>
              </w:rPr>
            </w:pPr>
            <w:r w:rsidRPr="005176BD">
              <w:rPr>
                <w:rFonts w:cs="Arial"/>
                <w:sz w:val="20"/>
                <w:szCs w:val="20"/>
                <w:lang w:eastAsia="en-AU"/>
              </w:rPr>
              <w:t>Sex differences in the use of complementary and alternative medicine in older men and women. Australasian Journal on Ageing, 2012; 31(2): 78-82.</w:t>
            </w:r>
          </w:p>
        </w:tc>
        <w:tc>
          <w:tcPr>
            <w:tcW w:w="4298" w:type="dxa"/>
          </w:tcPr>
          <w:p w14:paraId="2C73D2BC" w14:textId="5D001493" w:rsidR="00640D50" w:rsidRPr="005176BD" w:rsidRDefault="00640D50" w:rsidP="003B611A">
            <w:pPr>
              <w:rPr>
                <w:rFonts w:cs="Arial"/>
                <w:sz w:val="20"/>
                <w:szCs w:val="20"/>
                <w:lang w:eastAsia="en-AU"/>
              </w:rPr>
            </w:pPr>
            <w:r w:rsidRPr="005176BD">
              <w:rPr>
                <w:rFonts w:cs="Arial"/>
                <w:sz w:val="20"/>
                <w:szCs w:val="20"/>
                <w:lang w:eastAsia="en-AU"/>
              </w:rPr>
              <w:t xml:space="preserve">McLaughlin D, Adams J, Sibbritt D &amp; </w:t>
            </w:r>
            <w:proofErr w:type="spellStart"/>
            <w:r w:rsidRPr="005176BD">
              <w:rPr>
                <w:rFonts w:cs="Arial"/>
                <w:sz w:val="20"/>
                <w:szCs w:val="20"/>
                <w:lang w:eastAsia="en-AU"/>
              </w:rPr>
              <w:t>Lui</w:t>
            </w:r>
            <w:proofErr w:type="spellEnd"/>
            <w:r w:rsidRPr="005176BD">
              <w:rPr>
                <w:rFonts w:cs="Arial"/>
                <w:sz w:val="20"/>
                <w:szCs w:val="20"/>
                <w:lang w:eastAsia="en-AU"/>
              </w:rPr>
              <w:t xml:space="preserve"> C.</w:t>
            </w:r>
          </w:p>
        </w:tc>
        <w:tc>
          <w:tcPr>
            <w:tcW w:w="361" w:type="dxa"/>
          </w:tcPr>
          <w:p w14:paraId="7268390E" w14:textId="1399C534" w:rsidR="00640D50" w:rsidRPr="005176BD" w:rsidRDefault="00640D50" w:rsidP="003B611A">
            <w:pPr>
              <w:rPr>
                <w:rFonts w:cs="Arial"/>
                <w:sz w:val="20"/>
                <w:szCs w:val="20"/>
                <w:lang w:eastAsia="en-AU"/>
              </w:rPr>
            </w:pPr>
            <w:r w:rsidRPr="005176BD">
              <w:rPr>
                <w:rFonts w:cs="Arial"/>
                <w:sz w:val="20"/>
                <w:szCs w:val="20"/>
                <w:lang w:eastAsia="en-AU"/>
              </w:rPr>
              <w:t>13</w:t>
            </w:r>
          </w:p>
        </w:tc>
      </w:tr>
      <w:tr w:rsidR="00084B2B" w:rsidRPr="00084B2B" w14:paraId="4F5B9530" w14:textId="77777777" w:rsidTr="0011030B">
        <w:tc>
          <w:tcPr>
            <w:tcW w:w="9196" w:type="dxa"/>
          </w:tcPr>
          <w:p w14:paraId="6B3AA83F" w14:textId="399D7A76" w:rsidR="00084B2B" w:rsidRPr="005176BD" w:rsidRDefault="00084B2B" w:rsidP="003B611A">
            <w:pPr>
              <w:rPr>
                <w:rFonts w:cs="Arial"/>
                <w:sz w:val="20"/>
                <w:szCs w:val="20"/>
                <w:lang w:eastAsia="en-AU"/>
              </w:rPr>
            </w:pPr>
            <w:r w:rsidRPr="005176BD">
              <w:rPr>
                <w:rFonts w:cs="Arial"/>
                <w:sz w:val="20"/>
                <w:szCs w:val="20"/>
                <w:lang w:eastAsia="en-AU"/>
              </w:rPr>
              <w:t xml:space="preserve">Does Government subsidy for costs of medical and pharmaceutical services result in higher service utilization by older widowed women in Australia? BMC Health Services Research, </w:t>
            </w:r>
            <w:r w:rsidR="00DA3855" w:rsidRPr="005176BD">
              <w:rPr>
                <w:rFonts w:cs="Arial"/>
                <w:sz w:val="20"/>
                <w:szCs w:val="20"/>
                <w:lang w:eastAsia="en-AU"/>
              </w:rPr>
              <w:t xml:space="preserve">2012; </w:t>
            </w:r>
            <w:r w:rsidRPr="005176BD">
              <w:rPr>
                <w:rFonts w:cs="Arial"/>
                <w:sz w:val="20"/>
                <w:szCs w:val="20"/>
                <w:lang w:eastAsia="en-AU"/>
              </w:rPr>
              <w:t>12(1)</w:t>
            </w:r>
            <w:r w:rsidR="00DA3855" w:rsidRPr="005176BD">
              <w:rPr>
                <w:rFonts w:cs="Arial"/>
                <w:sz w:val="20"/>
                <w:szCs w:val="20"/>
                <w:lang w:eastAsia="en-AU"/>
              </w:rPr>
              <w:t>:</w:t>
            </w:r>
            <w:r w:rsidRPr="005176BD">
              <w:rPr>
                <w:rFonts w:cs="Arial"/>
                <w:sz w:val="20"/>
                <w:szCs w:val="20"/>
                <w:lang w:eastAsia="en-AU"/>
              </w:rPr>
              <w:t xml:space="preserve"> p179.</w:t>
            </w:r>
          </w:p>
        </w:tc>
        <w:tc>
          <w:tcPr>
            <w:tcW w:w="4298" w:type="dxa"/>
          </w:tcPr>
          <w:p w14:paraId="445562FC" w14:textId="77777777" w:rsidR="00084B2B" w:rsidRPr="005176BD" w:rsidRDefault="00084B2B" w:rsidP="003B611A">
            <w:pPr>
              <w:rPr>
                <w:rFonts w:cs="Arial"/>
                <w:sz w:val="20"/>
                <w:szCs w:val="20"/>
                <w:lang w:eastAsia="en-AU"/>
              </w:rPr>
            </w:pPr>
            <w:r w:rsidRPr="005176BD">
              <w:rPr>
                <w:rFonts w:cs="Arial"/>
                <w:sz w:val="20"/>
                <w:szCs w:val="20"/>
                <w:lang w:eastAsia="en-AU"/>
              </w:rPr>
              <w:t xml:space="preserve">Tooth L, Hockey R, </w:t>
            </w:r>
            <w:proofErr w:type="spellStart"/>
            <w:r w:rsidRPr="005176BD">
              <w:rPr>
                <w:rFonts w:cs="Arial"/>
                <w:sz w:val="20"/>
                <w:szCs w:val="20"/>
                <w:lang w:eastAsia="en-AU"/>
              </w:rPr>
              <w:t>Treloar</w:t>
            </w:r>
            <w:proofErr w:type="spellEnd"/>
            <w:r w:rsidRPr="005176BD">
              <w:rPr>
                <w:rFonts w:cs="Arial"/>
                <w:sz w:val="20"/>
                <w:szCs w:val="20"/>
                <w:lang w:eastAsia="en-AU"/>
              </w:rPr>
              <w:t xml:space="preserve"> S, McClintock C &amp; Dobson A.</w:t>
            </w:r>
          </w:p>
        </w:tc>
        <w:tc>
          <w:tcPr>
            <w:tcW w:w="361" w:type="dxa"/>
          </w:tcPr>
          <w:p w14:paraId="1AC33F2E" w14:textId="285033C3" w:rsidR="00084B2B" w:rsidRPr="005176BD" w:rsidRDefault="00F5504C" w:rsidP="003B611A">
            <w:pPr>
              <w:rPr>
                <w:rFonts w:cs="Arial"/>
                <w:sz w:val="20"/>
                <w:szCs w:val="20"/>
                <w:lang w:eastAsia="en-AU"/>
              </w:rPr>
            </w:pPr>
            <w:r w:rsidRPr="005176BD">
              <w:rPr>
                <w:rFonts w:cs="Arial"/>
                <w:sz w:val="20"/>
                <w:szCs w:val="20"/>
                <w:lang w:eastAsia="en-AU"/>
              </w:rPr>
              <w:t>10</w:t>
            </w:r>
          </w:p>
        </w:tc>
      </w:tr>
      <w:tr w:rsidR="00084B2B" w:rsidRPr="00084B2B" w14:paraId="32981DEE" w14:textId="77777777" w:rsidTr="0011030B">
        <w:tc>
          <w:tcPr>
            <w:tcW w:w="9196" w:type="dxa"/>
          </w:tcPr>
          <w:p w14:paraId="0777253D" w14:textId="0068C2FC" w:rsidR="00084B2B" w:rsidRPr="005176BD" w:rsidRDefault="00084B2B" w:rsidP="003B611A">
            <w:pPr>
              <w:rPr>
                <w:rFonts w:cs="Arial"/>
                <w:sz w:val="20"/>
                <w:szCs w:val="20"/>
                <w:lang w:eastAsia="en-AU"/>
              </w:rPr>
            </w:pPr>
            <w:r w:rsidRPr="005176BD">
              <w:rPr>
                <w:rFonts w:cs="Arial"/>
                <w:sz w:val="20"/>
                <w:szCs w:val="20"/>
                <w:lang w:eastAsia="en-AU"/>
              </w:rPr>
              <w:t xml:space="preserve">Increased bulk-billing for general practice consultations in regional and remote areas, 2002-2008. Medical Journal of Australia, </w:t>
            </w:r>
            <w:r w:rsidR="00DA3855" w:rsidRPr="005176BD">
              <w:rPr>
                <w:rFonts w:cs="Arial"/>
                <w:sz w:val="20"/>
                <w:szCs w:val="20"/>
                <w:lang w:eastAsia="en-AU"/>
              </w:rPr>
              <w:t xml:space="preserve">2011; </w:t>
            </w:r>
            <w:r w:rsidRPr="005176BD">
              <w:rPr>
                <w:rFonts w:cs="Arial"/>
                <w:sz w:val="20"/>
                <w:szCs w:val="20"/>
                <w:lang w:eastAsia="en-AU"/>
              </w:rPr>
              <w:t>195(4)</w:t>
            </w:r>
            <w:r w:rsidR="00DA3855" w:rsidRPr="005176BD">
              <w:rPr>
                <w:rFonts w:cs="Arial"/>
                <w:sz w:val="20"/>
                <w:szCs w:val="20"/>
                <w:lang w:eastAsia="en-AU"/>
              </w:rPr>
              <w:t>:</w:t>
            </w:r>
            <w:r w:rsidRPr="005176BD">
              <w:rPr>
                <w:rFonts w:cs="Arial"/>
                <w:sz w:val="20"/>
                <w:szCs w:val="20"/>
                <w:lang w:eastAsia="en-AU"/>
              </w:rPr>
              <w:t xml:space="preserve"> 203-204.</w:t>
            </w:r>
          </w:p>
        </w:tc>
        <w:tc>
          <w:tcPr>
            <w:tcW w:w="4298" w:type="dxa"/>
          </w:tcPr>
          <w:p w14:paraId="00DC3DA0" w14:textId="77777777" w:rsidR="00084B2B" w:rsidRPr="005176BD" w:rsidRDefault="00084B2B" w:rsidP="003B611A">
            <w:pPr>
              <w:rPr>
                <w:rFonts w:cs="Arial"/>
                <w:sz w:val="20"/>
                <w:szCs w:val="20"/>
                <w:lang w:eastAsia="en-AU"/>
              </w:rPr>
            </w:pPr>
            <w:r w:rsidRPr="005176BD">
              <w:rPr>
                <w:rFonts w:cs="Arial"/>
                <w:sz w:val="20"/>
                <w:szCs w:val="20"/>
                <w:lang w:eastAsia="en-AU"/>
              </w:rPr>
              <w:t>Dolja-Gore X, Byles J, Loxton D, Hockey R &amp; Dobson A.</w:t>
            </w:r>
          </w:p>
        </w:tc>
        <w:tc>
          <w:tcPr>
            <w:tcW w:w="361" w:type="dxa"/>
          </w:tcPr>
          <w:p w14:paraId="1C34D9E6" w14:textId="49CEE696" w:rsidR="00084B2B" w:rsidRPr="005176BD" w:rsidRDefault="00F5504C" w:rsidP="003B611A">
            <w:pPr>
              <w:rPr>
                <w:rFonts w:cs="Arial"/>
                <w:sz w:val="20"/>
                <w:szCs w:val="20"/>
                <w:lang w:eastAsia="en-AU"/>
              </w:rPr>
            </w:pPr>
            <w:r w:rsidRPr="005176BD">
              <w:rPr>
                <w:rFonts w:cs="Arial"/>
                <w:sz w:val="20"/>
                <w:szCs w:val="20"/>
                <w:lang w:eastAsia="en-AU"/>
              </w:rPr>
              <w:t>7</w:t>
            </w:r>
          </w:p>
        </w:tc>
      </w:tr>
      <w:tr w:rsidR="00084B2B" w:rsidRPr="00084B2B" w14:paraId="6A61509E" w14:textId="77777777" w:rsidTr="0011030B">
        <w:tc>
          <w:tcPr>
            <w:tcW w:w="9196" w:type="dxa"/>
          </w:tcPr>
          <w:p w14:paraId="10C0FC7B" w14:textId="62AC77A9"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The management of heart conditions in older rural and urban Australian women. Internal Medicine Journal, </w:t>
            </w:r>
            <w:r w:rsidR="00DA3855" w:rsidRPr="005176BD">
              <w:rPr>
                <w:rFonts w:cs="Arial"/>
                <w:sz w:val="20"/>
                <w:szCs w:val="20"/>
                <w:lang w:eastAsia="en-AU"/>
              </w:rPr>
              <w:t xml:space="preserve">2011; </w:t>
            </w:r>
            <w:r w:rsidRPr="005176BD">
              <w:rPr>
                <w:rFonts w:cs="Arial"/>
                <w:sz w:val="20"/>
                <w:szCs w:val="20"/>
                <w:lang w:eastAsia="en-AU"/>
              </w:rPr>
              <w:t>41(10)</w:t>
            </w:r>
            <w:r w:rsidR="00DA3855" w:rsidRPr="005176BD">
              <w:rPr>
                <w:rFonts w:cs="Arial"/>
                <w:sz w:val="20"/>
                <w:szCs w:val="20"/>
                <w:lang w:eastAsia="en-AU"/>
              </w:rPr>
              <w:t>:</w:t>
            </w:r>
            <w:r w:rsidRPr="005176BD">
              <w:rPr>
                <w:rFonts w:cs="Arial"/>
                <w:sz w:val="20"/>
                <w:szCs w:val="20"/>
                <w:lang w:eastAsia="en-AU"/>
              </w:rPr>
              <w:t xml:space="preserve"> 722-729.</w:t>
            </w:r>
          </w:p>
        </w:tc>
        <w:tc>
          <w:tcPr>
            <w:tcW w:w="4298" w:type="dxa"/>
          </w:tcPr>
          <w:p w14:paraId="56A2C1AD" w14:textId="77777777" w:rsidR="00084B2B" w:rsidRPr="005176BD" w:rsidRDefault="00084B2B" w:rsidP="003B611A">
            <w:pPr>
              <w:rPr>
                <w:rFonts w:cs="Arial"/>
                <w:sz w:val="20"/>
                <w:szCs w:val="20"/>
                <w:lang w:eastAsia="en-AU"/>
              </w:rPr>
            </w:pPr>
            <w:r w:rsidRPr="005176BD">
              <w:rPr>
                <w:rFonts w:cs="Arial"/>
                <w:sz w:val="20"/>
                <w:szCs w:val="20"/>
                <w:lang w:eastAsia="en-AU"/>
              </w:rPr>
              <w:t>Jordan S, Wilson A &amp; Dobson A.</w:t>
            </w:r>
          </w:p>
        </w:tc>
        <w:tc>
          <w:tcPr>
            <w:tcW w:w="361" w:type="dxa"/>
          </w:tcPr>
          <w:p w14:paraId="3CECFAE1" w14:textId="151C6263" w:rsidR="00084B2B" w:rsidRPr="005176BD" w:rsidRDefault="00F5504C" w:rsidP="003B611A">
            <w:pPr>
              <w:rPr>
                <w:rFonts w:cs="Arial"/>
                <w:sz w:val="20"/>
                <w:szCs w:val="20"/>
                <w:lang w:eastAsia="en-AU"/>
              </w:rPr>
            </w:pPr>
            <w:r w:rsidRPr="005176BD">
              <w:rPr>
                <w:rFonts w:cs="Arial"/>
                <w:sz w:val="20"/>
                <w:szCs w:val="20"/>
                <w:lang w:eastAsia="en-AU"/>
              </w:rPr>
              <w:t>22</w:t>
            </w:r>
          </w:p>
        </w:tc>
      </w:tr>
      <w:tr w:rsidR="00084B2B" w:rsidRPr="00084B2B" w14:paraId="38724E3F" w14:textId="77777777" w:rsidTr="0011030B">
        <w:tc>
          <w:tcPr>
            <w:tcW w:w="9196" w:type="dxa"/>
          </w:tcPr>
          <w:p w14:paraId="325EB728" w14:textId="1A83B93E" w:rsidR="00084B2B" w:rsidRPr="005176BD" w:rsidRDefault="00084B2B" w:rsidP="003B611A">
            <w:pPr>
              <w:rPr>
                <w:rFonts w:cs="Arial"/>
                <w:sz w:val="20"/>
                <w:szCs w:val="20"/>
                <w:lang w:eastAsia="en-AU"/>
              </w:rPr>
            </w:pPr>
            <w:r w:rsidRPr="005176BD">
              <w:rPr>
                <w:rFonts w:cs="Arial"/>
                <w:sz w:val="20"/>
                <w:szCs w:val="20"/>
                <w:lang w:eastAsia="en-AU"/>
              </w:rPr>
              <w:t>Women’s uptake of Medicare Benefits Schedule mental health items for general practitioners, psychologists and other allied mental health professionals. Medical Journal of Australia,</w:t>
            </w:r>
            <w:r w:rsidR="00DA3855" w:rsidRPr="005176BD">
              <w:rPr>
                <w:rFonts w:cs="Arial"/>
                <w:sz w:val="20"/>
                <w:szCs w:val="20"/>
                <w:lang w:eastAsia="en-AU"/>
              </w:rPr>
              <w:t xml:space="preserve"> 2011; </w:t>
            </w:r>
            <w:r w:rsidRPr="005176BD">
              <w:rPr>
                <w:rFonts w:cs="Arial"/>
                <w:sz w:val="20"/>
                <w:szCs w:val="20"/>
                <w:lang w:eastAsia="en-AU"/>
              </w:rPr>
              <w:t>194(4)</w:t>
            </w:r>
            <w:r w:rsidR="00DA3855" w:rsidRPr="005176BD">
              <w:rPr>
                <w:rFonts w:cs="Arial"/>
                <w:sz w:val="20"/>
                <w:szCs w:val="20"/>
                <w:lang w:eastAsia="en-AU"/>
              </w:rPr>
              <w:t>:</w:t>
            </w:r>
            <w:r w:rsidRPr="005176BD">
              <w:rPr>
                <w:rFonts w:cs="Arial"/>
                <w:sz w:val="20"/>
                <w:szCs w:val="20"/>
                <w:lang w:eastAsia="en-AU"/>
              </w:rPr>
              <w:t xml:space="preserve"> 175-179.</w:t>
            </w:r>
          </w:p>
        </w:tc>
        <w:tc>
          <w:tcPr>
            <w:tcW w:w="4298" w:type="dxa"/>
          </w:tcPr>
          <w:p w14:paraId="76A559BC" w14:textId="77777777" w:rsidR="00084B2B" w:rsidRPr="005176BD" w:rsidRDefault="00084B2B" w:rsidP="003B611A">
            <w:pPr>
              <w:rPr>
                <w:rFonts w:cs="Arial"/>
                <w:sz w:val="20"/>
                <w:szCs w:val="20"/>
                <w:lang w:eastAsia="en-AU"/>
              </w:rPr>
            </w:pPr>
            <w:r w:rsidRPr="005176BD">
              <w:rPr>
                <w:rFonts w:cs="Arial"/>
                <w:sz w:val="20"/>
                <w:szCs w:val="20"/>
                <w:lang w:eastAsia="en-AU"/>
              </w:rPr>
              <w:t>Byles JE, Dolja-Gore X, Loxton D, Parkinson L &amp; Stewart Williams J.</w:t>
            </w:r>
          </w:p>
        </w:tc>
        <w:tc>
          <w:tcPr>
            <w:tcW w:w="361" w:type="dxa"/>
          </w:tcPr>
          <w:p w14:paraId="40708A31" w14:textId="51B3E0BC" w:rsidR="00084B2B" w:rsidRPr="005176BD" w:rsidRDefault="00F5504C" w:rsidP="003B611A">
            <w:pPr>
              <w:rPr>
                <w:rFonts w:cs="Arial"/>
                <w:sz w:val="20"/>
                <w:szCs w:val="20"/>
                <w:lang w:eastAsia="en-AU"/>
              </w:rPr>
            </w:pPr>
            <w:r w:rsidRPr="005176BD">
              <w:rPr>
                <w:rFonts w:cs="Arial"/>
                <w:sz w:val="20"/>
                <w:szCs w:val="20"/>
                <w:lang w:eastAsia="en-AU"/>
              </w:rPr>
              <w:t>19</w:t>
            </w:r>
          </w:p>
        </w:tc>
      </w:tr>
      <w:tr w:rsidR="00084B2B" w:rsidRPr="00084B2B" w14:paraId="7E950104" w14:textId="77777777" w:rsidTr="0011030B">
        <w:tc>
          <w:tcPr>
            <w:tcW w:w="9196" w:type="dxa"/>
          </w:tcPr>
          <w:p w14:paraId="14309590" w14:textId="6D51E117" w:rsidR="00084B2B" w:rsidRPr="005176BD" w:rsidRDefault="00084B2B" w:rsidP="003B611A">
            <w:pPr>
              <w:rPr>
                <w:rFonts w:cs="Arial"/>
                <w:sz w:val="20"/>
                <w:szCs w:val="20"/>
                <w:lang w:eastAsia="en-AU"/>
              </w:rPr>
            </w:pPr>
            <w:r w:rsidRPr="005176BD">
              <w:rPr>
                <w:rFonts w:cs="Arial"/>
                <w:sz w:val="20"/>
                <w:szCs w:val="20"/>
                <w:lang w:eastAsia="en-AU"/>
              </w:rPr>
              <w:t xml:space="preserve">Does systematically organized care improve outcomes for women with diabetes? Journal of Evaluation in Clinical Practice, </w:t>
            </w:r>
            <w:r w:rsidR="00DA3855" w:rsidRPr="005176BD">
              <w:rPr>
                <w:rFonts w:cs="Arial"/>
                <w:sz w:val="20"/>
                <w:szCs w:val="20"/>
                <w:lang w:eastAsia="en-AU"/>
              </w:rPr>
              <w:t xml:space="preserve">2010; </w:t>
            </w:r>
            <w:r w:rsidRPr="005176BD">
              <w:rPr>
                <w:rFonts w:cs="Arial"/>
                <w:sz w:val="20"/>
                <w:szCs w:val="20"/>
                <w:lang w:eastAsia="en-AU"/>
              </w:rPr>
              <w:t>16(5)</w:t>
            </w:r>
            <w:r w:rsidR="00DA3855" w:rsidRPr="005176BD">
              <w:rPr>
                <w:rFonts w:cs="Arial"/>
                <w:sz w:val="20"/>
                <w:szCs w:val="20"/>
                <w:lang w:eastAsia="en-AU"/>
              </w:rPr>
              <w:t>:</w:t>
            </w:r>
            <w:r w:rsidRPr="005176BD">
              <w:rPr>
                <w:rFonts w:cs="Arial"/>
                <w:sz w:val="20"/>
                <w:szCs w:val="20"/>
                <w:lang w:eastAsia="en-AU"/>
              </w:rPr>
              <w:t xml:space="preserve"> 887-894.</w:t>
            </w:r>
          </w:p>
        </w:tc>
        <w:tc>
          <w:tcPr>
            <w:tcW w:w="4298" w:type="dxa"/>
          </w:tcPr>
          <w:p w14:paraId="26E68483" w14:textId="77777777" w:rsidR="00084B2B" w:rsidRPr="005176BD" w:rsidRDefault="00084B2B" w:rsidP="003B611A">
            <w:pPr>
              <w:rPr>
                <w:rFonts w:cs="Arial"/>
                <w:sz w:val="20"/>
                <w:szCs w:val="20"/>
                <w:lang w:eastAsia="en-AU"/>
              </w:rPr>
            </w:pPr>
            <w:r w:rsidRPr="005176BD">
              <w:rPr>
                <w:rFonts w:cs="Arial"/>
                <w:sz w:val="20"/>
                <w:szCs w:val="20"/>
                <w:lang w:eastAsia="en-AU"/>
              </w:rPr>
              <w:t>Lowe J, Byles J, Dolja-Gore X &amp; Young A.</w:t>
            </w:r>
          </w:p>
        </w:tc>
        <w:tc>
          <w:tcPr>
            <w:tcW w:w="361" w:type="dxa"/>
          </w:tcPr>
          <w:p w14:paraId="74766F34" w14:textId="496F2C2B" w:rsidR="00084B2B" w:rsidRPr="005176BD" w:rsidRDefault="00F5504C" w:rsidP="003B611A">
            <w:pPr>
              <w:rPr>
                <w:rFonts w:cs="Arial"/>
                <w:sz w:val="20"/>
                <w:szCs w:val="20"/>
                <w:lang w:eastAsia="en-AU"/>
              </w:rPr>
            </w:pPr>
            <w:r w:rsidRPr="005176BD">
              <w:rPr>
                <w:rFonts w:cs="Arial"/>
                <w:sz w:val="20"/>
                <w:szCs w:val="20"/>
                <w:lang w:eastAsia="en-AU"/>
              </w:rPr>
              <w:t>11</w:t>
            </w:r>
          </w:p>
        </w:tc>
      </w:tr>
      <w:tr w:rsidR="00084B2B" w:rsidRPr="00084B2B" w14:paraId="6BF9D736" w14:textId="77777777" w:rsidTr="0011030B">
        <w:tc>
          <w:tcPr>
            <w:tcW w:w="9196" w:type="dxa"/>
          </w:tcPr>
          <w:p w14:paraId="355502A5" w14:textId="04A2BE69" w:rsidR="00084B2B" w:rsidRPr="005176BD" w:rsidRDefault="00084B2B" w:rsidP="003B611A">
            <w:pPr>
              <w:rPr>
                <w:rFonts w:cs="Arial"/>
                <w:sz w:val="20"/>
                <w:szCs w:val="20"/>
                <w:lang w:eastAsia="en-AU"/>
              </w:rPr>
            </w:pPr>
            <w:r w:rsidRPr="005176BD">
              <w:rPr>
                <w:rFonts w:cs="Arial"/>
                <w:sz w:val="20"/>
                <w:szCs w:val="20"/>
                <w:lang w:eastAsia="en-AU"/>
              </w:rPr>
              <w:t xml:space="preserve">Older Australian women's use of dentists: A longitudinal analysis over 6 years. Australasian Journal of Ageing, </w:t>
            </w:r>
            <w:r w:rsidR="00B94D78" w:rsidRPr="005176BD">
              <w:rPr>
                <w:rFonts w:cs="Arial"/>
                <w:sz w:val="20"/>
                <w:szCs w:val="20"/>
                <w:lang w:eastAsia="en-AU"/>
              </w:rPr>
              <w:t xml:space="preserve">2010; </w:t>
            </w:r>
            <w:r w:rsidRPr="005176BD">
              <w:rPr>
                <w:rFonts w:cs="Arial"/>
                <w:sz w:val="20"/>
                <w:szCs w:val="20"/>
                <w:lang w:eastAsia="en-AU"/>
              </w:rPr>
              <w:t>29(1)</w:t>
            </w:r>
            <w:r w:rsidR="00B94D78" w:rsidRPr="005176BD">
              <w:rPr>
                <w:rFonts w:cs="Arial"/>
                <w:sz w:val="20"/>
                <w:szCs w:val="20"/>
                <w:lang w:eastAsia="en-AU"/>
              </w:rPr>
              <w:t>:</w:t>
            </w:r>
            <w:r w:rsidRPr="005176BD">
              <w:rPr>
                <w:rFonts w:cs="Arial"/>
                <w:sz w:val="20"/>
                <w:szCs w:val="20"/>
                <w:lang w:eastAsia="en-AU"/>
              </w:rPr>
              <w:t xml:space="preserve"> 14-20. </w:t>
            </w:r>
          </w:p>
        </w:tc>
        <w:tc>
          <w:tcPr>
            <w:tcW w:w="4298" w:type="dxa"/>
          </w:tcPr>
          <w:p w14:paraId="19534817" w14:textId="77777777" w:rsidR="00084B2B" w:rsidRPr="005176BD" w:rsidRDefault="00084B2B" w:rsidP="003B611A">
            <w:pPr>
              <w:rPr>
                <w:rFonts w:cs="Arial"/>
                <w:sz w:val="20"/>
                <w:szCs w:val="20"/>
                <w:lang w:eastAsia="en-AU"/>
              </w:rPr>
            </w:pPr>
            <w:r w:rsidRPr="005176BD">
              <w:rPr>
                <w:rFonts w:cs="Arial"/>
                <w:sz w:val="20"/>
                <w:szCs w:val="20"/>
                <w:lang w:eastAsia="en-AU"/>
              </w:rPr>
              <w:t>Sibbritt D, Byles J &amp; Tavener M.</w:t>
            </w:r>
          </w:p>
        </w:tc>
        <w:tc>
          <w:tcPr>
            <w:tcW w:w="361" w:type="dxa"/>
          </w:tcPr>
          <w:p w14:paraId="2B014D29" w14:textId="7E2D5963" w:rsidR="00084B2B" w:rsidRPr="005176BD" w:rsidRDefault="00F5504C" w:rsidP="003B611A">
            <w:pPr>
              <w:rPr>
                <w:rFonts w:cs="Arial"/>
                <w:sz w:val="20"/>
                <w:szCs w:val="20"/>
                <w:lang w:eastAsia="en-AU"/>
              </w:rPr>
            </w:pPr>
            <w:r w:rsidRPr="005176BD">
              <w:rPr>
                <w:rFonts w:cs="Arial"/>
                <w:sz w:val="20"/>
                <w:szCs w:val="20"/>
                <w:lang w:eastAsia="en-AU"/>
              </w:rPr>
              <w:t>9</w:t>
            </w:r>
          </w:p>
        </w:tc>
      </w:tr>
      <w:tr w:rsidR="00084B2B" w:rsidRPr="00084B2B" w14:paraId="12E7150B" w14:textId="77777777" w:rsidTr="0011030B">
        <w:tc>
          <w:tcPr>
            <w:tcW w:w="9196" w:type="dxa"/>
          </w:tcPr>
          <w:p w14:paraId="6AC23118" w14:textId="726F880D" w:rsidR="00084B2B" w:rsidRPr="005176BD" w:rsidRDefault="00084B2B" w:rsidP="003B611A">
            <w:pPr>
              <w:rPr>
                <w:rFonts w:cs="Arial"/>
                <w:sz w:val="20"/>
                <w:szCs w:val="20"/>
                <w:lang w:eastAsia="en-AU"/>
              </w:rPr>
            </w:pPr>
            <w:r w:rsidRPr="005176BD">
              <w:rPr>
                <w:rFonts w:cs="Arial"/>
                <w:sz w:val="20"/>
                <w:szCs w:val="20"/>
                <w:lang w:eastAsia="en-AU"/>
              </w:rPr>
              <w:t xml:space="preserve">Health across generations: Findings from the Australian Longitudinal Study on Women’s Health. Biological Research for Nursing, </w:t>
            </w:r>
            <w:r w:rsidR="00DA3855" w:rsidRPr="005176BD">
              <w:rPr>
                <w:rFonts w:cs="Arial"/>
                <w:sz w:val="20"/>
                <w:szCs w:val="20"/>
                <w:lang w:eastAsia="en-AU"/>
              </w:rPr>
              <w:t xml:space="preserve">2010; </w:t>
            </w:r>
            <w:r w:rsidRPr="005176BD">
              <w:rPr>
                <w:rFonts w:cs="Arial"/>
                <w:sz w:val="20"/>
                <w:szCs w:val="20"/>
                <w:lang w:eastAsia="en-AU"/>
              </w:rPr>
              <w:t>12(2)</w:t>
            </w:r>
            <w:r w:rsidR="00B94D78" w:rsidRPr="005176BD">
              <w:rPr>
                <w:rFonts w:cs="Arial"/>
                <w:sz w:val="20"/>
                <w:szCs w:val="20"/>
                <w:lang w:eastAsia="en-AU"/>
              </w:rPr>
              <w:t>:</w:t>
            </w:r>
            <w:r w:rsidRPr="005176BD">
              <w:rPr>
                <w:rFonts w:cs="Arial"/>
                <w:sz w:val="20"/>
                <w:szCs w:val="20"/>
                <w:lang w:eastAsia="en-AU"/>
              </w:rPr>
              <w:t xml:space="preserve"> 162-170.</w:t>
            </w:r>
          </w:p>
        </w:tc>
        <w:tc>
          <w:tcPr>
            <w:tcW w:w="4298" w:type="dxa"/>
          </w:tcPr>
          <w:p w14:paraId="36E256F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Lucke J, Brown W, Tooth L, Loxton D, Byles J, </w:t>
            </w:r>
            <w:proofErr w:type="spellStart"/>
            <w:r w:rsidRPr="005176BD">
              <w:rPr>
                <w:rFonts w:cs="Arial"/>
                <w:sz w:val="20"/>
                <w:szCs w:val="20"/>
                <w:lang w:eastAsia="en-AU"/>
              </w:rPr>
              <w:t>Spallek</w:t>
            </w:r>
            <w:proofErr w:type="spellEnd"/>
            <w:r w:rsidRPr="005176BD">
              <w:rPr>
                <w:rFonts w:cs="Arial"/>
                <w:sz w:val="20"/>
                <w:szCs w:val="20"/>
                <w:lang w:eastAsia="en-AU"/>
              </w:rPr>
              <w:t xml:space="preserve"> M, Powers J, Hockey R, Pachana N &amp; Dobson A.</w:t>
            </w:r>
          </w:p>
        </w:tc>
        <w:tc>
          <w:tcPr>
            <w:tcW w:w="361" w:type="dxa"/>
          </w:tcPr>
          <w:p w14:paraId="242DFA46" w14:textId="389AF7DF" w:rsidR="00084B2B" w:rsidRPr="005176BD" w:rsidRDefault="00F5504C" w:rsidP="003B611A">
            <w:pPr>
              <w:rPr>
                <w:rFonts w:cs="Arial"/>
                <w:sz w:val="20"/>
                <w:szCs w:val="20"/>
                <w:lang w:eastAsia="en-AU"/>
              </w:rPr>
            </w:pPr>
            <w:r w:rsidRPr="005176BD">
              <w:rPr>
                <w:rFonts w:cs="Arial"/>
                <w:sz w:val="20"/>
                <w:szCs w:val="20"/>
                <w:lang w:eastAsia="en-AU"/>
              </w:rPr>
              <w:t>18</w:t>
            </w:r>
          </w:p>
        </w:tc>
      </w:tr>
      <w:tr w:rsidR="00084B2B" w:rsidRPr="00084B2B" w14:paraId="56249D66" w14:textId="77777777" w:rsidTr="0011030B">
        <w:tc>
          <w:tcPr>
            <w:tcW w:w="9196" w:type="dxa"/>
          </w:tcPr>
          <w:p w14:paraId="461EF0A8" w14:textId="4D790AD1" w:rsidR="00084B2B" w:rsidRPr="005176BD" w:rsidRDefault="00084B2B" w:rsidP="003B611A">
            <w:pPr>
              <w:rPr>
                <w:rFonts w:cs="Arial"/>
                <w:sz w:val="20"/>
                <w:szCs w:val="20"/>
                <w:lang w:eastAsia="en-AU"/>
              </w:rPr>
            </w:pPr>
            <w:r w:rsidRPr="005176BD">
              <w:rPr>
                <w:rFonts w:cs="Arial"/>
                <w:sz w:val="20"/>
                <w:szCs w:val="20"/>
                <w:lang w:eastAsia="en-AU"/>
              </w:rPr>
              <w:t xml:space="preserve">Why are death rates higher in rural areas? Evidence from the Australian Longitudinal Study on Women’s Health. Australian and New Zealand Journal of Public Health, </w:t>
            </w:r>
            <w:r w:rsidR="00DA3855" w:rsidRPr="005176BD">
              <w:rPr>
                <w:rFonts w:cs="Arial"/>
                <w:sz w:val="20"/>
                <w:szCs w:val="20"/>
                <w:lang w:eastAsia="en-AU"/>
              </w:rPr>
              <w:t>2010</w:t>
            </w:r>
            <w:r w:rsidR="00B94D78" w:rsidRPr="005176BD">
              <w:rPr>
                <w:rFonts w:cs="Arial"/>
                <w:sz w:val="20"/>
                <w:szCs w:val="20"/>
                <w:lang w:eastAsia="en-AU"/>
              </w:rPr>
              <w:t xml:space="preserve">; </w:t>
            </w:r>
            <w:r w:rsidRPr="005176BD">
              <w:rPr>
                <w:rFonts w:cs="Arial"/>
                <w:sz w:val="20"/>
                <w:szCs w:val="20"/>
                <w:lang w:eastAsia="en-AU"/>
              </w:rPr>
              <w:t>34(6)</w:t>
            </w:r>
            <w:r w:rsidR="00B94D78" w:rsidRPr="005176BD">
              <w:rPr>
                <w:rFonts w:cs="Arial"/>
                <w:sz w:val="20"/>
                <w:szCs w:val="20"/>
                <w:lang w:eastAsia="en-AU"/>
              </w:rPr>
              <w:t>:</w:t>
            </w:r>
            <w:r w:rsidRPr="005176BD">
              <w:rPr>
                <w:rFonts w:cs="Arial"/>
                <w:sz w:val="20"/>
                <w:szCs w:val="20"/>
                <w:lang w:eastAsia="en-AU"/>
              </w:rPr>
              <w:t xml:space="preserve"> 624-628.</w:t>
            </w:r>
          </w:p>
        </w:tc>
        <w:tc>
          <w:tcPr>
            <w:tcW w:w="4298" w:type="dxa"/>
          </w:tcPr>
          <w:p w14:paraId="2C033692" w14:textId="77777777" w:rsidR="00084B2B" w:rsidRPr="005176BD" w:rsidRDefault="00084B2B" w:rsidP="003B611A">
            <w:pPr>
              <w:rPr>
                <w:rFonts w:cs="Arial"/>
                <w:sz w:val="20"/>
                <w:szCs w:val="20"/>
                <w:lang w:eastAsia="en-AU"/>
              </w:rPr>
            </w:pPr>
            <w:r w:rsidRPr="005176BD">
              <w:rPr>
                <w:rFonts w:cs="Arial"/>
                <w:sz w:val="20"/>
                <w:szCs w:val="20"/>
                <w:lang w:eastAsia="en-AU"/>
              </w:rPr>
              <w:t xml:space="preserve">Dobson A, McLaughlin D, </w:t>
            </w:r>
            <w:proofErr w:type="spellStart"/>
            <w:r w:rsidRPr="005176BD">
              <w:rPr>
                <w:rFonts w:cs="Arial"/>
                <w:sz w:val="20"/>
                <w:szCs w:val="20"/>
                <w:lang w:eastAsia="en-AU"/>
              </w:rPr>
              <w:t>Vagenas</w:t>
            </w:r>
            <w:proofErr w:type="spellEnd"/>
            <w:r w:rsidRPr="005176BD">
              <w:rPr>
                <w:rFonts w:cs="Arial"/>
                <w:sz w:val="20"/>
                <w:szCs w:val="20"/>
                <w:lang w:eastAsia="en-AU"/>
              </w:rPr>
              <w:t xml:space="preserve"> D &amp; Wong K.</w:t>
            </w:r>
          </w:p>
        </w:tc>
        <w:tc>
          <w:tcPr>
            <w:tcW w:w="361" w:type="dxa"/>
          </w:tcPr>
          <w:p w14:paraId="12515B34" w14:textId="5510D454" w:rsidR="00084B2B" w:rsidRPr="005176BD" w:rsidRDefault="00F5504C" w:rsidP="003B611A">
            <w:pPr>
              <w:rPr>
                <w:rFonts w:cs="Arial"/>
                <w:sz w:val="20"/>
                <w:szCs w:val="20"/>
                <w:lang w:eastAsia="en-AU"/>
              </w:rPr>
            </w:pPr>
            <w:r w:rsidRPr="005176BD">
              <w:rPr>
                <w:rFonts w:cs="Arial"/>
                <w:sz w:val="20"/>
                <w:szCs w:val="20"/>
                <w:lang w:eastAsia="en-AU"/>
              </w:rPr>
              <w:t>29</w:t>
            </w:r>
          </w:p>
        </w:tc>
      </w:tr>
      <w:tr w:rsidR="00084B2B" w:rsidRPr="00084B2B" w14:paraId="5E40938E" w14:textId="77777777" w:rsidTr="0011030B">
        <w:tc>
          <w:tcPr>
            <w:tcW w:w="9196" w:type="dxa"/>
          </w:tcPr>
          <w:p w14:paraId="55B74525" w14:textId="0C42E831" w:rsidR="00084B2B" w:rsidRPr="005176BD" w:rsidRDefault="00084B2B" w:rsidP="003B611A">
            <w:pPr>
              <w:rPr>
                <w:rFonts w:cs="Arial"/>
                <w:sz w:val="20"/>
                <w:szCs w:val="20"/>
                <w:lang w:eastAsia="en-AU"/>
              </w:rPr>
            </w:pPr>
            <w:r w:rsidRPr="005176BD">
              <w:rPr>
                <w:rFonts w:cs="Arial"/>
                <w:sz w:val="20"/>
                <w:szCs w:val="20"/>
                <w:lang w:eastAsia="en-AU"/>
              </w:rPr>
              <w:t xml:space="preserve">A longitudinal analysis of older Australian women's consultations with complementary and alternative medicine (CAM) practitioners, 1996-2005. Age &amp; Ageing, </w:t>
            </w:r>
            <w:r w:rsidR="00DA3855" w:rsidRPr="005176BD">
              <w:rPr>
                <w:rFonts w:cs="Arial"/>
                <w:sz w:val="20"/>
                <w:szCs w:val="20"/>
                <w:lang w:eastAsia="en-AU"/>
              </w:rPr>
              <w:t>2009</w:t>
            </w:r>
            <w:r w:rsidR="00B94D78" w:rsidRPr="005176BD">
              <w:rPr>
                <w:rFonts w:cs="Arial"/>
                <w:sz w:val="20"/>
                <w:szCs w:val="20"/>
                <w:lang w:eastAsia="en-AU"/>
              </w:rPr>
              <w:t xml:space="preserve">; </w:t>
            </w:r>
            <w:r w:rsidRPr="005176BD">
              <w:rPr>
                <w:rFonts w:cs="Arial"/>
                <w:sz w:val="20"/>
                <w:szCs w:val="20"/>
                <w:lang w:eastAsia="en-AU"/>
              </w:rPr>
              <w:t>38(1)</w:t>
            </w:r>
            <w:r w:rsidR="00B94D78" w:rsidRPr="005176BD">
              <w:rPr>
                <w:rFonts w:cs="Arial"/>
                <w:sz w:val="20"/>
                <w:szCs w:val="20"/>
                <w:lang w:eastAsia="en-AU"/>
              </w:rPr>
              <w:t>:</w:t>
            </w:r>
            <w:r w:rsidRPr="005176BD">
              <w:rPr>
                <w:rFonts w:cs="Arial"/>
                <w:sz w:val="20"/>
                <w:szCs w:val="20"/>
                <w:lang w:eastAsia="en-AU"/>
              </w:rPr>
              <w:t xml:space="preserve"> 93-99. </w:t>
            </w:r>
          </w:p>
        </w:tc>
        <w:tc>
          <w:tcPr>
            <w:tcW w:w="4298" w:type="dxa"/>
          </w:tcPr>
          <w:p w14:paraId="72E47647" w14:textId="77777777" w:rsidR="00084B2B" w:rsidRPr="005176BD" w:rsidRDefault="00084B2B" w:rsidP="003B611A">
            <w:pPr>
              <w:rPr>
                <w:rFonts w:cs="Arial"/>
                <w:sz w:val="20"/>
                <w:szCs w:val="20"/>
                <w:lang w:eastAsia="en-AU"/>
              </w:rPr>
            </w:pPr>
            <w:r w:rsidRPr="005176BD">
              <w:rPr>
                <w:rFonts w:cs="Arial"/>
                <w:sz w:val="20"/>
                <w:szCs w:val="20"/>
                <w:lang w:eastAsia="en-AU"/>
              </w:rPr>
              <w:t>Adams J, Sibbritt D &amp; Young A.</w:t>
            </w:r>
          </w:p>
        </w:tc>
        <w:tc>
          <w:tcPr>
            <w:tcW w:w="361" w:type="dxa"/>
          </w:tcPr>
          <w:p w14:paraId="419A79D4" w14:textId="18DD01F5" w:rsidR="00084B2B" w:rsidRPr="005176BD" w:rsidRDefault="00F5504C" w:rsidP="003B611A">
            <w:pPr>
              <w:rPr>
                <w:rFonts w:cs="Arial"/>
                <w:sz w:val="20"/>
                <w:szCs w:val="20"/>
                <w:lang w:eastAsia="en-AU"/>
              </w:rPr>
            </w:pPr>
            <w:r w:rsidRPr="005176BD">
              <w:rPr>
                <w:rFonts w:cs="Arial"/>
                <w:sz w:val="20"/>
                <w:szCs w:val="20"/>
                <w:lang w:eastAsia="en-AU"/>
              </w:rPr>
              <w:t>31</w:t>
            </w:r>
          </w:p>
        </w:tc>
      </w:tr>
      <w:tr w:rsidR="00084B2B" w:rsidRPr="00084B2B" w14:paraId="64E9A3E2" w14:textId="77777777" w:rsidTr="0011030B">
        <w:tc>
          <w:tcPr>
            <w:tcW w:w="9196" w:type="dxa"/>
          </w:tcPr>
          <w:p w14:paraId="6E698ABF" w14:textId="5DB26801" w:rsidR="00084B2B" w:rsidRPr="005176BD" w:rsidRDefault="00084B2B" w:rsidP="003B611A">
            <w:pPr>
              <w:rPr>
                <w:rFonts w:cs="Arial"/>
                <w:sz w:val="20"/>
                <w:szCs w:val="20"/>
                <w:lang w:eastAsia="en-AU"/>
              </w:rPr>
            </w:pPr>
            <w:r w:rsidRPr="005176BD">
              <w:rPr>
                <w:rFonts w:cs="Arial"/>
                <w:sz w:val="20"/>
                <w:szCs w:val="20"/>
                <w:lang w:eastAsia="en-AU"/>
              </w:rPr>
              <w:t>Angina symptoms are associated with mortality in older women with ischemic heart disease. Circulation</w:t>
            </w:r>
            <w:r w:rsidR="00B94D78" w:rsidRPr="005176BD">
              <w:rPr>
                <w:rFonts w:cs="Arial"/>
                <w:sz w:val="20"/>
                <w:szCs w:val="20"/>
                <w:lang w:eastAsia="en-AU"/>
              </w:rPr>
              <w:t xml:space="preserve">, </w:t>
            </w:r>
            <w:r w:rsidR="00DA3855" w:rsidRPr="005176BD">
              <w:rPr>
                <w:rFonts w:cs="Arial"/>
                <w:sz w:val="20"/>
                <w:szCs w:val="20"/>
                <w:lang w:eastAsia="en-AU"/>
              </w:rPr>
              <w:t>2009</w:t>
            </w:r>
            <w:r w:rsidR="00B94D78" w:rsidRPr="005176BD">
              <w:rPr>
                <w:rFonts w:cs="Arial"/>
                <w:sz w:val="20"/>
                <w:szCs w:val="20"/>
                <w:lang w:eastAsia="en-AU"/>
              </w:rPr>
              <w:t>;</w:t>
            </w:r>
            <w:r w:rsidRPr="005176BD">
              <w:rPr>
                <w:rFonts w:cs="Arial"/>
                <w:sz w:val="20"/>
                <w:szCs w:val="20"/>
                <w:lang w:eastAsia="en-AU"/>
              </w:rPr>
              <w:t xml:space="preserve"> 120(23)</w:t>
            </w:r>
            <w:r w:rsidR="00B94D78" w:rsidRPr="005176BD">
              <w:rPr>
                <w:rFonts w:cs="Arial"/>
                <w:sz w:val="20"/>
                <w:szCs w:val="20"/>
                <w:lang w:eastAsia="en-AU"/>
              </w:rPr>
              <w:t>:</w:t>
            </w:r>
            <w:r w:rsidRPr="005176BD">
              <w:rPr>
                <w:rFonts w:cs="Arial"/>
                <w:sz w:val="20"/>
                <w:szCs w:val="20"/>
                <w:lang w:eastAsia="en-AU"/>
              </w:rPr>
              <w:t xml:space="preserve"> 2330-2336.</w:t>
            </w:r>
          </w:p>
        </w:tc>
        <w:tc>
          <w:tcPr>
            <w:tcW w:w="4298" w:type="dxa"/>
          </w:tcPr>
          <w:p w14:paraId="61FCAB42" w14:textId="428DD8ED" w:rsidR="00084B2B" w:rsidRPr="005176BD" w:rsidRDefault="00084B2B" w:rsidP="003B611A">
            <w:pPr>
              <w:rPr>
                <w:rFonts w:cs="Arial"/>
                <w:sz w:val="20"/>
                <w:szCs w:val="20"/>
                <w:lang w:eastAsia="en-AU"/>
              </w:rPr>
            </w:pPr>
            <w:r w:rsidRPr="005176BD">
              <w:rPr>
                <w:rFonts w:cs="Arial"/>
                <w:sz w:val="20"/>
                <w:szCs w:val="20"/>
                <w:lang w:eastAsia="en-AU"/>
              </w:rPr>
              <w:t>Berecki-</w:t>
            </w:r>
            <w:proofErr w:type="spellStart"/>
            <w:r w:rsidRPr="005176BD">
              <w:rPr>
                <w:rFonts w:cs="Arial"/>
                <w:sz w:val="20"/>
                <w:szCs w:val="20"/>
                <w:lang w:eastAsia="en-AU"/>
              </w:rPr>
              <w:t>Gisolf</w:t>
            </w:r>
            <w:proofErr w:type="spellEnd"/>
            <w:r w:rsidR="00012F17" w:rsidRPr="005176BD">
              <w:rPr>
                <w:rFonts w:cs="Arial"/>
                <w:sz w:val="20"/>
                <w:szCs w:val="20"/>
                <w:lang w:eastAsia="en-AU"/>
              </w:rPr>
              <w:t xml:space="preserve"> </w:t>
            </w:r>
            <w:r w:rsidRPr="005176BD">
              <w:rPr>
                <w:rFonts w:cs="Arial"/>
                <w:sz w:val="20"/>
                <w:szCs w:val="20"/>
                <w:lang w:eastAsia="en-AU"/>
              </w:rPr>
              <w:t>J, Humphreys-Reid L, Wilson A &amp; Dobson A.</w:t>
            </w:r>
          </w:p>
        </w:tc>
        <w:tc>
          <w:tcPr>
            <w:tcW w:w="361" w:type="dxa"/>
          </w:tcPr>
          <w:p w14:paraId="3542F624" w14:textId="40BACECF" w:rsidR="00084B2B" w:rsidRPr="005176BD" w:rsidRDefault="00F5504C" w:rsidP="003B611A">
            <w:pPr>
              <w:rPr>
                <w:rFonts w:cs="Arial"/>
                <w:sz w:val="20"/>
                <w:szCs w:val="20"/>
                <w:lang w:eastAsia="en-AU"/>
              </w:rPr>
            </w:pPr>
            <w:r w:rsidRPr="005176BD">
              <w:rPr>
                <w:rFonts w:cs="Arial"/>
                <w:sz w:val="20"/>
                <w:szCs w:val="20"/>
                <w:lang w:eastAsia="en-AU"/>
              </w:rPr>
              <w:t>23</w:t>
            </w:r>
          </w:p>
        </w:tc>
      </w:tr>
      <w:tr w:rsidR="00084B2B" w:rsidRPr="00084B2B" w14:paraId="0483F49D" w14:textId="77777777" w:rsidTr="0011030B">
        <w:tc>
          <w:tcPr>
            <w:tcW w:w="9196" w:type="dxa"/>
          </w:tcPr>
          <w:p w14:paraId="72410903" w14:textId="3E0DB487" w:rsidR="00084B2B" w:rsidRPr="005176BD" w:rsidRDefault="00084B2B" w:rsidP="003B611A">
            <w:pPr>
              <w:rPr>
                <w:rFonts w:cs="Arial"/>
                <w:sz w:val="20"/>
                <w:szCs w:val="20"/>
                <w:lang w:eastAsia="en-AU"/>
              </w:rPr>
            </w:pPr>
            <w:r w:rsidRPr="005176BD">
              <w:rPr>
                <w:rFonts w:cs="Arial"/>
                <w:sz w:val="20"/>
                <w:szCs w:val="20"/>
                <w:lang w:eastAsia="en-AU"/>
              </w:rPr>
              <w:t xml:space="preserve">Few urban-rural differences in older carers' access to community services. Australian Health Review, </w:t>
            </w:r>
            <w:r w:rsidR="00DA3855" w:rsidRPr="005176BD">
              <w:rPr>
                <w:rFonts w:cs="Arial"/>
                <w:sz w:val="20"/>
                <w:szCs w:val="20"/>
                <w:lang w:eastAsia="en-AU"/>
              </w:rPr>
              <w:t>2008</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32(4)</w:t>
            </w:r>
            <w:r w:rsidR="00B94D78" w:rsidRPr="005176BD">
              <w:rPr>
                <w:rFonts w:cs="Arial"/>
                <w:sz w:val="20"/>
                <w:szCs w:val="20"/>
                <w:lang w:eastAsia="en-AU"/>
              </w:rPr>
              <w:t>:</w:t>
            </w:r>
            <w:r w:rsidRPr="005176BD">
              <w:rPr>
                <w:rFonts w:cs="Arial"/>
                <w:sz w:val="20"/>
                <w:szCs w:val="20"/>
                <w:lang w:eastAsia="en-AU"/>
              </w:rPr>
              <w:t xml:space="preserve"> 684-690.</w:t>
            </w:r>
          </w:p>
        </w:tc>
        <w:tc>
          <w:tcPr>
            <w:tcW w:w="4298" w:type="dxa"/>
          </w:tcPr>
          <w:p w14:paraId="4403B838" w14:textId="77777777" w:rsidR="00084B2B" w:rsidRPr="005176BD" w:rsidRDefault="00084B2B" w:rsidP="003B611A">
            <w:pPr>
              <w:rPr>
                <w:rFonts w:cs="Arial"/>
                <w:sz w:val="20"/>
                <w:szCs w:val="20"/>
                <w:lang w:eastAsia="en-AU"/>
              </w:rPr>
            </w:pPr>
            <w:r w:rsidRPr="005176BD">
              <w:rPr>
                <w:rFonts w:cs="Arial"/>
                <w:sz w:val="20"/>
                <w:szCs w:val="20"/>
                <w:lang w:eastAsia="en-AU"/>
              </w:rPr>
              <w:t>Lucke J, Russell, Tooth L, Lee C, Watson M, Byrne G, Wilson A &amp; Dobson A.</w:t>
            </w:r>
          </w:p>
        </w:tc>
        <w:tc>
          <w:tcPr>
            <w:tcW w:w="361" w:type="dxa"/>
          </w:tcPr>
          <w:p w14:paraId="5DBF0732" w14:textId="5E0B5AE7" w:rsidR="00084B2B" w:rsidRPr="005176BD" w:rsidRDefault="00F5504C" w:rsidP="003B611A">
            <w:pPr>
              <w:rPr>
                <w:rFonts w:cs="Arial"/>
                <w:sz w:val="20"/>
                <w:szCs w:val="20"/>
                <w:lang w:eastAsia="en-AU"/>
              </w:rPr>
            </w:pPr>
            <w:r w:rsidRPr="005176BD">
              <w:rPr>
                <w:rFonts w:cs="Arial"/>
                <w:sz w:val="20"/>
                <w:szCs w:val="20"/>
                <w:lang w:eastAsia="en-AU"/>
              </w:rPr>
              <w:t>16</w:t>
            </w:r>
          </w:p>
        </w:tc>
      </w:tr>
      <w:tr w:rsidR="00084B2B" w:rsidRPr="00084B2B" w14:paraId="6E9BBD3A" w14:textId="77777777" w:rsidTr="0011030B">
        <w:tc>
          <w:tcPr>
            <w:tcW w:w="9196" w:type="dxa"/>
          </w:tcPr>
          <w:p w14:paraId="554BF0A4" w14:textId="7FE89DC1" w:rsidR="00084B2B" w:rsidRPr="005176BD" w:rsidRDefault="00084B2B" w:rsidP="003B611A">
            <w:pPr>
              <w:rPr>
                <w:rFonts w:cs="Arial"/>
                <w:sz w:val="20"/>
                <w:szCs w:val="20"/>
                <w:lang w:eastAsia="en-AU"/>
              </w:rPr>
            </w:pPr>
            <w:r w:rsidRPr="005176BD">
              <w:rPr>
                <w:rFonts w:cs="Arial"/>
                <w:sz w:val="20"/>
                <w:szCs w:val="20"/>
                <w:lang w:eastAsia="en-AU"/>
              </w:rPr>
              <w:t xml:space="preserve">Impact of cognitive and physical impairment on carer burden and quality of life. Quality of Life Research, </w:t>
            </w:r>
            <w:r w:rsidR="00DA3855" w:rsidRPr="005176BD">
              <w:rPr>
                <w:rFonts w:cs="Arial"/>
                <w:sz w:val="20"/>
                <w:szCs w:val="20"/>
                <w:lang w:eastAsia="en-AU"/>
              </w:rPr>
              <w:t>2008</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17(2)</w:t>
            </w:r>
            <w:r w:rsidR="00B94D78" w:rsidRPr="005176BD">
              <w:rPr>
                <w:rFonts w:cs="Arial"/>
                <w:sz w:val="20"/>
                <w:szCs w:val="20"/>
                <w:lang w:eastAsia="en-AU"/>
              </w:rPr>
              <w:t>:</w:t>
            </w:r>
            <w:r w:rsidRPr="005176BD">
              <w:rPr>
                <w:rFonts w:cs="Arial"/>
                <w:sz w:val="20"/>
                <w:szCs w:val="20"/>
                <w:lang w:eastAsia="en-AU"/>
              </w:rPr>
              <w:t xml:space="preserve"> 267-273.</w:t>
            </w:r>
          </w:p>
        </w:tc>
        <w:tc>
          <w:tcPr>
            <w:tcW w:w="4298" w:type="dxa"/>
          </w:tcPr>
          <w:p w14:paraId="5D5BB9F7" w14:textId="77777777" w:rsidR="00084B2B" w:rsidRPr="005176BD" w:rsidRDefault="00084B2B" w:rsidP="003B611A">
            <w:pPr>
              <w:rPr>
                <w:rFonts w:cs="Arial"/>
                <w:sz w:val="20"/>
                <w:szCs w:val="20"/>
                <w:lang w:eastAsia="en-AU"/>
              </w:rPr>
            </w:pPr>
            <w:r w:rsidRPr="005176BD">
              <w:rPr>
                <w:rFonts w:cs="Arial"/>
                <w:sz w:val="20"/>
                <w:szCs w:val="20"/>
                <w:lang w:eastAsia="en-AU"/>
              </w:rPr>
              <w:t>Tooth L, Russell A, Lucke J, Byrne G, Lee C, Wilson A &amp; Dobson A.</w:t>
            </w:r>
          </w:p>
        </w:tc>
        <w:tc>
          <w:tcPr>
            <w:tcW w:w="361" w:type="dxa"/>
          </w:tcPr>
          <w:p w14:paraId="22FA1246" w14:textId="626FE1E8" w:rsidR="00084B2B" w:rsidRPr="005176BD" w:rsidRDefault="00F5504C" w:rsidP="003B611A">
            <w:pPr>
              <w:rPr>
                <w:rFonts w:cs="Arial"/>
                <w:sz w:val="20"/>
                <w:szCs w:val="20"/>
                <w:lang w:eastAsia="en-AU"/>
              </w:rPr>
            </w:pPr>
            <w:r w:rsidRPr="005176BD">
              <w:rPr>
                <w:rFonts w:cs="Arial"/>
                <w:sz w:val="20"/>
                <w:szCs w:val="20"/>
                <w:lang w:eastAsia="en-AU"/>
              </w:rPr>
              <w:t>47</w:t>
            </w:r>
          </w:p>
        </w:tc>
      </w:tr>
      <w:tr w:rsidR="00084B2B" w:rsidRPr="00084B2B" w14:paraId="626BBC6F" w14:textId="77777777" w:rsidTr="0011030B">
        <w:tc>
          <w:tcPr>
            <w:tcW w:w="9196" w:type="dxa"/>
          </w:tcPr>
          <w:p w14:paraId="67B743F1" w14:textId="4710C859" w:rsidR="00084B2B" w:rsidRPr="005176BD" w:rsidRDefault="00084B2B" w:rsidP="003B611A">
            <w:pPr>
              <w:rPr>
                <w:rFonts w:cs="Arial"/>
                <w:sz w:val="20"/>
                <w:szCs w:val="20"/>
                <w:lang w:eastAsia="en-AU"/>
              </w:rPr>
            </w:pPr>
            <w:r w:rsidRPr="005176BD">
              <w:rPr>
                <w:rFonts w:cs="Arial"/>
                <w:sz w:val="20"/>
                <w:szCs w:val="20"/>
                <w:lang w:eastAsia="en-AU"/>
              </w:rPr>
              <w:t xml:space="preserve">Costs of medications for older women. Australian and New Zealand Journal of Public Health, </w:t>
            </w:r>
            <w:r w:rsidR="00DA3855" w:rsidRPr="005176BD">
              <w:rPr>
                <w:rFonts w:cs="Arial"/>
                <w:sz w:val="20"/>
                <w:szCs w:val="20"/>
                <w:lang w:eastAsia="en-AU"/>
              </w:rPr>
              <w:t>2008</w:t>
            </w:r>
            <w:r w:rsidR="00B94D78" w:rsidRPr="005176BD">
              <w:rPr>
                <w:rFonts w:cs="Arial"/>
                <w:sz w:val="20"/>
                <w:szCs w:val="20"/>
                <w:lang w:eastAsia="en-AU"/>
              </w:rPr>
              <w:t xml:space="preserve">; </w:t>
            </w:r>
            <w:r w:rsidRPr="005176BD">
              <w:rPr>
                <w:rFonts w:cs="Arial"/>
                <w:sz w:val="20"/>
                <w:szCs w:val="20"/>
                <w:lang w:eastAsia="en-AU"/>
              </w:rPr>
              <w:t>32(1)</w:t>
            </w:r>
            <w:r w:rsidR="00B94D78" w:rsidRPr="005176BD">
              <w:rPr>
                <w:rFonts w:cs="Arial"/>
                <w:sz w:val="20"/>
                <w:szCs w:val="20"/>
                <w:lang w:eastAsia="en-AU"/>
              </w:rPr>
              <w:t>:</w:t>
            </w:r>
            <w:r w:rsidRPr="005176BD">
              <w:rPr>
                <w:rFonts w:cs="Arial"/>
                <w:sz w:val="20"/>
                <w:szCs w:val="20"/>
                <w:lang w:eastAsia="en-AU"/>
              </w:rPr>
              <w:t xml:space="preserve"> 89.</w:t>
            </w:r>
          </w:p>
        </w:tc>
        <w:tc>
          <w:tcPr>
            <w:tcW w:w="4298" w:type="dxa"/>
          </w:tcPr>
          <w:p w14:paraId="7CB667B6" w14:textId="77777777" w:rsidR="00084B2B" w:rsidRPr="005176BD" w:rsidRDefault="00084B2B" w:rsidP="003B611A">
            <w:pPr>
              <w:rPr>
                <w:rFonts w:cs="Arial"/>
                <w:sz w:val="20"/>
                <w:szCs w:val="20"/>
                <w:lang w:eastAsia="en-AU"/>
              </w:rPr>
            </w:pPr>
            <w:r w:rsidRPr="005176BD">
              <w:rPr>
                <w:rFonts w:cs="Arial"/>
                <w:sz w:val="20"/>
                <w:szCs w:val="20"/>
                <w:lang w:eastAsia="en-AU"/>
              </w:rPr>
              <w:t>Lowe J, Young A, Dolja-Gore X &amp; Byles J.</w:t>
            </w:r>
          </w:p>
        </w:tc>
        <w:tc>
          <w:tcPr>
            <w:tcW w:w="361" w:type="dxa"/>
          </w:tcPr>
          <w:p w14:paraId="7CB5B849" w14:textId="2627BAC3" w:rsidR="00084B2B" w:rsidRPr="005176BD" w:rsidRDefault="00F5504C" w:rsidP="003B611A">
            <w:pPr>
              <w:rPr>
                <w:rFonts w:cs="Arial"/>
                <w:sz w:val="20"/>
                <w:szCs w:val="20"/>
                <w:lang w:eastAsia="en-AU"/>
              </w:rPr>
            </w:pPr>
            <w:r w:rsidRPr="005176BD">
              <w:rPr>
                <w:rFonts w:cs="Arial"/>
                <w:sz w:val="20"/>
                <w:szCs w:val="20"/>
                <w:lang w:eastAsia="en-AU"/>
              </w:rPr>
              <w:t>5</w:t>
            </w:r>
          </w:p>
        </w:tc>
      </w:tr>
      <w:tr w:rsidR="00084B2B" w:rsidRPr="00084B2B" w14:paraId="67F7F46B" w14:textId="77777777" w:rsidTr="0011030B">
        <w:tc>
          <w:tcPr>
            <w:tcW w:w="9196" w:type="dxa"/>
          </w:tcPr>
          <w:p w14:paraId="5A28C829" w14:textId="031F8ED8" w:rsidR="00084B2B" w:rsidRPr="005176BD" w:rsidRDefault="00084B2B" w:rsidP="003B611A">
            <w:pPr>
              <w:rPr>
                <w:rFonts w:cs="Arial"/>
                <w:sz w:val="20"/>
                <w:szCs w:val="20"/>
                <w:lang w:eastAsia="en-AU"/>
              </w:rPr>
            </w:pPr>
            <w:r w:rsidRPr="005176BD">
              <w:rPr>
                <w:rFonts w:cs="Arial"/>
                <w:sz w:val="20"/>
                <w:szCs w:val="20"/>
                <w:lang w:eastAsia="en-AU"/>
              </w:rPr>
              <w:t>Prevalence and characteristics of older Australian women who consult dentists. Australian Journal of Rural Health</w:t>
            </w:r>
            <w:r w:rsidR="00B94D78" w:rsidRPr="005176BD">
              <w:rPr>
                <w:rFonts w:cs="Arial"/>
                <w:sz w:val="20"/>
                <w:szCs w:val="20"/>
                <w:lang w:eastAsia="en-AU"/>
              </w:rPr>
              <w:t xml:space="preserve">; </w:t>
            </w:r>
            <w:r w:rsidR="00DA3855" w:rsidRPr="005176BD">
              <w:rPr>
                <w:rFonts w:cs="Arial"/>
                <w:sz w:val="20"/>
                <w:szCs w:val="20"/>
                <w:lang w:eastAsia="en-AU"/>
              </w:rPr>
              <w:t>2007</w:t>
            </w:r>
            <w:r w:rsidR="00B94D78" w:rsidRPr="005176BD">
              <w:rPr>
                <w:rFonts w:cs="Arial"/>
                <w:sz w:val="20"/>
                <w:szCs w:val="20"/>
                <w:lang w:eastAsia="en-AU"/>
              </w:rPr>
              <w:t>;</w:t>
            </w:r>
            <w:r w:rsidRPr="005176BD">
              <w:rPr>
                <w:rFonts w:cs="Arial"/>
                <w:sz w:val="20"/>
                <w:szCs w:val="20"/>
                <w:lang w:eastAsia="en-AU"/>
              </w:rPr>
              <w:t xml:space="preserve"> 15(6)</w:t>
            </w:r>
            <w:r w:rsidR="00B94D78" w:rsidRPr="005176BD">
              <w:rPr>
                <w:rFonts w:cs="Arial"/>
                <w:sz w:val="20"/>
                <w:szCs w:val="20"/>
                <w:lang w:eastAsia="en-AU"/>
              </w:rPr>
              <w:t xml:space="preserve">: </w:t>
            </w:r>
            <w:r w:rsidRPr="005176BD">
              <w:rPr>
                <w:rFonts w:cs="Arial"/>
                <w:sz w:val="20"/>
                <w:szCs w:val="20"/>
                <w:lang w:eastAsia="en-AU"/>
              </w:rPr>
              <w:t>387-388.</w:t>
            </w:r>
          </w:p>
        </w:tc>
        <w:tc>
          <w:tcPr>
            <w:tcW w:w="4298" w:type="dxa"/>
          </w:tcPr>
          <w:p w14:paraId="6993C4ED" w14:textId="77777777" w:rsidR="00084B2B" w:rsidRPr="005176BD" w:rsidRDefault="00084B2B" w:rsidP="003B611A">
            <w:pPr>
              <w:rPr>
                <w:rFonts w:cs="Arial"/>
                <w:sz w:val="20"/>
                <w:szCs w:val="20"/>
                <w:lang w:eastAsia="en-AU"/>
              </w:rPr>
            </w:pPr>
            <w:r w:rsidRPr="005176BD">
              <w:rPr>
                <w:rFonts w:cs="Arial"/>
                <w:sz w:val="20"/>
                <w:szCs w:val="20"/>
                <w:lang w:eastAsia="en-AU"/>
              </w:rPr>
              <w:t>Sibbritt D, Byles J &amp; Cockrell D.</w:t>
            </w:r>
          </w:p>
        </w:tc>
        <w:tc>
          <w:tcPr>
            <w:tcW w:w="361" w:type="dxa"/>
          </w:tcPr>
          <w:p w14:paraId="64F6B7D9"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240D8EEE" w14:textId="77777777" w:rsidTr="0011030B">
        <w:tc>
          <w:tcPr>
            <w:tcW w:w="9196" w:type="dxa"/>
          </w:tcPr>
          <w:p w14:paraId="2E689EFD" w14:textId="11869CFF" w:rsidR="00084B2B" w:rsidRPr="005176BD" w:rsidRDefault="00084B2B" w:rsidP="003B611A">
            <w:pPr>
              <w:rPr>
                <w:rFonts w:cs="Arial"/>
                <w:sz w:val="20"/>
                <w:szCs w:val="20"/>
                <w:lang w:eastAsia="en-AU"/>
              </w:rPr>
            </w:pPr>
            <w:r w:rsidRPr="005176BD">
              <w:rPr>
                <w:rFonts w:cs="Arial"/>
                <w:sz w:val="20"/>
                <w:szCs w:val="20"/>
                <w:lang w:eastAsia="en-AU"/>
              </w:rPr>
              <w:t>Annual health assessments for older Australian women: Uptake and equity. Australian and New Zealand Journal of Public Health</w:t>
            </w:r>
            <w:r w:rsidR="00B94D78" w:rsidRPr="005176BD">
              <w:rPr>
                <w:rFonts w:cs="Arial"/>
                <w:sz w:val="20"/>
                <w:szCs w:val="20"/>
                <w:lang w:eastAsia="en-AU"/>
              </w:rPr>
              <w:t xml:space="preserve">, </w:t>
            </w:r>
            <w:r w:rsidR="00DA3855" w:rsidRPr="005176BD">
              <w:rPr>
                <w:rFonts w:cs="Arial"/>
                <w:sz w:val="20"/>
                <w:szCs w:val="20"/>
                <w:lang w:eastAsia="en-AU"/>
              </w:rPr>
              <w:t>2007</w:t>
            </w:r>
            <w:r w:rsidR="00B94D78" w:rsidRPr="005176BD">
              <w:rPr>
                <w:rFonts w:cs="Arial"/>
                <w:sz w:val="20"/>
                <w:szCs w:val="20"/>
                <w:lang w:eastAsia="en-AU"/>
              </w:rPr>
              <w:t>;</w:t>
            </w:r>
            <w:r w:rsidRPr="005176BD">
              <w:rPr>
                <w:rFonts w:cs="Arial"/>
                <w:sz w:val="20"/>
                <w:szCs w:val="20"/>
                <w:lang w:eastAsia="en-AU"/>
              </w:rPr>
              <w:t xml:space="preserve"> 31(2)</w:t>
            </w:r>
            <w:r w:rsidR="00B94D78" w:rsidRPr="005176BD">
              <w:rPr>
                <w:rFonts w:cs="Arial"/>
                <w:sz w:val="20"/>
                <w:szCs w:val="20"/>
                <w:lang w:eastAsia="en-AU"/>
              </w:rPr>
              <w:t xml:space="preserve">: </w:t>
            </w:r>
            <w:r w:rsidRPr="005176BD">
              <w:rPr>
                <w:rFonts w:cs="Arial"/>
                <w:sz w:val="20"/>
                <w:szCs w:val="20"/>
                <w:lang w:eastAsia="en-AU"/>
              </w:rPr>
              <w:t xml:space="preserve">170-173. </w:t>
            </w:r>
          </w:p>
        </w:tc>
        <w:tc>
          <w:tcPr>
            <w:tcW w:w="4298" w:type="dxa"/>
          </w:tcPr>
          <w:p w14:paraId="7EA81BE2"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JE, Young A &amp; </w:t>
            </w:r>
            <w:proofErr w:type="spellStart"/>
            <w:r w:rsidRPr="005176BD">
              <w:rPr>
                <w:rFonts w:cs="Arial"/>
                <w:sz w:val="20"/>
                <w:szCs w:val="20"/>
                <w:lang w:eastAsia="en-AU"/>
              </w:rPr>
              <w:t>Wheway</w:t>
            </w:r>
            <w:proofErr w:type="spellEnd"/>
            <w:r w:rsidRPr="005176BD">
              <w:rPr>
                <w:rFonts w:cs="Arial"/>
                <w:sz w:val="20"/>
                <w:szCs w:val="20"/>
                <w:lang w:eastAsia="en-AU"/>
              </w:rPr>
              <w:t xml:space="preserve"> V.</w:t>
            </w:r>
          </w:p>
        </w:tc>
        <w:tc>
          <w:tcPr>
            <w:tcW w:w="361" w:type="dxa"/>
          </w:tcPr>
          <w:p w14:paraId="1242B45A" w14:textId="77777777" w:rsidR="00084B2B" w:rsidRPr="005176BD" w:rsidRDefault="00084B2B" w:rsidP="003B611A">
            <w:pPr>
              <w:rPr>
                <w:rFonts w:cs="Arial"/>
                <w:sz w:val="20"/>
                <w:szCs w:val="20"/>
                <w:lang w:eastAsia="en-AU"/>
              </w:rPr>
            </w:pPr>
            <w:r w:rsidRPr="005176BD">
              <w:rPr>
                <w:rFonts w:cs="Arial"/>
                <w:sz w:val="20"/>
                <w:szCs w:val="20"/>
                <w:lang w:eastAsia="en-AU"/>
              </w:rPr>
              <w:t>17</w:t>
            </w:r>
          </w:p>
        </w:tc>
      </w:tr>
      <w:tr w:rsidR="00084B2B" w:rsidRPr="00084B2B" w14:paraId="718D16F0" w14:textId="77777777" w:rsidTr="0011030B">
        <w:tc>
          <w:tcPr>
            <w:tcW w:w="9196" w:type="dxa"/>
          </w:tcPr>
          <w:p w14:paraId="3730F6B6" w14:textId="0A355AE4" w:rsidR="00084B2B" w:rsidRPr="005176BD" w:rsidRDefault="00084B2B" w:rsidP="003B611A">
            <w:pPr>
              <w:rPr>
                <w:rFonts w:cs="Arial"/>
                <w:sz w:val="20"/>
                <w:szCs w:val="20"/>
                <w:lang w:eastAsia="en-AU"/>
              </w:rPr>
            </w:pPr>
            <w:r w:rsidRPr="005176BD">
              <w:rPr>
                <w:rFonts w:cs="Arial"/>
                <w:sz w:val="20"/>
                <w:szCs w:val="20"/>
                <w:lang w:eastAsia="en-AU"/>
              </w:rPr>
              <w:t>Never-married childless women: Health and social circumstances in older age. Social Science and Medicine</w:t>
            </w:r>
            <w:r w:rsidR="00B94D78" w:rsidRPr="005176BD">
              <w:rPr>
                <w:rFonts w:cs="Arial"/>
                <w:sz w:val="20"/>
                <w:szCs w:val="20"/>
                <w:lang w:eastAsia="en-AU"/>
              </w:rPr>
              <w:t xml:space="preserve">, </w:t>
            </w:r>
            <w:r w:rsidR="00DA3855" w:rsidRPr="005176BD">
              <w:rPr>
                <w:rFonts w:cs="Arial"/>
                <w:sz w:val="20"/>
                <w:szCs w:val="20"/>
                <w:lang w:eastAsia="en-AU"/>
              </w:rPr>
              <w:t>2006</w:t>
            </w:r>
            <w:r w:rsidR="00B94D78" w:rsidRPr="005176BD">
              <w:rPr>
                <w:rFonts w:cs="Arial"/>
                <w:sz w:val="20"/>
                <w:szCs w:val="20"/>
                <w:lang w:eastAsia="en-AU"/>
              </w:rPr>
              <w:t>;</w:t>
            </w:r>
            <w:r w:rsidRPr="005176BD">
              <w:rPr>
                <w:rFonts w:cs="Arial"/>
                <w:sz w:val="20"/>
                <w:szCs w:val="20"/>
                <w:lang w:eastAsia="en-AU"/>
              </w:rPr>
              <w:t xml:space="preserve"> 62(8)</w:t>
            </w:r>
            <w:r w:rsidR="00B94D78" w:rsidRPr="005176BD">
              <w:rPr>
                <w:rFonts w:cs="Arial"/>
                <w:sz w:val="20"/>
                <w:szCs w:val="20"/>
                <w:lang w:eastAsia="en-AU"/>
              </w:rPr>
              <w:t>:</w:t>
            </w:r>
            <w:r w:rsidRPr="005176BD">
              <w:rPr>
                <w:rFonts w:cs="Arial"/>
                <w:sz w:val="20"/>
                <w:szCs w:val="20"/>
                <w:lang w:eastAsia="en-AU"/>
              </w:rPr>
              <w:t xml:space="preserve"> 1991-2001.</w:t>
            </w:r>
          </w:p>
        </w:tc>
        <w:tc>
          <w:tcPr>
            <w:tcW w:w="4298" w:type="dxa"/>
          </w:tcPr>
          <w:p w14:paraId="6C756B12"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Cwikel</w:t>
            </w:r>
            <w:proofErr w:type="spellEnd"/>
            <w:r w:rsidRPr="005176BD">
              <w:rPr>
                <w:rFonts w:cs="Arial"/>
                <w:sz w:val="20"/>
                <w:szCs w:val="20"/>
                <w:lang w:eastAsia="en-AU"/>
              </w:rPr>
              <w:t xml:space="preserve"> J, </w:t>
            </w:r>
            <w:proofErr w:type="spellStart"/>
            <w:r w:rsidRPr="005176BD">
              <w:rPr>
                <w:rFonts w:cs="Arial"/>
                <w:sz w:val="20"/>
                <w:szCs w:val="20"/>
                <w:lang w:eastAsia="en-AU"/>
              </w:rPr>
              <w:t>Gramotnev</w:t>
            </w:r>
            <w:proofErr w:type="spellEnd"/>
            <w:r w:rsidRPr="005176BD">
              <w:rPr>
                <w:rFonts w:cs="Arial"/>
                <w:sz w:val="20"/>
                <w:szCs w:val="20"/>
                <w:lang w:eastAsia="en-AU"/>
              </w:rPr>
              <w:t xml:space="preserve"> H &amp; Lee C.</w:t>
            </w:r>
          </w:p>
        </w:tc>
        <w:tc>
          <w:tcPr>
            <w:tcW w:w="361" w:type="dxa"/>
          </w:tcPr>
          <w:p w14:paraId="6F999243" w14:textId="77777777" w:rsidR="00084B2B" w:rsidRPr="005176BD" w:rsidRDefault="00084B2B" w:rsidP="003B611A">
            <w:pPr>
              <w:rPr>
                <w:rFonts w:cs="Arial"/>
                <w:sz w:val="20"/>
                <w:szCs w:val="20"/>
                <w:lang w:eastAsia="en-AU"/>
              </w:rPr>
            </w:pPr>
            <w:r w:rsidRPr="005176BD">
              <w:rPr>
                <w:rFonts w:cs="Arial"/>
                <w:sz w:val="20"/>
                <w:szCs w:val="20"/>
                <w:lang w:eastAsia="en-AU"/>
              </w:rPr>
              <w:t>60</w:t>
            </w:r>
          </w:p>
        </w:tc>
      </w:tr>
      <w:tr w:rsidR="00084B2B" w:rsidRPr="00084B2B" w14:paraId="3C53A73B" w14:textId="77777777" w:rsidTr="0011030B">
        <w:tc>
          <w:tcPr>
            <w:tcW w:w="9196" w:type="dxa"/>
          </w:tcPr>
          <w:p w14:paraId="4CB5E61B" w14:textId="395A4A3C" w:rsidR="00084B2B" w:rsidRPr="005176BD" w:rsidRDefault="00084B2B" w:rsidP="003B611A">
            <w:pPr>
              <w:rPr>
                <w:rFonts w:cs="Arial"/>
                <w:sz w:val="20"/>
                <w:szCs w:val="20"/>
                <w:lang w:eastAsia="en-AU"/>
              </w:rPr>
            </w:pPr>
            <w:r w:rsidRPr="005176BD">
              <w:rPr>
                <w:rFonts w:cs="Arial"/>
                <w:sz w:val="20"/>
                <w:szCs w:val="20"/>
                <w:lang w:eastAsia="en-AU"/>
              </w:rPr>
              <w:t>Trends in health service use for women in Australia with diabetes. Australian and New Zealand Journal of Public Health</w:t>
            </w:r>
            <w:r w:rsidR="00B94D78" w:rsidRPr="005176BD">
              <w:rPr>
                <w:rFonts w:cs="Arial"/>
                <w:sz w:val="20"/>
                <w:szCs w:val="20"/>
                <w:lang w:eastAsia="en-AU"/>
              </w:rPr>
              <w:t xml:space="preserve">, </w:t>
            </w:r>
            <w:r w:rsidR="00DA3855" w:rsidRPr="005176BD">
              <w:rPr>
                <w:rFonts w:cs="Arial"/>
                <w:sz w:val="20"/>
                <w:szCs w:val="20"/>
                <w:lang w:eastAsia="en-AU"/>
              </w:rPr>
              <w:t>2005</w:t>
            </w:r>
            <w:r w:rsidR="00B94D78" w:rsidRPr="005176BD">
              <w:rPr>
                <w:rFonts w:cs="Arial"/>
                <w:sz w:val="20"/>
                <w:szCs w:val="20"/>
                <w:lang w:eastAsia="en-AU"/>
              </w:rPr>
              <w:t>;</w:t>
            </w:r>
            <w:r w:rsidRPr="005176BD">
              <w:rPr>
                <w:rFonts w:cs="Arial"/>
                <w:sz w:val="20"/>
                <w:szCs w:val="20"/>
                <w:lang w:eastAsia="en-AU"/>
              </w:rPr>
              <w:t xml:space="preserve"> 29(5)</w:t>
            </w:r>
            <w:r w:rsidR="00B94D78" w:rsidRPr="005176BD">
              <w:rPr>
                <w:rFonts w:cs="Arial"/>
                <w:sz w:val="20"/>
                <w:szCs w:val="20"/>
                <w:lang w:eastAsia="en-AU"/>
              </w:rPr>
              <w:t>:</w:t>
            </w:r>
            <w:r w:rsidRPr="005176BD">
              <w:rPr>
                <w:rFonts w:cs="Arial"/>
                <w:sz w:val="20"/>
                <w:szCs w:val="20"/>
                <w:lang w:eastAsia="en-AU"/>
              </w:rPr>
              <w:t xml:space="preserve"> 422-428. </w:t>
            </w:r>
          </w:p>
        </w:tc>
        <w:tc>
          <w:tcPr>
            <w:tcW w:w="4298" w:type="dxa"/>
          </w:tcPr>
          <w:p w14:paraId="79496974" w14:textId="77777777" w:rsidR="00084B2B" w:rsidRPr="005176BD" w:rsidRDefault="00084B2B" w:rsidP="003B611A">
            <w:pPr>
              <w:rPr>
                <w:rFonts w:cs="Arial"/>
                <w:sz w:val="20"/>
                <w:szCs w:val="20"/>
                <w:lang w:eastAsia="en-AU"/>
              </w:rPr>
            </w:pPr>
            <w:r w:rsidRPr="005176BD">
              <w:rPr>
                <w:rFonts w:cs="Arial"/>
                <w:sz w:val="20"/>
                <w:szCs w:val="20"/>
                <w:lang w:eastAsia="en-AU"/>
              </w:rPr>
              <w:t>Young A, Lowe J, Byles J &amp; Patterson A.</w:t>
            </w:r>
          </w:p>
        </w:tc>
        <w:tc>
          <w:tcPr>
            <w:tcW w:w="361" w:type="dxa"/>
          </w:tcPr>
          <w:p w14:paraId="105F8A91" w14:textId="77777777" w:rsidR="00084B2B" w:rsidRPr="005176BD" w:rsidRDefault="00084B2B" w:rsidP="003B611A">
            <w:pPr>
              <w:rPr>
                <w:rFonts w:cs="Arial"/>
                <w:sz w:val="20"/>
                <w:szCs w:val="20"/>
                <w:lang w:eastAsia="en-AU"/>
              </w:rPr>
            </w:pPr>
            <w:r w:rsidRPr="005176BD">
              <w:rPr>
                <w:rFonts w:cs="Arial"/>
                <w:sz w:val="20"/>
                <w:szCs w:val="20"/>
                <w:lang w:eastAsia="en-AU"/>
              </w:rPr>
              <w:t>4</w:t>
            </w:r>
          </w:p>
        </w:tc>
      </w:tr>
      <w:tr w:rsidR="00084B2B" w:rsidRPr="00084B2B" w14:paraId="3972AD0F" w14:textId="77777777" w:rsidTr="0011030B">
        <w:tc>
          <w:tcPr>
            <w:tcW w:w="9196" w:type="dxa"/>
          </w:tcPr>
          <w:p w14:paraId="70435201" w14:textId="12E9BD67" w:rsidR="00084B2B" w:rsidRPr="005176BD" w:rsidRDefault="00084B2B" w:rsidP="003B611A">
            <w:pPr>
              <w:rPr>
                <w:rFonts w:cs="Arial"/>
                <w:sz w:val="20"/>
                <w:szCs w:val="20"/>
                <w:lang w:eastAsia="en-AU"/>
              </w:rPr>
            </w:pPr>
            <w:r w:rsidRPr="005176BD">
              <w:rPr>
                <w:rFonts w:cs="Arial"/>
                <w:sz w:val="20"/>
                <w:szCs w:val="20"/>
                <w:lang w:eastAsia="en-AU"/>
              </w:rPr>
              <w:t xml:space="preserve">The experience of insomnia among older women. Sleep, </w:t>
            </w:r>
            <w:r w:rsidR="00DA3855" w:rsidRPr="005176BD">
              <w:rPr>
                <w:rFonts w:cs="Arial"/>
                <w:sz w:val="20"/>
                <w:szCs w:val="20"/>
                <w:lang w:eastAsia="en-AU"/>
              </w:rPr>
              <w:t>2005</w:t>
            </w:r>
            <w:r w:rsidR="00B94D78" w:rsidRPr="005176BD">
              <w:rPr>
                <w:rFonts w:cs="Arial"/>
                <w:sz w:val="20"/>
                <w:szCs w:val="20"/>
                <w:lang w:eastAsia="en-AU"/>
              </w:rPr>
              <w:t xml:space="preserve">; </w:t>
            </w:r>
            <w:r w:rsidRPr="005176BD">
              <w:rPr>
                <w:rFonts w:cs="Arial"/>
                <w:sz w:val="20"/>
                <w:szCs w:val="20"/>
                <w:lang w:eastAsia="en-AU"/>
              </w:rPr>
              <w:t>28(8)</w:t>
            </w:r>
            <w:r w:rsidR="00B94D78" w:rsidRPr="005176BD">
              <w:rPr>
                <w:rFonts w:cs="Arial"/>
                <w:sz w:val="20"/>
                <w:szCs w:val="20"/>
                <w:lang w:eastAsia="en-AU"/>
              </w:rPr>
              <w:t>:</w:t>
            </w:r>
            <w:r w:rsidRPr="005176BD">
              <w:rPr>
                <w:rFonts w:cs="Arial"/>
                <w:sz w:val="20"/>
                <w:szCs w:val="20"/>
                <w:lang w:eastAsia="en-AU"/>
              </w:rPr>
              <w:t xml:space="preserve"> 972-979.</w:t>
            </w:r>
          </w:p>
        </w:tc>
        <w:tc>
          <w:tcPr>
            <w:tcW w:w="4298" w:type="dxa"/>
          </w:tcPr>
          <w:p w14:paraId="61ADECD1" w14:textId="77777777" w:rsidR="00084B2B" w:rsidRPr="005176BD" w:rsidRDefault="00084B2B" w:rsidP="003B611A">
            <w:pPr>
              <w:rPr>
                <w:rFonts w:cs="Arial"/>
                <w:sz w:val="20"/>
                <w:szCs w:val="20"/>
                <w:lang w:eastAsia="en-AU"/>
              </w:rPr>
            </w:pPr>
            <w:r w:rsidRPr="005176BD">
              <w:rPr>
                <w:rFonts w:cs="Arial"/>
                <w:sz w:val="20"/>
                <w:szCs w:val="20"/>
                <w:lang w:eastAsia="en-AU"/>
              </w:rPr>
              <w:t>Byles J, Mishra G &amp; Harris M.</w:t>
            </w:r>
          </w:p>
        </w:tc>
        <w:tc>
          <w:tcPr>
            <w:tcW w:w="361" w:type="dxa"/>
          </w:tcPr>
          <w:p w14:paraId="686302E3" w14:textId="77777777" w:rsidR="00084B2B" w:rsidRPr="005176BD" w:rsidRDefault="00084B2B" w:rsidP="003B611A">
            <w:pPr>
              <w:rPr>
                <w:rFonts w:cs="Arial"/>
                <w:sz w:val="20"/>
                <w:szCs w:val="20"/>
                <w:lang w:eastAsia="en-AU"/>
              </w:rPr>
            </w:pPr>
            <w:r w:rsidRPr="005176BD">
              <w:rPr>
                <w:rFonts w:cs="Arial"/>
                <w:sz w:val="20"/>
                <w:szCs w:val="20"/>
                <w:lang w:eastAsia="en-AU"/>
              </w:rPr>
              <w:t>48</w:t>
            </w:r>
          </w:p>
        </w:tc>
      </w:tr>
      <w:tr w:rsidR="00084B2B" w:rsidRPr="00084B2B" w14:paraId="4EF8D154" w14:textId="77777777" w:rsidTr="0011030B">
        <w:tc>
          <w:tcPr>
            <w:tcW w:w="9196" w:type="dxa"/>
          </w:tcPr>
          <w:p w14:paraId="7F65F62E" w14:textId="780C6452" w:rsidR="00084B2B" w:rsidRPr="005176BD" w:rsidRDefault="00084B2B" w:rsidP="003B611A">
            <w:pPr>
              <w:rPr>
                <w:rFonts w:cs="Arial"/>
                <w:sz w:val="20"/>
                <w:szCs w:val="20"/>
                <w:lang w:eastAsia="en-AU"/>
              </w:rPr>
            </w:pPr>
            <w:r w:rsidRPr="005176BD">
              <w:rPr>
                <w:rFonts w:cs="Arial"/>
                <w:sz w:val="20"/>
                <w:szCs w:val="20"/>
                <w:lang w:eastAsia="en-AU"/>
              </w:rPr>
              <w:t xml:space="preserve">Urinary incontinence across the lifespan. </w:t>
            </w:r>
            <w:proofErr w:type="spellStart"/>
            <w:r w:rsidRPr="005176BD">
              <w:rPr>
                <w:rFonts w:cs="Arial"/>
                <w:sz w:val="20"/>
                <w:szCs w:val="20"/>
                <w:lang w:eastAsia="en-AU"/>
              </w:rPr>
              <w:t>Neurourology</w:t>
            </w:r>
            <w:proofErr w:type="spellEnd"/>
            <w:r w:rsidRPr="005176BD">
              <w:rPr>
                <w:rFonts w:cs="Arial"/>
                <w:sz w:val="20"/>
                <w:szCs w:val="20"/>
                <w:lang w:eastAsia="en-AU"/>
              </w:rPr>
              <w:t xml:space="preserve"> and </w:t>
            </w:r>
            <w:proofErr w:type="spellStart"/>
            <w:r w:rsidRPr="005176BD">
              <w:rPr>
                <w:rFonts w:cs="Arial"/>
                <w:sz w:val="20"/>
                <w:szCs w:val="20"/>
                <w:lang w:eastAsia="en-AU"/>
              </w:rPr>
              <w:t>Urodynamics</w:t>
            </w:r>
            <w:proofErr w:type="spellEnd"/>
            <w:r w:rsidRPr="005176BD">
              <w:rPr>
                <w:rFonts w:cs="Arial"/>
                <w:sz w:val="20"/>
                <w:szCs w:val="20"/>
                <w:lang w:eastAsia="en-AU"/>
              </w:rPr>
              <w:t xml:space="preserve">, </w:t>
            </w:r>
            <w:r w:rsidR="00DA3855" w:rsidRPr="005176BD">
              <w:rPr>
                <w:rFonts w:cs="Arial"/>
                <w:sz w:val="20"/>
                <w:szCs w:val="20"/>
                <w:lang w:eastAsia="en-AU"/>
              </w:rPr>
              <w:t>2003</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22(6)</w:t>
            </w:r>
            <w:r w:rsidR="00B94D78" w:rsidRPr="005176BD">
              <w:rPr>
                <w:rFonts w:cs="Arial"/>
                <w:sz w:val="20"/>
                <w:szCs w:val="20"/>
                <w:lang w:eastAsia="en-AU"/>
              </w:rPr>
              <w:t xml:space="preserve">: </w:t>
            </w:r>
            <w:r w:rsidRPr="005176BD">
              <w:rPr>
                <w:rFonts w:cs="Arial"/>
                <w:sz w:val="20"/>
                <w:szCs w:val="20"/>
                <w:lang w:eastAsia="en-AU"/>
              </w:rPr>
              <w:t>550-557.</w:t>
            </w:r>
          </w:p>
        </w:tc>
        <w:tc>
          <w:tcPr>
            <w:tcW w:w="4298" w:type="dxa"/>
          </w:tcPr>
          <w:p w14:paraId="05A24BD5" w14:textId="77777777" w:rsidR="00084B2B" w:rsidRPr="005176BD" w:rsidRDefault="00084B2B" w:rsidP="003B611A">
            <w:pPr>
              <w:rPr>
                <w:rFonts w:cs="Arial"/>
                <w:sz w:val="20"/>
                <w:szCs w:val="20"/>
                <w:lang w:eastAsia="en-AU"/>
              </w:rPr>
            </w:pPr>
            <w:r w:rsidRPr="005176BD">
              <w:rPr>
                <w:rFonts w:cs="Arial"/>
                <w:sz w:val="20"/>
                <w:szCs w:val="20"/>
                <w:lang w:eastAsia="en-AU"/>
              </w:rPr>
              <w:t xml:space="preserve">Miller YD, Brown WJ, Russell A &amp; </w:t>
            </w:r>
            <w:proofErr w:type="spellStart"/>
            <w:r w:rsidRPr="005176BD">
              <w:rPr>
                <w:rFonts w:cs="Arial"/>
                <w:sz w:val="20"/>
                <w:szCs w:val="20"/>
                <w:lang w:eastAsia="en-AU"/>
              </w:rPr>
              <w:t>Chiarelli</w:t>
            </w:r>
            <w:proofErr w:type="spellEnd"/>
            <w:r w:rsidRPr="005176BD">
              <w:rPr>
                <w:rFonts w:cs="Arial"/>
                <w:sz w:val="20"/>
                <w:szCs w:val="20"/>
                <w:lang w:eastAsia="en-AU"/>
              </w:rPr>
              <w:t xml:space="preserve"> P.</w:t>
            </w:r>
          </w:p>
        </w:tc>
        <w:tc>
          <w:tcPr>
            <w:tcW w:w="361" w:type="dxa"/>
          </w:tcPr>
          <w:p w14:paraId="3E43ED71" w14:textId="77777777" w:rsidR="00084B2B" w:rsidRPr="005176BD" w:rsidRDefault="00084B2B" w:rsidP="003B611A">
            <w:pPr>
              <w:rPr>
                <w:rFonts w:cs="Arial"/>
                <w:sz w:val="20"/>
                <w:szCs w:val="20"/>
                <w:lang w:eastAsia="en-AU"/>
              </w:rPr>
            </w:pPr>
            <w:r w:rsidRPr="005176BD">
              <w:rPr>
                <w:rFonts w:cs="Arial"/>
                <w:sz w:val="20"/>
                <w:szCs w:val="20"/>
                <w:lang w:eastAsia="en-AU"/>
              </w:rPr>
              <w:t>65</w:t>
            </w:r>
          </w:p>
        </w:tc>
      </w:tr>
      <w:tr w:rsidR="00084B2B" w:rsidRPr="00084B2B" w14:paraId="120D894B" w14:textId="77777777" w:rsidTr="0011030B">
        <w:tc>
          <w:tcPr>
            <w:tcW w:w="9196" w:type="dxa"/>
          </w:tcPr>
          <w:p w14:paraId="3A837615" w14:textId="1859C056"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Managing urinary incontinence across the lifespan. International Journal of </w:t>
            </w:r>
            <w:proofErr w:type="spellStart"/>
            <w:r w:rsidRPr="005176BD">
              <w:rPr>
                <w:rFonts w:cs="Arial"/>
                <w:sz w:val="20"/>
                <w:szCs w:val="20"/>
                <w:lang w:eastAsia="en-AU"/>
              </w:rPr>
              <w:t>Behavioral</w:t>
            </w:r>
            <w:proofErr w:type="spellEnd"/>
            <w:r w:rsidRPr="005176BD">
              <w:rPr>
                <w:rFonts w:cs="Arial"/>
                <w:sz w:val="20"/>
                <w:szCs w:val="20"/>
                <w:lang w:eastAsia="en-AU"/>
              </w:rPr>
              <w:t xml:space="preserve"> Medicine, </w:t>
            </w:r>
            <w:r w:rsidR="00DA3855" w:rsidRPr="005176BD">
              <w:rPr>
                <w:rFonts w:cs="Arial"/>
                <w:sz w:val="20"/>
                <w:szCs w:val="20"/>
                <w:lang w:eastAsia="en-AU"/>
              </w:rPr>
              <w:t>2003</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10(2)</w:t>
            </w:r>
            <w:r w:rsidR="00B94D78" w:rsidRPr="005176BD">
              <w:rPr>
                <w:rFonts w:cs="Arial"/>
                <w:sz w:val="20"/>
                <w:szCs w:val="20"/>
                <w:lang w:eastAsia="en-AU"/>
              </w:rPr>
              <w:t>:</w:t>
            </w:r>
            <w:r w:rsidRPr="005176BD">
              <w:rPr>
                <w:rFonts w:cs="Arial"/>
                <w:sz w:val="20"/>
                <w:szCs w:val="20"/>
                <w:lang w:eastAsia="en-AU"/>
              </w:rPr>
              <w:t xml:space="preserve"> 143-161.</w:t>
            </w:r>
          </w:p>
        </w:tc>
        <w:tc>
          <w:tcPr>
            <w:tcW w:w="4298" w:type="dxa"/>
          </w:tcPr>
          <w:p w14:paraId="6055D30D" w14:textId="77777777" w:rsidR="00084B2B" w:rsidRPr="005176BD" w:rsidRDefault="00084B2B" w:rsidP="003B611A">
            <w:pPr>
              <w:rPr>
                <w:rFonts w:cs="Arial"/>
                <w:sz w:val="20"/>
                <w:szCs w:val="20"/>
                <w:lang w:eastAsia="en-AU"/>
              </w:rPr>
            </w:pPr>
            <w:r w:rsidRPr="005176BD">
              <w:rPr>
                <w:rFonts w:cs="Arial"/>
                <w:sz w:val="20"/>
                <w:szCs w:val="20"/>
                <w:lang w:eastAsia="en-AU"/>
              </w:rPr>
              <w:t xml:space="preserve">Miller YD, Brown WJ, Smith N &amp; </w:t>
            </w:r>
            <w:proofErr w:type="spellStart"/>
            <w:r w:rsidRPr="005176BD">
              <w:rPr>
                <w:rFonts w:cs="Arial"/>
                <w:sz w:val="20"/>
                <w:szCs w:val="20"/>
                <w:lang w:eastAsia="en-AU"/>
              </w:rPr>
              <w:t>Chiarelli</w:t>
            </w:r>
            <w:proofErr w:type="spellEnd"/>
            <w:r w:rsidRPr="005176BD">
              <w:rPr>
                <w:rFonts w:cs="Arial"/>
                <w:sz w:val="20"/>
                <w:szCs w:val="20"/>
                <w:lang w:eastAsia="en-AU"/>
              </w:rPr>
              <w:t xml:space="preserve"> P.</w:t>
            </w:r>
          </w:p>
        </w:tc>
        <w:tc>
          <w:tcPr>
            <w:tcW w:w="361" w:type="dxa"/>
          </w:tcPr>
          <w:p w14:paraId="578E883E" w14:textId="77777777" w:rsidR="00084B2B" w:rsidRPr="005176BD" w:rsidRDefault="00084B2B" w:rsidP="003B611A">
            <w:pPr>
              <w:rPr>
                <w:rFonts w:cs="Arial"/>
                <w:sz w:val="20"/>
                <w:szCs w:val="20"/>
                <w:lang w:eastAsia="en-AU"/>
              </w:rPr>
            </w:pPr>
            <w:r w:rsidRPr="005176BD">
              <w:rPr>
                <w:rFonts w:cs="Arial"/>
                <w:sz w:val="20"/>
                <w:szCs w:val="20"/>
                <w:lang w:eastAsia="en-AU"/>
              </w:rPr>
              <w:t>34</w:t>
            </w:r>
          </w:p>
        </w:tc>
      </w:tr>
      <w:tr w:rsidR="00084B2B" w:rsidRPr="00084B2B" w14:paraId="333AD37F" w14:textId="77777777" w:rsidTr="0011030B">
        <w:tc>
          <w:tcPr>
            <w:tcW w:w="9196" w:type="dxa"/>
          </w:tcPr>
          <w:p w14:paraId="2C58C2C3" w14:textId="6E396416" w:rsidR="00084B2B" w:rsidRPr="005176BD" w:rsidRDefault="00084B2B" w:rsidP="003B611A">
            <w:pPr>
              <w:rPr>
                <w:rFonts w:cs="Arial"/>
                <w:sz w:val="20"/>
                <w:szCs w:val="20"/>
                <w:lang w:eastAsia="en-AU"/>
              </w:rPr>
            </w:pPr>
            <w:r w:rsidRPr="005176BD">
              <w:rPr>
                <w:rFonts w:cs="Arial"/>
                <w:sz w:val="20"/>
                <w:szCs w:val="20"/>
                <w:lang w:eastAsia="en-AU"/>
              </w:rPr>
              <w:t xml:space="preserve">The profile of women who consult alternative health practitioners in Australia. Medical Journal of Australia, </w:t>
            </w:r>
            <w:r w:rsidR="00DA3855" w:rsidRPr="005176BD">
              <w:rPr>
                <w:rFonts w:cs="Arial"/>
                <w:sz w:val="20"/>
                <w:szCs w:val="20"/>
                <w:lang w:eastAsia="en-AU"/>
              </w:rPr>
              <w:t>2003</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179(6</w:t>
            </w:r>
            <w:r w:rsidR="00B94D78" w:rsidRPr="005176BD">
              <w:rPr>
                <w:rFonts w:cs="Arial"/>
                <w:sz w:val="20"/>
                <w:szCs w:val="20"/>
                <w:lang w:eastAsia="en-AU"/>
              </w:rPr>
              <w:t>):</w:t>
            </w:r>
            <w:r w:rsidRPr="005176BD">
              <w:rPr>
                <w:rFonts w:cs="Arial"/>
                <w:sz w:val="20"/>
                <w:szCs w:val="20"/>
                <w:lang w:eastAsia="en-AU"/>
              </w:rPr>
              <w:t xml:space="preserve"> 297-300. </w:t>
            </w:r>
          </w:p>
        </w:tc>
        <w:tc>
          <w:tcPr>
            <w:tcW w:w="4298" w:type="dxa"/>
          </w:tcPr>
          <w:p w14:paraId="6434756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Adams J, Sibbritt D, </w:t>
            </w:r>
            <w:proofErr w:type="spellStart"/>
            <w:r w:rsidRPr="005176BD">
              <w:rPr>
                <w:rFonts w:cs="Arial"/>
                <w:sz w:val="20"/>
                <w:szCs w:val="20"/>
                <w:lang w:eastAsia="en-AU"/>
              </w:rPr>
              <w:t>Easthope</w:t>
            </w:r>
            <w:proofErr w:type="spellEnd"/>
            <w:r w:rsidRPr="005176BD">
              <w:rPr>
                <w:rFonts w:cs="Arial"/>
                <w:sz w:val="20"/>
                <w:szCs w:val="20"/>
                <w:lang w:eastAsia="en-AU"/>
              </w:rPr>
              <w:t xml:space="preserve"> G &amp; Young A.</w:t>
            </w:r>
          </w:p>
        </w:tc>
        <w:tc>
          <w:tcPr>
            <w:tcW w:w="361" w:type="dxa"/>
          </w:tcPr>
          <w:p w14:paraId="4B87C91A" w14:textId="77777777" w:rsidR="00084B2B" w:rsidRPr="005176BD" w:rsidRDefault="00084B2B" w:rsidP="003B611A">
            <w:pPr>
              <w:rPr>
                <w:rFonts w:cs="Arial"/>
                <w:sz w:val="20"/>
                <w:szCs w:val="20"/>
                <w:lang w:eastAsia="en-AU"/>
              </w:rPr>
            </w:pPr>
            <w:r w:rsidRPr="005176BD">
              <w:rPr>
                <w:rFonts w:cs="Arial"/>
                <w:sz w:val="20"/>
                <w:szCs w:val="20"/>
                <w:lang w:eastAsia="en-AU"/>
              </w:rPr>
              <w:t>158</w:t>
            </w:r>
          </w:p>
        </w:tc>
      </w:tr>
      <w:tr w:rsidR="00084B2B" w:rsidRPr="00084B2B" w14:paraId="5F72B533" w14:textId="77777777" w:rsidTr="0011030B">
        <w:tc>
          <w:tcPr>
            <w:tcW w:w="9196" w:type="dxa"/>
          </w:tcPr>
          <w:p w14:paraId="72D07BEF" w14:textId="60AFD565" w:rsidR="00084B2B" w:rsidRPr="005176BD" w:rsidRDefault="00084B2B" w:rsidP="003B611A">
            <w:pPr>
              <w:rPr>
                <w:rFonts w:cs="Arial"/>
                <w:sz w:val="20"/>
                <w:szCs w:val="20"/>
                <w:lang w:eastAsia="en-AU"/>
              </w:rPr>
            </w:pPr>
            <w:r w:rsidRPr="005176BD">
              <w:rPr>
                <w:rFonts w:cs="Arial"/>
                <w:sz w:val="20"/>
                <w:szCs w:val="20"/>
                <w:lang w:eastAsia="en-AU"/>
              </w:rPr>
              <w:t xml:space="preserve">The decline in bulk billing and increase in out-of-pocket costs for general practice consultations in rural areas of Australia, 1995-2001. Medical Journal of Australia, </w:t>
            </w:r>
            <w:r w:rsidR="00DA3855" w:rsidRPr="005176BD">
              <w:rPr>
                <w:rFonts w:cs="Arial"/>
                <w:sz w:val="20"/>
                <w:szCs w:val="20"/>
                <w:lang w:eastAsia="en-AU"/>
              </w:rPr>
              <w:t>2003</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178(3)</w:t>
            </w:r>
            <w:r w:rsidR="00B94D78" w:rsidRPr="005176BD">
              <w:rPr>
                <w:rFonts w:cs="Arial"/>
                <w:sz w:val="20"/>
                <w:szCs w:val="20"/>
                <w:lang w:eastAsia="en-AU"/>
              </w:rPr>
              <w:t>:</w:t>
            </w:r>
            <w:r w:rsidRPr="005176BD">
              <w:rPr>
                <w:rFonts w:cs="Arial"/>
                <w:sz w:val="20"/>
                <w:szCs w:val="20"/>
                <w:lang w:eastAsia="en-AU"/>
              </w:rPr>
              <w:t xml:space="preserve"> 122-126.</w:t>
            </w:r>
          </w:p>
        </w:tc>
        <w:tc>
          <w:tcPr>
            <w:tcW w:w="4298" w:type="dxa"/>
          </w:tcPr>
          <w:p w14:paraId="432F86FF" w14:textId="77777777" w:rsidR="00084B2B" w:rsidRPr="005176BD" w:rsidRDefault="00084B2B" w:rsidP="003B611A">
            <w:pPr>
              <w:rPr>
                <w:rFonts w:cs="Arial"/>
                <w:sz w:val="20"/>
                <w:szCs w:val="20"/>
                <w:lang w:eastAsia="en-AU"/>
              </w:rPr>
            </w:pPr>
            <w:r w:rsidRPr="005176BD">
              <w:rPr>
                <w:rFonts w:cs="Arial"/>
                <w:sz w:val="20"/>
                <w:szCs w:val="20"/>
                <w:lang w:eastAsia="en-AU"/>
              </w:rPr>
              <w:t>Young AF &amp; Dobson A.</w:t>
            </w:r>
          </w:p>
        </w:tc>
        <w:tc>
          <w:tcPr>
            <w:tcW w:w="361" w:type="dxa"/>
          </w:tcPr>
          <w:p w14:paraId="115AB231" w14:textId="77777777" w:rsidR="00084B2B" w:rsidRPr="005176BD" w:rsidRDefault="00084B2B" w:rsidP="003B611A">
            <w:pPr>
              <w:rPr>
                <w:rFonts w:cs="Arial"/>
                <w:sz w:val="20"/>
                <w:szCs w:val="20"/>
                <w:lang w:eastAsia="en-AU"/>
              </w:rPr>
            </w:pPr>
            <w:r w:rsidRPr="005176BD">
              <w:rPr>
                <w:rFonts w:cs="Arial"/>
                <w:sz w:val="20"/>
                <w:szCs w:val="20"/>
                <w:lang w:eastAsia="en-AU"/>
              </w:rPr>
              <w:t>52</w:t>
            </w:r>
          </w:p>
        </w:tc>
      </w:tr>
      <w:tr w:rsidR="00084B2B" w:rsidRPr="00084B2B" w14:paraId="21A9074C" w14:textId="77777777" w:rsidTr="0011030B">
        <w:tc>
          <w:tcPr>
            <w:tcW w:w="9196" w:type="dxa"/>
          </w:tcPr>
          <w:p w14:paraId="4E9E5698" w14:textId="4480F3DC" w:rsidR="00084B2B" w:rsidRPr="005176BD" w:rsidRDefault="00084B2B" w:rsidP="003B611A">
            <w:pPr>
              <w:rPr>
                <w:rFonts w:cs="Arial"/>
                <w:sz w:val="20"/>
                <w:szCs w:val="20"/>
                <w:lang w:eastAsia="en-AU"/>
              </w:rPr>
            </w:pPr>
            <w:r w:rsidRPr="005176BD">
              <w:rPr>
                <w:rFonts w:cs="Arial"/>
                <w:sz w:val="20"/>
                <w:szCs w:val="20"/>
                <w:lang w:eastAsia="en-AU"/>
              </w:rPr>
              <w:t xml:space="preserve">The problems of sleep for older women: Changes in health outcomes. Age and Ageing, </w:t>
            </w:r>
            <w:r w:rsidR="00B94D78" w:rsidRPr="005176BD">
              <w:rPr>
                <w:rFonts w:cs="Arial"/>
                <w:sz w:val="20"/>
                <w:szCs w:val="20"/>
                <w:lang w:eastAsia="en-AU"/>
              </w:rPr>
              <w:t xml:space="preserve">2003; </w:t>
            </w:r>
            <w:r w:rsidRPr="005176BD">
              <w:rPr>
                <w:rFonts w:cs="Arial"/>
                <w:sz w:val="20"/>
                <w:szCs w:val="20"/>
                <w:lang w:eastAsia="en-AU"/>
              </w:rPr>
              <w:t>32(2)</w:t>
            </w:r>
            <w:r w:rsidR="00B94D78" w:rsidRPr="005176BD">
              <w:rPr>
                <w:rFonts w:cs="Arial"/>
                <w:sz w:val="20"/>
                <w:szCs w:val="20"/>
                <w:lang w:eastAsia="en-AU"/>
              </w:rPr>
              <w:t>:</w:t>
            </w:r>
            <w:r w:rsidRPr="005176BD">
              <w:rPr>
                <w:rFonts w:cs="Arial"/>
                <w:sz w:val="20"/>
                <w:szCs w:val="20"/>
                <w:lang w:eastAsia="en-AU"/>
              </w:rPr>
              <w:t xml:space="preserve"> 154-163. </w:t>
            </w:r>
          </w:p>
        </w:tc>
        <w:tc>
          <w:tcPr>
            <w:tcW w:w="4298" w:type="dxa"/>
          </w:tcPr>
          <w:p w14:paraId="2B6CE2BB" w14:textId="77777777" w:rsidR="00084B2B" w:rsidRPr="005176BD" w:rsidRDefault="00084B2B" w:rsidP="003B611A">
            <w:pPr>
              <w:ind w:hanging="720"/>
              <w:rPr>
                <w:rFonts w:cs="Arial"/>
                <w:sz w:val="20"/>
                <w:szCs w:val="20"/>
                <w:lang w:eastAsia="en-AU"/>
              </w:rPr>
            </w:pPr>
            <w:r w:rsidRPr="005176BD">
              <w:rPr>
                <w:rFonts w:cs="Arial"/>
                <w:sz w:val="20"/>
                <w:szCs w:val="20"/>
                <w:lang w:eastAsia="en-AU"/>
              </w:rPr>
              <w:t>Byles J, Mishra G, Harris M &amp; Nair K.</w:t>
            </w:r>
          </w:p>
        </w:tc>
        <w:tc>
          <w:tcPr>
            <w:tcW w:w="361" w:type="dxa"/>
          </w:tcPr>
          <w:p w14:paraId="0B42EDCA" w14:textId="77777777" w:rsidR="00084B2B" w:rsidRPr="005176BD" w:rsidRDefault="00084B2B" w:rsidP="003B611A">
            <w:pPr>
              <w:ind w:hanging="720"/>
              <w:rPr>
                <w:rFonts w:cs="Arial"/>
                <w:sz w:val="20"/>
                <w:szCs w:val="20"/>
                <w:lang w:eastAsia="en-AU"/>
              </w:rPr>
            </w:pPr>
            <w:r w:rsidRPr="005176BD">
              <w:rPr>
                <w:rFonts w:cs="Arial"/>
                <w:sz w:val="20"/>
                <w:szCs w:val="20"/>
                <w:lang w:eastAsia="en-AU"/>
              </w:rPr>
              <w:t>79</w:t>
            </w:r>
          </w:p>
        </w:tc>
      </w:tr>
      <w:tr w:rsidR="00084B2B" w:rsidRPr="00084B2B" w14:paraId="4474C85B" w14:textId="77777777" w:rsidTr="0011030B">
        <w:tc>
          <w:tcPr>
            <w:tcW w:w="9196" w:type="dxa"/>
          </w:tcPr>
          <w:p w14:paraId="6C89A8D4" w14:textId="1C08D735" w:rsidR="00084B2B" w:rsidRPr="005176BD" w:rsidRDefault="00084B2B" w:rsidP="003B611A">
            <w:pPr>
              <w:rPr>
                <w:rFonts w:cs="Arial"/>
                <w:sz w:val="20"/>
                <w:szCs w:val="20"/>
                <w:lang w:eastAsia="en-AU"/>
              </w:rPr>
            </w:pPr>
            <w:r w:rsidRPr="005176BD">
              <w:rPr>
                <w:rFonts w:cs="Arial"/>
                <w:sz w:val="20"/>
                <w:szCs w:val="20"/>
                <w:lang w:eastAsia="en-AU"/>
              </w:rPr>
              <w:t xml:space="preserve">Economic costs of urinary incontinence in community-dwelling Australian women. Medical Journal of Australia, </w:t>
            </w:r>
            <w:r w:rsidR="00DA3855" w:rsidRPr="005176BD">
              <w:rPr>
                <w:rFonts w:cs="Arial"/>
                <w:sz w:val="20"/>
                <w:szCs w:val="20"/>
                <w:lang w:eastAsia="en-AU"/>
              </w:rPr>
              <w:t>2001</w:t>
            </w:r>
            <w:r w:rsidR="00B94D78" w:rsidRPr="005176BD">
              <w:rPr>
                <w:rFonts w:cs="Arial"/>
                <w:sz w:val="20"/>
                <w:szCs w:val="20"/>
                <w:lang w:eastAsia="en-AU"/>
              </w:rPr>
              <w:t xml:space="preserve">; </w:t>
            </w:r>
            <w:r w:rsidRPr="005176BD">
              <w:rPr>
                <w:rFonts w:cs="Arial"/>
                <w:sz w:val="20"/>
                <w:szCs w:val="20"/>
                <w:lang w:eastAsia="en-AU"/>
              </w:rPr>
              <w:t>174(9)</w:t>
            </w:r>
            <w:r w:rsidR="00B94D78" w:rsidRPr="005176BD">
              <w:rPr>
                <w:rFonts w:cs="Arial"/>
                <w:sz w:val="20"/>
                <w:szCs w:val="20"/>
                <w:lang w:eastAsia="en-AU"/>
              </w:rPr>
              <w:t>:</w:t>
            </w:r>
            <w:r w:rsidRPr="005176BD">
              <w:rPr>
                <w:rFonts w:cs="Arial"/>
                <w:sz w:val="20"/>
                <w:szCs w:val="20"/>
                <w:lang w:eastAsia="en-AU"/>
              </w:rPr>
              <w:t xml:space="preserve"> 456-458.</w:t>
            </w:r>
            <w:r w:rsidR="00012F17" w:rsidRPr="005176BD">
              <w:rPr>
                <w:rFonts w:cs="Arial"/>
                <w:sz w:val="20"/>
                <w:szCs w:val="20"/>
                <w:lang w:eastAsia="en-AU"/>
              </w:rPr>
              <w:t xml:space="preserve"> </w:t>
            </w:r>
          </w:p>
        </w:tc>
        <w:tc>
          <w:tcPr>
            <w:tcW w:w="4298" w:type="dxa"/>
          </w:tcPr>
          <w:p w14:paraId="781EAC06" w14:textId="77777777" w:rsidR="00084B2B" w:rsidRPr="005176BD" w:rsidRDefault="00084B2B" w:rsidP="003B611A">
            <w:pPr>
              <w:rPr>
                <w:rFonts w:cs="Arial"/>
                <w:sz w:val="20"/>
                <w:szCs w:val="20"/>
                <w:lang w:eastAsia="en-AU"/>
              </w:rPr>
            </w:pPr>
            <w:r w:rsidRPr="005176BD">
              <w:rPr>
                <w:rFonts w:cs="Arial"/>
                <w:sz w:val="20"/>
                <w:szCs w:val="20"/>
                <w:lang w:eastAsia="en-AU"/>
              </w:rPr>
              <w:t xml:space="preserve">Doran CM, </w:t>
            </w:r>
            <w:proofErr w:type="spellStart"/>
            <w:r w:rsidRPr="005176BD">
              <w:rPr>
                <w:rFonts w:cs="Arial"/>
                <w:sz w:val="20"/>
                <w:szCs w:val="20"/>
                <w:lang w:eastAsia="en-AU"/>
              </w:rPr>
              <w:t>Chiarelli</w:t>
            </w:r>
            <w:proofErr w:type="spellEnd"/>
            <w:r w:rsidRPr="005176BD">
              <w:rPr>
                <w:rFonts w:cs="Arial"/>
                <w:sz w:val="20"/>
                <w:szCs w:val="20"/>
                <w:lang w:eastAsia="en-AU"/>
              </w:rPr>
              <w:t xml:space="preserve"> P &amp; Cockburn J.</w:t>
            </w:r>
          </w:p>
        </w:tc>
        <w:tc>
          <w:tcPr>
            <w:tcW w:w="361" w:type="dxa"/>
          </w:tcPr>
          <w:p w14:paraId="4BBA484E" w14:textId="77777777" w:rsidR="00084B2B" w:rsidRPr="005176BD" w:rsidRDefault="00084B2B" w:rsidP="003B611A">
            <w:pPr>
              <w:rPr>
                <w:rFonts w:cs="Arial"/>
                <w:sz w:val="20"/>
                <w:szCs w:val="20"/>
                <w:lang w:eastAsia="en-AU"/>
              </w:rPr>
            </w:pPr>
            <w:r w:rsidRPr="005176BD">
              <w:rPr>
                <w:rFonts w:cs="Arial"/>
                <w:sz w:val="20"/>
                <w:szCs w:val="20"/>
                <w:lang w:eastAsia="en-AU"/>
              </w:rPr>
              <w:t>80</w:t>
            </w:r>
          </w:p>
        </w:tc>
      </w:tr>
      <w:tr w:rsidR="00084B2B" w:rsidRPr="00084B2B" w14:paraId="3562E5A9" w14:textId="77777777" w:rsidTr="0011030B">
        <w:tc>
          <w:tcPr>
            <w:tcW w:w="9196" w:type="dxa"/>
          </w:tcPr>
          <w:p w14:paraId="4F3713BD" w14:textId="58C21A90" w:rsidR="00084B2B" w:rsidRPr="005176BD" w:rsidRDefault="00084B2B" w:rsidP="003B611A">
            <w:pPr>
              <w:rPr>
                <w:rFonts w:cs="Arial"/>
                <w:sz w:val="20"/>
                <w:szCs w:val="20"/>
                <w:lang w:eastAsia="en-AU"/>
              </w:rPr>
            </w:pPr>
            <w:r w:rsidRPr="005176BD">
              <w:rPr>
                <w:rFonts w:cs="Arial"/>
                <w:sz w:val="20"/>
                <w:szCs w:val="20"/>
                <w:lang w:eastAsia="en-AU"/>
              </w:rPr>
              <w:t xml:space="preserve">Health services research using linked records: Who consents and what is the gain? Australian and New Zealand Journal of Public Health, </w:t>
            </w:r>
            <w:r w:rsidR="00DA3855" w:rsidRPr="005176BD">
              <w:rPr>
                <w:rFonts w:cs="Arial"/>
                <w:sz w:val="20"/>
                <w:szCs w:val="20"/>
                <w:lang w:eastAsia="en-AU"/>
              </w:rPr>
              <w:t>2001</w:t>
            </w:r>
            <w:r w:rsidR="00B94D78" w:rsidRPr="005176BD">
              <w:rPr>
                <w:rFonts w:cs="Arial"/>
                <w:sz w:val="20"/>
                <w:szCs w:val="20"/>
                <w:lang w:eastAsia="en-AU"/>
              </w:rPr>
              <w:t xml:space="preserve">; </w:t>
            </w:r>
            <w:r w:rsidRPr="005176BD">
              <w:rPr>
                <w:rFonts w:cs="Arial"/>
                <w:sz w:val="20"/>
                <w:szCs w:val="20"/>
                <w:lang w:eastAsia="en-AU"/>
              </w:rPr>
              <w:t>25(5)</w:t>
            </w:r>
            <w:r w:rsidR="00B94D78" w:rsidRPr="005176BD">
              <w:rPr>
                <w:rFonts w:cs="Arial"/>
                <w:sz w:val="20"/>
                <w:szCs w:val="20"/>
                <w:lang w:eastAsia="en-AU"/>
              </w:rPr>
              <w:t>:</w:t>
            </w:r>
            <w:r w:rsidRPr="005176BD">
              <w:rPr>
                <w:rFonts w:cs="Arial"/>
                <w:sz w:val="20"/>
                <w:szCs w:val="20"/>
                <w:lang w:eastAsia="en-AU"/>
              </w:rPr>
              <w:t xml:space="preserve"> 417-420.</w:t>
            </w:r>
          </w:p>
        </w:tc>
        <w:tc>
          <w:tcPr>
            <w:tcW w:w="4298" w:type="dxa"/>
          </w:tcPr>
          <w:p w14:paraId="0EFD1AD8" w14:textId="77777777" w:rsidR="00084B2B" w:rsidRPr="005176BD" w:rsidRDefault="00084B2B" w:rsidP="003B611A">
            <w:pPr>
              <w:rPr>
                <w:rFonts w:cs="Arial"/>
                <w:sz w:val="20"/>
                <w:szCs w:val="20"/>
                <w:lang w:eastAsia="en-AU"/>
              </w:rPr>
            </w:pPr>
            <w:r w:rsidRPr="005176BD">
              <w:rPr>
                <w:rFonts w:cs="Arial"/>
                <w:sz w:val="20"/>
                <w:szCs w:val="20"/>
                <w:lang w:eastAsia="en-AU"/>
              </w:rPr>
              <w:t>Young A, Dobson A &amp; Byles J.</w:t>
            </w:r>
          </w:p>
        </w:tc>
        <w:tc>
          <w:tcPr>
            <w:tcW w:w="361" w:type="dxa"/>
          </w:tcPr>
          <w:p w14:paraId="1EFB9A80" w14:textId="5C46F5D3" w:rsidR="00084B2B" w:rsidRPr="005176BD" w:rsidRDefault="00F5504C" w:rsidP="003B611A">
            <w:pPr>
              <w:rPr>
                <w:rFonts w:cs="Arial"/>
                <w:sz w:val="20"/>
                <w:szCs w:val="20"/>
                <w:lang w:eastAsia="en-AU"/>
              </w:rPr>
            </w:pPr>
            <w:r w:rsidRPr="005176BD">
              <w:rPr>
                <w:rFonts w:cs="Arial"/>
                <w:sz w:val="20"/>
                <w:szCs w:val="20"/>
                <w:lang w:eastAsia="en-AU"/>
              </w:rPr>
              <w:t>69</w:t>
            </w:r>
          </w:p>
        </w:tc>
      </w:tr>
      <w:tr w:rsidR="00084B2B" w:rsidRPr="00084B2B" w14:paraId="01D37EE3" w14:textId="77777777" w:rsidTr="0011030B">
        <w:tc>
          <w:tcPr>
            <w:tcW w:w="9196" w:type="dxa"/>
          </w:tcPr>
          <w:p w14:paraId="2E1150F9" w14:textId="27E427F0" w:rsidR="00084B2B" w:rsidRPr="005176BD" w:rsidRDefault="00084B2B" w:rsidP="003B611A">
            <w:pPr>
              <w:rPr>
                <w:rFonts w:cs="Arial"/>
                <w:sz w:val="20"/>
                <w:szCs w:val="20"/>
                <w:lang w:eastAsia="en-AU"/>
              </w:rPr>
            </w:pPr>
            <w:r w:rsidRPr="005176BD">
              <w:rPr>
                <w:rFonts w:cs="Arial"/>
                <w:sz w:val="20"/>
                <w:szCs w:val="20"/>
                <w:lang w:eastAsia="en-AU"/>
              </w:rPr>
              <w:t xml:space="preserve">Determinants of general practitioner use among women in Australia. Social Science and Medicine, </w:t>
            </w:r>
            <w:r w:rsidR="00DA3855" w:rsidRPr="005176BD">
              <w:rPr>
                <w:rFonts w:cs="Arial"/>
                <w:sz w:val="20"/>
                <w:szCs w:val="20"/>
                <w:lang w:eastAsia="en-AU"/>
              </w:rPr>
              <w:t>2001</w:t>
            </w:r>
            <w:r w:rsidR="00B94D78" w:rsidRPr="005176BD">
              <w:rPr>
                <w:rFonts w:cs="Arial"/>
                <w:sz w:val="20"/>
                <w:szCs w:val="20"/>
                <w:lang w:eastAsia="en-AU"/>
              </w:rPr>
              <w:t xml:space="preserve">; </w:t>
            </w:r>
            <w:r w:rsidRPr="005176BD">
              <w:rPr>
                <w:rFonts w:cs="Arial"/>
                <w:sz w:val="20"/>
                <w:szCs w:val="20"/>
                <w:lang w:eastAsia="en-AU"/>
              </w:rPr>
              <w:t>53(12</w:t>
            </w:r>
            <w:r w:rsidR="00B94D78" w:rsidRPr="005176BD">
              <w:rPr>
                <w:rFonts w:cs="Arial"/>
                <w:sz w:val="20"/>
                <w:szCs w:val="20"/>
                <w:lang w:eastAsia="en-AU"/>
              </w:rPr>
              <w:t>):</w:t>
            </w:r>
            <w:r w:rsidRPr="005176BD">
              <w:rPr>
                <w:rFonts w:cs="Arial"/>
                <w:sz w:val="20"/>
                <w:szCs w:val="20"/>
                <w:lang w:eastAsia="en-AU"/>
              </w:rPr>
              <w:t xml:space="preserve"> 1641-1651.</w:t>
            </w:r>
          </w:p>
        </w:tc>
        <w:tc>
          <w:tcPr>
            <w:tcW w:w="4298" w:type="dxa"/>
          </w:tcPr>
          <w:p w14:paraId="695C2C5B" w14:textId="77777777" w:rsidR="00084B2B" w:rsidRPr="005176BD" w:rsidRDefault="00084B2B" w:rsidP="003B611A">
            <w:pPr>
              <w:rPr>
                <w:rFonts w:cs="Arial"/>
                <w:sz w:val="20"/>
                <w:szCs w:val="20"/>
                <w:lang w:eastAsia="en-AU"/>
              </w:rPr>
            </w:pPr>
            <w:r w:rsidRPr="005176BD">
              <w:rPr>
                <w:rFonts w:cs="Arial"/>
                <w:sz w:val="20"/>
                <w:szCs w:val="20"/>
                <w:lang w:eastAsia="en-AU"/>
              </w:rPr>
              <w:t>Young A.</w:t>
            </w:r>
          </w:p>
        </w:tc>
        <w:tc>
          <w:tcPr>
            <w:tcW w:w="361" w:type="dxa"/>
          </w:tcPr>
          <w:p w14:paraId="101E9F57" w14:textId="38330C04" w:rsidR="00084B2B" w:rsidRPr="005176BD" w:rsidRDefault="00F5504C" w:rsidP="003B611A">
            <w:pPr>
              <w:rPr>
                <w:rFonts w:cs="Arial"/>
                <w:sz w:val="20"/>
                <w:szCs w:val="20"/>
                <w:lang w:eastAsia="en-AU"/>
              </w:rPr>
            </w:pPr>
            <w:r w:rsidRPr="005176BD">
              <w:rPr>
                <w:rFonts w:cs="Arial"/>
                <w:sz w:val="20"/>
                <w:szCs w:val="20"/>
                <w:lang w:eastAsia="en-AU"/>
              </w:rPr>
              <w:t>51</w:t>
            </w:r>
          </w:p>
        </w:tc>
      </w:tr>
      <w:tr w:rsidR="00084B2B" w:rsidRPr="00084B2B" w14:paraId="550D554F" w14:textId="77777777" w:rsidTr="0011030B">
        <w:tc>
          <w:tcPr>
            <w:tcW w:w="9196" w:type="dxa"/>
          </w:tcPr>
          <w:p w14:paraId="29B7795F" w14:textId="52F53563" w:rsidR="00084B2B" w:rsidRPr="005176BD" w:rsidRDefault="00084B2B" w:rsidP="003B611A">
            <w:pPr>
              <w:rPr>
                <w:rFonts w:cs="Arial"/>
                <w:sz w:val="20"/>
                <w:szCs w:val="20"/>
                <w:lang w:eastAsia="en-AU"/>
              </w:rPr>
            </w:pPr>
            <w:r w:rsidRPr="005176BD">
              <w:rPr>
                <w:rFonts w:cs="Arial"/>
                <w:sz w:val="20"/>
                <w:szCs w:val="20"/>
                <w:lang w:eastAsia="en-AU"/>
              </w:rPr>
              <w:t xml:space="preserve">Access and equity in the provision of general practitioner services in Australia. Australian and New Zealand Journal of Public Health, </w:t>
            </w:r>
            <w:r w:rsidR="00DA3855" w:rsidRPr="005176BD">
              <w:rPr>
                <w:rFonts w:cs="Arial"/>
                <w:sz w:val="20"/>
                <w:szCs w:val="20"/>
                <w:lang w:eastAsia="en-AU"/>
              </w:rPr>
              <w:t>2000</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24(5)</w:t>
            </w:r>
            <w:r w:rsidR="00B94D78" w:rsidRPr="005176BD">
              <w:rPr>
                <w:rFonts w:cs="Arial"/>
                <w:sz w:val="20"/>
                <w:szCs w:val="20"/>
                <w:lang w:eastAsia="en-AU"/>
              </w:rPr>
              <w:t>:</w:t>
            </w:r>
            <w:r w:rsidRPr="005176BD">
              <w:rPr>
                <w:rFonts w:cs="Arial"/>
                <w:sz w:val="20"/>
                <w:szCs w:val="20"/>
                <w:lang w:eastAsia="en-AU"/>
              </w:rPr>
              <w:t xml:space="preserve"> 474-480.</w:t>
            </w:r>
          </w:p>
        </w:tc>
        <w:tc>
          <w:tcPr>
            <w:tcW w:w="4298" w:type="dxa"/>
          </w:tcPr>
          <w:p w14:paraId="7EB8001C" w14:textId="10D7A928" w:rsidR="00084B2B" w:rsidRPr="005176BD" w:rsidRDefault="00084B2B" w:rsidP="003B611A">
            <w:pPr>
              <w:rPr>
                <w:rFonts w:cs="Arial"/>
                <w:sz w:val="20"/>
                <w:szCs w:val="20"/>
                <w:lang w:eastAsia="en-AU"/>
              </w:rPr>
            </w:pPr>
            <w:r w:rsidRPr="005176BD">
              <w:rPr>
                <w:rFonts w:cs="Arial"/>
                <w:sz w:val="20"/>
                <w:szCs w:val="20"/>
                <w:lang w:eastAsia="en-AU"/>
              </w:rPr>
              <w:t>Young A, Dobson A &amp; Byles J.</w:t>
            </w:r>
            <w:r w:rsidR="00012F17" w:rsidRPr="005176BD">
              <w:rPr>
                <w:rFonts w:cs="Arial"/>
                <w:sz w:val="20"/>
                <w:szCs w:val="20"/>
                <w:lang w:eastAsia="en-AU"/>
              </w:rPr>
              <w:t xml:space="preserve"> </w:t>
            </w:r>
          </w:p>
        </w:tc>
        <w:tc>
          <w:tcPr>
            <w:tcW w:w="361" w:type="dxa"/>
          </w:tcPr>
          <w:p w14:paraId="73E937C4" w14:textId="5795F0A6" w:rsidR="00084B2B" w:rsidRPr="005176BD" w:rsidRDefault="00F5504C" w:rsidP="003B611A">
            <w:pPr>
              <w:rPr>
                <w:rFonts w:cs="Arial"/>
                <w:sz w:val="20"/>
                <w:szCs w:val="20"/>
                <w:lang w:eastAsia="en-AU"/>
              </w:rPr>
            </w:pPr>
            <w:r w:rsidRPr="005176BD">
              <w:rPr>
                <w:rFonts w:cs="Arial"/>
                <w:sz w:val="20"/>
                <w:szCs w:val="20"/>
                <w:lang w:eastAsia="en-AU"/>
              </w:rPr>
              <w:t>50</w:t>
            </w:r>
          </w:p>
        </w:tc>
      </w:tr>
      <w:tr w:rsidR="00084B2B" w:rsidRPr="00084B2B" w14:paraId="7133D074" w14:textId="77777777" w:rsidTr="0011030B">
        <w:tc>
          <w:tcPr>
            <w:tcW w:w="9196" w:type="dxa"/>
          </w:tcPr>
          <w:p w14:paraId="7B8EA252" w14:textId="4294C3BA" w:rsidR="00084B2B" w:rsidRPr="005176BD" w:rsidRDefault="00084B2B" w:rsidP="003B611A">
            <w:pPr>
              <w:rPr>
                <w:rFonts w:cs="Arial"/>
                <w:sz w:val="20"/>
                <w:szCs w:val="20"/>
                <w:lang w:eastAsia="en-AU"/>
              </w:rPr>
            </w:pPr>
            <w:r w:rsidRPr="005176BD">
              <w:rPr>
                <w:rFonts w:cs="Arial"/>
                <w:sz w:val="20"/>
                <w:szCs w:val="20"/>
                <w:lang w:eastAsia="en-AU"/>
              </w:rPr>
              <w:t xml:space="preserve">Women’s satisfaction with general practice consultations. Medical Journal of Australia, </w:t>
            </w:r>
            <w:r w:rsidR="00DA3855" w:rsidRPr="005176BD">
              <w:rPr>
                <w:rFonts w:cs="Arial"/>
                <w:sz w:val="20"/>
                <w:szCs w:val="20"/>
                <w:lang w:eastAsia="en-AU"/>
              </w:rPr>
              <w:t>1998</w:t>
            </w:r>
            <w:r w:rsidR="00B94D78" w:rsidRPr="005176BD">
              <w:rPr>
                <w:rFonts w:cs="Arial"/>
                <w:sz w:val="20"/>
                <w:szCs w:val="20"/>
                <w:lang w:eastAsia="en-AU"/>
              </w:rPr>
              <w:t>;</w:t>
            </w:r>
            <w:r w:rsidR="00DA3855" w:rsidRPr="005176BD">
              <w:rPr>
                <w:rFonts w:cs="Arial"/>
                <w:sz w:val="20"/>
                <w:szCs w:val="20"/>
                <w:lang w:eastAsia="en-AU"/>
              </w:rPr>
              <w:t xml:space="preserve"> </w:t>
            </w:r>
            <w:r w:rsidRPr="005176BD">
              <w:rPr>
                <w:rFonts w:cs="Arial"/>
                <w:sz w:val="20"/>
                <w:szCs w:val="20"/>
                <w:lang w:eastAsia="en-AU"/>
              </w:rPr>
              <w:t>168(8)</w:t>
            </w:r>
            <w:r w:rsidR="00B94D78" w:rsidRPr="005176BD">
              <w:rPr>
                <w:rFonts w:cs="Arial"/>
                <w:sz w:val="20"/>
                <w:szCs w:val="20"/>
                <w:lang w:eastAsia="en-AU"/>
              </w:rPr>
              <w:t>:</w:t>
            </w:r>
            <w:r w:rsidRPr="005176BD">
              <w:rPr>
                <w:rFonts w:cs="Arial"/>
                <w:sz w:val="20"/>
                <w:szCs w:val="20"/>
                <w:lang w:eastAsia="en-AU"/>
              </w:rPr>
              <w:t xml:space="preserve"> 386-389.</w:t>
            </w:r>
          </w:p>
        </w:tc>
        <w:tc>
          <w:tcPr>
            <w:tcW w:w="4298" w:type="dxa"/>
          </w:tcPr>
          <w:p w14:paraId="29F60FD6" w14:textId="77777777" w:rsidR="00084B2B" w:rsidRPr="005176BD" w:rsidRDefault="00084B2B" w:rsidP="003B611A">
            <w:pPr>
              <w:rPr>
                <w:rFonts w:cs="Arial"/>
                <w:sz w:val="20"/>
                <w:szCs w:val="20"/>
                <w:lang w:eastAsia="en-AU"/>
              </w:rPr>
            </w:pPr>
            <w:r w:rsidRPr="005176BD">
              <w:rPr>
                <w:rFonts w:cs="Arial"/>
                <w:sz w:val="20"/>
                <w:szCs w:val="20"/>
                <w:lang w:eastAsia="en-AU"/>
              </w:rPr>
              <w:t>Young A, Byles J &amp; Dobson A.</w:t>
            </w:r>
          </w:p>
        </w:tc>
        <w:tc>
          <w:tcPr>
            <w:tcW w:w="361" w:type="dxa"/>
          </w:tcPr>
          <w:p w14:paraId="5FCA5BE2" w14:textId="12BEA9D2" w:rsidR="00084B2B" w:rsidRPr="005176BD" w:rsidRDefault="00F5504C" w:rsidP="003B611A">
            <w:pPr>
              <w:rPr>
                <w:rFonts w:cs="Arial"/>
                <w:sz w:val="20"/>
                <w:szCs w:val="20"/>
                <w:lang w:eastAsia="en-AU"/>
              </w:rPr>
            </w:pPr>
            <w:r w:rsidRPr="005176BD">
              <w:rPr>
                <w:rFonts w:cs="Arial"/>
                <w:sz w:val="20"/>
                <w:szCs w:val="20"/>
                <w:lang w:eastAsia="en-AU"/>
              </w:rPr>
              <w:t>40</w:t>
            </w:r>
          </w:p>
        </w:tc>
      </w:tr>
    </w:tbl>
    <w:p w14:paraId="49193549" w14:textId="3CBB996E" w:rsidR="00084B2B" w:rsidRPr="00FB70EC" w:rsidRDefault="00084B2B" w:rsidP="003B611A">
      <w:pPr>
        <w:pStyle w:val="Heading2"/>
        <w:ind w:left="578" w:hanging="578"/>
      </w:pPr>
      <w:bookmarkStart w:id="76" w:name="_Toc530561285"/>
      <w:r w:rsidRPr="00FB70EC">
        <w:t>Intergenerational issues</w:t>
      </w:r>
      <w:bookmarkEnd w:id="76"/>
    </w:p>
    <w:tbl>
      <w:tblPr>
        <w:tblStyle w:val="TableGrid1"/>
        <w:tblW w:w="13855" w:type="dxa"/>
        <w:tblLook w:val="04A0" w:firstRow="1" w:lastRow="0" w:firstColumn="1" w:lastColumn="0" w:noHBand="0" w:noVBand="1"/>
        <w:tblCaption w:val="Category: Intergenerational issues"/>
      </w:tblPr>
      <w:tblGrid>
        <w:gridCol w:w="8464"/>
        <w:gridCol w:w="4054"/>
        <w:gridCol w:w="1337"/>
      </w:tblGrid>
      <w:tr w:rsidR="00084B2B" w:rsidRPr="00084B2B" w14:paraId="4BF2C0F8" w14:textId="77777777" w:rsidTr="0011030B">
        <w:trPr>
          <w:tblHeader/>
        </w:trPr>
        <w:tc>
          <w:tcPr>
            <w:tcW w:w="9120" w:type="dxa"/>
            <w:shd w:val="clear" w:color="auto" w:fill="F1E9F3"/>
          </w:tcPr>
          <w:p w14:paraId="671E1001" w14:textId="77777777" w:rsidR="00084B2B" w:rsidRPr="00084B2B" w:rsidRDefault="00084B2B" w:rsidP="003B611A">
            <w:pPr>
              <w:rPr>
                <w:rFonts w:cstheme="minorHAnsi"/>
                <w:b/>
                <w:sz w:val="24"/>
                <w:szCs w:val="24"/>
              </w:rPr>
            </w:pPr>
            <w:r w:rsidRPr="00084B2B">
              <w:rPr>
                <w:rFonts w:cstheme="minorHAnsi"/>
                <w:b/>
                <w:sz w:val="24"/>
                <w:szCs w:val="24"/>
              </w:rPr>
              <w:t>Details</w:t>
            </w:r>
          </w:p>
        </w:tc>
        <w:tc>
          <w:tcPr>
            <w:tcW w:w="4280" w:type="dxa"/>
            <w:shd w:val="clear" w:color="auto" w:fill="F1E9F3"/>
          </w:tcPr>
          <w:p w14:paraId="0758D214" w14:textId="77777777" w:rsidR="00084B2B" w:rsidRPr="00084B2B" w:rsidRDefault="00084B2B" w:rsidP="003B611A">
            <w:pPr>
              <w:rPr>
                <w:rFonts w:cstheme="minorHAnsi"/>
                <w:b/>
                <w:sz w:val="24"/>
                <w:szCs w:val="24"/>
              </w:rPr>
            </w:pPr>
            <w:r w:rsidRPr="00084B2B">
              <w:rPr>
                <w:rFonts w:cstheme="minorHAnsi"/>
                <w:b/>
                <w:sz w:val="24"/>
                <w:szCs w:val="24"/>
              </w:rPr>
              <w:t>Authors</w:t>
            </w:r>
          </w:p>
        </w:tc>
        <w:tc>
          <w:tcPr>
            <w:tcW w:w="455" w:type="dxa"/>
            <w:shd w:val="clear" w:color="auto" w:fill="F1E9F3"/>
          </w:tcPr>
          <w:p w14:paraId="75800954" w14:textId="48492898" w:rsidR="00084B2B" w:rsidRPr="00084B2B" w:rsidRDefault="00084B2B" w:rsidP="003B611A">
            <w:pPr>
              <w:rPr>
                <w:rFonts w:cstheme="minorHAnsi"/>
                <w:b/>
                <w:sz w:val="24"/>
                <w:szCs w:val="24"/>
              </w:rPr>
            </w:pPr>
            <w:r w:rsidRPr="00084B2B">
              <w:rPr>
                <w:rFonts w:cstheme="minorHAnsi"/>
                <w:b/>
                <w:sz w:val="24"/>
                <w:szCs w:val="24"/>
              </w:rPr>
              <w:t>Citations</w:t>
            </w:r>
            <w:r w:rsidR="0011030B">
              <w:rPr>
                <w:rFonts w:cstheme="minorHAnsi"/>
                <w:b/>
                <w:sz w:val="24"/>
                <w:szCs w:val="24"/>
              </w:rPr>
              <w:t>*</w:t>
            </w:r>
          </w:p>
        </w:tc>
      </w:tr>
      <w:tr w:rsidR="00084B2B" w:rsidRPr="00084B2B" w14:paraId="334D0198" w14:textId="77777777" w:rsidTr="0011030B">
        <w:tc>
          <w:tcPr>
            <w:tcW w:w="9120" w:type="dxa"/>
          </w:tcPr>
          <w:p w14:paraId="3AE1C1D6" w14:textId="426F9C6B" w:rsidR="00084B2B" w:rsidRPr="005176BD" w:rsidRDefault="00084B2B" w:rsidP="003B611A">
            <w:pPr>
              <w:rPr>
                <w:rFonts w:cs="Arial"/>
                <w:sz w:val="20"/>
                <w:szCs w:val="20"/>
                <w:lang w:eastAsia="en-AU"/>
              </w:rPr>
            </w:pPr>
            <w:r w:rsidRPr="005176BD">
              <w:rPr>
                <w:rFonts w:cs="Arial"/>
                <w:sz w:val="20"/>
                <w:szCs w:val="20"/>
                <w:lang w:eastAsia="en-AU"/>
              </w:rPr>
              <w:t xml:space="preserve">Intimate partner violence adversely impacts health over 16 years and across generations: A longitudinal cohort study. </w:t>
            </w:r>
            <w:proofErr w:type="spellStart"/>
            <w:r w:rsidRPr="005176BD">
              <w:rPr>
                <w:rFonts w:cs="Arial"/>
                <w:sz w:val="20"/>
                <w:szCs w:val="20"/>
                <w:lang w:eastAsia="en-AU"/>
              </w:rPr>
              <w:t>PLoS</w:t>
            </w:r>
            <w:proofErr w:type="spellEnd"/>
            <w:r w:rsidRPr="005176BD">
              <w:rPr>
                <w:rFonts w:cs="Arial"/>
                <w:sz w:val="20"/>
                <w:szCs w:val="20"/>
                <w:lang w:eastAsia="en-AU"/>
              </w:rPr>
              <w:t xml:space="preserve"> One, 2017</w:t>
            </w:r>
            <w:r w:rsidR="00B94D78" w:rsidRPr="005176BD">
              <w:rPr>
                <w:rFonts w:cs="Arial"/>
                <w:sz w:val="20"/>
                <w:szCs w:val="20"/>
                <w:lang w:eastAsia="en-AU"/>
              </w:rPr>
              <w:t>;</w:t>
            </w:r>
            <w:r w:rsidRPr="005176BD">
              <w:rPr>
                <w:rFonts w:cs="Arial"/>
                <w:sz w:val="20"/>
                <w:szCs w:val="20"/>
                <w:lang w:eastAsia="en-AU"/>
              </w:rPr>
              <w:t xml:space="preserve"> 12(6)</w:t>
            </w:r>
            <w:r w:rsidR="00B94D78" w:rsidRPr="005176BD">
              <w:rPr>
                <w:rFonts w:cs="Arial"/>
                <w:sz w:val="20"/>
                <w:szCs w:val="20"/>
                <w:lang w:eastAsia="en-AU"/>
              </w:rPr>
              <w:t>:</w:t>
            </w:r>
            <w:r w:rsidRPr="005176BD">
              <w:rPr>
                <w:rFonts w:cs="Arial"/>
                <w:sz w:val="20"/>
                <w:szCs w:val="20"/>
                <w:lang w:eastAsia="en-AU"/>
              </w:rPr>
              <w:t xml:space="preserve"> e0178138</w:t>
            </w:r>
            <w:r w:rsidR="00B94D78" w:rsidRPr="005176BD">
              <w:rPr>
                <w:rFonts w:cs="Arial"/>
                <w:sz w:val="20"/>
                <w:szCs w:val="20"/>
                <w:lang w:eastAsia="en-AU"/>
              </w:rPr>
              <w:t>.</w:t>
            </w:r>
          </w:p>
        </w:tc>
        <w:tc>
          <w:tcPr>
            <w:tcW w:w="4280" w:type="dxa"/>
          </w:tcPr>
          <w:p w14:paraId="01D5FD1F" w14:textId="77777777" w:rsidR="00084B2B" w:rsidRPr="005176BD" w:rsidRDefault="00084B2B" w:rsidP="003B611A">
            <w:pPr>
              <w:rPr>
                <w:rFonts w:cs="Arial"/>
                <w:sz w:val="20"/>
                <w:szCs w:val="20"/>
                <w:lang w:eastAsia="en-AU"/>
              </w:rPr>
            </w:pPr>
            <w:r w:rsidRPr="005176BD">
              <w:rPr>
                <w:rFonts w:cs="Arial"/>
                <w:sz w:val="20"/>
                <w:szCs w:val="20"/>
                <w:lang w:eastAsia="en-AU"/>
              </w:rPr>
              <w:t>Loxton D, Dolja-Gore X, Anderson A &amp; Townsend N.</w:t>
            </w:r>
          </w:p>
        </w:tc>
        <w:tc>
          <w:tcPr>
            <w:tcW w:w="455" w:type="dxa"/>
          </w:tcPr>
          <w:p w14:paraId="095C4197" w14:textId="77777777" w:rsidR="00084B2B" w:rsidRPr="005176BD" w:rsidRDefault="00084B2B" w:rsidP="003B611A">
            <w:pPr>
              <w:rPr>
                <w:rFonts w:cs="Arial"/>
                <w:sz w:val="20"/>
                <w:szCs w:val="20"/>
                <w:lang w:eastAsia="en-AU"/>
              </w:rPr>
            </w:pPr>
            <w:r w:rsidRPr="005176BD">
              <w:rPr>
                <w:rFonts w:cs="Arial"/>
                <w:sz w:val="20"/>
                <w:szCs w:val="20"/>
                <w:lang w:eastAsia="en-AU"/>
              </w:rPr>
              <w:t>10</w:t>
            </w:r>
          </w:p>
        </w:tc>
      </w:tr>
      <w:tr w:rsidR="00084B2B" w:rsidRPr="00084B2B" w14:paraId="149888A1" w14:textId="77777777" w:rsidTr="0011030B">
        <w:tc>
          <w:tcPr>
            <w:tcW w:w="9120" w:type="dxa"/>
          </w:tcPr>
          <w:p w14:paraId="2C42F67B" w14:textId="2FE3461B" w:rsidR="00084B2B" w:rsidRPr="005176BD" w:rsidRDefault="00084B2B" w:rsidP="003B611A">
            <w:pPr>
              <w:rPr>
                <w:rFonts w:cs="Arial"/>
                <w:sz w:val="20"/>
                <w:szCs w:val="20"/>
                <w:lang w:eastAsia="en-AU"/>
              </w:rPr>
            </w:pPr>
            <w:r w:rsidRPr="005176BD">
              <w:rPr>
                <w:rFonts w:cs="Arial"/>
                <w:sz w:val="20"/>
                <w:szCs w:val="20"/>
                <w:lang w:eastAsia="en-AU"/>
              </w:rPr>
              <w:t>The rise and fall in out-of-pocket costs in Australia: An analysis of the strengthening Medicare reforms. Health Economics, 2017</w:t>
            </w:r>
            <w:r w:rsidR="00B94D78" w:rsidRPr="005176BD">
              <w:rPr>
                <w:rFonts w:cs="Arial"/>
                <w:sz w:val="20"/>
                <w:szCs w:val="20"/>
                <w:lang w:eastAsia="en-AU"/>
              </w:rPr>
              <w:t>;</w:t>
            </w:r>
            <w:r w:rsidRPr="005176BD">
              <w:rPr>
                <w:rFonts w:cs="Arial"/>
                <w:sz w:val="20"/>
                <w:szCs w:val="20"/>
                <w:lang w:eastAsia="en-AU"/>
              </w:rPr>
              <w:t xml:space="preserve"> 26(8)</w:t>
            </w:r>
            <w:r w:rsidR="00B94D78" w:rsidRPr="005176BD">
              <w:rPr>
                <w:rFonts w:cs="Arial"/>
                <w:sz w:val="20"/>
                <w:szCs w:val="20"/>
                <w:lang w:eastAsia="en-AU"/>
              </w:rPr>
              <w:t xml:space="preserve">: </w:t>
            </w:r>
            <w:r w:rsidRPr="005176BD">
              <w:rPr>
                <w:rFonts w:cs="Arial"/>
                <w:sz w:val="20"/>
                <w:szCs w:val="20"/>
                <w:lang w:eastAsia="en-AU"/>
              </w:rPr>
              <w:t>962-979</w:t>
            </w:r>
            <w:r w:rsidR="00B94D78" w:rsidRPr="005176BD">
              <w:rPr>
                <w:rFonts w:cs="Arial"/>
                <w:sz w:val="20"/>
                <w:szCs w:val="20"/>
                <w:lang w:eastAsia="en-AU"/>
              </w:rPr>
              <w:t>.</w:t>
            </w:r>
          </w:p>
        </w:tc>
        <w:tc>
          <w:tcPr>
            <w:tcW w:w="4280" w:type="dxa"/>
          </w:tcPr>
          <w:p w14:paraId="1FF6A836" w14:textId="77777777" w:rsidR="00084B2B" w:rsidRPr="005176BD" w:rsidRDefault="00084B2B" w:rsidP="003B611A">
            <w:pPr>
              <w:rPr>
                <w:rFonts w:cs="Arial"/>
                <w:sz w:val="20"/>
                <w:szCs w:val="20"/>
                <w:lang w:eastAsia="en-AU"/>
              </w:rPr>
            </w:pPr>
            <w:r w:rsidRPr="005176BD">
              <w:rPr>
                <w:rFonts w:cs="Arial"/>
                <w:sz w:val="20"/>
                <w:szCs w:val="20"/>
                <w:lang w:eastAsia="en-AU"/>
              </w:rPr>
              <w:t>Wong CY, Greene J, Dolja-Gore X &amp; van Gool K.</w:t>
            </w:r>
          </w:p>
        </w:tc>
        <w:tc>
          <w:tcPr>
            <w:tcW w:w="455" w:type="dxa"/>
          </w:tcPr>
          <w:p w14:paraId="549FE171"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0D80E6B5" w14:textId="77777777" w:rsidTr="0011030B">
        <w:tc>
          <w:tcPr>
            <w:tcW w:w="9120" w:type="dxa"/>
            <w:tcBorders>
              <w:bottom w:val="single" w:sz="4" w:space="0" w:color="auto"/>
            </w:tcBorders>
          </w:tcPr>
          <w:p w14:paraId="3ABE38BE" w14:textId="5C96323C" w:rsidR="00084B2B" w:rsidRPr="005176BD" w:rsidRDefault="00084B2B" w:rsidP="003B611A">
            <w:pPr>
              <w:rPr>
                <w:rFonts w:cs="Arial"/>
                <w:sz w:val="20"/>
                <w:szCs w:val="20"/>
                <w:lang w:eastAsia="en-AU"/>
              </w:rPr>
            </w:pPr>
            <w:r w:rsidRPr="005176BD">
              <w:rPr>
                <w:rFonts w:cs="Arial"/>
                <w:sz w:val="20"/>
                <w:szCs w:val="20"/>
                <w:lang w:eastAsia="en-AU"/>
              </w:rPr>
              <w:t>The relationship between SF-6D utility scores and lifestyle factors across three life-stages: Evidence from the Australian Longitudinal Study on Women’s Health. Quality of Life Research, 2017</w:t>
            </w:r>
            <w:r w:rsidR="00B94D78" w:rsidRPr="005176BD">
              <w:rPr>
                <w:rFonts w:cs="Arial"/>
                <w:sz w:val="20"/>
                <w:szCs w:val="20"/>
                <w:lang w:eastAsia="en-AU"/>
              </w:rPr>
              <w:t xml:space="preserve">; </w:t>
            </w:r>
            <w:r w:rsidRPr="005176BD">
              <w:rPr>
                <w:rFonts w:cs="Arial"/>
                <w:sz w:val="20"/>
                <w:szCs w:val="20"/>
                <w:lang w:eastAsia="en-AU"/>
              </w:rPr>
              <w:t>26(6)</w:t>
            </w:r>
            <w:r w:rsidR="00B94D78" w:rsidRPr="005176BD">
              <w:rPr>
                <w:rFonts w:cs="Arial"/>
                <w:sz w:val="20"/>
                <w:szCs w:val="20"/>
                <w:lang w:eastAsia="en-AU"/>
              </w:rPr>
              <w:t>:</w:t>
            </w:r>
            <w:r w:rsidR="00012F17" w:rsidRPr="005176BD">
              <w:rPr>
                <w:rFonts w:cs="Arial"/>
                <w:sz w:val="20"/>
                <w:szCs w:val="20"/>
                <w:lang w:eastAsia="en-AU"/>
              </w:rPr>
              <w:t xml:space="preserve"> </w:t>
            </w:r>
            <w:r w:rsidRPr="005176BD">
              <w:rPr>
                <w:rFonts w:cs="Arial"/>
                <w:sz w:val="20"/>
                <w:szCs w:val="20"/>
                <w:lang w:eastAsia="en-AU"/>
              </w:rPr>
              <w:t>1507-1519</w:t>
            </w:r>
            <w:r w:rsidR="00B94D78" w:rsidRPr="005176BD">
              <w:rPr>
                <w:rFonts w:cs="Arial"/>
                <w:sz w:val="20"/>
                <w:szCs w:val="20"/>
                <w:lang w:eastAsia="en-AU"/>
              </w:rPr>
              <w:t>.</w:t>
            </w:r>
          </w:p>
        </w:tc>
        <w:tc>
          <w:tcPr>
            <w:tcW w:w="4280" w:type="dxa"/>
          </w:tcPr>
          <w:p w14:paraId="2E93A9F7" w14:textId="77777777" w:rsidR="00084B2B" w:rsidRPr="005176BD" w:rsidRDefault="00084B2B" w:rsidP="003B611A">
            <w:pPr>
              <w:rPr>
                <w:rFonts w:cs="Arial"/>
                <w:sz w:val="20"/>
                <w:szCs w:val="20"/>
                <w:lang w:eastAsia="en-AU"/>
              </w:rPr>
            </w:pPr>
            <w:r w:rsidRPr="005176BD">
              <w:rPr>
                <w:rFonts w:cs="Arial"/>
                <w:sz w:val="20"/>
                <w:szCs w:val="20"/>
                <w:lang w:eastAsia="en-AU"/>
              </w:rPr>
              <w:t xml:space="preserve">Kanesarajah J, Waller M, </w:t>
            </w:r>
            <w:proofErr w:type="spellStart"/>
            <w:r w:rsidRPr="005176BD">
              <w:rPr>
                <w:rFonts w:cs="Arial"/>
                <w:sz w:val="20"/>
                <w:szCs w:val="20"/>
                <w:lang w:eastAsia="en-AU"/>
              </w:rPr>
              <w:t>Whitty</w:t>
            </w:r>
            <w:proofErr w:type="spellEnd"/>
            <w:r w:rsidRPr="005176BD">
              <w:rPr>
                <w:rFonts w:cs="Arial"/>
                <w:sz w:val="20"/>
                <w:szCs w:val="20"/>
                <w:lang w:eastAsia="en-AU"/>
              </w:rPr>
              <w:t xml:space="preserve"> J &amp; Mishra G.</w:t>
            </w:r>
          </w:p>
        </w:tc>
        <w:tc>
          <w:tcPr>
            <w:tcW w:w="455" w:type="dxa"/>
          </w:tcPr>
          <w:p w14:paraId="71EC3382"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5236962D"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251F778F" w14:textId="356F55CE" w:rsidR="00084B2B" w:rsidRPr="005176BD" w:rsidRDefault="00084B2B" w:rsidP="003B611A">
            <w:pPr>
              <w:rPr>
                <w:rFonts w:cs="Arial"/>
                <w:sz w:val="20"/>
                <w:szCs w:val="20"/>
                <w:lang w:eastAsia="en-AU"/>
              </w:rPr>
            </w:pPr>
            <w:r w:rsidRPr="005176BD">
              <w:rPr>
                <w:rFonts w:cs="Arial"/>
                <w:sz w:val="20"/>
                <w:szCs w:val="20"/>
                <w:lang w:eastAsia="en-AU"/>
              </w:rPr>
              <w:t>Improvements in physical function and pain sustained for up to 10 years after knee or hip arthroplasty irrespective of mental health status before surgery:</w:t>
            </w:r>
            <w:r w:rsidR="00012F17" w:rsidRPr="005176BD">
              <w:rPr>
                <w:rFonts w:cs="Arial"/>
                <w:sz w:val="20"/>
                <w:szCs w:val="20"/>
                <w:lang w:eastAsia="en-AU"/>
              </w:rPr>
              <w:t xml:space="preserve"> </w:t>
            </w:r>
            <w:r w:rsidRPr="005176BD">
              <w:rPr>
                <w:rFonts w:cs="Arial"/>
                <w:sz w:val="20"/>
                <w:szCs w:val="20"/>
                <w:lang w:eastAsia="en-AU"/>
              </w:rPr>
              <w:t xml:space="preserve">9,737 middle-aged and 9,292 older women from the Australian Longitudinal Study on Women’s Health. </w:t>
            </w:r>
            <w:proofErr w:type="spellStart"/>
            <w:r w:rsidRPr="005176BD">
              <w:rPr>
                <w:rFonts w:cs="Arial"/>
                <w:sz w:val="20"/>
                <w:szCs w:val="20"/>
                <w:lang w:eastAsia="en-AU"/>
              </w:rPr>
              <w:t>Acta</w:t>
            </w:r>
            <w:proofErr w:type="spellEnd"/>
            <w:r w:rsidRPr="005176BD">
              <w:rPr>
                <w:rFonts w:cs="Arial"/>
                <w:sz w:val="20"/>
                <w:szCs w:val="20"/>
                <w:lang w:eastAsia="en-AU"/>
              </w:rPr>
              <w:t xml:space="preserve"> </w:t>
            </w:r>
            <w:proofErr w:type="spellStart"/>
            <w:r w:rsidRPr="005176BD">
              <w:rPr>
                <w:rFonts w:cs="Arial"/>
                <w:sz w:val="20"/>
                <w:szCs w:val="20"/>
                <w:lang w:eastAsia="en-AU"/>
              </w:rPr>
              <w:t>Orthopaedica</w:t>
            </w:r>
            <w:proofErr w:type="spellEnd"/>
            <w:r w:rsidRPr="005176BD">
              <w:rPr>
                <w:rFonts w:cs="Arial"/>
                <w:sz w:val="20"/>
                <w:szCs w:val="20"/>
                <w:lang w:eastAsia="en-AU"/>
              </w:rPr>
              <w:t>, 2017</w:t>
            </w:r>
            <w:r w:rsidR="00B94D78" w:rsidRPr="005176BD">
              <w:rPr>
                <w:rFonts w:cs="Arial"/>
                <w:sz w:val="20"/>
                <w:szCs w:val="20"/>
                <w:lang w:eastAsia="en-AU"/>
              </w:rPr>
              <w:t>;</w:t>
            </w:r>
            <w:r w:rsidRPr="005176BD">
              <w:rPr>
                <w:rFonts w:cs="Arial"/>
                <w:sz w:val="20"/>
                <w:szCs w:val="20"/>
                <w:lang w:eastAsia="en-AU"/>
              </w:rPr>
              <w:t xml:space="preserve"> 8(2)</w:t>
            </w:r>
            <w:r w:rsidR="00B94D78" w:rsidRPr="005176BD">
              <w:rPr>
                <w:rFonts w:cs="Arial"/>
                <w:sz w:val="20"/>
                <w:szCs w:val="20"/>
                <w:lang w:eastAsia="en-AU"/>
              </w:rPr>
              <w:t xml:space="preserve">: </w:t>
            </w:r>
            <w:r w:rsidRPr="005176BD">
              <w:rPr>
                <w:rFonts w:cs="Arial"/>
                <w:sz w:val="20"/>
                <w:szCs w:val="20"/>
                <w:lang w:eastAsia="en-AU"/>
              </w:rPr>
              <w:t>158-165</w:t>
            </w:r>
            <w:r w:rsidR="00B94D78" w:rsidRPr="005176BD">
              <w:rPr>
                <w:rFonts w:cs="Arial"/>
                <w:sz w:val="20"/>
                <w:szCs w:val="20"/>
                <w:lang w:eastAsia="en-AU"/>
              </w:rPr>
              <w:t>.</w:t>
            </w:r>
          </w:p>
        </w:tc>
        <w:tc>
          <w:tcPr>
            <w:tcW w:w="4280" w:type="dxa"/>
          </w:tcPr>
          <w:p w14:paraId="433A7F91" w14:textId="77777777" w:rsidR="00084B2B" w:rsidRPr="005176BD" w:rsidRDefault="00084B2B" w:rsidP="003B611A">
            <w:pPr>
              <w:rPr>
                <w:rFonts w:cs="Arial"/>
                <w:sz w:val="20"/>
                <w:szCs w:val="20"/>
                <w:lang w:eastAsia="en-AU"/>
              </w:rPr>
            </w:pPr>
            <w:r w:rsidRPr="005176BD">
              <w:rPr>
                <w:rFonts w:cs="Arial"/>
                <w:sz w:val="20"/>
                <w:szCs w:val="20"/>
                <w:lang w:eastAsia="en-AU"/>
              </w:rPr>
              <w:t>Peeters G, Rainbird S, Lorimer M, Dobson A, Mishra G &amp; Graves S.</w:t>
            </w:r>
          </w:p>
        </w:tc>
        <w:tc>
          <w:tcPr>
            <w:tcW w:w="455" w:type="dxa"/>
          </w:tcPr>
          <w:p w14:paraId="363CB69E" w14:textId="77777777" w:rsidR="00084B2B" w:rsidRPr="005176BD" w:rsidRDefault="00084B2B" w:rsidP="003B611A">
            <w:pPr>
              <w:rPr>
                <w:rFonts w:cs="Arial"/>
                <w:sz w:val="20"/>
                <w:szCs w:val="20"/>
                <w:lang w:eastAsia="en-AU"/>
              </w:rPr>
            </w:pPr>
            <w:r w:rsidRPr="005176BD">
              <w:rPr>
                <w:rFonts w:cs="Arial"/>
                <w:sz w:val="20"/>
                <w:szCs w:val="20"/>
                <w:lang w:eastAsia="en-AU"/>
              </w:rPr>
              <w:t>5</w:t>
            </w:r>
          </w:p>
        </w:tc>
      </w:tr>
      <w:tr w:rsidR="00084B2B" w:rsidRPr="00084B2B" w14:paraId="0543A756"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132C20D4" w14:textId="5997EA2A" w:rsidR="00084B2B" w:rsidRPr="005176BD" w:rsidRDefault="00084B2B" w:rsidP="003B611A">
            <w:pPr>
              <w:rPr>
                <w:rFonts w:cs="Arial"/>
                <w:sz w:val="20"/>
                <w:szCs w:val="20"/>
                <w:lang w:eastAsia="en-AU"/>
              </w:rPr>
            </w:pPr>
            <w:r w:rsidRPr="005176BD">
              <w:rPr>
                <w:rFonts w:cs="Arial"/>
                <w:sz w:val="20"/>
                <w:szCs w:val="20"/>
                <w:lang w:eastAsia="en-AU"/>
              </w:rPr>
              <w:t xml:space="preserve">Generating qualitative data by design: </w:t>
            </w:r>
            <w:r w:rsidR="00B94D78" w:rsidRPr="005176BD">
              <w:rPr>
                <w:rFonts w:cs="Arial"/>
                <w:sz w:val="20"/>
                <w:szCs w:val="20"/>
                <w:lang w:eastAsia="en-AU"/>
              </w:rPr>
              <w:t>T</w:t>
            </w:r>
            <w:r w:rsidRPr="005176BD">
              <w:rPr>
                <w:rFonts w:cs="Arial"/>
                <w:sz w:val="20"/>
                <w:szCs w:val="20"/>
                <w:lang w:eastAsia="en-AU"/>
              </w:rPr>
              <w:t>he Australian Longitudinal Study on Women’s Health qualitative data collection. Public Health Research &amp; Practice, 2016</w:t>
            </w:r>
            <w:r w:rsidR="00B94D78" w:rsidRPr="005176BD">
              <w:rPr>
                <w:rFonts w:cs="Arial"/>
                <w:sz w:val="20"/>
                <w:szCs w:val="20"/>
                <w:lang w:eastAsia="en-AU"/>
              </w:rPr>
              <w:t>;</w:t>
            </w:r>
            <w:r w:rsidRPr="005176BD">
              <w:rPr>
                <w:rFonts w:cs="Arial"/>
                <w:sz w:val="20"/>
                <w:szCs w:val="20"/>
                <w:lang w:eastAsia="en-AU"/>
              </w:rPr>
              <w:t xml:space="preserve"> 23(3)</w:t>
            </w:r>
            <w:r w:rsidR="00B94D78" w:rsidRPr="005176BD">
              <w:rPr>
                <w:rFonts w:cs="Arial"/>
                <w:sz w:val="20"/>
                <w:szCs w:val="20"/>
                <w:lang w:eastAsia="en-AU"/>
              </w:rPr>
              <w:t xml:space="preserve">: </w:t>
            </w:r>
            <w:r w:rsidRPr="005176BD">
              <w:rPr>
                <w:rFonts w:cs="Arial"/>
                <w:sz w:val="20"/>
                <w:szCs w:val="20"/>
                <w:lang w:eastAsia="en-AU"/>
              </w:rPr>
              <w:t>e2631631</w:t>
            </w:r>
            <w:r w:rsidR="00B94D78" w:rsidRPr="005176BD">
              <w:rPr>
                <w:rFonts w:cs="Arial"/>
                <w:sz w:val="20"/>
                <w:szCs w:val="20"/>
                <w:lang w:eastAsia="en-AU"/>
              </w:rPr>
              <w:t>.</w:t>
            </w:r>
          </w:p>
        </w:tc>
        <w:tc>
          <w:tcPr>
            <w:tcW w:w="4280" w:type="dxa"/>
          </w:tcPr>
          <w:p w14:paraId="1EF42EBF" w14:textId="77777777" w:rsidR="00084B2B" w:rsidRPr="005176BD" w:rsidRDefault="00084B2B" w:rsidP="003B611A">
            <w:pPr>
              <w:rPr>
                <w:rFonts w:cs="Arial"/>
                <w:sz w:val="20"/>
                <w:szCs w:val="20"/>
                <w:lang w:eastAsia="en-AU"/>
              </w:rPr>
            </w:pPr>
            <w:r w:rsidRPr="005176BD">
              <w:rPr>
                <w:rFonts w:cs="Arial"/>
                <w:sz w:val="20"/>
                <w:szCs w:val="20"/>
                <w:lang w:eastAsia="en-AU"/>
              </w:rPr>
              <w:t>Tavener M, Chojenta C &amp; Loxton D.</w:t>
            </w:r>
          </w:p>
        </w:tc>
        <w:tc>
          <w:tcPr>
            <w:tcW w:w="455" w:type="dxa"/>
          </w:tcPr>
          <w:p w14:paraId="18B2250A" w14:textId="77777777" w:rsidR="00084B2B" w:rsidRPr="005176BD" w:rsidRDefault="00084B2B" w:rsidP="003B611A">
            <w:pPr>
              <w:rPr>
                <w:rFonts w:cs="Arial"/>
                <w:sz w:val="20"/>
                <w:szCs w:val="20"/>
                <w:lang w:eastAsia="en-AU"/>
              </w:rPr>
            </w:pPr>
            <w:r w:rsidRPr="005176BD">
              <w:rPr>
                <w:rFonts w:cs="Arial"/>
                <w:sz w:val="20"/>
                <w:szCs w:val="20"/>
                <w:lang w:eastAsia="en-AU"/>
              </w:rPr>
              <w:t>5</w:t>
            </w:r>
          </w:p>
        </w:tc>
      </w:tr>
      <w:tr w:rsidR="00084B2B" w:rsidRPr="00084B2B" w14:paraId="7218BA7F"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0F773249" w14:textId="6120DE02" w:rsidR="00084B2B" w:rsidRPr="005176BD" w:rsidRDefault="00084B2B" w:rsidP="003B611A">
            <w:pPr>
              <w:rPr>
                <w:rFonts w:cs="Arial"/>
                <w:sz w:val="20"/>
                <w:szCs w:val="20"/>
                <w:lang w:eastAsia="en-AU"/>
              </w:rPr>
            </w:pPr>
            <w:r w:rsidRPr="005176BD">
              <w:rPr>
                <w:rFonts w:cs="Arial"/>
                <w:sz w:val="20"/>
                <w:szCs w:val="20"/>
                <w:lang w:eastAsia="en-AU"/>
              </w:rPr>
              <w:lastRenderedPageBreak/>
              <w:t>The metabolic syndrome and cancer: is the metabolic syndrome useful for predicting cancer risk above and beyond its individual components? Diabetes and Metabolism, 2015</w:t>
            </w:r>
            <w:r w:rsidR="00B94D78" w:rsidRPr="005176BD">
              <w:rPr>
                <w:rFonts w:cs="Arial"/>
                <w:sz w:val="20"/>
                <w:szCs w:val="20"/>
                <w:lang w:eastAsia="en-AU"/>
              </w:rPr>
              <w:t>;</w:t>
            </w:r>
            <w:r w:rsidRPr="005176BD">
              <w:rPr>
                <w:rFonts w:cs="Arial"/>
                <w:sz w:val="20"/>
                <w:szCs w:val="20"/>
                <w:lang w:eastAsia="en-AU"/>
              </w:rPr>
              <w:t xml:space="preserve"> 41(6)</w:t>
            </w:r>
            <w:r w:rsidR="00B94D78" w:rsidRPr="005176BD">
              <w:rPr>
                <w:rFonts w:cs="Arial"/>
                <w:sz w:val="20"/>
                <w:szCs w:val="20"/>
                <w:lang w:eastAsia="en-AU"/>
              </w:rPr>
              <w:t xml:space="preserve">: </w:t>
            </w:r>
            <w:r w:rsidRPr="005176BD">
              <w:rPr>
                <w:rFonts w:cs="Arial"/>
                <w:sz w:val="20"/>
                <w:szCs w:val="20"/>
                <w:lang w:eastAsia="en-AU"/>
              </w:rPr>
              <w:t>463-469</w:t>
            </w:r>
            <w:r w:rsidR="00B94D78" w:rsidRPr="005176BD">
              <w:rPr>
                <w:rFonts w:cs="Arial"/>
                <w:sz w:val="20"/>
                <w:szCs w:val="20"/>
                <w:lang w:eastAsia="en-AU"/>
              </w:rPr>
              <w:t>.</w:t>
            </w:r>
          </w:p>
        </w:tc>
        <w:tc>
          <w:tcPr>
            <w:tcW w:w="4280" w:type="dxa"/>
          </w:tcPr>
          <w:p w14:paraId="6AD0DC28"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Harding JL, </w:t>
            </w:r>
            <w:proofErr w:type="spellStart"/>
            <w:r w:rsidRPr="005176BD">
              <w:rPr>
                <w:rFonts w:cs="Arial"/>
                <w:sz w:val="20"/>
                <w:szCs w:val="20"/>
                <w:lang w:eastAsia="en-AU"/>
              </w:rPr>
              <w:t>Sooriyakumaran</w:t>
            </w:r>
            <w:proofErr w:type="spellEnd"/>
            <w:r w:rsidRPr="005176BD">
              <w:rPr>
                <w:rFonts w:cs="Arial"/>
                <w:sz w:val="20"/>
                <w:szCs w:val="20"/>
                <w:lang w:eastAsia="en-AU"/>
              </w:rPr>
              <w:t xml:space="preserve"> M, Anstey K, Adams R, </w:t>
            </w:r>
            <w:proofErr w:type="spellStart"/>
            <w:r w:rsidRPr="005176BD">
              <w:rPr>
                <w:rFonts w:cs="Arial"/>
                <w:sz w:val="20"/>
                <w:szCs w:val="20"/>
                <w:lang w:eastAsia="en-AU"/>
              </w:rPr>
              <w:t>Balkau</w:t>
            </w:r>
            <w:proofErr w:type="spellEnd"/>
            <w:r w:rsidRPr="005176BD">
              <w:rPr>
                <w:rFonts w:cs="Arial"/>
                <w:sz w:val="20"/>
                <w:szCs w:val="20"/>
                <w:lang w:eastAsia="en-AU"/>
              </w:rPr>
              <w:t xml:space="preserve"> B, Brennan-Olsen SL, et al.</w:t>
            </w:r>
          </w:p>
        </w:tc>
        <w:tc>
          <w:tcPr>
            <w:tcW w:w="455" w:type="dxa"/>
          </w:tcPr>
          <w:p w14:paraId="699AC8DD" w14:textId="77777777" w:rsidR="00084B2B" w:rsidRPr="005176BD" w:rsidRDefault="00084B2B" w:rsidP="003B611A">
            <w:pPr>
              <w:rPr>
                <w:rFonts w:cs="Arial"/>
                <w:sz w:val="20"/>
                <w:szCs w:val="20"/>
                <w:lang w:eastAsia="en-AU"/>
              </w:rPr>
            </w:pPr>
            <w:r w:rsidRPr="005176BD">
              <w:rPr>
                <w:rFonts w:cs="Arial"/>
                <w:sz w:val="20"/>
                <w:szCs w:val="20"/>
                <w:lang w:eastAsia="en-AU"/>
              </w:rPr>
              <w:t>14</w:t>
            </w:r>
          </w:p>
        </w:tc>
      </w:tr>
      <w:tr w:rsidR="00084B2B" w:rsidRPr="00084B2B" w14:paraId="3C90DE7E"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39B78FC6" w14:textId="0CDF95BA" w:rsidR="00084B2B" w:rsidRPr="005176BD" w:rsidRDefault="00084B2B" w:rsidP="003B611A">
            <w:pPr>
              <w:rPr>
                <w:rFonts w:cs="Arial"/>
                <w:sz w:val="20"/>
                <w:szCs w:val="20"/>
                <w:lang w:eastAsia="en-AU"/>
              </w:rPr>
            </w:pPr>
            <w:r w:rsidRPr="005176BD">
              <w:rPr>
                <w:rFonts w:cs="Arial"/>
                <w:sz w:val="20"/>
                <w:szCs w:val="20"/>
                <w:lang w:eastAsia="en-AU"/>
              </w:rPr>
              <w:t>Physical activity in mid-age and older women: Lessons from the Australian Longitudinal Study on Women’s Health. Kinesiology Review, 2016</w:t>
            </w:r>
            <w:r w:rsidR="00B94D78" w:rsidRPr="005176BD">
              <w:rPr>
                <w:rFonts w:cs="Arial"/>
                <w:sz w:val="20"/>
                <w:szCs w:val="20"/>
                <w:lang w:eastAsia="en-AU"/>
              </w:rPr>
              <w:t>;</w:t>
            </w:r>
            <w:r w:rsidRPr="005176BD">
              <w:rPr>
                <w:rFonts w:cs="Arial"/>
                <w:sz w:val="20"/>
                <w:szCs w:val="20"/>
                <w:lang w:eastAsia="en-AU"/>
              </w:rPr>
              <w:t xml:space="preserve"> 5(1)</w:t>
            </w:r>
            <w:r w:rsidR="00B94D78" w:rsidRPr="005176BD">
              <w:rPr>
                <w:rFonts w:cs="Arial"/>
                <w:sz w:val="20"/>
                <w:szCs w:val="20"/>
                <w:lang w:eastAsia="en-AU"/>
              </w:rPr>
              <w:t xml:space="preserve">: </w:t>
            </w:r>
            <w:r w:rsidRPr="005176BD">
              <w:rPr>
                <w:rFonts w:cs="Arial"/>
                <w:sz w:val="20"/>
                <w:szCs w:val="20"/>
                <w:lang w:eastAsia="en-AU"/>
              </w:rPr>
              <w:t>87-97</w:t>
            </w:r>
            <w:r w:rsidR="00B94D78" w:rsidRPr="005176BD">
              <w:rPr>
                <w:rFonts w:cs="Arial"/>
                <w:sz w:val="20"/>
                <w:szCs w:val="20"/>
                <w:lang w:eastAsia="en-AU"/>
              </w:rPr>
              <w:t>.</w:t>
            </w:r>
          </w:p>
        </w:tc>
        <w:tc>
          <w:tcPr>
            <w:tcW w:w="4280" w:type="dxa"/>
          </w:tcPr>
          <w:p w14:paraId="52137FA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Brown W &amp; </w:t>
            </w:r>
            <w:proofErr w:type="spellStart"/>
            <w:r w:rsidRPr="005176BD">
              <w:rPr>
                <w:rFonts w:cs="Arial"/>
                <w:sz w:val="20"/>
                <w:szCs w:val="20"/>
                <w:lang w:eastAsia="en-AU"/>
              </w:rPr>
              <w:t>Pavey</w:t>
            </w:r>
            <w:proofErr w:type="spellEnd"/>
            <w:r w:rsidRPr="005176BD">
              <w:rPr>
                <w:rFonts w:cs="Arial"/>
                <w:sz w:val="20"/>
                <w:szCs w:val="20"/>
                <w:lang w:eastAsia="en-AU"/>
              </w:rPr>
              <w:t xml:space="preserve"> T.</w:t>
            </w:r>
          </w:p>
        </w:tc>
        <w:tc>
          <w:tcPr>
            <w:tcW w:w="455" w:type="dxa"/>
          </w:tcPr>
          <w:p w14:paraId="51156357" w14:textId="77777777" w:rsidR="00084B2B" w:rsidRPr="005176BD" w:rsidRDefault="00084B2B" w:rsidP="003B611A">
            <w:pPr>
              <w:rPr>
                <w:rFonts w:cs="Arial"/>
                <w:sz w:val="20"/>
                <w:szCs w:val="20"/>
                <w:lang w:eastAsia="en-AU"/>
              </w:rPr>
            </w:pPr>
            <w:r w:rsidRPr="005176BD">
              <w:rPr>
                <w:rFonts w:cs="Arial"/>
                <w:sz w:val="20"/>
                <w:szCs w:val="20"/>
                <w:lang w:eastAsia="en-AU"/>
              </w:rPr>
              <w:t>4</w:t>
            </w:r>
          </w:p>
        </w:tc>
      </w:tr>
      <w:tr w:rsidR="00084B2B" w:rsidRPr="00084B2B" w14:paraId="77A7F1B1"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1CB4521B" w14:textId="6023CD36" w:rsidR="00084B2B" w:rsidRPr="005176BD" w:rsidRDefault="00084B2B" w:rsidP="003B611A">
            <w:pPr>
              <w:rPr>
                <w:rFonts w:cs="Arial"/>
                <w:sz w:val="20"/>
                <w:szCs w:val="20"/>
                <w:lang w:eastAsia="en-AU"/>
              </w:rPr>
            </w:pPr>
            <w:r w:rsidRPr="005176BD">
              <w:rPr>
                <w:rFonts w:cs="Arial"/>
                <w:sz w:val="20"/>
                <w:szCs w:val="20"/>
                <w:lang w:eastAsia="en-AU"/>
              </w:rPr>
              <w:t xml:space="preserve">Long-term ambient air pollution exposure and self-reported morbidity in the Australian Longitudinal Study on Women’s Health: </w:t>
            </w:r>
            <w:r w:rsidR="00B94D78" w:rsidRPr="005176BD">
              <w:rPr>
                <w:rFonts w:cs="Arial"/>
                <w:sz w:val="20"/>
                <w:szCs w:val="20"/>
                <w:lang w:eastAsia="en-AU"/>
              </w:rPr>
              <w:t>A</w:t>
            </w:r>
            <w:r w:rsidRPr="005176BD">
              <w:rPr>
                <w:rFonts w:cs="Arial"/>
                <w:sz w:val="20"/>
                <w:szCs w:val="20"/>
                <w:lang w:eastAsia="en-AU"/>
              </w:rPr>
              <w:t xml:space="preserve"> cross-sectional study. BMJ Open, 2015</w:t>
            </w:r>
            <w:r w:rsidR="00B94D78" w:rsidRPr="005176BD">
              <w:rPr>
                <w:rFonts w:cs="Arial"/>
                <w:sz w:val="20"/>
                <w:szCs w:val="20"/>
                <w:lang w:eastAsia="en-AU"/>
              </w:rPr>
              <w:t>;</w:t>
            </w:r>
            <w:r w:rsidRPr="005176BD">
              <w:rPr>
                <w:rFonts w:cs="Arial"/>
                <w:sz w:val="20"/>
                <w:szCs w:val="20"/>
                <w:lang w:eastAsia="en-AU"/>
              </w:rPr>
              <w:t xml:space="preserve"> 5(10)</w:t>
            </w:r>
            <w:r w:rsidR="00B94D78" w:rsidRPr="005176BD">
              <w:rPr>
                <w:rFonts w:cs="Arial"/>
                <w:sz w:val="20"/>
                <w:szCs w:val="20"/>
                <w:lang w:eastAsia="en-AU"/>
              </w:rPr>
              <w:t xml:space="preserve">: </w:t>
            </w:r>
            <w:r w:rsidRPr="005176BD">
              <w:rPr>
                <w:rFonts w:cs="Arial"/>
                <w:sz w:val="20"/>
                <w:szCs w:val="20"/>
                <w:lang w:eastAsia="en-AU"/>
              </w:rPr>
              <w:t>e008714</w:t>
            </w:r>
            <w:r w:rsidR="00B94D78" w:rsidRPr="005176BD">
              <w:rPr>
                <w:rFonts w:cs="Arial"/>
                <w:sz w:val="20"/>
                <w:szCs w:val="20"/>
                <w:lang w:eastAsia="en-AU"/>
              </w:rPr>
              <w:t>.</w:t>
            </w:r>
          </w:p>
        </w:tc>
        <w:tc>
          <w:tcPr>
            <w:tcW w:w="4280" w:type="dxa"/>
          </w:tcPr>
          <w:p w14:paraId="4CBE907A" w14:textId="77777777" w:rsidR="00084B2B" w:rsidRPr="005176BD" w:rsidRDefault="00084B2B" w:rsidP="003B611A">
            <w:pPr>
              <w:rPr>
                <w:rFonts w:cs="Arial"/>
                <w:sz w:val="20"/>
                <w:szCs w:val="20"/>
                <w:lang w:eastAsia="en-AU"/>
              </w:rPr>
            </w:pPr>
            <w:r w:rsidRPr="005176BD">
              <w:rPr>
                <w:rFonts w:cs="Arial"/>
                <w:sz w:val="20"/>
                <w:szCs w:val="20"/>
                <w:lang w:eastAsia="en-AU"/>
              </w:rPr>
              <w:t>Lazarevic N, Dobson AJ, Barnett AG &amp; Knibbs, LD.</w:t>
            </w:r>
          </w:p>
        </w:tc>
        <w:tc>
          <w:tcPr>
            <w:tcW w:w="455" w:type="dxa"/>
          </w:tcPr>
          <w:p w14:paraId="45B97AC7" w14:textId="77777777" w:rsidR="00084B2B" w:rsidRPr="005176BD" w:rsidRDefault="00084B2B" w:rsidP="003B611A">
            <w:pPr>
              <w:rPr>
                <w:rFonts w:cs="Arial"/>
                <w:sz w:val="20"/>
                <w:szCs w:val="20"/>
                <w:lang w:eastAsia="en-AU"/>
              </w:rPr>
            </w:pPr>
            <w:r w:rsidRPr="005176BD">
              <w:rPr>
                <w:rFonts w:cs="Arial"/>
                <w:sz w:val="20"/>
                <w:szCs w:val="20"/>
                <w:lang w:eastAsia="en-AU"/>
              </w:rPr>
              <w:t>10</w:t>
            </w:r>
          </w:p>
        </w:tc>
      </w:tr>
      <w:tr w:rsidR="00084B2B" w:rsidRPr="00084B2B" w14:paraId="53CD707B"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6F090C32" w14:textId="050C46B0" w:rsidR="00084B2B" w:rsidRPr="005176BD" w:rsidRDefault="00084B2B" w:rsidP="003B611A">
            <w:pPr>
              <w:rPr>
                <w:rFonts w:cs="Arial"/>
                <w:sz w:val="20"/>
                <w:szCs w:val="20"/>
                <w:lang w:eastAsia="en-AU"/>
              </w:rPr>
            </w:pPr>
            <w:r w:rsidRPr="005176BD">
              <w:rPr>
                <w:rFonts w:cs="Arial"/>
                <w:sz w:val="20"/>
                <w:szCs w:val="20"/>
                <w:lang w:eastAsia="en-AU"/>
              </w:rPr>
              <w:t>Analytical results in longitudinal studies depended on target of inference and assumed mechanism of attrition. Journal of Clinical Epidemiology, 2015</w:t>
            </w:r>
            <w:r w:rsidR="00B94D78" w:rsidRPr="005176BD">
              <w:rPr>
                <w:rFonts w:cs="Arial"/>
                <w:sz w:val="20"/>
                <w:szCs w:val="20"/>
                <w:lang w:eastAsia="en-AU"/>
              </w:rPr>
              <w:t xml:space="preserve">; </w:t>
            </w:r>
            <w:r w:rsidRPr="005176BD">
              <w:rPr>
                <w:rFonts w:cs="Arial"/>
                <w:sz w:val="20"/>
                <w:szCs w:val="20"/>
                <w:lang w:eastAsia="en-AU"/>
              </w:rPr>
              <w:t>68(10)</w:t>
            </w:r>
            <w:r w:rsidR="00B94D78" w:rsidRPr="005176BD">
              <w:rPr>
                <w:rFonts w:cs="Arial"/>
                <w:sz w:val="20"/>
                <w:szCs w:val="20"/>
                <w:lang w:eastAsia="en-AU"/>
              </w:rPr>
              <w:t xml:space="preserve">: </w:t>
            </w:r>
            <w:r w:rsidRPr="005176BD">
              <w:rPr>
                <w:rFonts w:cs="Arial"/>
                <w:sz w:val="20"/>
                <w:szCs w:val="20"/>
                <w:lang w:eastAsia="en-AU"/>
              </w:rPr>
              <w:t>1165-1175</w:t>
            </w:r>
            <w:r w:rsidR="00B94D78" w:rsidRPr="005176BD">
              <w:rPr>
                <w:rFonts w:cs="Arial"/>
                <w:sz w:val="20"/>
                <w:szCs w:val="20"/>
                <w:lang w:eastAsia="en-AU"/>
              </w:rPr>
              <w:t>.</w:t>
            </w:r>
          </w:p>
        </w:tc>
        <w:tc>
          <w:tcPr>
            <w:tcW w:w="4280" w:type="dxa"/>
          </w:tcPr>
          <w:p w14:paraId="4925CE14" w14:textId="77777777" w:rsidR="00084B2B" w:rsidRPr="005176BD" w:rsidRDefault="00084B2B" w:rsidP="003B611A">
            <w:pPr>
              <w:rPr>
                <w:rFonts w:cs="Arial"/>
                <w:sz w:val="20"/>
                <w:szCs w:val="20"/>
                <w:lang w:eastAsia="en-AU"/>
              </w:rPr>
            </w:pPr>
            <w:r w:rsidRPr="005176BD">
              <w:rPr>
                <w:rFonts w:cs="Arial"/>
                <w:sz w:val="20"/>
                <w:szCs w:val="20"/>
                <w:lang w:eastAsia="en-AU"/>
              </w:rPr>
              <w:t>Jones M, Mishra G &amp; Dobson A.</w:t>
            </w:r>
          </w:p>
        </w:tc>
        <w:tc>
          <w:tcPr>
            <w:tcW w:w="455" w:type="dxa"/>
          </w:tcPr>
          <w:p w14:paraId="4A5FAF1B" w14:textId="77777777" w:rsidR="00084B2B" w:rsidRPr="005176BD" w:rsidRDefault="00084B2B" w:rsidP="003B611A">
            <w:pPr>
              <w:rPr>
                <w:rFonts w:cs="Arial"/>
                <w:sz w:val="20"/>
                <w:szCs w:val="20"/>
                <w:lang w:eastAsia="en-AU"/>
              </w:rPr>
            </w:pPr>
            <w:r w:rsidRPr="005176BD">
              <w:rPr>
                <w:rFonts w:cs="Arial"/>
                <w:sz w:val="20"/>
                <w:szCs w:val="20"/>
                <w:lang w:eastAsia="en-AU"/>
              </w:rPr>
              <w:t>11</w:t>
            </w:r>
          </w:p>
        </w:tc>
      </w:tr>
      <w:tr w:rsidR="00084B2B" w:rsidRPr="00084B2B" w14:paraId="5BE2E500"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0B60F814" w14:textId="07BEEB49" w:rsidR="00084B2B" w:rsidRPr="005176BD" w:rsidRDefault="00E1526F" w:rsidP="003B611A">
            <w:pPr>
              <w:rPr>
                <w:rFonts w:cs="Arial"/>
                <w:sz w:val="20"/>
                <w:szCs w:val="20"/>
                <w:lang w:eastAsia="en-AU"/>
              </w:rPr>
            </w:pPr>
            <w:r w:rsidRPr="005176BD">
              <w:rPr>
                <w:rFonts w:cs="Arial"/>
                <w:sz w:val="20"/>
                <w:szCs w:val="20"/>
                <w:lang w:eastAsia="en-AU"/>
              </w:rPr>
              <w:t>Changes in the relationships between Body Mass Index and health outcomes across middle age and older adulthood</w:t>
            </w:r>
            <w:r w:rsidR="00084B2B" w:rsidRPr="005176BD">
              <w:rPr>
                <w:rFonts w:cs="Arial"/>
                <w:sz w:val="20"/>
                <w:szCs w:val="20"/>
                <w:lang w:eastAsia="en-AU"/>
              </w:rPr>
              <w:t>. Mayo Clinic Proceedings, 2015</w:t>
            </w:r>
            <w:r w:rsidRPr="005176BD">
              <w:rPr>
                <w:rFonts w:cs="Arial"/>
                <w:sz w:val="20"/>
                <w:szCs w:val="20"/>
                <w:lang w:eastAsia="en-AU"/>
              </w:rPr>
              <w:t>;</w:t>
            </w:r>
            <w:r w:rsidR="00084B2B" w:rsidRPr="005176BD">
              <w:rPr>
                <w:rFonts w:cs="Arial"/>
                <w:sz w:val="20"/>
                <w:szCs w:val="20"/>
                <w:lang w:eastAsia="en-AU"/>
              </w:rPr>
              <w:t xml:space="preserve"> 90(7)</w:t>
            </w:r>
            <w:r w:rsidRPr="005176BD">
              <w:rPr>
                <w:rFonts w:cs="Arial"/>
                <w:sz w:val="20"/>
                <w:szCs w:val="20"/>
                <w:lang w:eastAsia="en-AU"/>
              </w:rPr>
              <w:t xml:space="preserve">: </w:t>
            </w:r>
            <w:r w:rsidR="00084B2B" w:rsidRPr="005176BD">
              <w:rPr>
                <w:rFonts w:cs="Arial"/>
                <w:sz w:val="20"/>
                <w:szCs w:val="20"/>
                <w:lang w:eastAsia="en-AU"/>
              </w:rPr>
              <w:t>903-910</w:t>
            </w:r>
            <w:r w:rsidRPr="005176BD">
              <w:rPr>
                <w:rFonts w:cs="Arial"/>
                <w:sz w:val="20"/>
                <w:szCs w:val="20"/>
                <w:lang w:eastAsia="en-AU"/>
              </w:rPr>
              <w:t>.</w:t>
            </w:r>
          </w:p>
        </w:tc>
        <w:tc>
          <w:tcPr>
            <w:tcW w:w="4280" w:type="dxa"/>
          </w:tcPr>
          <w:p w14:paraId="2219BF21"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Herber</w:t>
            </w:r>
            <w:proofErr w:type="spellEnd"/>
            <w:r w:rsidRPr="005176BD">
              <w:rPr>
                <w:rFonts w:cs="Arial"/>
                <w:sz w:val="20"/>
                <w:szCs w:val="20"/>
                <w:lang w:eastAsia="en-AU"/>
              </w:rPr>
              <w:t>-Gast G, Dobson A &amp; Brown W.</w:t>
            </w:r>
          </w:p>
        </w:tc>
        <w:tc>
          <w:tcPr>
            <w:tcW w:w="455" w:type="dxa"/>
          </w:tcPr>
          <w:p w14:paraId="50C620BD"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4B62E8D0"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7620BDE8" w14:textId="4E1AA7DA" w:rsidR="00084B2B" w:rsidRPr="005176BD" w:rsidRDefault="00084B2B" w:rsidP="003B611A">
            <w:pPr>
              <w:rPr>
                <w:rFonts w:cs="Arial"/>
                <w:sz w:val="20"/>
                <w:szCs w:val="20"/>
                <w:lang w:eastAsia="en-AU"/>
              </w:rPr>
            </w:pPr>
            <w:r w:rsidRPr="005176BD">
              <w:rPr>
                <w:rFonts w:cs="Arial"/>
                <w:sz w:val="20"/>
                <w:szCs w:val="20"/>
                <w:lang w:eastAsia="en-AU"/>
              </w:rPr>
              <w:t>Do women grow out of risky drinking? A prospective study of three cohorts of Australian women. Drug Alcohol Rev</w:t>
            </w:r>
            <w:r w:rsidR="00E1526F" w:rsidRPr="005176BD">
              <w:rPr>
                <w:rFonts w:cs="Arial"/>
                <w:sz w:val="20"/>
                <w:szCs w:val="20"/>
                <w:lang w:eastAsia="en-AU"/>
              </w:rPr>
              <w:t>iew</w:t>
            </w:r>
            <w:r w:rsidRPr="005176BD">
              <w:rPr>
                <w:rFonts w:cs="Arial"/>
                <w:sz w:val="20"/>
                <w:szCs w:val="20"/>
                <w:lang w:eastAsia="en-AU"/>
              </w:rPr>
              <w:t>, 2015</w:t>
            </w:r>
            <w:r w:rsidR="00E1526F" w:rsidRPr="005176BD">
              <w:rPr>
                <w:rFonts w:cs="Arial"/>
                <w:sz w:val="20"/>
                <w:szCs w:val="20"/>
                <w:lang w:eastAsia="en-AU"/>
              </w:rPr>
              <w:t>;</w:t>
            </w:r>
            <w:r w:rsidRPr="005176BD">
              <w:rPr>
                <w:rFonts w:cs="Arial"/>
                <w:sz w:val="20"/>
                <w:szCs w:val="20"/>
                <w:lang w:eastAsia="en-AU"/>
              </w:rPr>
              <w:t xml:space="preserve"> 34(3)</w:t>
            </w:r>
            <w:r w:rsidR="00E1526F" w:rsidRPr="005176BD">
              <w:rPr>
                <w:rFonts w:cs="Arial"/>
                <w:sz w:val="20"/>
                <w:szCs w:val="20"/>
                <w:lang w:eastAsia="en-AU"/>
              </w:rPr>
              <w:t xml:space="preserve">: </w:t>
            </w:r>
            <w:r w:rsidRPr="005176BD">
              <w:rPr>
                <w:rFonts w:cs="Arial"/>
                <w:sz w:val="20"/>
                <w:szCs w:val="20"/>
                <w:lang w:eastAsia="en-AU"/>
              </w:rPr>
              <w:t>278-288</w:t>
            </w:r>
            <w:r w:rsidR="00E1526F" w:rsidRPr="005176BD">
              <w:rPr>
                <w:rFonts w:cs="Arial"/>
                <w:sz w:val="20"/>
                <w:szCs w:val="20"/>
                <w:lang w:eastAsia="en-AU"/>
              </w:rPr>
              <w:t>.</w:t>
            </w:r>
          </w:p>
        </w:tc>
        <w:tc>
          <w:tcPr>
            <w:tcW w:w="4280" w:type="dxa"/>
          </w:tcPr>
          <w:p w14:paraId="61227340" w14:textId="77777777" w:rsidR="00084B2B" w:rsidRPr="005176BD" w:rsidRDefault="00084B2B" w:rsidP="003B611A">
            <w:pPr>
              <w:rPr>
                <w:rFonts w:cs="Arial"/>
                <w:sz w:val="20"/>
                <w:szCs w:val="20"/>
                <w:lang w:eastAsia="en-AU"/>
              </w:rPr>
            </w:pPr>
            <w:r w:rsidRPr="005176BD">
              <w:rPr>
                <w:rFonts w:cs="Arial"/>
                <w:sz w:val="20"/>
                <w:szCs w:val="20"/>
                <w:lang w:eastAsia="en-AU"/>
              </w:rPr>
              <w:t>Powers JR, Anderson AE, Byles JE, Mishra G &amp; Loxton D.</w:t>
            </w:r>
          </w:p>
        </w:tc>
        <w:tc>
          <w:tcPr>
            <w:tcW w:w="455" w:type="dxa"/>
          </w:tcPr>
          <w:p w14:paraId="01AC55C4" w14:textId="77777777" w:rsidR="00084B2B" w:rsidRPr="005176BD" w:rsidRDefault="00084B2B" w:rsidP="003B611A">
            <w:pPr>
              <w:rPr>
                <w:rFonts w:cs="Arial"/>
                <w:sz w:val="20"/>
                <w:szCs w:val="20"/>
                <w:lang w:eastAsia="en-AU"/>
              </w:rPr>
            </w:pPr>
            <w:r w:rsidRPr="005176BD">
              <w:rPr>
                <w:rFonts w:cs="Arial"/>
                <w:sz w:val="20"/>
                <w:szCs w:val="20"/>
                <w:lang w:eastAsia="en-AU"/>
              </w:rPr>
              <w:t>8</w:t>
            </w:r>
          </w:p>
        </w:tc>
      </w:tr>
      <w:tr w:rsidR="00084B2B" w:rsidRPr="00084B2B" w14:paraId="6BA31BBC"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13C79DE9" w14:textId="72B2372B" w:rsidR="00084B2B" w:rsidRPr="005176BD" w:rsidRDefault="00084B2B" w:rsidP="003B611A">
            <w:pPr>
              <w:rPr>
                <w:rFonts w:cs="Arial"/>
                <w:sz w:val="20"/>
                <w:szCs w:val="20"/>
                <w:lang w:eastAsia="en-AU"/>
              </w:rPr>
            </w:pPr>
            <w:r w:rsidRPr="005176BD">
              <w:rPr>
                <w:rFonts w:cs="Arial"/>
                <w:sz w:val="20"/>
                <w:szCs w:val="20"/>
                <w:lang w:eastAsia="en-AU"/>
              </w:rPr>
              <w:t>The identification of diabetes, heart disease, hypertension and stroke</w:t>
            </w:r>
            <w:r w:rsidR="0001154E" w:rsidRPr="005176BD">
              <w:rPr>
                <w:rFonts w:cs="Arial"/>
                <w:sz w:val="20"/>
                <w:szCs w:val="20"/>
                <w:lang w:eastAsia="en-AU"/>
              </w:rPr>
              <w:t xml:space="preserve"> in mid- and older-aged women: C</w:t>
            </w:r>
            <w:r w:rsidRPr="005176BD">
              <w:rPr>
                <w:rFonts w:cs="Arial"/>
                <w:sz w:val="20"/>
                <w:szCs w:val="20"/>
                <w:lang w:eastAsia="en-AU"/>
              </w:rPr>
              <w:t>omparing self-report and administrative hospital data records. Geriatrics &amp; Gerontology International, 2016</w:t>
            </w:r>
            <w:r w:rsidR="00E1526F" w:rsidRPr="005176BD">
              <w:rPr>
                <w:rFonts w:cs="Arial"/>
                <w:sz w:val="20"/>
                <w:szCs w:val="20"/>
                <w:lang w:eastAsia="en-AU"/>
              </w:rPr>
              <w:t xml:space="preserve">; </w:t>
            </w:r>
            <w:r w:rsidRPr="005176BD">
              <w:rPr>
                <w:rFonts w:cs="Arial"/>
                <w:sz w:val="20"/>
                <w:szCs w:val="20"/>
                <w:lang w:eastAsia="en-AU"/>
              </w:rPr>
              <w:t>16(1)</w:t>
            </w:r>
            <w:r w:rsidR="00E1526F" w:rsidRPr="005176BD">
              <w:rPr>
                <w:rFonts w:cs="Arial"/>
                <w:sz w:val="20"/>
                <w:szCs w:val="20"/>
                <w:lang w:eastAsia="en-AU"/>
              </w:rPr>
              <w:t xml:space="preserve">: </w:t>
            </w:r>
            <w:r w:rsidRPr="005176BD">
              <w:rPr>
                <w:rFonts w:cs="Arial"/>
                <w:sz w:val="20"/>
                <w:szCs w:val="20"/>
                <w:lang w:eastAsia="en-AU"/>
              </w:rPr>
              <w:t>95-102</w:t>
            </w:r>
            <w:r w:rsidR="00E1526F" w:rsidRPr="005176BD">
              <w:rPr>
                <w:rFonts w:cs="Arial"/>
                <w:sz w:val="20"/>
                <w:szCs w:val="20"/>
                <w:lang w:eastAsia="en-AU"/>
              </w:rPr>
              <w:t>.</w:t>
            </w:r>
          </w:p>
        </w:tc>
        <w:tc>
          <w:tcPr>
            <w:tcW w:w="4280" w:type="dxa"/>
          </w:tcPr>
          <w:p w14:paraId="6C01A41F"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Navin</w:t>
            </w:r>
            <w:proofErr w:type="spellEnd"/>
            <w:r w:rsidRPr="005176BD">
              <w:rPr>
                <w:rFonts w:cs="Arial"/>
                <w:sz w:val="20"/>
                <w:szCs w:val="20"/>
                <w:lang w:eastAsia="en-AU"/>
              </w:rPr>
              <w:t xml:space="preserve"> TJ, Stewart-Williams J, Parkinson L, Sibbritt D &amp; Byles JE.</w:t>
            </w:r>
          </w:p>
        </w:tc>
        <w:tc>
          <w:tcPr>
            <w:tcW w:w="455" w:type="dxa"/>
          </w:tcPr>
          <w:p w14:paraId="1602271C" w14:textId="77777777" w:rsidR="00084B2B" w:rsidRPr="005176BD" w:rsidRDefault="00084B2B" w:rsidP="003B611A">
            <w:pPr>
              <w:rPr>
                <w:rFonts w:cs="Arial"/>
                <w:sz w:val="20"/>
                <w:szCs w:val="20"/>
                <w:lang w:eastAsia="en-AU"/>
              </w:rPr>
            </w:pPr>
            <w:r w:rsidRPr="005176BD">
              <w:rPr>
                <w:rFonts w:cs="Arial"/>
                <w:sz w:val="20"/>
                <w:szCs w:val="20"/>
                <w:lang w:eastAsia="en-AU"/>
              </w:rPr>
              <w:t>18</w:t>
            </w:r>
          </w:p>
        </w:tc>
      </w:tr>
      <w:tr w:rsidR="00084B2B" w:rsidRPr="00084B2B" w14:paraId="4573E67C"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6B6BEED6" w14:textId="2B88503D" w:rsidR="00084B2B" w:rsidRPr="005176BD" w:rsidRDefault="00084B2B" w:rsidP="003B611A">
            <w:pPr>
              <w:rPr>
                <w:rFonts w:cs="Arial"/>
                <w:sz w:val="20"/>
                <w:szCs w:val="20"/>
                <w:lang w:eastAsia="en-AU"/>
              </w:rPr>
            </w:pPr>
            <w:r w:rsidRPr="005176BD">
              <w:rPr>
                <w:rFonts w:cs="Arial"/>
                <w:sz w:val="20"/>
                <w:szCs w:val="20"/>
                <w:lang w:eastAsia="en-AU"/>
              </w:rPr>
              <w:t xml:space="preserve">Moderate agreement between self-reported stroke and hospital-recorded stroke in two cohorts of Australian women: </w:t>
            </w:r>
            <w:r w:rsidR="00E1526F" w:rsidRPr="005176BD">
              <w:rPr>
                <w:rFonts w:cs="Arial"/>
                <w:sz w:val="20"/>
                <w:szCs w:val="20"/>
                <w:lang w:eastAsia="en-AU"/>
              </w:rPr>
              <w:t>A</w:t>
            </w:r>
            <w:r w:rsidRPr="005176BD">
              <w:rPr>
                <w:rFonts w:cs="Arial"/>
                <w:sz w:val="20"/>
                <w:szCs w:val="20"/>
                <w:lang w:eastAsia="en-AU"/>
              </w:rPr>
              <w:t xml:space="preserve"> validation study. BMC Medical Methodology Research, 2015</w:t>
            </w:r>
            <w:r w:rsidR="00E1526F" w:rsidRPr="005176BD">
              <w:rPr>
                <w:rFonts w:cs="Arial"/>
                <w:sz w:val="20"/>
                <w:szCs w:val="20"/>
                <w:lang w:eastAsia="en-AU"/>
              </w:rPr>
              <w:t xml:space="preserve">; </w:t>
            </w:r>
            <w:r w:rsidRPr="005176BD">
              <w:rPr>
                <w:rFonts w:cs="Arial"/>
                <w:sz w:val="20"/>
                <w:szCs w:val="20"/>
                <w:lang w:eastAsia="en-AU"/>
              </w:rPr>
              <w:t>15(7)</w:t>
            </w:r>
            <w:r w:rsidR="00E1526F" w:rsidRPr="005176BD">
              <w:rPr>
                <w:rFonts w:cs="Arial"/>
                <w:sz w:val="20"/>
                <w:szCs w:val="20"/>
                <w:lang w:eastAsia="en-AU"/>
              </w:rPr>
              <w:t xml:space="preserve">: </w:t>
            </w:r>
            <w:r w:rsidRPr="005176BD">
              <w:rPr>
                <w:rFonts w:cs="Arial"/>
                <w:sz w:val="20"/>
                <w:szCs w:val="20"/>
                <w:lang w:eastAsia="en-AU"/>
              </w:rPr>
              <w:t>1-10</w:t>
            </w:r>
            <w:r w:rsidR="00E1526F" w:rsidRPr="005176BD">
              <w:rPr>
                <w:rFonts w:cs="Arial"/>
                <w:sz w:val="20"/>
                <w:szCs w:val="20"/>
                <w:lang w:eastAsia="en-AU"/>
              </w:rPr>
              <w:t>.</w:t>
            </w:r>
          </w:p>
        </w:tc>
        <w:tc>
          <w:tcPr>
            <w:tcW w:w="4280" w:type="dxa"/>
          </w:tcPr>
          <w:p w14:paraId="26B6652E" w14:textId="77777777" w:rsidR="00084B2B" w:rsidRPr="005176BD" w:rsidRDefault="00084B2B" w:rsidP="003B611A">
            <w:pPr>
              <w:rPr>
                <w:rFonts w:cs="Arial"/>
                <w:sz w:val="20"/>
                <w:szCs w:val="20"/>
                <w:lang w:eastAsia="en-AU"/>
              </w:rPr>
            </w:pPr>
            <w:r w:rsidRPr="005176BD">
              <w:rPr>
                <w:rFonts w:cs="Arial"/>
                <w:sz w:val="20"/>
                <w:szCs w:val="20"/>
                <w:lang w:eastAsia="en-AU"/>
              </w:rPr>
              <w:t>Jackson CA, Mishra G, Byles J, Tooth L, Dobson A.</w:t>
            </w:r>
          </w:p>
        </w:tc>
        <w:tc>
          <w:tcPr>
            <w:tcW w:w="455" w:type="dxa"/>
          </w:tcPr>
          <w:p w14:paraId="3E545CAB"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6D9EEA1D"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0A5DFF23" w14:textId="277B0BC1" w:rsidR="00084B2B" w:rsidRPr="005176BD" w:rsidRDefault="00084B2B" w:rsidP="003B611A">
            <w:pPr>
              <w:rPr>
                <w:rFonts w:cs="Arial"/>
                <w:sz w:val="20"/>
                <w:szCs w:val="20"/>
                <w:lang w:eastAsia="en-AU"/>
              </w:rPr>
            </w:pPr>
            <w:r w:rsidRPr="005176BD">
              <w:rPr>
                <w:rFonts w:cs="Arial"/>
                <w:sz w:val="20"/>
                <w:szCs w:val="20"/>
                <w:lang w:eastAsia="en-AU"/>
              </w:rPr>
              <w:t>Comparison of anthropometric measures as predictors of cancer incidence: A pooled collaborative analysis of 11 Australian cohorts. International Journal of Cancer, 2015</w:t>
            </w:r>
            <w:r w:rsidR="00E1526F" w:rsidRPr="005176BD">
              <w:rPr>
                <w:rFonts w:cs="Arial"/>
                <w:sz w:val="20"/>
                <w:szCs w:val="20"/>
                <w:lang w:eastAsia="en-AU"/>
              </w:rPr>
              <w:t>; 137(7): 1699-1708.</w:t>
            </w:r>
            <w:r w:rsidRPr="005176BD">
              <w:rPr>
                <w:rFonts w:cs="Arial"/>
                <w:sz w:val="20"/>
                <w:szCs w:val="20"/>
                <w:lang w:eastAsia="en-AU"/>
              </w:rPr>
              <w:t xml:space="preserve"> </w:t>
            </w:r>
          </w:p>
        </w:tc>
        <w:tc>
          <w:tcPr>
            <w:tcW w:w="4280" w:type="dxa"/>
          </w:tcPr>
          <w:p w14:paraId="53119E42" w14:textId="367EAB8D" w:rsidR="00084B2B" w:rsidRPr="005176BD" w:rsidRDefault="00084B2B" w:rsidP="003B611A">
            <w:pPr>
              <w:rPr>
                <w:rFonts w:cs="Arial"/>
                <w:sz w:val="20"/>
                <w:szCs w:val="20"/>
                <w:lang w:eastAsia="en-AU"/>
              </w:rPr>
            </w:pPr>
            <w:r w:rsidRPr="005176BD">
              <w:rPr>
                <w:rFonts w:cs="Arial"/>
                <w:sz w:val="20"/>
                <w:szCs w:val="20"/>
                <w:lang w:eastAsia="en-AU"/>
              </w:rPr>
              <w:t xml:space="preserve">Harding J, Shaw, J, Anstey K, Adams R, </w:t>
            </w:r>
            <w:proofErr w:type="spellStart"/>
            <w:r w:rsidRPr="005176BD">
              <w:rPr>
                <w:rFonts w:cs="Arial"/>
                <w:sz w:val="20"/>
                <w:szCs w:val="20"/>
                <w:lang w:eastAsia="en-AU"/>
              </w:rPr>
              <w:t>Balkau</w:t>
            </w:r>
            <w:proofErr w:type="spellEnd"/>
            <w:r w:rsidRPr="005176BD">
              <w:rPr>
                <w:rFonts w:cs="Arial"/>
                <w:sz w:val="20"/>
                <w:szCs w:val="20"/>
                <w:lang w:eastAsia="en-AU"/>
              </w:rPr>
              <w:t xml:space="preserve"> B, Brennan-Olsen, </w:t>
            </w:r>
            <w:proofErr w:type="spellStart"/>
            <w:r w:rsidR="00E1526F" w:rsidRPr="005176BD">
              <w:rPr>
                <w:rFonts w:cs="Arial"/>
                <w:sz w:val="20"/>
                <w:szCs w:val="20"/>
                <w:lang w:eastAsia="en-AU"/>
              </w:rPr>
              <w:t>Briffa</w:t>
            </w:r>
            <w:proofErr w:type="spellEnd"/>
            <w:r w:rsidR="00E1526F" w:rsidRPr="005176BD">
              <w:rPr>
                <w:rFonts w:cs="Arial"/>
                <w:sz w:val="20"/>
                <w:szCs w:val="20"/>
                <w:lang w:eastAsia="en-AU"/>
              </w:rPr>
              <w:t xml:space="preserve"> T, Davis TM, Davis WA, Dobson A, Flicker L, Giles G, Grant J, Huxley R, </w:t>
            </w:r>
            <w:proofErr w:type="spellStart"/>
            <w:r w:rsidR="00E1526F" w:rsidRPr="005176BD">
              <w:rPr>
                <w:rFonts w:cs="Arial"/>
                <w:sz w:val="20"/>
                <w:szCs w:val="20"/>
                <w:lang w:eastAsia="en-AU"/>
              </w:rPr>
              <w:t>Knuiman</w:t>
            </w:r>
            <w:proofErr w:type="spellEnd"/>
            <w:r w:rsidR="00E1526F" w:rsidRPr="005176BD">
              <w:rPr>
                <w:rFonts w:cs="Arial"/>
                <w:sz w:val="20"/>
                <w:szCs w:val="20"/>
                <w:lang w:eastAsia="en-AU"/>
              </w:rPr>
              <w:t xml:space="preserve"> M, </w:t>
            </w:r>
            <w:proofErr w:type="spellStart"/>
            <w:r w:rsidR="00E1526F" w:rsidRPr="005176BD">
              <w:rPr>
                <w:rFonts w:cs="Arial"/>
                <w:sz w:val="20"/>
                <w:szCs w:val="20"/>
                <w:lang w:eastAsia="en-AU"/>
              </w:rPr>
              <w:t>Luszcz</w:t>
            </w:r>
            <w:proofErr w:type="spellEnd"/>
            <w:r w:rsidR="00E1526F" w:rsidRPr="005176BD">
              <w:rPr>
                <w:rFonts w:cs="Arial"/>
                <w:sz w:val="20"/>
                <w:szCs w:val="20"/>
                <w:lang w:eastAsia="en-AU"/>
              </w:rPr>
              <w:t xml:space="preserve"> M, </w:t>
            </w:r>
            <w:proofErr w:type="spellStart"/>
            <w:r w:rsidR="00E1526F" w:rsidRPr="005176BD">
              <w:rPr>
                <w:rFonts w:cs="Arial"/>
                <w:sz w:val="20"/>
                <w:szCs w:val="20"/>
                <w:lang w:eastAsia="en-AU"/>
              </w:rPr>
              <w:t>MacInnis</w:t>
            </w:r>
            <w:proofErr w:type="spellEnd"/>
            <w:r w:rsidR="00E1526F" w:rsidRPr="005176BD">
              <w:rPr>
                <w:rFonts w:cs="Arial"/>
                <w:sz w:val="20"/>
                <w:szCs w:val="20"/>
                <w:lang w:eastAsia="en-AU"/>
              </w:rPr>
              <w:t xml:space="preserve"> RJ, Mitchell P, Pasco JA, Reid C, Simmons D, Simons L, Tonkin A, Woodward M, Peeters A &amp; </w:t>
            </w:r>
            <w:proofErr w:type="spellStart"/>
            <w:r w:rsidR="00E1526F" w:rsidRPr="005176BD">
              <w:rPr>
                <w:rFonts w:cs="Arial"/>
                <w:sz w:val="20"/>
                <w:szCs w:val="20"/>
                <w:lang w:eastAsia="en-AU"/>
              </w:rPr>
              <w:t>Magliano</w:t>
            </w:r>
            <w:proofErr w:type="spellEnd"/>
            <w:r w:rsidR="00E1526F" w:rsidRPr="005176BD">
              <w:rPr>
                <w:rFonts w:cs="Arial"/>
                <w:sz w:val="20"/>
                <w:szCs w:val="20"/>
                <w:lang w:eastAsia="en-AU"/>
              </w:rPr>
              <w:t xml:space="preserve"> D.</w:t>
            </w:r>
          </w:p>
        </w:tc>
        <w:tc>
          <w:tcPr>
            <w:tcW w:w="455" w:type="dxa"/>
          </w:tcPr>
          <w:p w14:paraId="65F11AD2" w14:textId="77777777" w:rsidR="00084B2B" w:rsidRPr="005176BD" w:rsidRDefault="00084B2B" w:rsidP="003B611A">
            <w:pPr>
              <w:rPr>
                <w:rFonts w:cs="Arial"/>
                <w:sz w:val="20"/>
                <w:szCs w:val="20"/>
                <w:lang w:eastAsia="en-AU"/>
              </w:rPr>
            </w:pPr>
            <w:r w:rsidRPr="005176BD">
              <w:rPr>
                <w:rFonts w:cs="Arial"/>
                <w:sz w:val="20"/>
                <w:szCs w:val="20"/>
                <w:lang w:eastAsia="en-AU"/>
              </w:rPr>
              <w:t>16</w:t>
            </w:r>
          </w:p>
        </w:tc>
      </w:tr>
      <w:tr w:rsidR="00BE49A1" w:rsidRPr="00A04D4E" w14:paraId="3666FE8D" w14:textId="77777777" w:rsidTr="0011030B">
        <w:trPr>
          <w:trHeight w:val="441"/>
        </w:trPr>
        <w:tc>
          <w:tcPr>
            <w:tcW w:w="9120" w:type="dxa"/>
          </w:tcPr>
          <w:p w14:paraId="2A5B54BD" w14:textId="57937FA0" w:rsidR="00BE49A1" w:rsidRPr="005176BD" w:rsidRDefault="00BE49A1" w:rsidP="003B611A">
            <w:pPr>
              <w:rPr>
                <w:rFonts w:cs="Arial"/>
                <w:sz w:val="20"/>
                <w:szCs w:val="20"/>
                <w:lang w:eastAsia="en-AU"/>
              </w:rPr>
            </w:pPr>
            <w:r w:rsidRPr="005176BD">
              <w:rPr>
                <w:rFonts w:cs="Arial"/>
                <w:sz w:val="20"/>
                <w:szCs w:val="20"/>
                <w:lang w:eastAsia="en-AU"/>
              </w:rPr>
              <w:t>Weight gain, overweight, and obesity: Determinants and health outcomes from the Australian Longitudinal Study on Women’s Health. Current Obesity Reports; 2014</w:t>
            </w:r>
            <w:r w:rsidR="00E1526F" w:rsidRPr="005176BD">
              <w:rPr>
                <w:rFonts w:cs="Arial"/>
                <w:sz w:val="20"/>
                <w:szCs w:val="20"/>
                <w:lang w:eastAsia="en-AU"/>
              </w:rPr>
              <w:t xml:space="preserve">; </w:t>
            </w:r>
            <w:r w:rsidRPr="005176BD">
              <w:rPr>
                <w:rFonts w:cs="Arial"/>
                <w:sz w:val="20"/>
                <w:szCs w:val="20"/>
                <w:lang w:eastAsia="en-AU"/>
              </w:rPr>
              <w:t>3(1</w:t>
            </w:r>
            <w:r w:rsidR="00E1526F" w:rsidRPr="005176BD">
              <w:rPr>
                <w:rFonts w:cs="Arial"/>
                <w:sz w:val="20"/>
                <w:szCs w:val="20"/>
                <w:lang w:eastAsia="en-AU"/>
              </w:rPr>
              <w:t>:</w:t>
            </w:r>
            <w:r w:rsidRPr="005176BD">
              <w:rPr>
                <w:rFonts w:cs="Arial"/>
                <w:sz w:val="20"/>
                <w:szCs w:val="20"/>
                <w:lang w:eastAsia="en-AU"/>
              </w:rPr>
              <w:t xml:space="preserve"> 46-53</w:t>
            </w:r>
            <w:r w:rsidR="00E1526F" w:rsidRPr="005176BD">
              <w:rPr>
                <w:rFonts w:cs="Arial"/>
                <w:sz w:val="20"/>
                <w:szCs w:val="20"/>
                <w:lang w:eastAsia="en-AU"/>
              </w:rPr>
              <w:t>.</w:t>
            </w:r>
          </w:p>
        </w:tc>
        <w:tc>
          <w:tcPr>
            <w:tcW w:w="4280" w:type="dxa"/>
          </w:tcPr>
          <w:p w14:paraId="0CCE9707" w14:textId="77777777" w:rsidR="00BE49A1" w:rsidRPr="005176BD" w:rsidRDefault="00BE49A1" w:rsidP="003B611A">
            <w:pPr>
              <w:rPr>
                <w:rFonts w:cs="Arial"/>
                <w:sz w:val="20"/>
                <w:szCs w:val="20"/>
                <w:lang w:eastAsia="en-AU"/>
              </w:rPr>
            </w:pPr>
            <w:proofErr w:type="spellStart"/>
            <w:r w:rsidRPr="005176BD">
              <w:rPr>
                <w:rFonts w:cs="Arial"/>
                <w:sz w:val="20"/>
                <w:szCs w:val="20"/>
                <w:lang w:eastAsia="en-AU"/>
              </w:rPr>
              <w:t>Gomersall</w:t>
            </w:r>
            <w:proofErr w:type="spellEnd"/>
            <w:r w:rsidRPr="005176BD">
              <w:rPr>
                <w:rFonts w:cs="Arial"/>
                <w:sz w:val="20"/>
                <w:szCs w:val="20"/>
                <w:lang w:eastAsia="en-AU"/>
              </w:rPr>
              <w:t xml:space="preserve"> S, Dobson A &amp; Brown W</w:t>
            </w:r>
          </w:p>
        </w:tc>
        <w:tc>
          <w:tcPr>
            <w:tcW w:w="455" w:type="dxa"/>
          </w:tcPr>
          <w:p w14:paraId="6C849C24" w14:textId="77777777" w:rsidR="00BE49A1" w:rsidRPr="005176BD" w:rsidRDefault="00BE49A1" w:rsidP="003B611A">
            <w:pPr>
              <w:rPr>
                <w:rFonts w:cs="Arial"/>
                <w:sz w:val="20"/>
                <w:szCs w:val="20"/>
                <w:lang w:eastAsia="en-AU"/>
              </w:rPr>
            </w:pPr>
            <w:r w:rsidRPr="005176BD">
              <w:rPr>
                <w:rFonts w:cs="Arial"/>
                <w:sz w:val="20"/>
                <w:szCs w:val="20"/>
                <w:lang w:eastAsia="en-AU"/>
              </w:rPr>
              <w:t>16</w:t>
            </w:r>
          </w:p>
        </w:tc>
      </w:tr>
      <w:tr w:rsidR="00084B2B" w:rsidRPr="00084B2B" w14:paraId="3B4CA69C"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04885619" w14:textId="5BC8E19C" w:rsidR="00084B2B" w:rsidRPr="005176BD" w:rsidRDefault="00084B2B" w:rsidP="003B611A">
            <w:pPr>
              <w:rPr>
                <w:rFonts w:cs="Arial"/>
                <w:sz w:val="20"/>
                <w:szCs w:val="20"/>
                <w:lang w:eastAsia="en-AU"/>
              </w:rPr>
            </w:pPr>
            <w:r w:rsidRPr="005176BD">
              <w:rPr>
                <w:rFonts w:cs="Arial"/>
                <w:sz w:val="20"/>
                <w:szCs w:val="20"/>
                <w:lang w:eastAsia="en-AU"/>
              </w:rPr>
              <w:t>The relationship between incontinence, breathing disorders, gastrointestinal symptoms, and back pain in women: A longitudinal cohort study. Clinical Journal of Pain, 2014</w:t>
            </w:r>
            <w:r w:rsidR="00E1526F" w:rsidRPr="005176BD">
              <w:rPr>
                <w:rFonts w:cs="Arial"/>
                <w:sz w:val="20"/>
                <w:szCs w:val="20"/>
                <w:lang w:eastAsia="en-AU"/>
              </w:rPr>
              <w:t xml:space="preserve">; </w:t>
            </w:r>
            <w:r w:rsidRPr="005176BD">
              <w:rPr>
                <w:rFonts w:cs="Arial"/>
                <w:sz w:val="20"/>
                <w:szCs w:val="20"/>
                <w:lang w:eastAsia="en-AU"/>
              </w:rPr>
              <w:t>30(2)</w:t>
            </w:r>
            <w:r w:rsidR="00E1526F" w:rsidRPr="005176BD">
              <w:rPr>
                <w:rFonts w:cs="Arial"/>
                <w:sz w:val="20"/>
                <w:szCs w:val="20"/>
                <w:lang w:eastAsia="en-AU"/>
              </w:rPr>
              <w:t xml:space="preserve">: </w:t>
            </w:r>
            <w:r w:rsidRPr="005176BD">
              <w:rPr>
                <w:rFonts w:cs="Arial"/>
                <w:sz w:val="20"/>
                <w:szCs w:val="20"/>
                <w:lang w:eastAsia="en-AU"/>
              </w:rPr>
              <w:t>162-167</w:t>
            </w:r>
            <w:r w:rsidR="00E1526F" w:rsidRPr="005176BD">
              <w:rPr>
                <w:rFonts w:cs="Arial"/>
                <w:sz w:val="20"/>
                <w:szCs w:val="20"/>
                <w:lang w:eastAsia="en-AU"/>
              </w:rPr>
              <w:t>.</w:t>
            </w:r>
          </w:p>
        </w:tc>
        <w:tc>
          <w:tcPr>
            <w:tcW w:w="4280" w:type="dxa"/>
          </w:tcPr>
          <w:p w14:paraId="7D5B9E6C" w14:textId="5E434B47" w:rsidR="00084B2B" w:rsidRPr="005176BD" w:rsidRDefault="00084B2B" w:rsidP="003B611A">
            <w:pPr>
              <w:rPr>
                <w:rFonts w:cs="Arial"/>
                <w:sz w:val="20"/>
                <w:szCs w:val="20"/>
                <w:lang w:eastAsia="en-AU"/>
              </w:rPr>
            </w:pPr>
            <w:r w:rsidRPr="005176BD">
              <w:rPr>
                <w:rFonts w:cs="Arial"/>
                <w:sz w:val="20"/>
                <w:szCs w:val="20"/>
                <w:lang w:eastAsia="en-AU"/>
              </w:rPr>
              <w:t>Smith M D,</w:t>
            </w:r>
            <w:r w:rsidR="00CE641C" w:rsidRPr="005176BD">
              <w:rPr>
                <w:rFonts w:cs="Arial"/>
                <w:sz w:val="20"/>
                <w:szCs w:val="20"/>
                <w:lang w:eastAsia="en-AU"/>
              </w:rPr>
              <w:t xml:space="preserve"> </w:t>
            </w:r>
            <w:r w:rsidRPr="005176BD">
              <w:rPr>
                <w:rFonts w:cs="Arial"/>
                <w:sz w:val="20"/>
                <w:szCs w:val="20"/>
                <w:lang w:eastAsia="en-AU"/>
              </w:rPr>
              <w:t>Russell A Hodges P.</w:t>
            </w:r>
          </w:p>
        </w:tc>
        <w:tc>
          <w:tcPr>
            <w:tcW w:w="455" w:type="dxa"/>
          </w:tcPr>
          <w:p w14:paraId="3ED98EEB" w14:textId="77777777" w:rsidR="00084B2B" w:rsidRPr="005176BD" w:rsidRDefault="00084B2B" w:rsidP="003B611A">
            <w:pPr>
              <w:rPr>
                <w:rFonts w:cs="Arial"/>
                <w:sz w:val="20"/>
                <w:szCs w:val="20"/>
                <w:lang w:eastAsia="en-AU"/>
              </w:rPr>
            </w:pPr>
            <w:r w:rsidRPr="005176BD">
              <w:rPr>
                <w:rFonts w:cs="Arial"/>
                <w:sz w:val="20"/>
                <w:szCs w:val="20"/>
                <w:lang w:eastAsia="en-AU"/>
              </w:rPr>
              <w:t>20</w:t>
            </w:r>
          </w:p>
        </w:tc>
      </w:tr>
      <w:tr w:rsidR="00084B2B" w:rsidRPr="00084B2B" w14:paraId="3DE8D0D5"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06A09554" w14:textId="6BC23469" w:rsidR="00084B2B" w:rsidRPr="005176BD" w:rsidRDefault="00084B2B" w:rsidP="003B611A">
            <w:pPr>
              <w:rPr>
                <w:rFonts w:cs="Arial"/>
                <w:sz w:val="20"/>
                <w:szCs w:val="20"/>
                <w:lang w:eastAsia="en-AU"/>
              </w:rPr>
            </w:pPr>
            <w:r w:rsidRPr="005176BD">
              <w:rPr>
                <w:rFonts w:cs="Arial"/>
                <w:sz w:val="20"/>
                <w:szCs w:val="20"/>
                <w:lang w:eastAsia="en-AU"/>
              </w:rPr>
              <w:t>Environmental correlates of mental health measures for women in Western Australia. Eco Health, 2014</w:t>
            </w:r>
            <w:r w:rsidR="00E1526F" w:rsidRPr="005176BD">
              <w:rPr>
                <w:rFonts w:cs="Arial"/>
                <w:sz w:val="20"/>
                <w:szCs w:val="20"/>
                <w:lang w:eastAsia="en-AU"/>
              </w:rPr>
              <w:t>;</w:t>
            </w:r>
            <w:r w:rsidRPr="005176BD">
              <w:rPr>
                <w:rFonts w:cs="Arial"/>
                <w:sz w:val="20"/>
                <w:szCs w:val="20"/>
                <w:lang w:eastAsia="en-AU"/>
              </w:rPr>
              <w:t xml:space="preserve"> 11(4</w:t>
            </w:r>
            <w:r w:rsidR="00E1526F" w:rsidRPr="005176BD">
              <w:rPr>
                <w:rFonts w:cs="Arial"/>
                <w:sz w:val="20"/>
                <w:szCs w:val="20"/>
                <w:lang w:eastAsia="en-AU"/>
              </w:rPr>
              <w:t xml:space="preserve">): </w:t>
            </w:r>
            <w:r w:rsidRPr="005176BD">
              <w:rPr>
                <w:rFonts w:cs="Arial"/>
                <w:sz w:val="20"/>
                <w:szCs w:val="20"/>
                <w:lang w:eastAsia="en-AU"/>
              </w:rPr>
              <w:t>502-511</w:t>
            </w:r>
            <w:r w:rsidR="00E1526F" w:rsidRPr="005176BD">
              <w:rPr>
                <w:rFonts w:cs="Arial"/>
                <w:sz w:val="20"/>
                <w:szCs w:val="20"/>
                <w:lang w:eastAsia="en-AU"/>
              </w:rPr>
              <w:t>.</w:t>
            </w:r>
          </w:p>
        </w:tc>
        <w:tc>
          <w:tcPr>
            <w:tcW w:w="4280" w:type="dxa"/>
          </w:tcPr>
          <w:p w14:paraId="598D6525"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Fearnley</w:t>
            </w:r>
            <w:proofErr w:type="spellEnd"/>
            <w:r w:rsidRPr="005176BD">
              <w:rPr>
                <w:rFonts w:cs="Arial"/>
                <w:sz w:val="20"/>
                <w:szCs w:val="20"/>
                <w:lang w:eastAsia="en-AU"/>
              </w:rPr>
              <w:t xml:space="preserve"> E, </w:t>
            </w:r>
            <w:proofErr w:type="spellStart"/>
            <w:r w:rsidRPr="005176BD">
              <w:rPr>
                <w:rFonts w:cs="Arial"/>
                <w:sz w:val="20"/>
                <w:szCs w:val="20"/>
                <w:lang w:eastAsia="en-AU"/>
              </w:rPr>
              <w:t>Soares</w:t>
            </w:r>
            <w:proofErr w:type="spellEnd"/>
            <w:r w:rsidRPr="005176BD">
              <w:rPr>
                <w:rFonts w:cs="Arial"/>
                <w:sz w:val="20"/>
                <w:szCs w:val="20"/>
                <w:lang w:eastAsia="en-AU"/>
              </w:rPr>
              <w:t xml:space="preserve"> </w:t>
            </w:r>
            <w:proofErr w:type="spellStart"/>
            <w:r w:rsidRPr="005176BD">
              <w:rPr>
                <w:rFonts w:cs="Arial"/>
                <w:sz w:val="20"/>
                <w:szCs w:val="20"/>
                <w:lang w:eastAsia="en-AU"/>
              </w:rPr>
              <w:t>Magalhaes</w:t>
            </w:r>
            <w:proofErr w:type="spellEnd"/>
            <w:r w:rsidRPr="005176BD">
              <w:rPr>
                <w:rFonts w:cs="Arial"/>
                <w:sz w:val="20"/>
                <w:szCs w:val="20"/>
                <w:lang w:eastAsia="en-AU"/>
              </w:rPr>
              <w:t xml:space="preserve"> R, </w:t>
            </w:r>
            <w:proofErr w:type="spellStart"/>
            <w:r w:rsidRPr="005176BD">
              <w:rPr>
                <w:rFonts w:cs="Arial"/>
                <w:sz w:val="20"/>
                <w:szCs w:val="20"/>
                <w:lang w:eastAsia="en-AU"/>
              </w:rPr>
              <w:t>Speldewinde</w:t>
            </w:r>
            <w:proofErr w:type="spellEnd"/>
            <w:r w:rsidRPr="005176BD">
              <w:rPr>
                <w:rFonts w:cs="Arial"/>
                <w:sz w:val="20"/>
                <w:szCs w:val="20"/>
                <w:lang w:eastAsia="en-AU"/>
              </w:rPr>
              <w:t xml:space="preserve"> P, Weinstein P &amp; Dobson A.</w:t>
            </w:r>
          </w:p>
        </w:tc>
        <w:tc>
          <w:tcPr>
            <w:tcW w:w="455" w:type="dxa"/>
          </w:tcPr>
          <w:p w14:paraId="206E2E09"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4F344F01" w14:textId="77777777" w:rsidTr="0011030B">
        <w:tc>
          <w:tcPr>
            <w:tcW w:w="9120" w:type="dxa"/>
            <w:tcBorders>
              <w:top w:val="single" w:sz="4" w:space="0" w:color="auto"/>
              <w:left w:val="single" w:sz="4" w:space="0" w:color="C0C0C0"/>
              <w:bottom w:val="single" w:sz="4" w:space="0" w:color="auto"/>
              <w:right w:val="single" w:sz="4" w:space="0" w:color="C0C0C0"/>
            </w:tcBorders>
            <w:shd w:val="clear" w:color="auto" w:fill="auto"/>
          </w:tcPr>
          <w:p w14:paraId="27A052BF" w14:textId="7F76D1E7" w:rsidR="00084B2B" w:rsidRPr="005176BD" w:rsidRDefault="00084B2B" w:rsidP="003B611A">
            <w:pPr>
              <w:rPr>
                <w:rFonts w:cs="Arial"/>
                <w:sz w:val="20"/>
                <w:szCs w:val="20"/>
                <w:lang w:eastAsia="en-AU"/>
              </w:rPr>
            </w:pPr>
            <w:r w:rsidRPr="005176BD">
              <w:rPr>
                <w:rFonts w:cs="Arial"/>
                <w:sz w:val="20"/>
                <w:szCs w:val="20"/>
                <w:lang w:eastAsia="en-AU"/>
              </w:rPr>
              <w:t>Comparing population attributable risks for heart disease across the adult lifespan in women. British Journal of Sports Medicine, 2015</w:t>
            </w:r>
            <w:r w:rsidR="00E1526F" w:rsidRPr="005176BD">
              <w:rPr>
                <w:rFonts w:cs="Arial"/>
                <w:sz w:val="20"/>
                <w:szCs w:val="20"/>
                <w:lang w:eastAsia="en-AU"/>
              </w:rPr>
              <w:t xml:space="preserve">; </w:t>
            </w:r>
            <w:r w:rsidRPr="005176BD">
              <w:rPr>
                <w:rFonts w:cs="Arial"/>
                <w:sz w:val="20"/>
                <w:szCs w:val="20"/>
                <w:lang w:eastAsia="en-AU"/>
              </w:rPr>
              <w:t>49(16)</w:t>
            </w:r>
            <w:r w:rsidR="00E1526F" w:rsidRPr="005176BD">
              <w:rPr>
                <w:rFonts w:cs="Arial"/>
                <w:sz w:val="20"/>
                <w:szCs w:val="20"/>
                <w:lang w:eastAsia="en-AU"/>
              </w:rPr>
              <w:t xml:space="preserve">: </w:t>
            </w:r>
            <w:r w:rsidRPr="005176BD">
              <w:rPr>
                <w:rFonts w:cs="Arial"/>
                <w:sz w:val="20"/>
                <w:szCs w:val="20"/>
                <w:lang w:eastAsia="en-AU"/>
              </w:rPr>
              <w:t>1069-1076</w:t>
            </w:r>
            <w:r w:rsidR="00E1526F" w:rsidRPr="005176BD">
              <w:rPr>
                <w:rFonts w:cs="Arial"/>
                <w:sz w:val="20"/>
                <w:szCs w:val="20"/>
                <w:lang w:eastAsia="en-AU"/>
              </w:rPr>
              <w:t>.</w:t>
            </w:r>
          </w:p>
        </w:tc>
        <w:tc>
          <w:tcPr>
            <w:tcW w:w="4280" w:type="dxa"/>
          </w:tcPr>
          <w:p w14:paraId="4C933B48"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Brown W, </w:t>
            </w:r>
            <w:proofErr w:type="spellStart"/>
            <w:r w:rsidRPr="005176BD">
              <w:rPr>
                <w:rFonts w:cs="Arial"/>
                <w:sz w:val="20"/>
                <w:szCs w:val="20"/>
                <w:lang w:eastAsia="en-AU"/>
              </w:rPr>
              <w:t>Pavey</w:t>
            </w:r>
            <w:proofErr w:type="spellEnd"/>
            <w:r w:rsidRPr="005176BD">
              <w:rPr>
                <w:rFonts w:cs="Arial"/>
                <w:sz w:val="20"/>
                <w:szCs w:val="20"/>
                <w:lang w:eastAsia="en-AU"/>
              </w:rPr>
              <w:t xml:space="preserve"> T &amp; Bauman A.</w:t>
            </w:r>
          </w:p>
        </w:tc>
        <w:tc>
          <w:tcPr>
            <w:tcW w:w="455" w:type="dxa"/>
          </w:tcPr>
          <w:p w14:paraId="47562773" w14:textId="77777777" w:rsidR="00084B2B" w:rsidRPr="005176BD" w:rsidRDefault="00084B2B" w:rsidP="003B611A">
            <w:pPr>
              <w:rPr>
                <w:rFonts w:cs="Arial"/>
                <w:sz w:val="20"/>
                <w:szCs w:val="20"/>
                <w:lang w:eastAsia="en-AU"/>
              </w:rPr>
            </w:pPr>
            <w:r w:rsidRPr="005176BD">
              <w:rPr>
                <w:rFonts w:cs="Arial"/>
                <w:sz w:val="20"/>
                <w:szCs w:val="20"/>
                <w:lang w:eastAsia="en-AU"/>
              </w:rPr>
              <w:t>33</w:t>
            </w:r>
          </w:p>
        </w:tc>
      </w:tr>
      <w:tr w:rsidR="00084B2B" w:rsidRPr="00084B2B" w14:paraId="7B5E2889" w14:textId="77777777" w:rsidTr="0011030B">
        <w:tc>
          <w:tcPr>
            <w:tcW w:w="9120" w:type="dxa"/>
            <w:tcBorders>
              <w:top w:val="single" w:sz="4" w:space="0" w:color="auto"/>
            </w:tcBorders>
          </w:tcPr>
          <w:p w14:paraId="24C7A63E" w14:textId="4A547FF8"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Reporting of life events over time: Methodological issues in a longitudinal sample of women. Psychological Assessment, </w:t>
            </w:r>
            <w:r w:rsidR="00E1526F" w:rsidRPr="005176BD">
              <w:rPr>
                <w:rFonts w:cs="Arial"/>
                <w:sz w:val="20"/>
                <w:szCs w:val="20"/>
                <w:lang w:eastAsia="en-AU"/>
              </w:rPr>
              <w:t xml:space="preserve">2011; </w:t>
            </w:r>
            <w:r w:rsidRPr="005176BD">
              <w:rPr>
                <w:rFonts w:cs="Arial"/>
                <w:sz w:val="20"/>
                <w:szCs w:val="20"/>
                <w:lang w:eastAsia="en-AU"/>
              </w:rPr>
              <w:t>23(1)</w:t>
            </w:r>
            <w:r w:rsidR="00E1526F" w:rsidRPr="005176BD">
              <w:rPr>
                <w:rFonts w:cs="Arial"/>
                <w:sz w:val="20"/>
                <w:szCs w:val="20"/>
                <w:lang w:eastAsia="en-AU"/>
              </w:rPr>
              <w:t>:</w:t>
            </w:r>
            <w:r w:rsidRPr="005176BD">
              <w:rPr>
                <w:rFonts w:cs="Arial"/>
                <w:sz w:val="20"/>
                <w:szCs w:val="20"/>
                <w:lang w:eastAsia="en-AU"/>
              </w:rPr>
              <w:t xml:space="preserve"> 277-281. </w:t>
            </w:r>
          </w:p>
        </w:tc>
        <w:tc>
          <w:tcPr>
            <w:tcW w:w="4280" w:type="dxa"/>
          </w:tcPr>
          <w:p w14:paraId="1A4159F0" w14:textId="77777777" w:rsidR="00084B2B" w:rsidRPr="005176BD" w:rsidRDefault="00084B2B" w:rsidP="003B611A">
            <w:pPr>
              <w:rPr>
                <w:rFonts w:cs="Arial"/>
                <w:sz w:val="20"/>
                <w:szCs w:val="20"/>
                <w:lang w:eastAsia="en-AU"/>
              </w:rPr>
            </w:pPr>
            <w:r w:rsidRPr="005176BD">
              <w:rPr>
                <w:rFonts w:cs="Arial"/>
                <w:sz w:val="20"/>
                <w:szCs w:val="20"/>
                <w:lang w:eastAsia="en-AU"/>
              </w:rPr>
              <w:t>Pachana N, Brilleman S &amp; Dobson A.</w:t>
            </w:r>
          </w:p>
        </w:tc>
        <w:tc>
          <w:tcPr>
            <w:tcW w:w="455" w:type="dxa"/>
          </w:tcPr>
          <w:p w14:paraId="5824159E" w14:textId="77777777" w:rsidR="00084B2B" w:rsidRPr="005176BD" w:rsidRDefault="00084B2B" w:rsidP="003B611A">
            <w:pPr>
              <w:rPr>
                <w:rFonts w:cs="Arial"/>
                <w:sz w:val="20"/>
                <w:szCs w:val="20"/>
                <w:lang w:eastAsia="en-AU"/>
              </w:rPr>
            </w:pPr>
            <w:r w:rsidRPr="005176BD">
              <w:rPr>
                <w:rFonts w:cs="Arial"/>
                <w:sz w:val="20"/>
                <w:szCs w:val="20"/>
                <w:lang w:eastAsia="en-AU"/>
              </w:rPr>
              <w:t>12</w:t>
            </w:r>
          </w:p>
        </w:tc>
      </w:tr>
      <w:tr w:rsidR="00084B2B" w:rsidRPr="00084B2B" w14:paraId="0F93E4C2" w14:textId="77777777" w:rsidTr="0011030B">
        <w:tc>
          <w:tcPr>
            <w:tcW w:w="9120" w:type="dxa"/>
            <w:tcBorders>
              <w:top w:val="single" w:sz="4" w:space="0" w:color="auto"/>
            </w:tcBorders>
          </w:tcPr>
          <w:p w14:paraId="6645FD50" w14:textId="26BE2643" w:rsidR="00084B2B" w:rsidRPr="005176BD" w:rsidRDefault="00084B2B" w:rsidP="003B611A">
            <w:pPr>
              <w:rPr>
                <w:rFonts w:cs="Arial"/>
                <w:sz w:val="20"/>
                <w:szCs w:val="20"/>
                <w:lang w:eastAsia="en-AU"/>
              </w:rPr>
            </w:pPr>
            <w:r w:rsidRPr="005176BD">
              <w:rPr>
                <w:rFonts w:cs="Arial"/>
                <w:sz w:val="20"/>
                <w:szCs w:val="20"/>
                <w:lang w:eastAsia="en-AU"/>
              </w:rPr>
              <w:t xml:space="preserve">Health across generations: Findings from the Australian Longitudinal Study on Women’s Health. Biological Research for Nursing, </w:t>
            </w:r>
            <w:r w:rsidR="00E1526F" w:rsidRPr="005176BD">
              <w:rPr>
                <w:rFonts w:cs="Arial"/>
                <w:sz w:val="20"/>
                <w:szCs w:val="20"/>
                <w:lang w:eastAsia="en-AU"/>
              </w:rPr>
              <w:t xml:space="preserve">2010; </w:t>
            </w:r>
            <w:r w:rsidRPr="005176BD">
              <w:rPr>
                <w:rFonts w:cs="Arial"/>
                <w:sz w:val="20"/>
                <w:szCs w:val="20"/>
                <w:lang w:eastAsia="en-AU"/>
              </w:rPr>
              <w:t>12(2)</w:t>
            </w:r>
            <w:r w:rsidR="00E1526F" w:rsidRPr="005176BD">
              <w:rPr>
                <w:rFonts w:cs="Arial"/>
                <w:sz w:val="20"/>
                <w:szCs w:val="20"/>
                <w:lang w:eastAsia="en-AU"/>
              </w:rPr>
              <w:t>:</w:t>
            </w:r>
            <w:r w:rsidRPr="005176BD">
              <w:rPr>
                <w:rFonts w:cs="Arial"/>
                <w:sz w:val="20"/>
                <w:szCs w:val="20"/>
                <w:lang w:eastAsia="en-AU"/>
              </w:rPr>
              <w:t xml:space="preserve"> 162-170.</w:t>
            </w:r>
          </w:p>
        </w:tc>
        <w:tc>
          <w:tcPr>
            <w:tcW w:w="4280" w:type="dxa"/>
          </w:tcPr>
          <w:p w14:paraId="2613D57C" w14:textId="77777777" w:rsidR="00084B2B" w:rsidRPr="005176BD" w:rsidRDefault="00084B2B" w:rsidP="003B611A">
            <w:pPr>
              <w:rPr>
                <w:rFonts w:cs="Arial"/>
                <w:sz w:val="20"/>
                <w:szCs w:val="20"/>
                <w:lang w:eastAsia="en-AU"/>
              </w:rPr>
            </w:pPr>
            <w:r w:rsidRPr="005176BD">
              <w:rPr>
                <w:rFonts w:cs="Arial"/>
                <w:sz w:val="20"/>
                <w:szCs w:val="20"/>
                <w:lang w:eastAsia="en-AU"/>
              </w:rPr>
              <w:t xml:space="preserve">Lucke J, Brown W, Tooth L, Loxton D, Byles J, </w:t>
            </w:r>
            <w:proofErr w:type="spellStart"/>
            <w:r w:rsidRPr="005176BD">
              <w:rPr>
                <w:rFonts w:cs="Arial"/>
                <w:sz w:val="20"/>
                <w:szCs w:val="20"/>
                <w:lang w:eastAsia="en-AU"/>
              </w:rPr>
              <w:t>Spallek</w:t>
            </w:r>
            <w:proofErr w:type="spellEnd"/>
            <w:r w:rsidRPr="005176BD">
              <w:rPr>
                <w:rFonts w:cs="Arial"/>
                <w:sz w:val="20"/>
                <w:szCs w:val="20"/>
                <w:lang w:eastAsia="en-AU"/>
              </w:rPr>
              <w:t xml:space="preserve"> M, Powers J, Hockey R, Pachana N &amp; Dobson A.</w:t>
            </w:r>
          </w:p>
        </w:tc>
        <w:tc>
          <w:tcPr>
            <w:tcW w:w="455" w:type="dxa"/>
          </w:tcPr>
          <w:p w14:paraId="61F1AD58" w14:textId="77777777" w:rsidR="00084B2B" w:rsidRPr="005176BD" w:rsidRDefault="00084B2B" w:rsidP="003B611A">
            <w:pPr>
              <w:rPr>
                <w:rFonts w:cs="Arial"/>
                <w:sz w:val="20"/>
                <w:szCs w:val="20"/>
                <w:lang w:eastAsia="en-AU"/>
              </w:rPr>
            </w:pPr>
            <w:r w:rsidRPr="005176BD">
              <w:rPr>
                <w:rFonts w:cs="Arial"/>
                <w:sz w:val="20"/>
                <w:szCs w:val="20"/>
                <w:lang w:eastAsia="en-AU"/>
              </w:rPr>
              <w:t>18</w:t>
            </w:r>
          </w:p>
        </w:tc>
      </w:tr>
      <w:tr w:rsidR="00084B2B" w:rsidRPr="00084B2B" w14:paraId="2E07A24A" w14:textId="77777777" w:rsidTr="0011030B">
        <w:tc>
          <w:tcPr>
            <w:tcW w:w="9120" w:type="dxa"/>
            <w:tcBorders>
              <w:top w:val="single" w:sz="4" w:space="0" w:color="auto"/>
            </w:tcBorders>
          </w:tcPr>
          <w:p w14:paraId="37BBAD82" w14:textId="539CE471" w:rsidR="00084B2B" w:rsidRPr="005176BD" w:rsidRDefault="00084B2B" w:rsidP="003B611A">
            <w:pPr>
              <w:rPr>
                <w:rFonts w:cs="Arial"/>
                <w:sz w:val="20"/>
                <w:szCs w:val="20"/>
                <w:lang w:eastAsia="en-AU"/>
              </w:rPr>
            </w:pPr>
            <w:r w:rsidRPr="005176BD">
              <w:rPr>
                <w:rFonts w:cs="Arial"/>
                <w:sz w:val="20"/>
                <w:szCs w:val="20"/>
                <w:lang w:eastAsia="en-AU"/>
              </w:rPr>
              <w:t xml:space="preserve">Life events and changing physical activity patterns in women at different life stages. Annals of </w:t>
            </w:r>
            <w:proofErr w:type="spellStart"/>
            <w:r w:rsidRPr="005176BD">
              <w:rPr>
                <w:rFonts w:cs="Arial"/>
                <w:sz w:val="20"/>
                <w:szCs w:val="20"/>
                <w:lang w:eastAsia="en-AU"/>
              </w:rPr>
              <w:t>Behavioral</w:t>
            </w:r>
            <w:proofErr w:type="spellEnd"/>
            <w:r w:rsidRPr="005176BD">
              <w:rPr>
                <w:rFonts w:cs="Arial"/>
                <w:sz w:val="20"/>
                <w:szCs w:val="20"/>
                <w:lang w:eastAsia="en-AU"/>
              </w:rPr>
              <w:t xml:space="preserve"> Medicine, </w:t>
            </w:r>
            <w:r w:rsidR="00E1526F" w:rsidRPr="005176BD">
              <w:rPr>
                <w:rFonts w:cs="Arial"/>
                <w:sz w:val="20"/>
                <w:szCs w:val="20"/>
                <w:lang w:eastAsia="en-AU"/>
              </w:rPr>
              <w:t xml:space="preserve">2009; </w:t>
            </w:r>
            <w:r w:rsidRPr="005176BD">
              <w:rPr>
                <w:rFonts w:cs="Arial"/>
                <w:sz w:val="20"/>
                <w:szCs w:val="20"/>
                <w:lang w:eastAsia="en-AU"/>
              </w:rPr>
              <w:t>37(3)</w:t>
            </w:r>
            <w:r w:rsidR="00E1526F" w:rsidRPr="005176BD">
              <w:rPr>
                <w:rFonts w:cs="Arial"/>
                <w:sz w:val="20"/>
                <w:szCs w:val="20"/>
                <w:lang w:eastAsia="en-AU"/>
              </w:rPr>
              <w:t>:</w:t>
            </w:r>
            <w:r w:rsidRPr="005176BD">
              <w:rPr>
                <w:rFonts w:cs="Arial"/>
                <w:sz w:val="20"/>
                <w:szCs w:val="20"/>
                <w:lang w:eastAsia="en-AU"/>
              </w:rPr>
              <w:t xml:space="preserve"> 294-305.</w:t>
            </w:r>
          </w:p>
        </w:tc>
        <w:tc>
          <w:tcPr>
            <w:tcW w:w="4280" w:type="dxa"/>
          </w:tcPr>
          <w:p w14:paraId="35FC358F"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Brown WJ, </w:t>
            </w:r>
            <w:proofErr w:type="spellStart"/>
            <w:r w:rsidRPr="005176BD">
              <w:rPr>
                <w:rFonts w:cs="Arial"/>
                <w:sz w:val="20"/>
                <w:szCs w:val="20"/>
                <w:lang w:eastAsia="en-AU"/>
              </w:rPr>
              <w:t>Heesch</w:t>
            </w:r>
            <w:proofErr w:type="spellEnd"/>
            <w:r w:rsidRPr="005176BD">
              <w:rPr>
                <w:rFonts w:cs="Arial"/>
                <w:sz w:val="20"/>
                <w:szCs w:val="20"/>
                <w:lang w:eastAsia="en-AU"/>
              </w:rPr>
              <w:t xml:space="preserve"> K &amp; Miller Y.</w:t>
            </w:r>
          </w:p>
        </w:tc>
        <w:tc>
          <w:tcPr>
            <w:tcW w:w="455" w:type="dxa"/>
          </w:tcPr>
          <w:p w14:paraId="279F86EB" w14:textId="77777777" w:rsidR="00084B2B" w:rsidRPr="005176BD" w:rsidRDefault="00084B2B" w:rsidP="003B611A">
            <w:pPr>
              <w:rPr>
                <w:rFonts w:cs="Arial"/>
                <w:sz w:val="20"/>
                <w:szCs w:val="20"/>
                <w:lang w:eastAsia="en-AU"/>
              </w:rPr>
            </w:pPr>
            <w:r w:rsidRPr="005176BD">
              <w:rPr>
                <w:rFonts w:cs="Arial"/>
                <w:sz w:val="20"/>
                <w:szCs w:val="20"/>
                <w:lang w:eastAsia="en-AU"/>
              </w:rPr>
              <w:t>111</w:t>
            </w:r>
          </w:p>
        </w:tc>
      </w:tr>
      <w:tr w:rsidR="00084B2B" w:rsidRPr="00084B2B" w14:paraId="65D44738" w14:textId="77777777" w:rsidTr="0011030B">
        <w:tc>
          <w:tcPr>
            <w:tcW w:w="9120" w:type="dxa"/>
            <w:tcBorders>
              <w:top w:val="single" w:sz="4" w:space="0" w:color="auto"/>
            </w:tcBorders>
          </w:tcPr>
          <w:p w14:paraId="75E9BE35" w14:textId="79DA09FA" w:rsidR="00084B2B" w:rsidRPr="005176BD" w:rsidRDefault="00084B2B" w:rsidP="003B611A">
            <w:pPr>
              <w:rPr>
                <w:rFonts w:cs="Arial"/>
                <w:sz w:val="20"/>
                <w:szCs w:val="20"/>
                <w:lang w:eastAsia="en-AU"/>
              </w:rPr>
            </w:pPr>
            <w:r w:rsidRPr="005176BD">
              <w:rPr>
                <w:rFonts w:cs="Arial"/>
                <w:sz w:val="20"/>
                <w:szCs w:val="20"/>
                <w:lang w:eastAsia="en-AU"/>
              </w:rPr>
              <w:t xml:space="preserve">Do incontinence, breathing difficulties, and gastrointestinal symptoms increase the risk of future back pain? The Journal of Pain, </w:t>
            </w:r>
            <w:r w:rsidR="00E1526F" w:rsidRPr="005176BD">
              <w:rPr>
                <w:rFonts w:cs="Arial"/>
                <w:sz w:val="20"/>
                <w:szCs w:val="20"/>
                <w:lang w:eastAsia="en-AU"/>
              </w:rPr>
              <w:t xml:space="preserve">2009; </w:t>
            </w:r>
            <w:r w:rsidRPr="005176BD">
              <w:rPr>
                <w:rFonts w:cs="Arial"/>
                <w:sz w:val="20"/>
                <w:szCs w:val="20"/>
                <w:lang w:eastAsia="en-AU"/>
              </w:rPr>
              <w:t>10(8)</w:t>
            </w:r>
            <w:r w:rsidR="00E1526F" w:rsidRPr="005176BD">
              <w:rPr>
                <w:rFonts w:cs="Arial"/>
                <w:sz w:val="20"/>
                <w:szCs w:val="20"/>
                <w:lang w:eastAsia="en-AU"/>
              </w:rPr>
              <w:t>:</w:t>
            </w:r>
            <w:r w:rsidRPr="005176BD">
              <w:rPr>
                <w:rFonts w:cs="Arial"/>
                <w:sz w:val="20"/>
                <w:szCs w:val="20"/>
                <w:lang w:eastAsia="en-AU"/>
              </w:rPr>
              <w:t xml:space="preserve"> 876-886.</w:t>
            </w:r>
          </w:p>
        </w:tc>
        <w:tc>
          <w:tcPr>
            <w:tcW w:w="4280" w:type="dxa"/>
          </w:tcPr>
          <w:p w14:paraId="2332E27A" w14:textId="77777777" w:rsidR="00084B2B" w:rsidRPr="005176BD" w:rsidRDefault="00084B2B" w:rsidP="003B611A">
            <w:pPr>
              <w:rPr>
                <w:rFonts w:cs="Arial"/>
                <w:sz w:val="20"/>
                <w:szCs w:val="20"/>
                <w:lang w:eastAsia="en-AU"/>
              </w:rPr>
            </w:pPr>
            <w:r w:rsidRPr="005176BD">
              <w:rPr>
                <w:rFonts w:cs="Arial"/>
                <w:sz w:val="20"/>
                <w:szCs w:val="20"/>
                <w:lang w:eastAsia="en-AU"/>
              </w:rPr>
              <w:t>Smith MD, Russell A &amp; Hodges PW.</w:t>
            </w:r>
          </w:p>
        </w:tc>
        <w:tc>
          <w:tcPr>
            <w:tcW w:w="455" w:type="dxa"/>
          </w:tcPr>
          <w:p w14:paraId="72273976" w14:textId="77777777" w:rsidR="00084B2B" w:rsidRPr="005176BD" w:rsidRDefault="00084B2B" w:rsidP="003B611A">
            <w:pPr>
              <w:rPr>
                <w:rFonts w:cs="Arial"/>
                <w:sz w:val="20"/>
                <w:szCs w:val="20"/>
                <w:lang w:eastAsia="en-AU"/>
              </w:rPr>
            </w:pPr>
            <w:r w:rsidRPr="005176BD">
              <w:rPr>
                <w:rFonts w:cs="Arial"/>
                <w:sz w:val="20"/>
                <w:szCs w:val="20"/>
                <w:lang w:eastAsia="en-AU"/>
              </w:rPr>
              <w:t>39</w:t>
            </w:r>
          </w:p>
        </w:tc>
      </w:tr>
      <w:tr w:rsidR="00084B2B" w:rsidRPr="00084B2B" w14:paraId="00F1FABD" w14:textId="77777777" w:rsidTr="0011030B">
        <w:tc>
          <w:tcPr>
            <w:tcW w:w="9120" w:type="dxa"/>
            <w:tcBorders>
              <w:top w:val="single" w:sz="4" w:space="0" w:color="auto"/>
            </w:tcBorders>
          </w:tcPr>
          <w:p w14:paraId="1BBD2A27" w14:textId="61F18BCA" w:rsidR="00084B2B" w:rsidRPr="005176BD" w:rsidRDefault="00084B2B" w:rsidP="003B611A">
            <w:pPr>
              <w:rPr>
                <w:rFonts w:cs="Arial"/>
                <w:sz w:val="20"/>
                <w:szCs w:val="20"/>
                <w:lang w:eastAsia="en-AU"/>
              </w:rPr>
            </w:pPr>
            <w:r w:rsidRPr="005176BD">
              <w:rPr>
                <w:rFonts w:cs="Arial"/>
                <w:sz w:val="20"/>
                <w:szCs w:val="20"/>
                <w:lang w:eastAsia="en-AU"/>
              </w:rPr>
              <w:t xml:space="preserve">Socioeconomic position and hysterectomy: A cross-cohort comparison of women in Australian and Great Britain. Journal of Epidemiology and Community Health, </w:t>
            </w:r>
            <w:r w:rsidR="00E1526F" w:rsidRPr="005176BD">
              <w:rPr>
                <w:rFonts w:cs="Arial"/>
                <w:sz w:val="20"/>
                <w:szCs w:val="20"/>
                <w:lang w:eastAsia="en-AU"/>
              </w:rPr>
              <w:t xml:space="preserve">2008; </w:t>
            </w:r>
            <w:r w:rsidRPr="005176BD">
              <w:rPr>
                <w:rFonts w:cs="Arial"/>
                <w:sz w:val="20"/>
                <w:szCs w:val="20"/>
                <w:lang w:eastAsia="en-AU"/>
              </w:rPr>
              <w:t>62(12)</w:t>
            </w:r>
            <w:r w:rsidR="00E1526F" w:rsidRPr="005176BD">
              <w:rPr>
                <w:rFonts w:cs="Arial"/>
                <w:sz w:val="20"/>
                <w:szCs w:val="20"/>
                <w:lang w:eastAsia="en-AU"/>
              </w:rPr>
              <w:t>:</w:t>
            </w:r>
            <w:r w:rsidRPr="005176BD">
              <w:rPr>
                <w:rFonts w:cs="Arial"/>
                <w:sz w:val="20"/>
                <w:szCs w:val="20"/>
                <w:lang w:eastAsia="en-AU"/>
              </w:rPr>
              <w:t xml:space="preserve"> 1057-1063.</w:t>
            </w:r>
          </w:p>
        </w:tc>
        <w:tc>
          <w:tcPr>
            <w:tcW w:w="4280" w:type="dxa"/>
          </w:tcPr>
          <w:p w14:paraId="4306E8D8" w14:textId="77777777" w:rsidR="00084B2B" w:rsidRPr="005176BD" w:rsidRDefault="00084B2B" w:rsidP="003B611A">
            <w:pPr>
              <w:rPr>
                <w:rFonts w:cs="Arial"/>
                <w:sz w:val="20"/>
                <w:szCs w:val="20"/>
                <w:lang w:eastAsia="en-AU"/>
              </w:rPr>
            </w:pPr>
            <w:r w:rsidRPr="005176BD">
              <w:rPr>
                <w:rFonts w:cs="Arial"/>
                <w:sz w:val="20"/>
                <w:szCs w:val="20"/>
                <w:lang w:eastAsia="en-AU"/>
              </w:rPr>
              <w:t xml:space="preserve">Cooper R, Lucke J, </w:t>
            </w:r>
            <w:proofErr w:type="spellStart"/>
            <w:r w:rsidRPr="005176BD">
              <w:rPr>
                <w:rFonts w:cs="Arial"/>
                <w:sz w:val="20"/>
                <w:szCs w:val="20"/>
                <w:lang w:eastAsia="en-AU"/>
              </w:rPr>
              <w:t>Lawlor</w:t>
            </w:r>
            <w:proofErr w:type="spellEnd"/>
            <w:r w:rsidRPr="005176BD">
              <w:rPr>
                <w:rFonts w:cs="Arial"/>
                <w:sz w:val="20"/>
                <w:szCs w:val="20"/>
                <w:lang w:eastAsia="en-AU"/>
              </w:rPr>
              <w:t xml:space="preserve"> DA, Mishra G, Chang J-H, </w:t>
            </w:r>
            <w:proofErr w:type="spellStart"/>
            <w:r w:rsidRPr="005176BD">
              <w:rPr>
                <w:rFonts w:cs="Arial"/>
                <w:sz w:val="20"/>
                <w:szCs w:val="20"/>
                <w:lang w:eastAsia="en-AU"/>
              </w:rPr>
              <w:t>Ebrahim</w:t>
            </w:r>
            <w:proofErr w:type="spellEnd"/>
            <w:r w:rsidRPr="005176BD">
              <w:rPr>
                <w:rFonts w:cs="Arial"/>
                <w:sz w:val="20"/>
                <w:szCs w:val="20"/>
                <w:lang w:eastAsia="en-AU"/>
              </w:rPr>
              <w:t xml:space="preserve"> S, Kuh D &amp; Dobson A.</w:t>
            </w:r>
          </w:p>
        </w:tc>
        <w:tc>
          <w:tcPr>
            <w:tcW w:w="455" w:type="dxa"/>
          </w:tcPr>
          <w:p w14:paraId="7B1F75AA" w14:textId="77777777" w:rsidR="00084B2B" w:rsidRPr="005176BD" w:rsidRDefault="00084B2B" w:rsidP="003B611A">
            <w:pPr>
              <w:rPr>
                <w:rFonts w:cs="Arial"/>
                <w:sz w:val="20"/>
                <w:szCs w:val="20"/>
                <w:lang w:eastAsia="en-AU"/>
              </w:rPr>
            </w:pPr>
            <w:r w:rsidRPr="005176BD">
              <w:rPr>
                <w:rFonts w:cs="Arial"/>
                <w:sz w:val="20"/>
                <w:szCs w:val="20"/>
                <w:lang w:eastAsia="en-AU"/>
              </w:rPr>
              <w:t>24</w:t>
            </w:r>
          </w:p>
        </w:tc>
      </w:tr>
      <w:tr w:rsidR="00084B2B" w:rsidRPr="00084B2B" w14:paraId="197071CB" w14:textId="77777777" w:rsidTr="0011030B">
        <w:tc>
          <w:tcPr>
            <w:tcW w:w="9120" w:type="dxa"/>
            <w:tcBorders>
              <w:top w:val="single" w:sz="4" w:space="0" w:color="auto"/>
            </w:tcBorders>
          </w:tcPr>
          <w:p w14:paraId="5E2CE16D" w14:textId="54110F2A" w:rsidR="00084B2B" w:rsidRPr="005176BD" w:rsidRDefault="00084B2B" w:rsidP="003B611A">
            <w:pPr>
              <w:rPr>
                <w:rFonts w:cs="Arial"/>
                <w:sz w:val="20"/>
                <w:szCs w:val="20"/>
                <w:lang w:eastAsia="en-AU"/>
              </w:rPr>
            </w:pPr>
            <w:r w:rsidRPr="005176BD">
              <w:rPr>
                <w:rFonts w:cs="Arial"/>
                <w:sz w:val="20"/>
                <w:szCs w:val="20"/>
                <w:lang w:eastAsia="en-AU"/>
              </w:rPr>
              <w:t xml:space="preserve">How common is back pain in women with gastrointestinal problems? Clinical Journal of Pain, </w:t>
            </w:r>
            <w:r w:rsidR="00E1526F" w:rsidRPr="005176BD">
              <w:rPr>
                <w:rFonts w:cs="Arial"/>
                <w:sz w:val="20"/>
                <w:szCs w:val="20"/>
                <w:lang w:eastAsia="en-AU"/>
              </w:rPr>
              <w:t xml:space="preserve">2008; </w:t>
            </w:r>
            <w:r w:rsidRPr="005176BD">
              <w:rPr>
                <w:rFonts w:cs="Arial"/>
                <w:sz w:val="20"/>
                <w:szCs w:val="20"/>
                <w:lang w:eastAsia="en-AU"/>
              </w:rPr>
              <w:t>24(3)</w:t>
            </w:r>
            <w:r w:rsidR="00E1526F" w:rsidRPr="005176BD">
              <w:rPr>
                <w:rFonts w:cs="Arial"/>
                <w:sz w:val="20"/>
                <w:szCs w:val="20"/>
                <w:lang w:eastAsia="en-AU"/>
              </w:rPr>
              <w:t>:</w:t>
            </w:r>
            <w:r w:rsidRPr="005176BD">
              <w:rPr>
                <w:rFonts w:cs="Arial"/>
                <w:sz w:val="20"/>
                <w:szCs w:val="20"/>
                <w:lang w:eastAsia="en-AU"/>
              </w:rPr>
              <w:t xml:space="preserve"> 199-203. </w:t>
            </w:r>
          </w:p>
        </w:tc>
        <w:tc>
          <w:tcPr>
            <w:tcW w:w="4280" w:type="dxa"/>
          </w:tcPr>
          <w:p w14:paraId="7AD0F859" w14:textId="77777777" w:rsidR="00084B2B" w:rsidRPr="005176BD" w:rsidRDefault="00084B2B" w:rsidP="003B611A">
            <w:pPr>
              <w:rPr>
                <w:rFonts w:cs="Arial"/>
                <w:sz w:val="20"/>
                <w:szCs w:val="20"/>
                <w:lang w:eastAsia="en-AU"/>
              </w:rPr>
            </w:pPr>
            <w:r w:rsidRPr="005176BD">
              <w:rPr>
                <w:rFonts w:cs="Arial"/>
                <w:sz w:val="20"/>
                <w:szCs w:val="20"/>
                <w:lang w:eastAsia="en-AU"/>
              </w:rPr>
              <w:t>Smith MD, Russell A &amp; Hodges PW.</w:t>
            </w:r>
          </w:p>
        </w:tc>
        <w:tc>
          <w:tcPr>
            <w:tcW w:w="455" w:type="dxa"/>
          </w:tcPr>
          <w:p w14:paraId="3DD46D43" w14:textId="77777777" w:rsidR="00084B2B" w:rsidRPr="005176BD" w:rsidRDefault="00084B2B" w:rsidP="003B611A">
            <w:pPr>
              <w:rPr>
                <w:rFonts w:cs="Arial"/>
                <w:sz w:val="20"/>
                <w:szCs w:val="20"/>
                <w:lang w:eastAsia="en-AU"/>
              </w:rPr>
            </w:pPr>
            <w:r w:rsidRPr="005176BD">
              <w:rPr>
                <w:rFonts w:cs="Arial"/>
                <w:sz w:val="20"/>
                <w:szCs w:val="20"/>
                <w:lang w:eastAsia="en-AU"/>
              </w:rPr>
              <w:t>16</w:t>
            </w:r>
          </w:p>
        </w:tc>
      </w:tr>
      <w:tr w:rsidR="00084B2B" w:rsidRPr="00084B2B" w14:paraId="44C8232A" w14:textId="77777777" w:rsidTr="0011030B">
        <w:tc>
          <w:tcPr>
            <w:tcW w:w="9120" w:type="dxa"/>
            <w:tcBorders>
              <w:top w:val="single" w:sz="4" w:space="0" w:color="auto"/>
            </w:tcBorders>
          </w:tcPr>
          <w:p w14:paraId="09CA330B" w14:textId="4D37905B" w:rsidR="00084B2B" w:rsidRPr="005176BD" w:rsidRDefault="00084B2B" w:rsidP="003B611A">
            <w:pPr>
              <w:rPr>
                <w:rFonts w:cs="Arial"/>
                <w:sz w:val="20"/>
                <w:szCs w:val="20"/>
                <w:lang w:eastAsia="en-AU"/>
              </w:rPr>
            </w:pPr>
            <w:r w:rsidRPr="005176BD">
              <w:rPr>
                <w:rFonts w:cs="Arial"/>
                <w:sz w:val="20"/>
                <w:szCs w:val="20"/>
                <w:lang w:eastAsia="en-AU"/>
              </w:rPr>
              <w:t xml:space="preserve">Do walking and leisure-time physical activity protect against arthritis in older women? Journal of Epidemiology and Community Health, </w:t>
            </w:r>
            <w:r w:rsidR="00E1526F" w:rsidRPr="005176BD">
              <w:rPr>
                <w:rFonts w:cs="Arial"/>
                <w:sz w:val="20"/>
                <w:szCs w:val="20"/>
                <w:lang w:eastAsia="en-AU"/>
              </w:rPr>
              <w:t xml:space="preserve">2008; </w:t>
            </w:r>
            <w:r w:rsidRPr="005176BD">
              <w:rPr>
                <w:rFonts w:cs="Arial"/>
                <w:sz w:val="20"/>
                <w:szCs w:val="20"/>
                <w:lang w:eastAsia="en-AU"/>
              </w:rPr>
              <w:t>62(12)</w:t>
            </w:r>
            <w:r w:rsidR="00E1526F" w:rsidRPr="005176BD">
              <w:rPr>
                <w:rFonts w:cs="Arial"/>
                <w:sz w:val="20"/>
                <w:szCs w:val="20"/>
                <w:lang w:eastAsia="en-AU"/>
              </w:rPr>
              <w:t>:</w:t>
            </w:r>
            <w:r w:rsidRPr="005176BD">
              <w:rPr>
                <w:rFonts w:cs="Arial"/>
                <w:sz w:val="20"/>
                <w:szCs w:val="20"/>
                <w:lang w:eastAsia="en-AU"/>
              </w:rPr>
              <w:t xml:space="preserve"> 1086-1091. </w:t>
            </w:r>
          </w:p>
        </w:tc>
        <w:tc>
          <w:tcPr>
            <w:tcW w:w="4280" w:type="dxa"/>
          </w:tcPr>
          <w:p w14:paraId="2D14EC9D"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 &amp; Brown WJ.</w:t>
            </w:r>
          </w:p>
        </w:tc>
        <w:tc>
          <w:tcPr>
            <w:tcW w:w="455" w:type="dxa"/>
          </w:tcPr>
          <w:p w14:paraId="16C5FEAE" w14:textId="77777777" w:rsidR="00084B2B" w:rsidRPr="005176BD" w:rsidRDefault="00084B2B" w:rsidP="003B611A">
            <w:pPr>
              <w:rPr>
                <w:rFonts w:cs="Arial"/>
                <w:sz w:val="20"/>
                <w:szCs w:val="20"/>
                <w:lang w:eastAsia="en-AU"/>
              </w:rPr>
            </w:pPr>
            <w:r w:rsidRPr="005176BD">
              <w:rPr>
                <w:rFonts w:cs="Arial"/>
                <w:sz w:val="20"/>
                <w:szCs w:val="20"/>
                <w:lang w:eastAsia="en-AU"/>
              </w:rPr>
              <w:t>14</w:t>
            </w:r>
          </w:p>
        </w:tc>
      </w:tr>
      <w:tr w:rsidR="00084B2B" w:rsidRPr="00084B2B" w14:paraId="773DDD15" w14:textId="77777777" w:rsidTr="0011030B">
        <w:tc>
          <w:tcPr>
            <w:tcW w:w="9120" w:type="dxa"/>
            <w:tcBorders>
              <w:top w:val="single" w:sz="4" w:space="0" w:color="auto"/>
            </w:tcBorders>
          </w:tcPr>
          <w:p w14:paraId="4CF9E6D0" w14:textId="77D308F9" w:rsidR="00084B2B" w:rsidRPr="005176BD" w:rsidRDefault="00084B2B" w:rsidP="003B611A">
            <w:pPr>
              <w:rPr>
                <w:rFonts w:cs="Arial"/>
                <w:sz w:val="20"/>
                <w:szCs w:val="20"/>
                <w:lang w:eastAsia="en-AU"/>
              </w:rPr>
            </w:pPr>
            <w:r w:rsidRPr="005176BD">
              <w:rPr>
                <w:rFonts w:cs="Arial"/>
                <w:sz w:val="20"/>
                <w:szCs w:val="20"/>
                <w:lang w:eastAsia="en-AU"/>
              </w:rPr>
              <w:t xml:space="preserve">Prospective association between physical activity and falls in community-dwelling older women. Journal of Epidemiology and Community Health, </w:t>
            </w:r>
            <w:r w:rsidR="00E1526F" w:rsidRPr="005176BD">
              <w:rPr>
                <w:rFonts w:cs="Arial"/>
                <w:sz w:val="20"/>
                <w:szCs w:val="20"/>
                <w:lang w:eastAsia="en-AU"/>
              </w:rPr>
              <w:t xml:space="preserve">2008; </w:t>
            </w:r>
            <w:r w:rsidRPr="005176BD">
              <w:rPr>
                <w:rFonts w:cs="Arial"/>
                <w:sz w:val="20"/>
                <w:szCs w:val="20"/>
                <w:lang w:eastAsia="en-AU"/>
              </w:rPr>
              <w:t>62(5)</w:t>
            </w:r>
            <w:r w:rsidR="00E1526F" w:rsidRPr="005176BD">
              <w:rPr>
                <w:rFonts w:cs="Arial"/>
                <w:sz w:val="20"/>
                <w:szCs w:val="20"/>
                <w:lang w:eastAsia="en-AU"/>
              </w:rPr>
              <w:t>:</w:t>
            </w:r>
            <w:r w:rsidRPr="005176BD">
              <w:rPr>
                <w:rFonts w:cs="Arial"/>
                <w:sz w:val="20"/>
                <w:szCs w:val="20"/>
                <w:lang w:eastAsia="en-AU"/>
              </w:rPr>
              <w:t xml:space="preserve"> 421-426.</w:t>
            </w:r>
          </w:p>
        </w:tc>
        <w:tc>
          <w:tcPr>
            <w:tcW w:w="4280" w:type="dxa"/>
          </w:tcPr>
          <w:p w14:paraId="2A188A43"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 Byles J &amp; Brown WJ. </w:t>
            </w:r>
          </w:p>
        </w:tc>
        <w:tc>
          <w:tcPr>
            <w:tcW w:w="455" w:type="dxa"/>
          </w:tcPr>
          <w:p w14:paraId="0A7CF7DF" w14:textId="77777777" w:rsidR="00084B2B" w:rsidRPr="005176BD" w:rsidRDefault="00084B2B" w:rsidP="003B611A">
            <w:pPr>
              <w:rPr>
                <w:rFonts w:cs="Arial"/>
                <w:sz w:val="20"/>
                <w:szCs w:val="20"/>
                <w:lang w:eastAsia="en-AU"/>
              </w:rPr>
            </w:pPr>
            <w:r w:rsidRPr="005176BD">
              <w:rPr>
                <w:rFonts w:cs="Arial"/>
                <w:sz w:val="20"/>
                <w:szCs w:val="20"/>
                <w:lang w:eastAsia="en-AU"/>
              </w:rPr>
              <w:t>88</w:t>
            </w:r>
          </w:p>
        </w:tc>
      </w:tr>
      <w:tr w:rsidR="00084B2B" w:rsidRPr="00084B2B" w14:paraId="1D295E3F" w14:textId="77777777" w:rsidTr="0011030B">
        <w:tc>
          <w:tcPr>
            <w:tcW w:w="9120" w:type="dxa"/>
            <w:tcBorders>
              <w:top w:val="single" w:sz="4" w:space="0" w:color="auto"/>
            </w:tcBorders>
          </w:tcPr>
          <w:p w14:paraId="1B575BE0" w14:textId="4E7ED636" w:rsidR="00084B2B" w:rsidRPr="005176BD" w:rsidRDefault="00084B2B" w:rsidP="003B611A">
            <w:pPr>
              <w:rPr>
                <w:rFonts w:cs="Arial"/>
                <w:sz w:val="20"/>
                <w:szCs w:val="20"/>
                <w:lang w:eastAsia="en-AU"/>
              </w:rPr>
            </w:pPr>
            <w:r w:rsidRPr="005176BD">
              <w:rPr>
                <w:rFonts w:cs="Arial"/>
                <w:sz w:val="20"/>
                <w:szCs w:val="20"/>
                <w:lang w:eastAsia="en-AU"/>
              </w:rPr>
              <w:t xml:space="preserve">Updating the evidence on physical activity and health in women. American Journal of Preventive Medicine, </w:t>
            </w:r>
            <w:r w:rsidR="00E1526F" w:rsidRPr="005176BD">
              <w:rPr>
                <w:rFonts w:cs="Arial"/>
                <w:sz w:val="20"/>
                <w:szCs w:val="20"/>
                <w:lang w:eastAsia="en-AU"/>
              </w:rPr>
              <w:t xml:space="preserve">2007; </w:t>
            </w:r>
            <w:r w:rsidRPr="005176BD">
              <w:rPr>
                <w:rFonts w:cs="Arial"/>
                <w:sz w:val="20"/>
                <w:szCs w:val="20"/>
                <w:lang w:eastAsia="en-AU"/>
              </w:rPr>
              <w:t>33(5)</w:t>
            </w:r>
            <w:r w:rsidR="00E1526F" w:rsidRPr="005176BD">
              <w:rPr>
                <w:rFonts w:cs="Arial"/>
                <w:sz w:val="20"/>
                <w:szCs w:val="20"/>
                <w:lang w:eastAsia="en-AU"/>
              </w:rPr>
              <w:t>:</w:t>
            </w:r>
            <w:r w:rsidRPr="005176BD">
              <w:rPr>
                <w:rFonts w:cs="Arial"/>
                <w:sz w:val="20"/>
                <w:szCs w:val="20"/>
                <w:lang w:eastAsia="en-AU"/>
              </w:rPr>
              <w:t xml:space="preserve"> 404-411. e25 </w:t>
            </w:r>
          </w:p>
        </w:tc>
        <w:tc>
          <w:tcPr>
            <w:tcW w:w="4280" w:type="dxa"/>
          </w:tcPr>
          <w:p w14:paraId="016C73ED" w14:textId="77777777" w:rsidR="00084B2B" w:rsidRPr="005176BD" w:rsidRDefault="00084B2B" w:rsidP="003B611A">
            <w:pPr>
              <w:rPr>
                <w:rFonts w:cs="Arial"/>
                <w:sz w:val="20"/>
                <w:szCs w:val="20"/>
                <w:lang w:eastAsia="en-AU"/>
              </w:rPr>
            </w:pPr>
            <w:r w:rsidRPr="005176BD">
              <w:rPr>
                <w:rFonts w:cs="Arial"/>
                <w:sz w:val="20"/>
                <w:szCs w:val="20"/>
                <w:lang w:eastAsia="en-AU"/>
              </w:rPr>
              <w:t>Brown WJ, Burton N &amp; Rowan P.</w:t>
            </w:r>
          </w:p>
        </w:tc>
        <w:tc>
          <w:tcPr>
            <w:tcW w:w="455" w:type="dxa"/>
          </w:tcPr>
          <w:p w14:paraId="38A7EC84" w14:textId="77777777" w:rsidR="00084B2B" w:rsidRPr="005176BD" w:rsidRDefault="00084B2B" w:rsidP="003B611A">
            <w:pPr>
              <w:rPr>
                <w:rFonts w:cs="Arial"/>
                <w:sz w:val="20"/>
                <w:szCs w:val="20"/>
                <w:lang w:eastAsia="en-AU"/>
              </w:rPr>
            </w:pPr>
            <w:r w:rsidRPr="005176BD">
              <w:rPr>
                <w:rFonts w:cs="Arial"/>
                <w:sz w:val="20"/>
                <w:szCs w:val="20"/>
                <w:lang w:eastAsia="en-AU"/>
              </w:rPr>
              <w:t>199</w:t>
            </w:r>
          </w:p>
        </w:tc>
      </w:tr>
      <w:tr w:rsidR="00084B2B" w:rsidRPr="00084B2B" w14:paraId="5B1789AA" w14:textId="77777777" w:rsidTr="0011030B">
        <w:tc>
          <w:tcPr>
            <w:tcW w:w="9120" w:type="dxa"/>
            <w:tcBorders>
              <w:top w:val="single" w:sz="4" w:space="0" w:color="auto"/>
            </w:tcBorders>
          </w:tcPr>
          <w:p w14:paraId="5711511B" w14:textId="7EC8D984" w:rsidR="00084B2B" w:rsidRPr="005176BD" w:rsidRDefault="00084B2B" w:rsidP="003B611A">
            <w:pPr>
              <w:rPr>
                <w:rFonts w:cs="Arial"/>
                <w:sz w:val="20"/>
                <w:szCs w:val="20"/>
                <w:lang w:eastAsia="en-AU"/>
              </w:rPr>
            </w:pPr>
            <w:r w:rsidRPr="005176BD">
              <w:rPr>
                <w:rFonts w:cs="Arial"/>
                <w:sz w:val="20"/>
                <w:szCs w:val="20"/>
                <w:lang w:eastAsia="en-AU"/>
              </w:rPr>
              <w:t xml:space="preserve">Disorders of breathing and continence have a stronger association with back pain than obesity and physical activity. Australian Journal of Physiotherapy, </w:t>
            </w:r>
            <w:r w:rsidR="00E1526F" w:rsidRPr="005176BD">
              <w:rPr>
                <w:rFonts w:cs="Arial"/>
                <w:sz w:val="20"/>
                <w:szCs w:val="20"/>
                <w:lang w:eastAsia="en-AU"/>
              </w:rPr>
              <w:t xml:space="preserve">2006; </w:t>
            </w:r>
            <w:r w:rsidRPr="005176BD">
              <w:rPr>
                <w:rFonts w:cs="Arial"/>
                <w:sz w:val="20"/>
                <w:szCs w:val="20"/>
                <w:lang w:eastAsia="en-AU"/>
              </w:rPr>
              <w:t>52(1)</w:t>
            </w:r>
            <w:r w:rsidR="00E1526F" w:rsidRPr="005176BD">
              <w:rPr>
                <w:rFonts w:cs="Arial"/>
                <w:sz w:val="20"/>
                <w:szCs w:val="20"/>
                <w:lang w:eastAsia="en-AU"/>
              </w:rPr>
              <w:t>:</w:t>
            </w:r>
            <w:r w:rsidRPr="005176BD">
              <w:rPr>
                <w:rFonts w:cs="Arial"/>
                <w:sz w:val="20"/>
                <w:szCs w:val="20"/>
                <w:lang w:eastAsia="en-AU"/>
              </w:rPr>
              <w:t xml:space="preserve"> 11-16. </w:t>
            </w:r>
          </w:p>
        </w:tc>
        <w:tc>
          <w:tcPr>
            <w:tcW w:w="4280" w:type="dxa"/>
          </w:tcPr>
          <w:p w14:paraId="4E6157D1" w14:textId="77777777" w:rsidR="00084B2B" w:rsidRPr="005176BD" w:rsidRDefault="00084B2B" w:rsidP="003B611A">
            <w:pPr>
              <w:rPr>
                <w:rFonts w:cs="Arial"/>
                <w:sz w:val="20"/>
                <w:szCs w:val="20"/>
                <w:lang w:eastAsia="en-AU"/>
              </w:rPr>
            </w:pPr>
            <w:r w:rsidRPr="005176BD">
              <w:rPr>
                <w:rFonts w:cs="Arial"/>
                <w:sz w:val="20"/>
                <w:szCs w:val="20"/>
                <w:lang w:eastAsia="en-AU"/>
              </w:rPr>
              <w:t>Smith MD, Russell A &amp; Hodges PW.</w:t>
            </w:r>
          </w:p>
        </w:tc>
        <w:tc>
          <w:tcPr>
            <w:tcW w:w="455" w:type="dxa"/>
          </w:tcPr>
          <w:p w14:paraId="0772D30F" w14:textId="77777777" w:rsidR="00084B2B" w:rsidRPr="005176BD" w:rsidRDefault="00084B2B" w:rsidP="003B611A">
            <w:pPr>
              <w:rPr>
                <w:rFonts w:cs="Arial"/>
                <w:sz w:val="20"/>
                <w:szCs w:val="20"/>
                <w:lang w:eastAsia="en-AU"/>
              </w:rPr>
            </w:pPr>
            <w:r w:rsidRPr="005176BD">
              <w:rPr>
                <w:rFonts w:cs="Arial"/>
                <w:sz w:val="20"/>
                <w:szCs w:val="20"/>
                <w:lang w:eastAsia="en-AU"/>
              </w:rPr>
              <w:t>172</w:t>
            </w:r>
          </w:p>
        </w:tc>
      </w:tr>
      <w:tr w:rsidR="00084B2B" w:rsidRPr="00084B2B" w14:paraId="4B50C51D" w14:textId="77777777" w:rsidTr="0011030B">
        <w:tc>
          <w:tcPr>
            <w:tcW w:w="9120" w:type="dxa"/>
            <w:tcBorders>
              <w:top w:val="single" w:sz="4" w:space="0" w:color="auto"/>
            </w:tcBorders>
          </w:tcPr>
          <w:p w14:paraId="310926D6" w14:textId="0CA46F87" w:rsidR="00084B2B" w:rsidRPr="005176BD" w:rsidRDefault="00084B2B" w:rsidP="003B611A">
            <w:pPr>
              <w:rPr>
                <w:rFonts w:cs="Arial"/>
                <w:sz w:val="20"/>
                <w:szCs w:val="20"/>
                <w:lang w:eastAsia="en-AU"/>
              </w:rPr>
            </w:pPr>
            <w:r w:rsidRPr="005176BD">
              <w:rPr>
                <w:rFonts w:cs="Arial"/>
                <w:sz w:val="20"/>
                <w:szCs w:val="20"/>
                <w:lang w:eastAsia="en-AU"/>
              </w:rPr>
              <w:t xml:space="preserve">A comparison of the association between socioeconomic position and cardiovascular disease risk factors in three age cohorts of Australian women: Findings from the Australian Longitudinal Study of Women's Health. Journal of Public Health, </w:t>
            </w:r>
            <w:r w:rsidR="00E1526F" w:rsidRPr="005176BD">
              <w:rPr>
                <w:rFonts w:cs="Arial"/>
                <w:sz w:val="20"/>
                <w:szCs w:val="20"/>
                <w:lang w:eastAsia="en-AU"/>
              </w:rPr>
              <w:t xml:space="preserve">2005; </w:t>
            </w:r>
            <w:r w:rsidRPr="005176BD">
              <w:rPr>
                <w:rFonts w:cs="Arial"/>
                <w:sz w:val="20"/>
                <w:szCs w:val="20"/>
                <w:lang w:eastAsia="en-AU"/>
              </w:rPr>
              <w:t>27(4)</w:t>
            </w:r>
            <w:r w:rsidR="00E1526F" w:rsidRPr="005176BD">
              <w:rPr>
                <w:rFonts w:cs="Arial"/>
                <w:sz w:val="20"/>
                <w:szCs w:val="20"/>
                <w:lang w:eastAsia="en-AU"/>
              </w:rPr>
              <w:t>:</w:t>
            </w:r>
            <w:r w:rsidRPr="005176BD">
              <w:rPr>
                <w:rFonts w:cs="Arial"/>
                <w:sz w:val="20"/>
                <w:szCs w:val="20"/>
                <w:lang w:eastAsia="en-AU"/>
              </w:rPr>
              <w:t xml:space="preserve"> 378-387.</w:t>
            </w:r>
          </w:p>
        </w:tc>
        <w:tc>
          <w:tcPr>
            <w:tcW w:w="4280" w:type="dxa"/>
          </w:tcPr>
          <w:p w14:paraId="47239EAF"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Lawlor</w:t>
            </w:r>
            <w:proofErr w:type="spellEnd"/>
            <w:r w:rsidRPr="005176BD">
              <w:rPr>
                <w:rFonts w:cs="Arial"/>
                <w:sz w:val="20"/>
                <w:szCs w:val="20"/>
                <w:lang w:eastAsia="en-AU"/>
              </w:rPr>
              <w:t xml:space="preserve"> DA, Tooth L, Lee C &amp; Dobson A.</w:t>
            </w:r>
          </w:p>
        </w:tc>
        <w:tc>
          <w:tcPr>
            <w:tcW w:w="455" w:type="dxa"/>
          </w:tcPr>
          <w:p w14:paraId="3C8B693B" w14:textId="77777777" w:rsidR="00084B2B" w:rsidRPr="005176BD" w:rsidRDefault="00084B2B" w:rsidP="003B611A">
            <w:pPr>
              <w:rPr>
                <w:rFonts w:cs="Arial"/>
                <w:sz w:val="20"/>
                <w:szCs w:val="20"/>
                <w:lang w:eastAsia="en-AU"/>
              </w:rPr>
            </w:pPr>
            <w:r w:rsidRPr="005176BD">
              <w:rPr>
                <w:rFonts w:cs="Arial"/>
                <w:sz w:val="20"/>
                <w:szCs w:val="20"/>
                <w:lang w:eastAsia="en-AU"/>
              </w:rPr>
              <w:t>9</w:t>
            </w:r>
          </w:p>
        </w:tc>
      </w:tr>
    </w:tbl>
    <w:p w14:paraId="66965C88" w14:textId="77777777" w:rsidR="00084B2B" w:rsidRPr="00084B2B" w:rsidRDefault="00084B2B" w:rsidP="003B611A">
      <w:pPr>
        <w:pStyle w:val="Heading2"/>
        <w:ind w:left="578" w:hanging="578"/>
      </w:pPr>
      <w:bookmarkStart w:id="77" w:name="_Toc530561286"/>
      <w:r w:rsidRPr="00084B2B">
        <w:t>Linked data</w:t>
      </w:r>
      <w:bookmarkEnd w:id="77"/>
    </w:p>
    <w:tbl>
      <w:tblPr>
        <w:tblStyle w:val="TableGrid1"/>
        <w:tblW w:w="13855" w:type="dxa"/>
        <w:tblLook w:val="04A0" w:firstRow="1" w:lastRow="0" w:firstColumn="1" w:lastColumn="0" w:noHBand="0" w:noVBand="1"/>
        <w:tblCaption w:val="Category: Linked data"/>
      </w:tblPr>
      <w:tblGrid>
        <w:gridCol w:w="8517"/>
        <w:gridCol w:w="4001"/>
        <w:gridCol w:w="1337"/>
      </w:tblGrid>
      <w:tr w:rsidR="00084B2B" w:rsidRPr="00084B2B" w14:paraId="2DABABC2" w14:textId="77777777" w:rsidTr="0011030B">
        <w:trPr>
          <w:tblHeader/>
        </w:trPr>
        <w:tc>
          <w:tcPr>
            <w:tcW w:w="8979" w:type="dxa"/>
            <w:shd w:val="clear" w:color="auto" w:fill="F1E9F3"/>
          </w:tcPr>
          <w:p w14:paraId="3168C059" w14:textId="77777777" w:rsidR="00084B2B" w:rsidRPr="00084B2B" w:rsidRDefault="00084B2B" w:rsidP="003B611A">
            <w:pPr>
              <w:rPr>
                <w:rFonts w:cstheme="minorHAnsi"/>
                <w:b/>
                <w:sz w:val="24"/>
                <w:szCs w:val="24"/>
              </w:rPr>
            </w:pPr>
            <w:r w:rsidRPr="00084B2B">
              <w:rPr>
                <w:rFonts w:cstheme="minorHAnsi"/>
                <w:b/>
                <w:sz w:val="24"/>
                <w:szCs w:val="24"/>
              </w:rPr>
              <w:t>Details</w:t>
            </w:r>
          </w:p>
        </w:tc>
        <w:tc>
          <w:tcPr>
            <w:tcW w:w="4200" w:type="dxa"/>
            <w:shd w:val="clear" w:color="auto" w:fill="F1E9F3"/>
          </w:tcPr>
          <w:p w14:paraId="1AA7E23D" w14:textId="77777777" w:rsidR="00084B2B" w:rsidRPr="00084B2B" w:rsidRDefault="00084B2B" w:rsidP="003B611A">
            <w:pPr>
              <w:rPr>
                <w:rFonts w:cstheme="minorHAnsi"/>
                <w:b/>
                <w:sz w:val="24"/>
                <w:szCs w:val="24"/>
              </w:rPr>
            </w:pPr>
            <w:r w:rsidRPr="00084B2B">
              <w:rPr>
                <w:rFonts w:cstheme="minorHAnsi"/>
                <w:b/>
                <w:sz w:val="24"/>
                <w:szCs w:val="24"/>
              </w:rPr>
              <w:t>Authors</w:t>
            </w:r>
          </w:p>
        </w:tc>
        <w:tc>
          <w:tcPr>
            <w:tcW w:w="676" w:type="dxa"/>
            <w:shd w:val="clear" w:color="auto" w:fill="F1E9F3"/>
          </w:tcPr>
          <w:p w14:paraId="359EF1B6" w14:textId="7C68F122" w:rsidR="00084B2B" w:rsidRPr="00084B2B" w:rsidRDefault="00084B2B" w:rsidP="003B611A">
            <w:pPr>
              <w:rPr>
                <w:rFonts w:cstheme="minorHAnsi"/>
                <w:b/>
                <w:sz w:val="24"/>
                <w:szCs w:val="24"/>
              </w:rPr>
            </w:pPr>
            <w:r w:rsidRPr="00084B2B">
              <w:rPr>
                <w:rFonts w:cstheme="minorHAnsi"/>
                <w:b/>
                <w:sz w:val="24"/>
                <w:szCs w:val="24"/>
              </w:rPr>
              <w:t>Citations</w:t>
            </w:r>
            <w:r w:rsidR="0011030B">
              <w:rPr>
                <w:rFonts w:cstheme="minorHAnsi"/>
                <w:b/>
                <w:sz w:val="24"/>
                <w:szCs w:val="24"/>
              </w:rPr>
              <w:t>*</w:t>
            </w:r>
          </w:p>
        </w:tc>
      </w:tr>
      <w:tr w:rsidR="00084B2B" w:rsidRPr="00084B2B" w14:paraId="23259FD1" w14:textId="77777777" w:rsidTr="0011030B">
        <w:tc>
          <w:tcPr>
            <w:tcW w:w="8979" w:type="dxa"/>
          </w:tcPr>
          <w:p w14:paraId="2DE906BF" w14:textId="7B73F443" w:rsidR="00084B2B" w:rsidRPr="005176BD" w:rsidRDefault="00084B2B" w:rsidP="003B611A">
            <w:pPr>
              <w:rPr>
                <w:rFonts w:cs="Arial"/>
                <w:sz w:val="20"/>
                <w:szCs w:val="20"/>
                <w:lang w:eastAsia="en-AU"/>
              </w:rPr>
            </w:pPr>
            <w:r w:rsidRPr="005176BD">
              <w:rPr>
                <w:rFonts w:cs="Arial"/>
                <w:sz w:val="20"/>
                <w:szCs w:val="20"/>
                <w:lang w:eastAsia="en-AU"/>
              </w:rPr>
              <w:t xml:space="preserve">Rehabilitation and convalescent hospital stay in New South Wales: </w:t>
            </w:r>
            <w:r w:rsidR="0036047B" w:rsidRPr="005176BD">
              <w:rPr>
                <w:rFonts w:cs="Arial"/>
                <w:sz w:val="20"/>
                <w:szCs w:val="20"/>
                <w:lang w:eastAsia="en-AU"/>
              </w:rPr>
              <w:t>A</w:t>
            </w:r>
            <w:r w:rsidRPr="005176BD">
              <w:rPr>
                <w:rFonts w:cs="Arial"/>
                <w:sz w:val="20"/>
                <w:szCs w:val="20"/>
                <w:lang w:eastAsia="en-AU"/>
              </w:rPr>
              <w:t xml:space="preserve">n analysis of 3,979 women aged 75+. Australian and New Zealand Journal of Public Health, </w:t>
            </w:r>
            <w:r w:rsidR="0036047B" w:rsidRPr="005176BD">
              <w:rPr>
                <w:rFonts w:cs="Arial"/>
                <w:sz w:val="20"/>
                <w:szCs w:val="20"/>
                <w:lang w:eastAsia="en-AU"/>
              </w:rPr>
              <w:t>2018; 42(2): 195-199.</w:t>
            </w:r>
          </w:p>
        </w:tc>
        <w:tc>
          <w:tcPr>
            <w:tcW w:w="4200" w:type="dxa"/>
          </w:tcPr>
          <w:p w14:paraId="5FB49BFC" w14:textId="77777777" w:rsidR="00084B2B" w:rsidRPr="005176BD" w:rsidRDefault="00084B2B" w:rsidP="003B611A">
            <w:pPr>
              <w:rPr>
                <w:rFonts w:cs="Arial"/>
                <w:sz w:val="20"/>
                <w:szCs w:val="20"/>
                <w:lang w:eastAsia="en-AU"/>
              </w:rPr>
            </w:pPr>
            <w:r w:rsidRPr="005176BD">
              <w:rPr>
                <w:rFonts w:cs="Arial"/>
                <w:sz w:val="20"/>
                <w:szCs w:val="20"/>
                <w:lang w:eastAsia="en-AU"/>
              </w:rPr>
              <w:t>Chojenta C, Byles J &amp; Nair B.</w:t>
            </w:r>
          </w:p>
        </w:tc>
        <w:tc>
          <w:tcPr>
            <w:tcW w:w="676" w:type="dxa"/>
          </w:tcPr>
          <w:p w14:paraId="2ED10124" w14:textId="77777777" w:rsidR="00084B2B" w:rsidRPr="005176BD" w:rsidRDefault="00084B2B" w:rsidP="003B611A">
            <w:pPr>
              <w:rPr>
                <w:rFonts w:cs="Arial"/>
                <w:sz w:val="20"/>
                <w:szCs w:val="20"/>
                <w:lang w:eastAsia="en-AU"/>
              </w:rPr>
            </w:pPr>
            <w:r w:rsidRPr="005176BD">
              <w:rPr>
                <w:rFonts w:cs="Arial"/>
                <w:sz w:val="20"/>
                <w:szCs w:val="20"/>
                <w:lang w:eastAsia="en-AU"/>
              </w:rPr>
              <w:t>0</w:t>
            </w:r>
          </w:p>
        </w:tc>
      </w:tr>
      <w:tr w:rsidR="00084B2B" w:rsidRPr="00084B2B" w14:paraId="4752C59D" w14:textId="77777777" w:rsidTr="0011030B">
        <w:tc>
          <w:tcPr>
            <w:tcW w:w="8979" w:type="dxa"/>
          </w:tcPr>
          <w:p w14:paraId="7570D151" w14:textId="750806C6" w:rsidR="00084B2B" w:rsidRPr="005176BD" w:rsidRDefault="00084B2B" w:rsidP="003B611A">
            <w:pPr>
              <w:rPr>
                <w:rFonts w:cs="Arial"/>
                <w:sz w:val="20"/>
                <w:szCs w:val="20"/>
                <w:lang w:eastAsia="en-AU"/>
              </w:rPr>
            </w:pPr>
            <w:r w:rsidRPr="005176BD">
              <w:rPr>
                <w:rFonts w:cs="Arial"/>
                <w:sz w:val="20"/>
                <w:szCs w:val="20"/>
                <w:lang w:eastAsia="en-AU"/>
              </w:rPr>
              <w:t>Associations between physical activity, medical costs and hospitalisations in older Australian women: Results from the Australian Longitudinal Study on Women’s Health. Journal of Science and Medicine in Sport, 2017</w:t>
            </w:r>
            <w:r w:rsidR="0036047B" w:rsidRPr="005176BD">
              <w:rPr>
                <w:rFonts w:cs="Arial"/>
                <w:sz w:val="20"/>
                <w:szCs w:val="20"/>
                <w:lang w:eastAsia="en-AU"/>
              </w:rPr>
              <w:t>;</w:t>
            </w:r>
            <w:r w:rsidRPr="005176BD">
              <w:rPr>
                <w:rFonts w:cs="Arial"/>
                <w:sz w:val="20"/>
                <w:szCs w:val="20"/>
                <w:lang w:eastAsia="en-AU"/>
              </w:rPr>
              <w:t xml:space="preserve"> 21(6)</w:t>
            </w:r>
            <w:r w:rsidR="0036047B" w:rsidRPr="005176BD">
              <w:rPr>
                <w:rFonts w:cs="Arial"/>
                <w:sz w:val="20"/>
                <w:szCs w:val="20"/>
                <w:lang w:eastAsia="en-AU"/>
              </w:rPr>
              <w:t xml:space="preserve">: </w:t>
            </w:r>
            <w:r w:rsidRPr="005176BD">
              <w:rPr>
                <w:rFonts w:cs="Arial"/>
                <w:sz w:val="20"/>
                <w:szCs w:val="20"/>
                <w:lang w:eastAsia="en-AU"/>
              </w:rPr>
              <w:t>604-608</w:t>
            </w:r>
            <w:r w:rsidR="0036047B" w:rsidRPr="005176BD">
              <w:rPr>
                <w:rFonts w:cs="Arial"/>
                <w:sz w:val="20"/>
                <w:szCs w:val="20"/>
                <w:lang w:eastAsia="en-AU"/>
              </w:rPr>
              <w:t>.</w:t>
            </w:r>
          </w:p>
        </w:tc>
        <w:tc>
          <w:tcPr>
            <w:tcW w:w="4200" w:type="dxa"/>
          </w:tcPr>
          <w:p w14:paraId="041AF9B4" w14:textId="77777777" w:rsidR="00084B2B" w:rsidRPr="005176BD" w:rsidRDefault="00084B2B" w:rsidP="003B611A">
            <w:pPr>
              <w:rPr>
                <w:rFonts w:cs="Arial"/>
                <w:sz w:val="20"/>
                <w:szCs w:val="20"/>
                <w:lang w:eastAsia="en-AU"/>
              </w:rPr>
            </w:pPr>
            <w:r w:rsidRPr="005176BD">
              <w:rPr>
                <w:rFonts w:cs="Arial"/>
                <w:sz w:val="20"/>
                <w:szCs w:val="20"/>
                <w:lang w:eastAsia="en-AU"/>
              </w:rPr>
              <w:t>Peeters GMEE, Gardiner PA, Dobson AJ &amp; Brown WJ.</w:t>
            </w:r>
          </w:p>
        </w:tc>
        <w:tc>
          <w:tcPr>
            <w:tcW w:w="676" w:type="dxa"/>
          </w:tcPr>
          <w:p w14:paraId="19EA29D0"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29380BB0" w14:textId="77777777" w:rsidTr="0011030B">
        <w:tc>
          <w:tcPr>
            <w:tcW w:w="8979" w:type="dxa"/>
          </w:tcPr>
          <w:p w14:paraId="4D73E297" w14:textId="3B62B2A3" w:rsidR="00084B2B" w:rsidRPr="005176BD" w:rsidRDefault="00084B2B" w:rsidP="003B611A">
            <w:pPr>
              <w:rPr>
                <w:rFonts w:cs="Arial"/>
                <w:sz w:val="20"/>
                <w:szCs w:val="20"/>
                <w:lang w:eastAsia="en-AU"/>
              </w:rPr>
            </w:pPr>
            <w:r w:rsidRPr="005176BD">
              <w:rPr>
                <w:rFonts w:cs="Arial"/>
                <w:sz w:val="20"/>
                <w:szCs w:val="20"/>
                <w:lang w:eastAsia="en-AU"/>
              </w:rPr>
              <w:lastRenderedPageBreak/>
              <w:t>Patterns of hospitalization risk for women surviving into very old age: Findings from the Australian Longitudinal Study on Women's Health. Medical Care, 2017</w:t>
            </w:r>
            <w:r w:rsidR="0036047B" w:rsidRPr="005176BD">
              <w:rPr>
                <w:rFonts w:cs="Arial"/>
                <w:sz w:val="20"/>
                <w:szCs w:val="20"/>
                <w:lang w:eastAsia="en-AU"/>
              </w:rPr>
              <w:t xml:space="preserve">; </w:t>
            </w:r>
            <w:r w:rsidRPr="005176BD">
              <w:rPr>
                <w:rFonts w:cs="Arial"/>
                <w:sz w:val="20"/>
                <w:szCs w:val="20"/>
                <w:lang w:eastAsia="en-AU"/>
              </w:rPr>
              <w:t>55(4)</w:t>
            </w:r>
            <w:r w:rsidR="0036047B" w:rsidRPr="005176BD">
              <w:rPr>
                <w:rFonts w:cs="Arial"/>
                <w:sz w:val="20"/>
                <w:szCs w:val="20"/>
                <w:lang w:eastAsia="en-AU"/>
              </w:rPr>
              <w:t xml:space="preserve">: </w:t>
            </w:r>
            <w:r w:rsidRPr="005176BD">
              <w:rPr>
                <w:rFonts w:cs="Arial"/>
                <w:sz w:val="20"/>
                <w:szCs w:val="20"/>
                <w:lang w:eastAsia="en-AU"/>
              </w:rPr>
              <w:t>352-361</w:t>
            </w:r>
            <w:r w:rsidR="0036047B" w:rsidRPr="005176BD">
              <w:rPr>
                <w:rFonts w:cs="Arial"/>
                <w:sz w:val="20"/>
                <w:szCs w:val="20"/>
                <w:lang w:eastAsia="en-AU"/>
              </w:rPr>
              <w:t>.</w:t>
            </w:r>
          </w:p>
        </w:tc>
        <w:tc>
          <w:tcPr>
            <w:tcW w:w="4200" w:type="dxa"/>
          </w:tcPr>
          <w:p w14:paraId="71C88A6D" w14:textId="77777777" w:rsidR="00084B2B" w:rsidRPr="005176BD" w:rsidRDefault="00084B2B" w:rsidP="003B611A">
            <w:pPr>
              <w:rPr>
                <w:rFonts w:cs="Arial"/>
                <w:sz w:val="20"/>
                <w:szCs w:val="20"/>
                <w:lang w:eastAsia="en-AU"/>
              </w:rPr>
            </w:pPr>
            <w:r w:rsidRPr="005176BD">
              <w:rPr>
                <w:rFonts w:cs="Arial"/>
                <w:sz w:val="20"/>
                <w:szCs w:val="20"/>
                <w:lang w:eastAsia="en-AU"/>
              </w:rPr>
              <w:t xml:space="preserve">Dolja-Gore X, Harris M, </w:t>
            </w:r>
            <w:proofErr w:type="spellStart"/>
            <w:r w:rsidRPr="005176BD">
              <w:rPr>
                <w:rFonts w:cs="Arial"/>
                <w:sz w:val="20"/>
                <w:szCs w:val="20"/>
                <w:lang w:eastAsia="en-AU"/>
              </w:rPr>
              <w:t>Hendig</w:t>
            </w:r>
            <w:proofErr w:type="spellEnd"/>
            <w:r w:rsidRPr="005176BD">
              <w:rPr>
                <w:rFonts w:cs="Arial"/>
                <w:sz w:val="20"/>
                <w:szCs w:val="20"/>
                <w:lang w:eastAsia="en-AU"/>
              </w:rPr>
              <w:t xml:space="preserve"> H &amp; Byles JE.</w:t>
            </w:r>
          </w:p>
        </w:tc>
        <w:tc>
          <w:tcPr>
            <w:tcW w:w="676" w:type="dxa"/>
          </w:tcPr>
          <w:p w14:paraId="3573740E"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023A2FD7" w14:textId="77777777" w:rsidTr="0011030B">
        <w:tc>
          <w:tcPr>
            <w:tcW w:w="8979" w:type="dxa"/>
            <w:tcBorders>
              <w:bottom w:val="single" w:sz="4" w:space="0" w:color="auto"/>
            </w:tcBorders>
          </w:tcPr>
          <w:p w14:paraId="6625272B" w14:textId="4884E05E" w:rsidR="00084B2B" w:rsidRPr="005176BD" w:rsidRDefault="00084B2B" w:rsidP="003B611A">
            <w:pPr>
              <w:rPr>
                <w:rFonts w:cs="Arial"/>
                <w:sz w:val="20"/>
                <w:szCs w:val="20"/>
                <w:lang w:eastAsia="en-AU"/>
              </w:rPr>
            </w:pPr>
            <w:r w:rsidRPr="005176BD">
              <w:rPr>
                <w:rFonts w:cs="Arial"/>
                <w:sz w:val="20"/>
                <w:szCs w:val="20"/>
                <w:lang w:eastAsia="en-AU"/>
              </w:rPr>
              <w:t>Cumulative incidence of admission to permanent residential aged care for Australian women – A competing risk analysis. Australian and New Zealand Journal of Public Health, 2017</w:t>
            </w:r>
            <w:r w:rsidR="0036047B" w:rsidRPr="005176BD">
              <w:rPr>
                <w:rFonts w:cs="Arial"/>
                <w:sz w:val="20"/>
                <w:szCs w:val="20"/>
                <w:lang w:eastAsia="en-AU"/>
              </w:rPr>
              <w:t>;</w:t>
            </w:r>
            <w:r w:rsidRPr="005176BD">
              <w:rPr>
                <w:rFonts w:cs="Arial"/>
                <w:sz w:val="20"/>
                <w:szCs w:val="20"/>
                <w:lang w:eastAsia="en-AU"/>
              </w:rPr>
              <w:t xml:space="preserve"> 42(2)</w:t>
            </w:r>
            <w:r w:rsidR="0036047B" w:rsidRPr="005176BD">
              <w:rPr>
                <w:rFonts w:cs="Arial"/>
                <w:sz w:val="20"/>
                <w:szCs w:val="20"/>
                <w:lang w:eastAsia="en-AU"/>
              </w:rPr>
              <w:t>:</w:t>
            </w:r>
            <w:r w:rsidRPr="005176BD">
              <w:rPr>
                <w:rFonts w:cs="Arial"/>
                <w:sz w:val="20"/>
                <w:szCs w:val="20"/>
                <w:lang w:eastAsia="en-AU"/>
              </w:rPr>
              <w:t xml:space="preserve"> 166-171</w:t>
            </w:r>
            <w:r w:rsidR="0036047B" w:rsidRPr="005176BD">
              <w:rPr>
                <w:rFonts w:cs="Arial"/>
                <w:sz w:val="20"/>
                <w:szCs w:val="20"/>
                <w:lang w:eastAsia="en-AU"/>
              </w:rPr>
              <w:t>.</w:t>
            </w:r>
          </w:p>
        </w:tc>
        <w:tc>
          <w:tcPr>
            <w:tcW w:w="4200" w:type="dxa"/>
          </w:tcPr>
          <w:p w14:paraId="3A5C7A5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Forder P, Byles J, Vo K, </w:t>
            </w:r>
            <w:proofErr w:type="spellStart"/>
            <w:r w:rsidRPr="005176BD">
              <w:rPr>
                <w:rFonts w:cs="Arial"/>
                <w:sz w:val="20"/>
                <w:szCs w:val="20"/>
                <w:lang w:eastAsia="en-AU"/>
              </w:rPr>
              <w:t>Curryer</w:t>
            </w:r>
            <w:proofErr w:type="spellEnd"/>
            <w:r w:rsidRPr="005176BD">
              <w:rPr>
                <w:rFonts w:cs="Arial"/>
                <w:sz w:val="20"/>
                <w:szCs w:val="20"/>
                <w:lang w:eastAsia="en-AU"/>
              </w:rPr>
              <w:t xml:space="preserve"> C &amp; Loxton D.</w:t>
            </w:r>
          </w:p>
        </w:tc>
        <w:tc>
          <w:tcPr>
            <w:tcW w:w="676" w:type="dxa"/>
          </w:tcPr>
          <w:p w14:paraId="08CED7D1"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16119E2A"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0D4A0674" w14:textId="1B8B8135" w:rsidR="00084B2B" w:rsidRPr="005176BD" w:rsidRDefault="00084B2B" w:rsidP="003B611A">
            <w:pPr>
              <w:rPr>
                <w:rFonts w:cs="Arial"/>
                <w:sz w:val="20"/>
                <w:szCs w:val="20"/>
                <w:lang w:eastAsia="en-AU"/>
              </w:rPr>
            </w:pPr>
            <w:r w:rsidRPr="005176BD">
              <w:rPr>
                <w:rFonts w:cs="Arial"/>
                <w:sz w:val="20"/>
                <w:szCs w:val="20"/>
                <w:lang w:eastAsia="en-AU"/>
              </w:rPr>
              <w:t>Uptake, prevalence and predictors of ﬁrst-time use for the 75+ Health Assessment Scheme. Australian Journal of Primary Health, 2017</w:t>
            </w:r>
            <w:r w:rsidR="0036047B" w:rsidRPr="005176BD">
              <w:rPr>
                <w:rFonts w:cs="Arial"/>
                <w:sz w:val="20"/>
                <w:szCs w:val="20"/>
                <w:lang w:eastAsia="en-AU"/>
              </w:rPr>
              <w:t>;</w:t>
            </w:r>
            <w:r w:rsidRPr="005176BD">
              <w:rPr>
                <w:rFonts w:cs="Arial"/>
                <w:sz w:val="20"/>
                <w:szCs w:val="20"/>
                <w:lang w:eastAsia="en-AU"/>
              </w:rPr>
              <w:t xml:space="preserve"> 23(5)</w:t>
            </w:r>
            <w:r w:rsidR="0036047B" w:rsidRPr="005176BD">
              <w:rPr>
                <w:rFonts w:cs="Arial"/>
                <w:sz w:val="20"/>
                <w:szCs w:val="20"/>
                <w:lang w:eastAsia="en-AU"/>
              </w:rPr>
              <w:t xml:space="preserve">: </w:t>
            </w:r>
            <w:r w:rsidRPr="005176BD">
              <w:rPr>
                <w:rFonts w:cs="Arial"/>
                <w:sz w:val="20"/>
                <w:szCs w:val="20"/>
                <w:lang w:eastAsia="en-AU"/>
              </w:rPr>
              <w:t>476-481</w:t>
            </w:r>
            <w:r w:rsidR="0036047B" w:rsidRPr="005176BD">
              <w:rPr>
                <w:rFonts w:cs="Arial"/>
                <w:sz w:val="20"/>
                <w:szCs w:val="20"/>
                <w:lang w:eastAsia="en-AU"/>
              </w:rPr>
              <w:t>.</w:t>
            </w:r>
          </w:p>
        </w:tc>
        <w:tc>
          <w:tcPr>
            <w:tcW w:w="4200" w:type="dxa"/>
          </w:tcPr>
          <w:p w14:paraId="6BE63E39" w14:textId="77777777" w:rsidR="00084B2B" w:rsidRPr="005176BD" w:rsidRDefault="00084B2B" w:rsidP="003B611A">
            <w:pPr>
              <w:rPr>
                <w:rFonts w:cs="Arial"/>
                <w:sz w:val="20"/>
                <w:szCs w:val="20"/>
                <w:lang w:eastAsia="en-AU"/>
              </w:rPr>
            </w:pPr>
            <w:r w:rsidRPr="005176BD">
              <w:rPr>
                <w:rFonts w:cs="Arial"/>
                <w:sz w:val="20"/>
                <w:szCs w:val="20"/>
                <w:lang w:eastAsia="en-AU"/>
              </w:rPr>
              <w:t>Dolja-Gore X, Tavener M, Majeed T, Nair BR &amp; Byles JE.</w:t>
            </w:r>
          </w:p>
        </w:tc>
        <w:tc>
          <w:tcPr>
            <w:tcW w:w="676" w:type="dxa"/>
          </w:tcPr>
          <w:p w14:paraId="7AEDF65F"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4886425A"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3CED6A47" w14:textId="62665657" w:rsidR="00084B2B" w:rsidRPr="005176BD" w:rsidRDefault="00084B2B" w:rsidP="003B611A">
            <w:pPr>
              <w:rPr>
                <w:rFonts w:cs="Arial"/>
                <w:sz w:val="20"/>
                <w:szCs w:val="20"/>
                <w:lang w:eastAsia="en-AU"/>
              </w:rPr>
            </w:pPr>
            <w:r w:rsidRPr="005176BD">
              <w:rPr>
                <w:rFonts w:cs="Arial"/>
                <w:sz w:val="20"/>
                <w:szCs w:val="20"/>
                <w:lang w:eastAsia="en-AU"/>
              </w:rPr>
              <w:t>The rise and fall in out-of-pocket costs in Australia: An analysis of the strengthening Medicare reforms. Health Economics, 2017</w:t>
            </w:r>
            <w:r w:rsidR="0036047B" w:rsidRPr="005176BD">
              <w:rPr>
                <w:rFonts w:cs="Arial"/>
                <w:sz w:val="20"/>
                <w:szCs w:val="20"/>
                <w:lang w:eastAsia="en-AU"/>
              </w:rPr>
              <w:t>;</w:t>
            </w:r>
            <w:r w:rsidRPr="005176BD">
              <w:rPr>
                <w:rFonts w:cs="Arial"/>
                <w:sz w:val="20"/>
                <w:szCs w:val="20"/>
                <w:lang w:eastAsia="en-AU"/>
              </w:rPr>
              <w:t xml:space="preserve"> 26(8)</w:t>
            </w:r>
            <w:r w:rsidR="0036047B" w:rsidRPr="005176BD">
              <w:rPr>
                <w:rFonts w:cs="Arial"/>
                <w:sz w:val="20"/>
                <w:szCs w:val="20"/>
                <w:lang w:eastAsia="en-AU"/>
              </w:rPr>
              <w:t xml:space="preserve">: </w:t>
            </w:r>
            <w:r w:rsidRPr="005176BD">
              <w:rPr>
                <w:rFonts w:cs="Arial"/>
                <w:sz w:val="20"/>
                <w:szCs w:val="20"/>
                <w:lang w:eastAsia="en-AU"/>
              </w:rPr>
              <w:t>962-979</w:t>
            </w:r>
            <w:r w:rsidR="0036047B" w:rsidRPr="005176BD">
              <w:rPr>
                <w:rFonts w:cs="Arial"/>
                <w:sz w:val="20"/>
                <w:szCs w:val="20"/>
                <w:lang w:eastAsia="en-AU"/>
              </w:rPr>
              <w:t>.</w:t>
            </w:r>
          </w:p>
        </w:tc>
        <w:tc>
          <w:tcPr>
            <w:tcW w:w="4200" w:type="dxa"/>
          </w:tcPr>
          <w:p w14:paraId="7B130865" w14:textId="77777777" w:rsidR="00084B2B" w:rsidRPr="005176BD" w:rsidRDefault="00084B2B" w:rsidP="003B611A">
            <w:pPr>
              <w:rPr>
                <w:rFonts w:cs="Arial"/>
                <w:sz w:val="20"/>
                <w:szCs w:val="20"/>
                <w:lang w:eastAsia="en-AU"/>
              </w:rPr>
            </w:pPr>
            <w:r w:rsidRPr="005176BD">
              <w:rPr>
                <w:rFonts w:cs="Arial"/>
                <w:sz w:val="20"/>
                <w:szCs w:val="20"/>
                <w:lang w:eastAsia="en-AU"/>
              </w:rPr>
              <w:t>Wong CY, Greene J, Dolja-Gore X &amp; van Gool K.</w:t>
            </w:r>
          </w:p>
        </w:tc>
        <w:tc>
          <w:tcPr>
            <w:tcW w:w="676" w:type="dxa"/>
          </w:tcPr>
          <w:p w14:paraId="24360C65"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7750D8" w:rsidRPr="00084B2B" w14:paraId="4EA84881"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61AC515B" w14:textId="524A1188" w:rsidR="007750D8" w:rsidRPr="005176BD" w:rsidRDefault="007750D8" w:rsidP="003B611A">
            <w:pPr>
              <w:rPr>
                <w:rFonts w:cs="Arial"/>
                <w:sz w:val="20"/>
                <w:szCs w:val="20"/>
                <w:lang w:eastAsia="en-AU"/>
              </w:rPr>
            </w:pPr>
            <w:r w:rsidRPr="005176BD">
              <w:rPr>
                <w:rFonts w:cs="Arial"/>
                <w:sz w:val="20"/>
                <w:szCs w:val="20"/>
                <w:lang w:eastAsia="en-AU"/>
              </w:rPr>
              <w:t>First incident hospitalisation for Australian women aged 70 and beyond: A 10 year examination using competing risks. Archives of Gerontology and Geriatrics, 2016; 64: 29-37.</w:t>
            </w:r>
          </w:p>
        </w:tc>
        <w:tc>
          <w:tcPr>
            <w:tcW w:w="4200" w:type="dxa"/>
          </w:tcPr>
          <w:p w14:paraId="2ABA0805" w14:textId="77777777" w:rsidR="007750D8" w:rsidRPr="005176BD" w:rsidRDefault="007750D8" w:rsidP="003B611A">
            <w:pPr>
              <w:rPr>
                <w:rFonts w:cs="Arial"/>
                <w:sz w:val="20"/>
                <w:szCs w:val="20"/>
                <w:lang w:eastAsia="en-AU"/>
              </w:rPr>
            </w:pPr>
            <w:r w:rsidRPr="005176BD">
              <w:rPr>
                <w:rFonts w:cs="Arial"/>
                <w:sz w:val="20"/>
                <w:szCs w:val="20"/>
                <w:lang w:eastAsia="en-AU"/>
              </w:rPr>
              <w:t xml:space="preserve">Harris ML, Dolja-Gore X, </w:t>
            </w:r>
            <w:proofErr w:type="spellStart"/>
            <w:r w:rsidRPr="005176BD">
              <w:rPr>
                <w:rFonts w:cs="Arial"/>
                <w:sz w:val="20"/>
                <w:szCs w:val="20"/>
                <w:lang w:eastAsia="en-AU"/>
              </w:rPr>
              <w:t>Kendig</w:t>
            </w:r>
            <w:proofErr w:type="spellEnd"/>
            <w:r w:rsidRPr="005176BD">
              <w:rPr>
                <w:rFonts w:cs="Arial"/>
                <w:sz w:val="20"/>
                <w:szCs w:val="20"/>
                <w:lang w:eastAsia="en-AU"/>
              </w:rPr>
              <w:t xml:space="preserve"> H &amp; Byles JE.</w:t>
            </w:r>
          </w:p>
        </w:tc>
        <w:tc>
          <w:tcPr>
            <w:tcW w:w="676" w:type="dxa"/>
          </w:tcPr>
          <w:p w14:paraId="3DD27A3D" w14:textId="77777777" w:rsidR="007750D8" w:rsidRPr="005176BD" w:rsidRDefault="007750D8" w:rsidP="003B611A">
            <w:pPr>
              <w:rPr>
                <w:rFonts w:cs="Arial"/>
                <w:sz w:val="20"/>
                <w:szCs w:val="20"/>
                <w:lang w:eastAsia="en-AU"/>
              </w:rPr>
            </w:pPr>
            <w:r w:rsidRPr="005176BD">
              <w:rPr>
                <w:rFonts w:cs="Arial"/>
                <w:sz w:val="20"/>
                <w:szCs w:val="20"/>
                <w:lang w:eastAsia="en-AU"/>
              </w:rPr>
              <w:t>1</w:t>
            </w:r>
          </w:p>
        </w:tc>
      </w:tr>
      <w:tr w:rsidR="007750D8" w:rsidRPr="00084B2B" w14:paraId="79197DCC"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28F26E9B" w14:textId="3EDF96C1" w:rsidR="007750D8" w:rsidRPr="005176BD" w:rsidRDefault="007750D8" w:rsidP="003B611A">
            <w:pPr>
              <w:rPr>
                <w:rFonts w:cs="Arial"/>
                <w:sz w:val="20"/>
                <w:szCs w:val="20"/>
                <w:lang w:eastAsia="en-AU"/>
              </w:rPr>
            </w:pPr>
            <w:r w:rsidRPr="005176BD">
              <w:rPr>
                <w:rFonts w:cs="Arial"/>
                <w:sz w:val="20"/>
                <w:szCs w:val="20"/>
                <w:lang w:eastAsia="en-AU"/>
              </w:rPr>
              <w:t>Estimating the prevalence of dementia using multiple linked administrative health records and capture–recapture methodology. Emerging Themes in Epidemiology, 2017; 14(1: 1-9.</w:t>
            </w:r>
          </w:p>
        </w:tc>
        <w:tc>
          <w:tcPr>
            <w:tcW w:w="4200" w:type="dxa"/>
          </w:tcPr>
          <w:p w14:paraId="7789FFCE" w14:textId="77777777" w:rsidR="007750D8" w:rsidRPr="005176BD" w:rsidRDefault="007750D8" w:rsidP="003B611A">
            <w:pPr>
              <w:rPr>
                <w:rFonts w:cs="Arial"/>
                <w:sz w:val="20"/>
                <w:szCs w:val="20"/>
                <w:lang w:eastAsia="en-AU"/>
              </w:rPr>
            </w:pPr>
            <w:r w:rsidRPr="005176BD">
              <w:rPr>
                <w:rFonts w:cs="Arial"/>
                <w:sz w:val="20"/>
                <w:szCs w:val="20"/>
                <w:lang w:eastAsia="en-AU"/>
              </w:rPr>
              <w:t>Waller M, Mishra G &amp; Dobson A.</w:t>
            </w:r>
          </w:p>
        </w:tc>
        <w:tc>
          <w:tcPr>
            <w:tcW w:w="676" w:type="dxa"/>
          </w:tcPr>
          <w:p w14:paraId="04277754" w14:textId="77777777" w:rsidR="007750D8" w:rsidRPr="005176BD" w:rsidRDefault="007750D8" w:rsidP="003B611A">
            <w:pPr>
              <w:rPr>
                <w:rFonts w:cs="Arial"/>
                <w:sz w:val="20"/>
                <w:szCs w:val="20"/>
                <w:lang w:eastAsia="en-AU"/>
              </w:rPr>
            </w:pPr>
            <w:r w:rsidRPr="005176BD">
              <w:rPr>
                <w:rFonts w:cs="Arial"/>
                <w:sz w:val="20"/>
                <w:szCs w:val="20"/>
                <w:lang w:eastAsia="en-AU"/>
              </w:rPr>
              <w:t>1</w:t>
            </w:r>
          </w:p>
        </w:tc>
      </w:tr>
      <w:tr w:rsidR="007750D8" w:rsidRPr="00084B2B" w14:paraId="11A8246D"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61FBE25C" w14:textId="02DEA9DF" w:rsidR="007750D8" w:rsidRPr="005176BD" w:rsidRDefault="007750D8" w:rsidP="003B611A">
            <w:pPr>
              <w:rPr>
                <w:rFonts w:cs="Arial"/>
                <w:sz w:val="20"/>
                <w:szCs w:val="20"/>
                <w:lang w:eastAsia="en-AU"/>
              </w:rPr>
            </w:pPr>
            <w:r w:rsidRPr="005176BD">
              <w:rPr>
                <w:rFonts w:cs="Arial"/>
                <w:sz w:val="20"/>
                <w:szCs w:val="20"/>
                <w:lang w:eastAsia="en-AU"/>
              </w:rPr>
              <w:t>New-onset diabetes after statin exposure in elderly women: The Australian Longitudinal Study on Women’s Health. Drugs and Ageing, 2017; 34(3): 203-209.</w:t>
            </w:r>
          </w:p>
        </w:tc>
        <w:tc>
          <w:tcPr>
            <w:tcW w:w="4200" w:type="dxa"/>
          </w:tcPr>
          <w:p w14:paraId="1727C8F4" w14:textId="77777777" w:rsidR="007750D8" w:rsidRPr="005176BD" w:rsidRDefault="007750D8" w:rsidP="003B611A">
            <w:pPr>
              <w:rPr>
                <w:rFonts w:cs="Arial"/>
                <w:sz w:val="20"/>
                <w:szCs w:val="20"/>
                <w:lang w:eastAsia="en-AU"/>
              </w:rPr>
            </w:pPr>
            <w:r w:rsidRPr="005176BD">
              <w:rPr>
                <w:rFonts w:cs="Arial"/>
                <w:sz w:val="20"/>
                <w:szCs w:val="20"/>
                <w:lang w:eastAsia="en-AU"/>
              </w:rPr>
              <w:t xml:space="preserve">Jones M, </w:t>
            </w:r>
            <w:proofErr w:type="spellStart"/>
            <w:r w:rsidRPr="005176BD">
              <w:rPr>
                <w:rFonts w:cs="Arial"/>
                <w:sz w:val="20"/>
                <w:szCs w:val="20"/>
                <w:lang w:eastAsia="en-AU"/>
              </w:rPr>
              <w:t>Tett</w:t>
            </w:r>
            <w:proofErr w:type="spellEnd"/>
            <w:r w:rsidRPr="005176BD">
              <w:rPr>
                <w:rFonts w:cs="Arial"/>
                <w:sz w:val="20"/>
                <w:szCs w:val="20"/>
                <w:lang w:eastAsia="en-AU"/>
              </w:rPr>
              <w:t xml:space="preserve"> S, Peeters GMEE, Mishra G &amp; Dobson A.</w:t>
            </w:r>
          </w:p>
        </w:tc>
        <w:tc>
          <w:tcPr>
            <w:tcW w:w="676" w:type="dxa"/>
          </w:tcPr>
          <w:p w14:paraId="6C54F0D6" w14:textId="77777777" w:rsidR="007750D8" w:rsidRPr="005176BD" w:rsidRDefault="007750D8" w:rsidP="003B611A">
            <w:pPr>
              <w:rPr>
                <w:rFonts w:cs="Arial"/>
                <w:sz w:val="20"/>
                <w:szCs w:val="20"/>
                <w:lang w:eastAsia="en-AU"/>
              </w:rPr>
            </w:pPr>
            <w:r w:rsidRPr="005176BD">
              <w:rPr>
                <w:rFonts w:cs="Arial"/>
                <w:sz w:val="20"/>
                <w:szCs w:val="20"/>
                <w:lang w:eastAsia="en-AU"/>
              </w:rPr>
              <w:t>13</w:t>
            </w:r>
          </w:p>
        </w:tc>
      </w:tr>
      <w:tr w:rsidR="007750D8" w:rsidRPr="00084B2B" w14:paraId="743B5C15"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7A8A259D" w14:textId="6A57EB2D" w:rsidR="007750D8" w:rsidRPr="005176BD" w:rsidRDefault="007750D8" w:rsidP="003B611A">
            <w:pPr>
              <w:rPr>
                <w:rFonts w:cs="Arial"/>
                <w:sz w:val="20"/>
                <w:szCs w:val="20"/>
                <w:lang w:eastAsia="en-AU"/>
              </w:rPr>
            </w:pPr>
            <w:r w:rsidRPr="005176BD">
              <w:rPr>
                <w:rFonts w:cs="Arial"/>
                <w:sz w:val="20"/>
                <w:szCs w:val="20"/>
                <w:lang w:eastAsia="en-AU"/>
              </w:rPr>
              <w:t>End of life hospitalisations differ for older Australian women according to death trajectory: A longitudinal data linkage study. BMC Health Services, 2016; 16(1): 484.</w:t>
            </w:r>
          </w:p>
        </w:tc>
        <w:tc>
          <w:tcPr>
            <w:tcW w:w="4200" w:type="dxa"/>
          </w:tcPr>
          <w:p w14:paraId="20D1E4D5" w14:textId="77777777" w:rsidR="007750D8" w:rsidRPr="005176BD" w:rsidRDefault="007750D8" w:rsidP="003B611A">
            <w:pPr>
              <w:rPr>
                <w:rFonts w:cs="Arial"/>
                <w:sz w:val="20"/>
                <w:szCs w:val="20"/>
                <w:lang w:eastAsia="en-AU"/>
              </w:rPr>
            </w:pPr>
            <w:r w:rsidRPr="005176BD">
              <w:rPr>
                <w:rFonts w:cs="Arial"/>
                <w:sz w:val="20"/>
                <w:szCs w:val="20"/>
                <w:lang w:eastAsia="en-AU"/>
              </w:rPr>
              <w:t xml:space="preserve">Harris ML, Dolja-Gore X, </w:t>
            </w:r>
            <w:proofErr w:type="spellStart"/>
            <w:r w:rsidRPr="005176BD">
              <w:rPr>
                <w:rFonts w:cs="Arial"/>
                <w:sz w:val="20"/>
                <w:szCs w:val="20"/>
                <w:lang w:eastAsia="en-AU"/>
              </w:rPr>
              <w:t>Kendig</w:t>
            </w:r>
            <w:proofErr w:type="spellEnd"/>
            <w:r w:rsidRPr="005176BD">
              <w:rPr>
                <w:rFonts w:cs="Arial"/>
                <w:sz w:val="20"/>
                <w:szCs w:val="20"/>
                <w:lang w:eastAsia="en-AU"/>
              </w:rPr>
              <w:t xml:space="preserve"> H, Byles JE</w:t>
            </w:r>
          </w:p>
        </w:tc>
        <w:tc>
          <w:tcPr>
            <w:tcW w:w="676" w:type="dxa"/>
          </w:tcPr>
          <w:p w14:paraId="2F448F54" w14:textId="77777777" w:rsidR="007750D8" w:rsidRPr="005176BD" w:rsidRDefault="007750D8" w:rsidP="003B611A">
            <w:pPr>
              <w:rPr>
                <w:rFonts w:cs="Arial"/>
                <w:sz w:val="20"/>
                <w:szCs w:val="20"/>
                <w:lang w:eastAsia="en-AU"/>
              </w:rPr>
            </w:pPr>
            <w:r w:rsidRPr="005176BD">
              <w:rPr>
                <w:rFonts w:cs="Arial"/>
                <w:sz w:val="20"/>
                <w:szCs w:val="20"/>
                <w:lang w:eastAsia="en-AU"/>
              </w:rPr>
              <w:t>2</w:t>
            </w:r>
          </w:p>
        </w:tc>
      </w:tr>
      <w:tr w:rsidR="007750D8" w:rsidRPr="00084B2B" w14:paraId="75FED816"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24489847" w14:textId="1A64CEC7" w:rsidR="007750D8" w:rsidRPr="005176BD" w:rsidRDefault="007750D8" w:rsidP="003B611A">
            <w:pPr>
              <w:rPr>
                <w:rFonts w:cs="Arial"/>
                <w:sz w:val="20"/>
                <w:szCs w:val="20"/>
                <w:lang w:eastAsia="en-AU"/>
              </w:rPr>
            </w:pPr>
            <w:r w:rsidRPr="005176BD">
              <w:rPr>
                <w:rFonts w:cs="Arial"/>
                <w:sz w:val="20"/>
                <w:szCs w:val="20"/>
                <w:lang w:eastAsia="en-AU"/>
              </w:rPr>
              <w:t>Changes in housing among older women: Latent class analysis of housing patterns in older Australian women. Urban Studies, 2016; 55(4): 1-17.</w:t>
            </w:r>
          </w:p>
        </w:tc>
        <w:tc>
          <w:tcPr>
            <w:tcW w:w="4200" w:type="dxa"/>
          </w:tcPr>
          <w:p w14:paraId="10069F02" w14:textId="77777777" w:rsidR="007750D8" w:rsidRPr="005176BD" w:rsidRDefault="007750D8" w:rsidP="003B611A">
            <w:pPr>
              <w:rPr>
                <w:rFonts w:cs="Arial"/>
                <w:sz w:val="20"/>
                <w:szCs w:val="20"/>
                <w:lang w:eastAsia="en-AU"/>
              </w:rPr>
            </w:pPr>
            <w:r w:rsidRPr="005176BD">
              <w:rPr>
                <w:rFonts w:cs="Arial"/>
                <w:sz w:val="20"/>
                <w:szCs w:val="20"/>
                <w:lang w:eastAsia="en-AU"/>
              </w:rPr>
              <w:t xml:space="preserve">Byles J, </w:t>
            </w:r>
            <w:proofErr w:type="spellStart"/>
            <w:r w:rsidRPr="005176BD">
              <w:rPr>
                <w:rFonts w:cs="Arial"/>
                <w:sz w:val="20"/>
                <w:szCs w:val="20"/>
                <w:lang w:eastAsia="en-AU"/>
              </w:rPr>
              <w:t>Curryer</w:t>
            </w:r>
            <w:proofErr w:type="spellEnd"/>
            <w:r w:rsidRPr="005176BD">
              <w:rPr>
                <w:rFonts w:cs="Arial"/>
                <w:sz w:val="20"/>
                <w:szCs w:val="20"/>
                <w:lang w:eastAsia="en-AU"/>
              </w:rPr>
              <w:t xml:space="preserve"> C, Vo K, Forder P, Loxton D &amp; McLaughlin D.</w:t>
            </w:r>
          </w:p>
        </w:tc>
        <w:tc>
          <w:tcPr>
            <w:tcW w:w="676" w:type="dxa"/>
          </w:tcPr>
          <w:p w14:paraId="690EC094" w14:textId="77777777" w:rsidR="007750D8" w:rsidRPr="005176BD" w:rsidRDefault="007750D8" w:rsidP="003B611A">
            <w:pPr>
              <w:rPr>
                <w:rFonts w:cs="Arial"/>
                <w:sz w:val="20"/>
                <w:szCs w:val="20"/>
                <w:lang w:eastAsia="en-AU"/>
              </w:rPr>
            </w:pPr>
            <w:r w:rsidRPr="005176BD">
              <w:rPr>
                <w:rFonts w:cs="Arial"/>
                <w:sz w:val="20"/>
                <w:szCs w:val="20"/>
                <w:lang w:eastAsia="en-AU"/>
              </w:rPr>
              <w:t>3</w:t>
            </w:r>
          </w:p>
        </w:tc>
      </w:tr>
      <w:tr w:rsidR="007750D8" w:rsidRPr="00084B2B" w14:paraId="4F4A8A33"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4CB4BA87" w14:textId="0FCBE42E" w:rsidR="007750D8" w:rsidRPr="005176BD" w:rsidRDefault="007750D8" w:rsidP="003B611A">
            <w:pPr>
              <w:rPr>
                <w:rFonts w:cs="Arial"/>
                <w:sz w:val="20"/>
                <w:szCs w:val="20"/>
                <w:lang w:eastAsia="en-AU"/>
              </w:rPr>
            </w:pPr>
            <w:r w:rsidRPr="005176BD">
              <w:rPr>
                <w:rFonts w:cs="Arial"/>
                <w:sz w:val="20"/>
                <w:szCs w:val="20"/>
                <w:lang w:eastAsia="en-AU"/>
              </w:rPr>
              <w:t>Asthma Cycle of Care uptake among Australian older women with asthma. International Medicine Journal, 2016; 46(8): 990-991.</w:t>
            </w:r>
          </w:p>
        </w:tc>
        <w:tc>
          <w:tcPr>
            <w:tcW w:w="4200" w:type="dxa"/>
          </w:tcPr>
          <w:p w14:paraId="4C64B4AB" w14:textId="77777777" w:rsidR="007750D8" w:rsidRPr="005176BD" w:rsidRDefault="007750D8" w:rsidP="003B611A">
            <w:pPr>
              <w:rPr>
                <w:rFonts w:cs="Arial"/>
                <w:sz w:val="20"/>
                <w:szCs w:val="20"/>
                <w:lang w:eastAsia="en-AU"/>
              </w:rPr>
            </w:pPr>
            <w:proofErr w:type="spellStart"/>
            <w:r w:rsidRPr="005176BD">
              <w:rPr>
                <w:rFonts w:cs="Arial"/>
                <w:sz w:val="20"/>
                <w:szCs w:val="20"/>
                <w:lang w:eastAsia="en-AU"/>
              </w:rPr>
              <w:t>Eftekhari</w:t>
            </w:r>
            <w:proofErr w:type="spellEnd"/>
            <w:r w:rsidRPr="005176BD">
              <w:rPr>
                <w:rFonts w:cs="Arial"/>
                <w:sz w:val="20"/>
                <w:szCs w:val="20"/>
                <w:lang w:eastAsia="en-AU"/>
              </w:rPr>
              <w:t xml:space="preserve"> P, Forder P &amp; Byles J.</w:t>
            </w:r>
          </w:p>
        </w:tc>
        <w:tc>
          <w:tcPr>
            <w:tcW w:w="676" w:type="dxa"/>
          </w:tcPr>
          <w:p w14:paraId="4E73E5FA" w14:textId="77777777" w:rsidR="007750D8" w:rsidRPr="005176BD" w:rsidRDefault="007750D8" w:rsidP="003B611A">
            <w:pPr>
              <w:rPr>
                <w:rFonts w:cs="Arial"/>
                <w:sz w:val="20"/>
                <w:szCs w:val="20"/>
                <w:lang w:eastAsia="en-AU"/>
              </w:rPr>
            </w:pPr>
            <w:r w:rsidRPr="005176BD">
              <w:rPr>
                <w:rFonts w:cs="Arial"/>
                <w:sz w:val="20"/>
                <w:szCs w:val="20"/>
                <w:lang w:eastAsia="en-AU"/>
              </w:rPr>
              <w:t>1</w:t>
            </w:r>
          </w:p>
        </w:tc>
      </w:tr>
      <w:tr w:rsidR="007750D8" w:rsidRPr="00084B2B" w14:paraId="2B95F09C"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79A4B352" w14:textId="4DFC7B73" w:rsidR="007750D8" w:rsidRPr="005176BD" w:rsidRDefault="007750D8" w:rsidP="003B611A">
            <w:pPr>
              <w:rPr>
                <w:rFonts w:cs="Arial"/>
                <w:sz w:val="20"/>
                <w:szCs w:val="20"/>
                <w:lang w:eastAsia="en-AU"/>
              </w:rPr>
            </w:pPr>
            <w:r w:rsidRPr="005176BD">
              <w:rPr>
                <w:rFonts w:cs="Arial"/>
                <w:sz w:val="20"/>
                <w:szCs w:val="20"/>
                <w:lang w:eastAsia="en-AU"/>
              </w:rPr>
              <w:t>Improvements in physical function and pain sustained for up to 10 years after knee or hip arthroplasty irrespective of mental health status before surgery:</w:t>
            </w:r>
            <w:r w:rsidR="00012F17" w:rsidRPr="005176BD">
              <w:rPr>
                <w:rFonts w:cs="Arial"/>
                <w:sz w:val="20"/>
                <w:szCs w:val="20"/>
                <w:lang w:eastAsia="en-AU"/>
              </w:rPr>
              <w:t xml:space="preserve"> </w:t>
            </w:r>
            <w:r w:rsidRPr="005176BD">
              <w:rPr>
                <w:rFonts w:cs="Arial"/>
                <w:sz w:val="20"/>
                <w:szCs w:val="20"/>
                <w:lang w:eastAsia="en-AU"/>
              </w:rPr>
              <w:t xml:space="preserve">9,737 middle-aged and 9,292 older women from the Australian Longitudinal Study on Women’s Health. </w:t>
            </w:r>
            <w:proofErr w:type="spellStart"/>
            <w:r w:rsidRPr="005176BD">
              <w:rPr>
                <w:rFonts w:cs="Arial"/>
                <w:sz w:val="20"/>
                <w:szCs w:val="20"/>
                <w:lang w:eastAsia="en-AU"/>
              </w:rPr>
              <w:t>Acta</w:t>
            </w:r>
            <w:proofErr w:type="spellEnd"/>
            <w:r w:rsidRPr="005176BD">
              <w:rPr>
                <w:rFonts w:cs="Arial"/>
                <w:sz w:val="20"/>
                <w:szCs w:val="20"/>
                <w:lang w:eastAsia="en-AU"/>
              </w:rPr>
              <w:t xml:space="preserve"> </w:t>
            </w:r>
            <w:proofErr w:type="spellStart"/>
            <w:r w:rsidRPr="005176BD">
              <w:rPr>
                <w:rFonts w:cs="Arial"/>
                <w:sz w:val="20"/>
                <w:szCs w:val="20"/>
                <w:lang w:eastAsia="en-AU"/>
              </w:rPr>
              <w:t>Orthopaedica</w:t>
            </w:r>
            <w:proofErr w:type="spellEnd"/>
            <w:r w:rsidRPr="005176BD">
              <w:rPr>
                <w:rFonts w:cs="Arial"/>
                <w:sz w:val="20"/>
                <w:szCs w:val="20"/>
                <w:lang w:eastAsia="en-AU"/>
              </w:rPr>
              <w:t>, 2017; 8(2): 158-165.</w:t>
            </w:r>
          </w:p>
        </w:tc>
        <w:tc>
          <w:tcPr>
            <w:tcW w:w="4200" w:type="dxa"/>
          </w:tcPr>
          <w:p w14:paraId="3E80471A" w14:textId="77777777" w:rsidR="007750D8" w:rsidRPr="005176BD" w:rsidRDefault="007750D8" w:rsidP="003B611A">
            <w:pPr>
              <w:rPr>
                <w:rFonts w:cs="Arial"/>
                <w:sz w:val="20"/>
                <w:szCs w:val="20"/>
                <w:lang w:eastAsia="en-AU"/>
              </w:rPr>
            </w:pPr>
            <w:r w:rsidRPr="005176BD">
              <w:rPr>
                <w:rFonts w:cs="Arial"/>
                <w:sz w:val="20"/>
                <w:szCs w:val="20"/>
                <w:lang w:eastAsia="en-AU"/>
              </w:rPr>
              <w:t>Peeters G, Rainbird S, Lorimer M, Dobson A, Mishra G &amp; Graves S.</w:t>
            </w:r>
          </w:p>
        </w:tc>
        <w:tc>
          <w:tcPr>
            <w:tcW w:w="676" w:type="dxa"/>
          </w:tcPr>
          <w:p w14:paraId="5A348317" w14:textId="77777777" w:rsidR="007750D8" w:rsidRPr="005176BD" w:rsidRDefault="007750D8" w:rsidP="003B611A">
            <w:pPr>
              <w:rPr>
                <w:rFonts w:cs="Arial"/>
                <w:sz w:val="20"/>
                <w:szCs w:val="20"/>
                <w:lang w:eastAsia="en-AU"/>
              </w:rPr>
            </w:pPr>
            <w:r w:rsidRPr="005176BD">
              <w:rPr>
                <w:rFonts w:cs="Arial"/>
                <w:sz w:val="20"/>
                <w:szCs w:val="20"/>
                <w:lang w:eastAsia="en-AU"/>
              </w:rPr>
              <w:t>5</w:t>
            </w:r>
          </w:p>
        </w:tc>
      </w:tr>
      <w:tr w:rsidR="007750D8" w:rsidRPr="00084B2B" w14:paraId="55D27F91"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323C4FB0" w14:textId="5D9CB433" w:rsidR="007750D8" w:rsidRPr="005176BD" w:rsidRDefault="007750D8" w:rsidP="003B611A">
            <w:pPr>
              <w:rPr>
                <w:rFonts w:cs="Arial"/>
                <w:sz w:val="20"/>
                <w:szCs w:val="20"/>
                <w:lang w:eastAsia="en-AU"/>
              </w:rPr>
            </w:pPr>
            <w:r w:rsidRPr="005176BD">
              <w:rPr>
                <w:rFonts w:cs="Arial"/>
                <w:sz w:val="20"/>
                <w:szCs w:val="20"/>
                <w:lang w:eastAsia="en-AU"/>
              </w:rPr>
              <w:t>Associations of guideline recommended medications for acute coronary syndromes with fall-related hospitalizations and cardiovascular events in older women with ischemic heart disease. Journals of Gerontology Series A: Medical Sciences, 2017; 72(2): 259-265.</w:t>
            </w:r>
          </w:p>
        </w:tc>
        <w:tc>
          <w:tcPr>
            <w:tcW w:w="4200" w:type="dxa"/>
          </w:tcPr>
          <w:p w14:paraId="4EC9E38F" w14:textId="77777777" w:rsidR="007750D8" w:rsidRPr="005176BD" w:rsidRDefault="007750D8"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w:t>
            </w:r>
            <w:proofErr w:type="spellStart"/>
            <w:r w:rsidRPr="005176BD">
              <w:rPr>
                <w:rFonts w:cs="Arial"/>
                <w:sz w:val="20"/>
                <w:szCs w:val="20"/>
                <w:lang w:eastAsia="en-AU"/>
              </w:rPr>
              <w:t>Hollingworth</w:t>
            </w:r>
            <w:proofErr w:type="spellEnd"/>
            <w:r w:rsidRPr="005176BD">
              <w:rPr>
                <w:rFonts w:cs="Arial"/>
                <w:sz w:val="20"/>
                <w:szCs w:val="20"/>
                <w:lang w:eastAsia="en-AU"/>
              </w:rPr>
              <w:t xml:space="preserve"> S, </w:t>
            </w:r>
            <w:proofErr w:type="spellStart"/>
            <w:r w:rsidRPr="005176BD">
              <w:rPr>
                <w:rFonts w:cs="Arial"/>
                <w:sz w:val="20"/>
                <w:szCs w:val="20"/>
                <w:lang w:eastAsia="en-AU"/>
              </w:rPr>
              <w:t>Gnjidic</w:t>
            </w:r>
            <w:proofErr w:type="spellEnd"/>
            <w:r w:rsidRPr="005176BD">
              <w:rPr>
                <w:rFonts w:cs="Arial"/>
                <w:sz w:val="20"/>
                <w:szCs w:val="20"/>
                <w:lang w:eastAsia="en-AU"/>
              </w:rPr>
              <w:t xml:space="preserve"> D, </w:t>
            </w:r>
            <w:proofErr w:type="spellStart"/>
            <w:r w:rsidRPr="005176BD">
              <w:rPr>
                <w:rFonts w:cs="Arial"/>
                <w:sz w:val="20"/>
                <w:szCs w:val="20"/>
                <w:lang w:eastAsia="en-AU"/>
              </w:rPr>
              <w:t>Hilmer</w:t>
            </w:r>
            <w:proofErr w:type="spellEnd"/>
            <w:r w:rsidRPr="005176BD">
              <w:rPr>
                <w:rFonts w:cs="Arial"/>
                <w:sz w:val="20"/>
                <w:szCs w:val="20"/>
                <w:lang w:eastAsia="en-AU"/>
              </w:rPr>
              <w:t xml:space="preserve"> S, Dobson A &amp; Hubbard R.</w:t>
            </w:r>
          </w:p>
        </w:tc>
        <w:tc>
          <w:tcPr>
            <w:tcW w:w="676" w:type="dxa"/>
          </w:tcPr>
          <w:p w14:paraId="322BCFE0" w14:textId="77777777" w:rsidR="007750D8" w:rsidRPr="005176BD" w:rsidRDefault="007750D8" w:rsidP="003B611A">
            <w:pPr>
              <w:rPr>
                <w:rFonts w:cs="Arial"/>
                <w:sz w:val="20"/>
                <w:szCs w:val="20"/>
                <w:lang w:eastAsia="en-AU"/>
              </w:rPr>
            </w:pPr>
            <w:r w:rsidRPr="005176BD">
              <w:rPr>
                <w:rFonts w:cs="Arial"/>
                <w:sz w:val="20"/>
                <w:szCs w:val="20"/>
                <w:lang w:eastAsia="en-AU"/>
              </w:rPr>
              <w:t>7</w:t>
            </w:r>
          </w:p>
        </w:tc>
      </w:tr>
      <w:tr w:rsidR="007750D8" w:rsidRPr="00084B2B" w14:paraId="625784AE"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0774CA8D" w14:textId="797E7E32" w:rsidR="007750D8" w:rsidRPr="005176BD" w:rsidRDefault="007750D8" w:rsidP="003B611A">
            <w:pPr>
              <w:rPr>
                <w:rFonts w:cs="Arial"/>
                <w:sz w:val="20"/>
                <w:szCs w:val="20"/>
                <w:lang w:eastAsia="en-AU"/>
              </w:rPr>
            </w:pPr>
            <w:r w:rsidRPr="005176BD">
              <w:rPr>
                <w:rFonts w:cs="Arial"/>
                <w:sz w:val="20"/>
                <w:szCs w:val="20"/>
                <w:lang w:eastAsia="en-AU"/>
              </w:rPr>
              <w:t>Associations between statin use and physical function in older adults from The Netherlands and Australia: Longitudinal Aging Study Amsterdam and Australian Longitudinal Study on Women's Health. Drugs &amp; Aging, 2016; 33(6): 437-445.</w:t>
            </w:r>
          </w:p>
        </w:tc>
        <w:tc>
          <w:tcPr>
            <w:tcW w:w="4200" w:type="dxa"/>
          </w:tcPr>
          <w:p w14:paraId="268B33C7" w14:textId="77777777" w:rsidR="007750D8" w:rsidRPr="005176BD" w:rsidRDefault="007750D8" w:rsidP="003B611A">
            <w:pPr>
              <w:rPr>
                <w:rFonts w:cs="Arial"/>
                <w:sz w:val="20"/>
                <w:szCs w:val="20"/>
                <w:lang w:eastAsia="en-AU"/>
              </w:rPr>
            </w:pPr>
            <w:r w:rsidRPr="005176BD">
              <w:rPr>
                <w:rFonts w:cs="Arial"/>
                <w:sz w:val="20"/>
                <w:szCs w:val="20"/>
                <w:lang w:eastAsia="en-AU"/>
              </w:rPr>
              <w:t xml:space="preserve">van </w:t>
            </w:r>
            <w:proofErr w:type="spellStart"/>
            <w:r w:rsidRPr="005176BD">
              <w:rPr>
                <w:rFonts w:cs="Arial"/>
                <w:sz w:val="20"/>
                <w:szCs w:val="20"/>
                <w:lang w:eastAsia="en-AU"/>
              </w:rPr>
              <w:t>Boheemen</w:t>
            </w:r>
            <w:proofErr w:type="spellEnd"/>
            <w:r w:rsidRPr="005176BD">
              <w:rPr>
                <w:rFonts w:cs="Arial"/>
                <w:sz w:val="20"/>
                <w:szCs w:val="20"/>
                <w:lang w:eastAsia="en-AU"/>
              </w:rPr>
              <w:t xml:space="preserve"> L, </w:t>
            </w:r>
            <w:proofErr w:type="spellStart"/>
            <w:r w:rsidRPr="005176BD">
              <w:rPr>
                <w:rFonts w:cs="Arial"/>
                <w:sz w:val="20"/>
                <w:szCs w:val="20"/>
                <w:lang w:eastAsia="en-AU"/>
              </w:rPr>
              <w:t>Tett</w:t>
            </w:r>
            <w:proofErr w:type="spellEnd"/>
            <w:r w:rsidRPr="005176BD">
              <w:rPr>
                <w:rFonts w:cs="Arial"/>
                <w:sz w:val="20"/>
                <w:szCs w:val="20"/>
                <w:lang w:eastAsia="en-AU"/>
              </w:rPr>
              <w:t xml:space="preserve"> S, </w:t>
            </w:r>
            <w:proofErr w:type="spellStart"/>
            <w:r w:rsidRPr="005176BD">
              <w:rPr>
                <w:rFonts w:cs="Arial"/>
                <w:sz w:val="20"/>
                <w:szCs w:val="20"/>
                <w:lang w:eastAsia="en-AU"/>
              </w:rPr>
              <w:t>Sohl</w:t>
            </w:r>
            <w:proofErr w:type="spellEnd"/>
            <w:r w:rsidRPr="005176BD">
              <w:rPr>
                <w:rFonts w:cs="Arial"/>
                <w:sz w:val="20"/>
                <w:szCs w:val="20"/>
                <w:lang w:eastAsia="en-AU"/>
              </w:rPr>
              <w:t xml:space="preserve"> E, </w:t>
            </w:r>
            <w:proofErr w:type="spellStart"/>
            <w:r w:rsidRPr="005176BD">
              <w:rPr>
                <w:rFonts w:cs="Arial"/>
                <w:sz w:val="20"/>
                <w:szCs w:val="20"/>
                <w:lang w:eastAsia="en-AU"/>
              </w:rPr>
              <w:t>Hugtenburg</w:t>
            </w:r>
            <w:proofErr w:type="spellEnd"/>
            <w:r w:rsidRPr="005176BD">
              <w:rPr>
                <w:rFonts w:cs="Arial"/>
                <w:sz w:val="20"/>
                <w:szCs w:val="20"/>
                <w:lang w:eastAsia="en-AU"/>
              </w:rPr>
              <w:t xml:space="preserve"> J, van </w:t>
            </w:r>
            <w:proofErr w:type="spellStart"/>
            <w:r w:rsidRPr="005176BD">
              <w:rPr>
                <w:rFonts w:cs="Arial"/>
                <w:sz w:val="20"/>
                <w:szCs w:val="20"/>
                <w:lang w:eastAsia="en-AU"/>
              </w:rPr>
              <w:t>Schoor</w:t>
            </w:r>
            <w:proofErr w:type="spellEnd"/>
            <w:r w:rsidRPr="005176BD">
              <w:rPr>
                <w:rFonts w:cs="Arial"/>
                <w:sz w:val="20"/>
                <w:szCs w:val="20"/>
                <w:lang w:eastAsia="en-AU"/>
              </w:rPr>
              <w:t xml:space="preserve"> N &amp; Peeters G.</w:t>
            </w:r>
          </w:p>
        </w:tc>
        <w:tc>
          <w:tcPr>
            <w:tcW w:w="676" w:type="dxa"/>
          </w:tcPr>
          <w:p w14:paraId="454E27BE" w14:textId="77777777" w:rsidR="007750D8" w:rsidRPr="005176BD" w:rsidRDefault="007750D8" w:rsidP="003B611A">
            <w:pPr>
              <w:rPr>
                <w:rFonts w:cs="Arial"/>
                <w:sz w:val="20"/>
                <w:szCs w:val="20"/>
                <w:lang w:eastAsia="en-AU"/>
              </w:rPr>
            </w:pPr>
            <w:r w:rsidRPr="005176BD">
              <w:rPr>
                <w:rFonts w:cs="Arial"/>
                <w:sz w:val="20"/>
                <w:szCs w:val="20"/>
                <w:lang w:eastAsia="en-AU"/>
              </w:rPr>
              <w:t>3</w:t>
            </w:r>
          </w:p>
        </w:tc>
      </w:tr>
      <w:tr w:rsidR="007750D8" w:rsidRPr="009F5DCB" w14:paraId="6E7603C6" w14:textId="77777777" w:rsidTr="0011030B">
        <w:tc>
          <w:tcPr>
            <w:tcW w:w="8979" w:type="dxa"/>
          </w:tcPr>
          <w:p w14:paraId="78AE82FC" w14:textId="77777777" w:rsidR="007750D8" w:rsidRPr="005176BD" w:rsidRDefault="007750D8" w:rsidP="003B611A">
            <w:pPr>
              <w:rPr>
                <w:rFonts w:cs="Arial"/>
                <w:sz w:val="20"/>
                <w:szCs w:val="20"/>
                <w:lang w:eastAsia="en-AU"/>
              </w:rPr>
            </w:pPr>
            <w:r w:rsidRPr="005176BD">
              <w:rPr>
                <w:rFonts w:cs="Arial"/>
                <w:sz w:val="20"/>
                <w:szCs w:val="20"/>
                <w:lang w:eastAsia="en-AU"/>
              </w:rPr>
              <w:t>The Nurses’ Health Study and the Australian Longitudinal Study on Women’s Health: Providing infrastructure for public health research. The American Journal of Public Health, 2016; 106(9): 1533-1534.</w:t>
            </w:r>
          </w:p>
        </w:tc>
        <w:tc>
          <w:tcPr>
            <w:tcW w:w="4200" w:type="dxa"/>
          </w:tcPr>
          <w:p w14:paraId="59E3E998" w14:textId="77777777" w:rsidR="007750D8" w:rsidRPr="005176BD" w:rsidRDefault="007750D8" w:rsidP="003B611A">
            <w:pPr>
              <w:rPr>
                <w:rFonts w:cs="Arial"/>
                <w:sz w:val="20"/>
                <w:szCs w:val="20"/>
                <w:lang w:eastAsia="en-AU"/>
              </w:rPr>
            </w:pPr>
            <w:r w:rsidRPr="005176BD">
              <w:rPr>
                <w:rFonts w:cs="Arial"/>
                <w:sz w:val="20"/>
                <w:szCs w:val="20"/>
                <w:lang w:eastAsia="en-AU"/>
              </w:rPr>
              <w:t>Dobson AJ, Byles JE &amp; Brown WJ.</w:t>
            </w:r>
          </w:p>
        </w:tc>
        <w:tc>
          <w:tcPr>
            <w:tcW w:w="676" w:type="dxa"/>
          </w:tcPr>
          <w:p w14:paraId="1785435D" w14:textId="77777777" w:rsidR="007750D8" w:rsidRPr="005176BD" w:rsidRDefault="007750D8" w:rsidP="003B611A">
            <w:pPr>
              <w:rPr>
                <w:rFonts w:cs="Arial"/>
                <w:sz w:val="20"/>
                <w:szCs w:val="20"/>
                <w:lang w:eastAsia="en-AU"/>
              </w:rPr>
            </w:pPr>
          </w:p>
        </w:tc>
      </w:tr>
      <w:tr w:rsidR="007750D8" w:rsidRPr="00084B2B" w14:paraId="08BBD3C9" w14:textId="77777777" w:rsidTr="0011030B">
        <w:tc>
          <w:tcPr>
            <w:tcW w:w="8979" w:type="dxa"/>
          </w:tcPr>
          <w:p w14:paraId="618E09F8" w14:textId="10D44869" w:rsidR="007750D8" w:rsidRPr="005176BD" w:rsidRDefault="0001154E" w:rsidP="003B611A">
            <w:pPr>
              <w:rPr>
                <w:rFonts w:cs="Arial"/>
                <w:sz w:val="20"/>
                <w:szCs w:val="20"/>
                <w:lang w:eastAsia="en-AU"/>
              </w:rPr>
            </w:pPr>
            <w:r w:rsidRPr="005176BD">
              <w:rPr>
                <w:rFonts w:cs="Arial"/>
                <w:sz w:val="20"/>
                <w:szCs w:val="20"/>
                <w:lang w:eastAsia="en-AU"/>
              </w:rPr>
              <w:t>The identification of diabetes, heart disease, hypertension and stroke in mid- and older-aged women: Comparing self-report and administrative hospital data records. Geriatrics &amp; Gerontology International, 2016; 16(1): 95-102.</w:t>
            </w:r>
          </w:p>
        </w:tc>
        <w:tc>
          <w:tcPr>
            <w:tcW w:w="4200" w:type="dxa"/>
          </w:tcPr>
          <w:p w14:paraId="212153BA" w14:textId="77777777" w:rsidR="007750D8" w:rsidRPr="005176BD" w:rsidRDefault="007750D8" w:rsidP="003B611A">
            <w:pPr>
              <w:rPr>
                <w:rFonts w:cs="Arial"/>
                <w:sz w:val="20"/>
                <w:szCs w:val="20"/>
                <w:lang w:eastAsia="en-AU"/>
              </w:rPr>
            </w:pPr>
            <w:proofErr w:type="spellStart"/>
            <w:r w:rsidRPr="005176BD">
              <w:rPr>
                <w:rFonts w:cs="Arial"/>
                <w:sz w:val="20"/>
                <w:szCs w:val="20"/>
                <w:lang w:eastAsia="en-AU"/>
              </w:rPr>
              <w:t>Navin</w:t>
            </w:r>
            <w:proofErr w:type="spellEnd"/>
            <w:r w:rsidRPr="005176BD">
              <w:rPr>
                <w:rFonts w:cs="Arial"/>
                <w:sz w:val="20"/>
                <w:szCs w:val="20"/>
                <w:lang w:eastAsia="en-AU"/>
              </w:rPr>
              <w:t xml:space="preserve"> TJ, Stewart-Williams J, Parkinson L, Sibbritt D &amp; Byles JE.</w:t>
            </w:r>
          </w:p>
        </w:tc>
        <w:tc>
          <w:tcPr>
            <w:tcW w:w="676" w:type="dxa"/>
          </w:tcPr>
          <w:p w14:paraId="1695B7E0" w14:textId="77777777" w:rsidR="007750D8" w:rsidRPr="005176BD" w:rsidRDefault="007750D8" w:rsidP="003B611A">
            <w:pPr>
              <w:rPr>
                <w:rFonts w:cs="Arial"/>
                <w:sz w:val="20"/>
                <w:szCs w:val="20"/>
                <w:lang w:eastAsia="en-AU"/>
              </w:rPr>
            </w:pPr>
            <w:r w:rsidRPr="005176BD">
              <w:rPr>
                <w:rFonts w:cs="Arial"/>
                <w:sz w:val="20"/>
                <w:szCs w:val="20"/>
                <w:lang w:eastAsia="en-AU"/>
              </w:rPr>
              <w:t>18</w:t>
            </w:r>
          </w:p>
        </w:tc>
      </w:tr>
      <w:tr w:rsidR="007750D8" w:rsidRPr="00084B2B" w14:paraId="5AB289B3"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5289ED30" w14:textId="15845DA5" w:rsidR="007750D8" w:rsidRPr="005176BD" w:rsidRDefault="007750D8" w:rsidP="003B611A">
            <w:pPr>
              <w:rPr>
                <w:rFonts w:cs="Arial"/>
                <w:sz w:val="20"/>
                <w:szCs w:val="20"/>
                <w:lang w:eastAsia="en-AU"/>
              </w:rPr>
            </w:pPr>
            <w:r w:rsidRPr="005176BD">
              <w:rPr>
                <w:rFonts w:cs="Arial"/>
                <w:sz w:val="20"/>
                <w:szCs w:val="20"/>
                <w:lang w:eastAsia="en-AU"/>
              </w:rPr>
              <w:lastRenderedPageBreak/>
              <w:t>Factors associated with the healthcare cost in older Australian women with arthritis: An application of the Andersen's Behavioural Model of Health Services Use. Public Health, 2016; 134: 64-71.</w:t>
            </w:r>
          </w:p>
        </w:tc>
        <w:tc>
          <w:tcPr>
            <w:tcW w:w="4200" w:type="dxa"/>
          </w:tcPr>
          <w:p w14:paraId="105D2C72" w14:textId="77777777" w:rsidR="007750D8" w:rsidRPr="005176BD" w:rsidRDefault="007750D8" w:rsidP="003B611A">
            <w:pPr>
              <w:rPr>
                <w:rFonts w:cs="Arial"/>
                <w:sz w:val="20"/>
                <w:szCs w:val="20"/>
                <w:lang w:eastAsia="en-AU"/>
              </w:rPr>
            </w:pPr>
            <w:r w:rsidRPr="005176BD">
              <w:rPr>
                <w:rFonts w:cs="Arial"/>
                <w:sz w:val="20"/>
                <w:szCs w:val="20"/>
                <w:lang w:eastAsia="en-AU"/>
              </w:rPr>
              <w:t>Lo TKT, Parkinson L, Cunich M &amp; Byles J.</w:t>
            </w:r>
          </w:p>
        </w:tc>
        <w:tc>
          <w:tcPr>
            <w:tcW w:w="676" w:type="dxa"/>
          </w:tcPr>
          <w:p w14:paraId="617EDB5E" w14:textId="77777777" w:rsidR="007750D8" w:rsidRPr="005176BD" w:rsidRDefault="007750D8" w:rsidP="003B611A">
            <w:pPr>
              <w:rPr>
                <w:rFonts w:cs="Arial"/>
                <w:sz w:val="20"/>
                <w:szCs w:val="20"/>
                <w:lang w:eastAsia="en-AU"/>
              </w:rPr>
            </w:pPr>
            <w:r w:rsidRPr="005176BD">
              <w:rPr>
                <w:rFonts w:cs="Arial"/>
                <w:sz w:val="20"/>
                <w:szCs w:val="20"/>
                <w:lang w:eastAsia="en-AU"/>
              </w:rPr>
              <w:t>2</w:t>
            </w:r>
          </w:p>
        </w:tc>
      </w:tr>
      <w:tr w:rsidR="007750D8" w:rsidRPr="00084B2B" w14:paraId="471E1404"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0E598F17" w14:textId="002ED6CB" w:rsidR="007750D8" w:rsidRPr="005176BD" w:rsidRDefault="007750D8" w:rsidP="003B611A">
            <w:pPr>
              <w:rPr>
                <w:rFonts w:cs="Arial"/>
                <w:sz w:val="20"/>
                <w:szCs w:val="20"/>
                <w:lang w:eastAsia="en-AU"/>
              </w:rPr>
            </w:pPr>
            <w:r w:rsidRPr="005176BD">
              <w:rPr>
                <w:rFonts w:cs="Arial"/>
                <w:sz w:val="20"/>
                <w:szCs w:val="20"/>
                <w:lang w:eastAsia="en-AU"/>
              </w:rPr>
              <w:t xml:space="preserve">A 6-year trend of the healthcare costs of arthritis in a population-based cohort of older women. Expert Review of </w:t>
            </w:r>
            <w:proofErr w:type="spellStart"/>
            <w:r w:rsidRPr="005176BD">
              <w:rPr>
                <w:rFonts w:cs="Arial"/>
                <w:sz w:val="20"/>
                <w:szCs w:val="20"/>
                <w:lang w:eastAsia="en-AU"/>
              </w:rPr>
              <w:t>Pharmacoeconomics</w:t>
            </w:r>
            <w:proofErr w:type="spellEnd"/>
            <w:r w:rsidRPr="005176BD">
              <w:rPr>
                <w:rFonts w:cs="Arial"/>
                <w:sz w:val="20"/>
                <w:szCs w:val="20"/>
                <w:lang w:eastAsia="en-AU"/>
              </w:rPr>
              <w:t xml:space="preserve"> &amp; Outcomes Research Journal, 2015; 2: 1-9. (letter to the editor)</w:t>
            </w:r>
          </w:p>
        </w:tc>
        <w:tc>
          <w:tcPr>
            <w:tcW w:w="4200" w:type="dxa"/>
          </w:tcPr>
          <w:p w14:paraId="1CD330E3" w14:textId="77777777" w:rsidR="007750D8" w:rsidRPr="005176BD" w:rsidRDefault="007750D8" w:rsidP="003B611A">
            <w:pPr>
              <w:rPr>
                <w:rFonts w:cs="Arial"/>
                <w:sz w:val="20"/>
                <w:szCs w:val="20"/>
                <w:lang w:eastAsia="en-AU"/>
              </w:rPr>
            </w:pPr>
            <w:r w:rsidRPr="005176BD">
              <w:rPr>
                <w:rFonts w:cs="Arial"/>
                <w:sz w:val="20"/>
                <w:szCs w:val="20"/>
                <w:lang w:eastAsia="en-AU"/>
              </w:rPr>
              <w:t>Lo T, Parkinson L</w:t>
            </w:r>
          </w:p>
        </w:tc>
        <w:tc>
          <w:tcPr>
            <w:tcW w:w="676" w:type="dxa"/>
          </w:tcPr>
          <w:p w14:paraId="6D072B89" w14:textId="77777777" w:rsidR="007750D8" w:rsidRPr="005176BD" w:rsidRDefault="007750D8" w:rsidP="003B611A">
            <w:pPr>
              <w:rPr>
                <w:rFonts w:cs="Arial"/>
                <w:sz w:val="20"/>
                <w:szCs w:val="20"/>
                <w:lang w:eastAsia="en-AU"/>
              </w:rPr>
            </w:pPr>
            <w:r w:rsidRPr="005176BD">
              <w:rPr>
                <w:rFonts w:cs="Arial"/>
                <w:sz w:val="20"/>
                <w:szCs w:val="20"/>
                <w:lang w:eastAsia="en-AU"/>
              </w:rPr>
              <w:t>1</w:t>
            </w:r>
          </w:p>
        </w:tc>
      </w:tr>
      <w:tr w:rsidR="007750D8" w:rsidRPr="00084B2B" w14:paraId="7EE41707"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67F2B0FF" w14:textId="4C81116F" w:rsidR="007750D8" w:rsidRPr="005176BD" w:rsidRDefault="007750D8" w:rsidP="003B611A">
            <w:pPr>
              <w:rPr>
                <w:rFonts w:cs="Arial"/>
                <w:sz w:val="20"/>
                <w:szCs w:val="20"/>
                <w:lang w:eastAsia="en-AU"/>
              </w:rPr>
            </w:pPr>
            <w:r w:rsidRPr="005176BD">
              <w:rPr>
                <w:rFonts w:cs="Arial"/>
                <w:sz w:val="20"/>
                <w:szCs w:val="20"/>
                <w:lang w:eastAsia="en-AU"/>
              </w:rPr>
              <w:t>The effect of dose and type of proton pump inhibitor use on risk of fractures and osteoporosis treatment in older Australian women: A prospective cohort study. Bone, 2015; 81: 675-682.</w:t>
            </w:r>
          </w:p>
        </w:tc>
        <w:tc>
          <w:tcPr>
            <w:tcW w:w="4200" w:type="dxa"/>
          </w:tcPr>
          <w:p w14:paraId="647D14C8" w14:textId="77777777" w:rsidR="007750D8" w:rsidRPr="005176BD" w:rsidRDefault="007750D8" w:rsidP="003B611A">
            <w:pPr>
              <w:rPr>
                <w:rFonts w:cs="Arial"/>
                <w:sz w:val="20"/>
                <w:szCs w:val="20"/>
                <w:lang w:eastAsia="en-AU"/>
              </w:rPr>
            </w:pPr>
            <w:r w:rsidRPr="005176BD">
              <w:rPr>
                <w:rFonts w:cs="Arial"/>
                <w:sz w:val="20"/>
                <w:szCs w:val="20"/>
                <w:lang w:eastAsia="en-AU"/>
              </w:rPr>
              <w:t xml:space="preserve">van der Hoorn M, </w:t>
            </w:r>
            <w:proofErr w:type="spellStart"/>
            <w:r w:rsidRPr="005176BD">
              <w:rPr>
                <w:rFonts w:cs="Arial"/>
                <w:sz w:val="20"/>
                <w:szCs w:val="20"/>
                <w:lang w:eastAsia="en-AU"/>
              </w:rPr>
              <w:t>Tett</w:t>
            </w:r>
            <w:proofErr w:type="spellEnd"/>
            <w:r w:rsidRPr="005176BD">
              <w:rPr>
                <w:rFonts w:cs="Arial"/>
                <w:sz w:val="20"/>
                <w:szCs w:val="20"/>
                <w:lang w:eastAsia="en-AU"/>
              </w:rPr>
              <w:t xml:space="preserve"> S, de </w:t>
            </w:r>
            <w:proofErr w:type="spellStart"/>
            <w:r w:rsidRPr="005176BD">
              <w:rPr>
                <w:rFonts w:cs="Arial"/>
                <w:sz w:val="20"/>
                <w:szCs w:val="20"/>
                <w:lang w:eastAsia="en-AU"/>
              </w:rPr>
              <w:t>Vries</w:t>
            </w:r>
            <w:proofErr w:type="spellEnd"/>
            <w:r w:rsidRPr="005176BD">
              <w:rPr>
                <w:rFonts w:cs="Arial"/>
                <w:sz w:val="20"/>
                <w:szCs w:val="20"/>
                <w:lang w:eastAsia="en-AU"/>
              </w:rPr>
              <w:t xml:space="preserve"> O, Dobson A &amp; Peeters G.</w:t>
            </w:r>
          </w:p>
        </w:tc>
        <w:tc>
          <w:tcPr>
            <w:tcW w:w="676" w:type="dxa"/>
          </w:tcPr>
          <w:p w14:paraId="2D9316F2" w14:textId="77777777" w:rsidR="007750D8" w:rsidRPr="005176BD" w:rsidRDefault="007750D8" w:rsidP="003B611A">
            <w:pPr>
              <w:rPr>
                <w:rFonts w:cs="Arial"/>
                <w:sz w:val="20"/>
                <w:szCs w:val="20"/>
                <w:lang w:eastAsia="en-AU"/>
              </w:rPr>
            </w:pPr>
            <w:r w:rsidRPr="005176BD">
              <w:rPr>
                <w:rFonts w:cs="Arial"/>
                <w:sz w:val="20"/>
                <w:szCs w:val="20"/>
                <w:lang w:eastAsia="en-AU"/>
              </w:rPr>
              <w:t>31</w:t>
            </w:r>
          </w:p>
        </w:tc>
      </w:tr>
      <w:tr w:rsidR="007750D8" w:rsidRPr="00084B2B" w14:paraId="3D0B07E9"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0F5474F0" w14:textId="033E031A" w:rsidR="007750D8" w:rsidRPr="005176BD" w:rsidRDefault="007750D8" w:rsidP="003B611A">
            <w:pPr>
              <w:rPr>
                <w:rFonts w:cs="Arial"/>
                <w:sz w:val="20"/>
                <w:szCs w:val="20"/>
                <w:lang w:eastAsia="en-AU"/>
              </w:rPr>
            </w:pPr>
            <w:r w:rsidRPr="005176BD">
              <w:rPr>
                <w:rFonts w:cs="Arial"/>
                <w:sz w:val="20"/>
                <w:szCs w:val="20"/>
                <w:lang w:eastAsia="en-AU"/>
              </w:rPr>
              <w:t>Associations between medication use and mental health in older women: A cross-sectional analysis of 5,502 women aged 76 to 81. Journal of American Geriatric Society, 2015; 63(6): 1254-1255. (letter to the editor)</w:t>
            </w:r>
          </w:p>
        </w:tc>
        <w:tc>
          <w:tcPr>
            <w:tcW w:w="4200" w:type="dxa"/>
          </w:tcPr>
          <w:p w14:paraId="3616C560" w14:textId="77777777" w:rsidR="007750D8" w:rsidRPr="005176BD" w:rsidRDefault="007750D8" w:rsidP="003B611A">
            <w:pPr>
              <w:rPr>
                <w:rFonts w:cs="Arial"/>
                <w:sz w:val="20"/>
                <w:szCs w:val="20"/>
                <w:lang w:eastAsia="en-AU"/>
              </w:rPr>
            </w:pPr>
            <w:proofErr w:type="spellStart"/>
            <w:r w:rsidRPr="005176BD">
              <w:rPr>
                <w:rFonts w:cs="Arial"/>
                <w:sz w:val="20"/>
                <w:szCs w:val="20"/>
                <w:lang w:eastAsia="en-AU"/>
              </w:rPr>
              <w:t>Alsalami</w:t>
            </w:r>
            <w:proofErr w:type="spellEnd"/>
            <w:r w:rsidRPr="005176BD">
              <w:rPr>
                <w:rFonts w:cs="Arial"/>
                <w:sz w:val="20"/>
                <w:szCs w:val="20"/>
                <w:lang w:eastAsia="en-AU"/>
              </w:rPr>
              <w:t xml:space="preserve"> MO, Forder PM, Milton AH, McEvoy MA &amp; Byles JE.</w:t>
            </w:r>
          </w:p>
        </w:tc>
        <w:tc>
          <w:tcPr>
            <w:tcW w:w="676" w:type="dxa"/>
          </w:tcPr>
          <w:p w14:paraId="229EB178" w14:textId="77777777" w:rsidR="007750D8" w:rsidRPr="005176BD" w:rsidRDefault="007750D8" w:rsidP="003B611A">
            <w:pPr>
              <w:rPr>
                <w:rFonts w:cs="Arial"/>
                <w:sz w:val="20"/>
                <w:szCs w:val="20"/>
                <w:lang w:eastAsia="en-AU"/>
              </w:rPr>
            </w:pPr>
            <w:r w:rsidRPr="005176BD">
              <w:rPr>
                <w:rFonts w:cs="Arial"/>
                <w:sz w:val="20"/>
                <w:szCs w:val="20"/>
                <w:lang w:eastAsia="en-AU"/>
              </w:rPr>
              <w:t>1</w:t>
            </w:r>
          </w:p>
        </w:tc>
      </w:tr>
      <w:tr w:rsidR="007750D8" w:rsidRPr="00084B2B" w14:paraId="343F2391"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6B3B3BC6" w14:textId="5F8C25C9" w:rsidR="007750D8" w:rsidRPr="005176BD" w:rsidRDefault="007750D8" w:rsidP="003B611A">
            <w:pPr>
              <w:rPr>
                <w:rFonts w:cs="Arial"/>
                <w:sz w:val="20"/>
                <w:szCs w:val="20"/>
                <w:lang w:eastAsia="en-AU"/>
              </w:rPr>
            </w:pPr>
            <w:r w:rsidRPr="005176BD">
              <w:rPr>
                <w:rFonts w:cs="Arial"/>
                <w:sz w:val="20"/>
                <w:szCs w:val="20"/>
                <w:lang w:eastAsia="en-AU"/>
              </w:rPr>
              <w:t xml:space="preserve">Factors associated with higher healthcare cost in individuals living with arthritis: evidence from the quantile regression approach. Expert Review of </w:t>
            </w:r>
            <w:proofErr w:type="spellStart"/>
            <w:r w:rsidRPr="005176BD">
              <w:rPr>
                <w:rFonts w:cs="Arial"/>
                <w:sz w:val="20"/>
                <w:szCs w:val="20"/>
                <w:lang w:eastAsia="en-AU"/>
              </w:rPr>
              <w:t>Pharmacoeconomics</w:t>
            </w:r>
            <w:proofErr w:type="spellEnd"/>
            <w:r w:rsidRPr="005176BD">
              <w:rPr>
                <w:rFonts w:cs="Arial"/>
                <w:sz w:val="20"/>
                <w:szCs w:val="20"/>
                <w:lang w:eastAsia="en-AU"/>
              </w:rPr>
              <w:t xml:space="preserve"> &amp; Outcomes Research Journal 2015</w:t>
            </w:r>
            <w:r w:rsidR="008B7D9E" w:rsidRPr="005176BD">
              <w:rPr>
                <w:rFonts w:cs="Arial"/>
                <w:sz w:val="20"/>
                <w:szCs w:val="20"/>
                <w:lang w:eastAsia="en-AU"/>
              </w:rPr>
              <w:t xml:space="preserve">; </w:t>
            </w:r>
            <w:r w:rsidRPr="005176BD">
              <w:rPr>
                <w:rFonts w:cs="Arial"/>
                <w:sz w:val="20"/>
                <w:szCs w:val="20"/>
                <w:lang w:eastAsia="en-AU"/>
              </w:rPr>
              <w:t>15(5): 833-841.</w:t>
            </w:r>
          </w:p>
        </w:tc>
        <w:tc>
          <w:tcPr>
            <w:tcW w:w="4200" w:type="dxa"/>
          </w:tcPr>
          <w:p w14:paraId="5A711BBB" w14:textId="77777777" w:rsidR="007750D8" w:rsidRPr="005176BD" w:rsidRDefault="007750D8" w:rsidP="003B611A">
            <w:pPr>
              <w:rPr>
                <w:rFonts w:cs="Arial"/>
                <w:sz w:val="20"/>
                <w:szCs w:val="20"/>
                <w:lang w:eastAsia="en-AU"/>
              </w:rPr>
            </w:pPr>
            <w:r w:rsidRPr="005176BD">
              <w:rPr>
                <w:rFonts w:cs="Arial"/>
                <w:sz w:val="20"/>
                <w:szCs w:val="20"/>
                <w:lang w:eastAsia="en-AU"/>
              </w:rPr>
              <w:t>Lo TKT, Parkinson L, Cunich M &amp; Byles J.</w:t>
            </w:r>
          </w:p>
        </w:tc>
        <w:tc>
          <w:tcPr>
            <w:tcW w:w="676" w:type="dxa"/>
          </w:tcPr>
          <w:p w14:paraId="4041B810" w14:textId="77777777" w:rsidR="007750D8" w:rsidRPr="005176BD" w:rsidRDefault="007750D8" w:rsidP="003B611A">
            <w:pPr>
              <w:rPr>
                <w:rFonts w:cs="Arial"/>
                <w:sz w:val="20"/>
                <w:szCs w:val="20"/>
                <w:lang w:eastAsia="en-AU"/>
              </w:rPr>
            </w:pPr>
            <w:r w:rsidRPr="005176BD">
              <w:rPr>
                <w:rFonts w:cs="Arial"/>
                <w:sz w:val="20"/>
                <w:szCs w:val="20"/>
                <w:lang w:eastAsia="en-AU"/>
              </w:rPr>
              <w:t>7</w:t>
            </w:r>
          </w:p>
        </w:tc>
      </w:tr>
      <w:tr w:rsidR="007750D8" w:rsidRPr="00084B2B" w14:paraId="38A092B5"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75443EC6" w14:textId="05FEAC6A" w:rsidR="007750D8" w:rsidRPr="005176BD" w:rsidRDefault="007750D8" w:rsidP="003B611A">
            <w:pPr>
              <w:rPr>
                <w:rFonts w:cs="Arial"/>
                <w:sz w:val="20"/>
                <w:szCs w:val="20"/>
                <w:lang w:eastAsia="en-AU"/>
              </w:rPr>
            </w:pPr>
            <w:r w:rsidRPr="005176BD">
              <w:rPr>
                <w:rFonts w:cs="Arial"/>
                <w:sz w:val="20"/>
                <w:szCs w:val="20"/>
                <w:lang w:eastAsia="en-AU"/>
              </w:rPr>
              <w:t>Anticholinergic burden in older women: Not seeing the wood for the trees? Medical Journal of Australia, 2015; 202(2): 91-94.</w:t>
            </w:r>
          </w:p>
        </w:tc>
        <w:tc>
          <w:tcPr>
            <w:tcW w:w="4200" w:type="dxa"/>
          </w:tcPr>
          <w:p w14:paraId="56292E9C" w14:textId="77777777" w:rsidR="007750D8" w:rsidRPr="005176BD" w:rsidRDefault="007750D8" w:rsidP="003B611A">
            <w:pPr>
              <w:rPr>
                <w:rFonts w:cs="Arial"/>
                <w:sz w:val="20"/>
                <w:szCs w:val="20"/>
                <w:lang w:eastAsia="en-AU"/>
              </w:rPr>
            </w:pPr>
            <w:r w:rsidRPr="005176BD">
              <w:rPr>
                <w:rFonts w:cs="Arial"/>
                <w:sz w:val="20"/>
                <w:szCs w:val="20"/>
                <w:lang w:eastAsia="en-AU"/>
              </w:rPr>
              <w:t xml:space="preserve">Parkinson L, </w:t>
            </w:r>
            <w:proofErr w:type="spellStart"/>
            <w:r w:rsidRPr="005176BD">
              <w:rPr>
                <w:rFonts w:cs="Arial"/>
                <w:sz w:val="20"/>
                <w:szCs w:val="20"/>
                <w:lang w:eastAsia="en-AU"/>
              </w:rPr>
              <w:t>Magin</w:t>
            </w:r>
            <w:proofErr w:type="spellEnd"/>
            <w:r w:rsidRPr="005176BD">
              <w:rPr>
                <w:rFonts w:cs="Arial"/>
                <w:sz w:val="20"/>
                <w:szCs w:val="20"/>
                <w:lang w:eastAsia="en-AU"/>
              </w:rPr>
              <w:t xml:space="preserve"> P Thomson, A, Byles </w:t>
            </w:r>
            <w:proofErr w:type="spellStart"/>
            <w:r w:rsidRPr="005176BD">
              <w:rPr>
                <w:rFonts w:cs="Arial"/>
                <w:sz w:val="20"/>
                <w:szCs w:val="20"/>
                <w:lang w:eastAsia="en-AU"/>
              </w:rPr>
              <w:t>J,Caughey</w:t>
            </w:r>
            <w:proofErr w:type="spellEnd"/>
            <w:r w:rsidRPr="005176BD">
              <w:rPr>
                <w:rFonts w:cs="Arial"/>
                <w:sz w:val="20"/>
                <w:szCs w:val="20"/>
                <w:lang w:eastAsia="en-AU"/>
              </w:rPr>
              <w:t xml:space="preserve">, G, </w:t>
            </w:r>
            <w:proofErr w:type="spellStart"/>
            <w:r w:rsidRPr="005176BD">
              <w:rPr>
                <w:rFonts w:cs="Arial"/>
                <w:sz w:val="20"/>
                <w:szCs w:val="20"/>
                <w:lang w:eastAsia="en-AU"/>
              </w:rPr>
              <w:t>Etherton</w:t>
            </w:r>
            <w:proofErr w:type="spellEnd"/>
            <w:r w:rsidRPr="005176BD">
              <w:rPr>
                <w:rFonts w:cs="Arial"/>
                <w:sz w:val="20"/>
                <w:szCs w:val="20"/>
                <w:lang w:eastAsia="en-AU"/>
              </w:rPr>
              <w:t xml:space="preserve">-Beer C, </w:t>
            </w:r>
            <w:proofErr w:type="spellStart"/>
            <w:r w:rsidRPr="005176BD">
              <w:rPr>
                <w:rFonts w:cs="Arial"/>
                <w:sz w:val="20"/>
                <w:szCs w:val="20"/>
                <w:lang w:eastAsia="en-AU"/>
              </w:rPr>
              <w:t>Gnjidic</w:t>
            </w:r>
            <w:proofErr w:type="spellEnd"/>
            <w:r w:rsidRPr="005176BD">
              <w:rPr>
                <w:rFonts w:cs="Arial"/>
                <w:sz w:val="20"/>
                <w:szCs w:val="20"/>
                <w:lang w:eastAsia="en-AU"/>
              </w:rPr>
              <w:t xml:space="preserve"> D, </w:t>
            </w:r>
            <w:proofErr w:type="spellStart"/>
            <w:r w:rsidRPr="005176BD">
              <w:rPr>
                <w:rFonts w:cs="Arial"/>
                <w:sz w:val="20"/>
                <w:szCs w:val="20"/>
                <w:lang w:eastAsia="en-AU"/>
              </w:rPr>
              <w:t>Hilmer</w:t>
            </w:r>
            <w:proofErr w:type="spellEnd"/>
            <w:r w:rsidRPr="005176BD">
              <w:rPr>
                <w:rFonts w:cs="Arial"/>
                <w:sz w:val="20"/>
                <w:szCs w:val="20"/>
                <w:lang w:eastAsia="en-AU"/>
              </w:rPr>
              <w:t xml:space="preserve"> S, Lo T, </w:t>
            </w:r>
            <w:proofErr w:type="spellStart"/>
            <w:r w:rsidRPr="005176BD">
              <w:rPr>
                <w:rFonts w:cs="Arial"/>
                <w:sz w:val="20"/>
                <w:szCs w:val="20"/>
                <w:lang w:eastAsia="en-AU"/>
              </w:rPr>
              <w:t>McCowan</w:t>
            </w:r>
            <w:proofErr w:type="spellEnd"/>
            <w:r w:rsidRPr="005176BD">
              <w:rPr>
                <w:rFonts w:cs="Arial"/>
                <w:sz w:val="20"/>
                <w:szCs w:val="20"/>
                <w:lang w:eastAsia="en-AU"/>
              </w:rPr>
              <w:t xml:space="preserve"> C, </w:t>
            </w:r>
            <w:proofErr w:type="spellStart"/>
            <w:r w:rsidRPr="005176BD">
              <w:rPr>
                <w:rFonts w:cs="Arial"/>
                <w:sz w:val="20"/>
                <w:szCs w:val="20"/>
                <w:lang w:eastAsia="en-AU"/>
              </w:rPr>
              <w:t>Moorin</w:t>
            </w:r>
            <w:proofErr w:type="spellEnd"/>
            <w:r w:rsidRPr="005176BD">
              <w:rPr>
                <w:rFonts w:cs="Arial"/>
                <w:sz w:val="20"/>
                <w:szCs w:val="20"/>
                <w:lang w:eastAsia="en-AU"/>
              </w:rPr>
              <w:t>, R &amp; Pond D.</w:t>
            </w:r>
          </w:p>
        </w:tc>
        <w:tc>
          <w:tcPr>
            <w:tcW w:w="676" w:type="dxa"/>
          </w:tcPr>
          <w:p w14:paraId="04EDFA1B" w14:textId="77777777" w:rsidR="007750D8" w:rsidRPr="005176BD" w:rsidRDefault="007750D8" w:rsidP="003B611A">
            <w:pPr>
              <w:rPr>
                <w:rFonts w:cs="Arial"/>
                <w:sz w:val="20"/>
                <w:szCs w:val="20"/>
                <w:lang w:eastAsia="en-AU"/>
              </w:rPr>
            </w:pPr>
            <w:r w:rsidRPr="005176BD">
              <w:rPr>
                <w:rFonts w:cs="Arial"/>
                <w:sz w:val="20"/>
                <w:szCs w:val="20"/>
                <w:lang w:eastAsia="en-AU"/>
              </w:rPr>
              <w:t>12</w:t>
            </w:r>
          </w:p>
        </w:tc>
      </w:tr>
      <w:tr w:rsidR="007750D8" w:rsidRPr="00084B2B" w14:paraId="196F5D50"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03290CBD" w14:textId="41B4D5EF" w:rsidR="007750D8" w:rsidRPr="005176BD" w:rsidRDefault="007750D8" w:rsidP="003B611A">
            <w:pPr>
              <w:rPr>
                <w:rFonts w:cs="Arial"/>
                <w:sz w:val="20"/>
                <w:szCs w:val="20"/>
                <w:lang w:eastAsia="en-AU"/>
              </w:rPr>
            </w:pPr>
            <w:r w:rsidRPr="005176BD">
              <w:rPr>
                <w:rFonts w:cs="Arial"/>
                <w:sz w:val="20"/>
                <w:szCs w:val="20"/>
                <w:lang w:eastAsia="en-AU"/>
              </w:rPr>
              <w:t>Is statin use associated with new joint-related symptoms, physical function and quality of life? The Australian Longitudinal Study on Women’s Health. Arthritis Care &amp; Research, 2015; 67(1): 13-20.</w:t>
            </w:r>
          </w:p>
        </w:tc>
        <w:tc>
          <w:tcPr>
            <w:tcW w:w="4200" w:type="dxa"/>
          </w:tcPr>
          <w:p w14:paraId="58DA601D" w14:textId="77777777" w:rsidR="007750D8" w:rsidRPr="005176BD" w:rsidRDefault="007750D8"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SE, </w:t>
            </w:r>
            <w:proofErr w:type="spellStart"/>
            <w:r w:rsidRPr="005176BD">
              <w:rPr>
                <w:rFonts w:cs="Arial"/>
                <w:sz w:val="20"/>
                <w:szCs w:val="20"/>
                <w:lang w:eastAsia="en-AU"/>
              </w:rPr>
              <w:t>Conaghan</w:t>
            </w:r>
            <w:proofErr w:type="spellEnd"/>
            <w:r w:rsidRPr="005176BD">
              <w:rPr>
                <w:rFonts w:cs="Arial"/>
                <w:sz w:val="20"/>
                <w:szCs w:val="20"/>
                <w:lang w:eastAsia="en-AU"/>
              </w:rPr>
              <w:t xml:space="preserve"> PG, Mishra GD &amp; Dobson AJ.</w:t>
            </w:r>
          </w:p>
        </w:tc>
        <w:tc>
          <w:tcPr>
            <w:tcW w:w="676" w:type="dxa"/>
          </w:tcPr>
          <w:p w14:paraId="4CA60DE1" w14:textId="77777777" w:rsidR="007750D8" w:rsidRPr="005176BD" w:rsidRDefault="007750D8" w:rsidP="003B611A">
            <w:pPr>
              <w:rPr>
                <w:rFonts w:cs="Arial"/>
                <w:sz w:val="20"/>
                <w:szCs w:val="20"/>
                <w:lang w:eastAsia="en-AU"/>
              </w:rPr>
            </w:pPr>
            <w:r w:rsidRPr="005176BD">
              <w:rPr>
                <w:rFonts w:cs="Arial"/>
                <w:sz w:val="20"/>
                <w:szCs w:val="20"/>
                <w:lang w:eastAsia="en-AU"/>
              </w:rPr>
              <w:t>12</w:t>
            </w:r>
          </w:p>
        </w:tc>
      </w:tr>
      <w:tr w:rsidR="007750D8" w:rsidRPr="00084B2B" w14:paraId="7821F51B"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1C9E06A2" w14:textId="370D38C9" w:rsidR="007750D8" w:rsidRPr="005176BD" w:rsidRDefault="007750D8" w:rsidP="003B611A">
            <w:pPr>
              <w:rPr>
                <w:rFonts w:cs="Arial"/>
                <w:sz w:val="20"/>
                <w:szCs w:val="20"/>
                <w:lang w:eastAsia="en-AU"/>
              </w:rPr>
            </w:pPr>
            <w:r w:rsidRPr="005176BD">
              <w:rPr>
                <w:rFonts w:cs="Arial"/>
                <w:sz w:val="20"/>
                <w:szCs w:val="20"/>
                <w:lang w:eastAsia="en-AU"/>
              </w:rPr>
              <w:t>Moderate agreement between self-reported stroke and hospital-recorded stroke in two cohorts of Australian women: a validation study. BMC Medical Methodology Research, 2015; 15(7): 1-10.</w:t>
            </w:r>
          </w:p>
        </w:tc>
        <w:tc>
          <w:tcPr>
            <w:tcW w:w="4200" w:type="dxa"/>
          </w:tcPr>
          <w:p w14:paraId="7571374F" w14:textId="77777777" w:rsidR="007750D8" w:rsidRPr="005176BD" w:rsidRDefault="007750D8" w:rsidP="003B611A">
            <w:pPr>
              <w:rPr>
                <w:rFonts w:cs="Arial"/>
                <w:sz w:val="20"/>
                <w:szCs w:val="20"/>
                <w:lang w:eastAsia="en-AU"/>
              </w:rPr>
            </w:pPr>
            <w:r w:rsidRPr="005176BD">
              <w:rPr>
                <w:rFonts w:cs="Arial"/>
                <w:sz w:val="20"/>
                <w:szCs w:val="20"/>
                <w:lang w:eastAsia="en-AU"/>
              </w:rPr>
              <w:t>Jackson CA, Mishra G, Byles J, Tooth L, Dobson A.</w:t>
            </w:r>
          </w:p>
        </w:tc>
        <w:tc>
          <w:tcPr>
            <w:tcW w:w="676" w:type="dxa"/>
          </w:tcPr>
          <w:p w14:paraId="1363D653" w14:textId="77777777" w:rsidR="007750D8" w:rsidRPr="005176BD" w:rsidRDefault="007750D8" w:rsidP="003B611A">
            <w:pPr>
              <w:rPr>
                <w:rFonts w:cs="Arial"/>
                <w:sz w:val="20"/>
                <w:szCs w:val="20"/>
                <w:lang w:eastAsia="en-AU"/>
              </w:rPr>
            </w:pPr>
            <w:r w:rsidRPr="005176BD">
              <w:rPr>
                <w:rFonts w:cs="Arial"/>
                <w:sz w:val="20"/>
                <w:szCs w:val="20"/>
                <w:lang w:eastAsia="en-AU"/>
              </w:rPr>
              <w:t>3</w:t>
            </w:r>
          </w:p>
        </w:tc>
      </w:tr>
      <w:tr w:rsidR="007750D8" w:rsidRPr="00084B2B" w14:paraId="0A4CD9DD" w14:textId="77777777" w:rsidTr="0011030B">
        <w:tc>
          <w:tcPr>
            <w:tcW w:w="8979" w:type="dxa"/>
            <w:tcBorders>
              <w:top w:val="single" w:sz="4" w:space="0" w:color="auto"/>
              <w:left w:val="single" w:sz="4" w:space="0" w:color="C0C0C0"/>
              <w:bottom w:val="single" w:sz="4" w:space="0" w:color="auto"/>
              <w:right w:val="single" w:sz="4" w:space="0" w:color="C0C0C0"/>
            </w:tcBorders>
            <w:shd w:val="clear" w:color="auto" w:fill="auto"/>
          </w:tcPr>
          <w:p w14:paraId="49C50D89" w14:textId="0911D888" w:rsidR="007750D8" w:rsidRPr="005176BD" w:rsidRDefault="007750D8" w:rsidP="003B611A">
            <w:pPr>
              <w:rPr>
                <w:rFonts w:cs="Arial"/>
                <w:sz w:val="20"/>
                <w:szCs w:val="20"/>
                <w:lang w:eastAsia="en-AU"/>
              </w:rPr>
            </w:pPr>
            <w:r w:rsidRPr="005176BD">
              <w:rPr>
                <w:rFonts w:cs="Arial"/>
                <w:sz w:val="20"/>
                <w:szCs w:val="20"/>
                <w:lang w:eastAsia="en-AU"/>
              </w:rPr>
              <w:t xml:space="preserve">Osteoporosis medication dispensing for older Australian women from 2002 to 2010: Influences of publications, guidelines, marketing activities and policy. </w:t>
            </w:r>
            <w:proofErr w:type="spellStart"/>
            <w:r w:rsidRPr="005176BD">
              <w:rPr>
                <w:rFonts w:cs="Arial"/>
                <w:sz w:val="20"/>
                <w:szCs w:val="20"/>
                <w:lang w:eastAsia="en-AU"/>
              </w:rPr>
              <w:t>Pharmacoepidemiology</w:t>
            </w:r>
            <w:proofErr w:type="spellEnd"/>
            <w:r w:rsidRPr="005176BD">
              <w:rPr>
                <w:rFonts w:cs="Arial"/>
                <w:sz w:val="20"/>
                <w:szCs w:val="20"/>
                <w:lang w:eastAsia="en-AU"/>
              </w:rPr>
              <w:t xml:space="preserve"> &amp; Drug Safety, 2014; 23(12): 1303-1311.</w:t>
            </w:r>
          </w:p>
        </w:tc>
        <w:tc>
          <w:tcPr>
            <w:tcW w:w="4200" w:type="dxa"/>
          </w:tcPr>
          <w:p w14:paraId="27A51D02" w14:textId="77777777" w:rsidR="007750D8" w:rsidRPr="005176BD" w:rsidRDefault="007750D8"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Duncan E, Mishra G &amp; Dobson A.</w:t>
            </w:r>
          </w:p>
        </w:tc>
        <w:tc>
          <w:tcPr>
            <w:tcW w:w="676" w:type="dxa"/>
          </w:tcPr>
          <w:p w14:paraId="0456A036" w14:textId="77777777" w:rsidR="007750D8" w:rsidRPr="005176BD" w:rsidRDefault="007750D8" w:rsidP="003B611A">
            <w:pPr>
              <w:rPr>
                <w:rFonts w:cs="Arial"/>
                <w:sz w:val="20"/>
                <w:szCs w:val="20"/>
                <w:lang w:eastAsia="en-AU"/>
              </w:rPr>
            </w:pPr>
            <w:r w:rsidRPr="005176BD">
              <w:rPr>
                <w:rFonts w:cs="Arial"/>
                <w:sz w:val="20"/>
                <w:szCs w:val="20"/>
                <w:lang w:eastAsia="en-AU"/>
              </w:rPr>
              <w:t>13</w:t>
            </w:r>
          </w:p>
        </w:tc>
      </w:tr>
      <w:tr w:rsidR="007750D8" w:rsidRPr="00084B2B" w14:paraId="3635666D" w14:textId="77777777" w:rsidTr="0011030B">
        <w:tc>
          <w:tcPr>
            <w:tcW w:w="8979" w:type="dxa"/>
          </w:tcPr>
          <w:p w14:paraId="414EA723" w14:textId="103E9DE4" w:rsidR="007750D8" w:rsidRPr="005176BD" w:rsidRDefault="007750D8" w:rsidP="003B611A">
            <w:pPr>
              <w:rPr>
                <w:rFonts w:cs="Arial"/>
                <w:sz w:val="20"/>
                <w:szCs w:val="20"/>
                <w:lang w:eastAsia="en-AU"/>
              </w:rPr>
            </w:pPr>
            <w:r w:rsidRPr="005176BD">
              <w:rPr>
                <w:rFonts w:cs="Arial"/>
                <w:sz w:val="20"/>
                <w:szCs w:val="20"/>
                <w:lang w:eastAsia="en-AU"/>
              </w:rPr>
              <w:t xml:space="preserve">Assessing patterns of use of cardio-protective </w:t>
            </w:r>
            <w:proofErr w:type="spellStart"/>
            <w:r w:rsidRPr="005176BD">
              <w:rPr>
                <w:rFonts w:cs="Arial"/>
                <w:sz w:val="20"/>
                <w:szCs w:val="20"/>
                <w:lang w:eastAsia="en-AU"/>
              </w:rPr>
              <w:t>polypill</w:t>
            </w:r>
            <w:proofErr w:type="spellEnd"/>
            <w:r w:rsidRPr="005176BD">
              <w:rPr>
                <w:rFonts w:cs="Arial"/>
                <w:sz w:val="20"/>
                <w:szCs w:val="20"/>
                <w:lang w:eastAsia="en-AU"/>
              </w:rPr>
              <w:t xml:space="preserve"> component medicines in Australian women. Drugs and Ageing, 2013; 30(3): 193-203.</w:t>
            </w:r>
          </w:p>
        </w:tc>
        <w:tc>
          <w:tcPr>
            <w:tcW w:w="4200" w:type="dxa"/>
          </w:tcPr>
          <w:p w14:paraId="016EB7DF" w14:textId="77777777" w:rsidR="007750D8" w:rsidRPr="005176BD" w:rsidRDefault="007750D8" w:rsidP="003B611A">
            <w:pPr>
              <w:rPr>
                <w:rFonts w:cs="Arial"/>
                <w:sz w:val="20"/>
                <w:szCs w:val="20"/>
                <w:lang w:eastAsia="en-AU"/>
              </w:rPr>
            </w:pPr>
            <w:r w:rsidRPr="005176BD">
              <w:rPr>
                <w:rFonts w:cs="Arial"/>
                <w:sz w:val="20"/>
                <w:szCs w:val="20"/>
                <w:lang w:eastAsia="en-AU"/>
              </w:rPr>
              <w:t xml:space="preserve">Stewart Williams J, </w:t>
            </w:r>
            <w:proofErr w:type="spellStart"/>
            <w:r w:rsidRPr="005176BD">
              <w:rPr>
                <w:rFonts w:cs="Arial"/>
                <w:sz w:val="20"/>
                <w:szCs w:val="20"/>
                <w:lang w:eastAsia="en-AU"/>
              </w:rPr>
              <w:t>Wallick</w:t>
            </w:r>
            <w:proofErr w:type="spellEnd"/>
            <w:r w:rsidRPr="005176BD">
              <w:rPr>
                <w:rFonts w:cs="Arial"/>
                <w:sz w:val="20"/>
                <w:szCs w:val="20"/>
                <w:lang w:eastAsia="en-AU"/>
              </w:rPr>
              <w:t xml:space="preserve"> J, Byles J &amp; Doran C.</w:t>
            </w:r>
          </w:p>
        </w:tc>
        <w:tc>
          <w:tcPr>
            <w:tcW w:w="676" w:type="dxa"/>
          </w:tcPr>
          <w:p w14:paraId="0F908470" w14:textId="77777777" w:rsidR="007750D8" w:rsidRPr="005176BD" w:rsidRDefault="007750D8" w:rsidP="003B611A">
            <w:pPr>
              <w:rPr>
                <w:rFonts w:cs="Arial"/>
                <w:sz w:val="20"/>
                <w:szCs w:val="20"/>
                <w:lang w:eastAsia="en-AU"/>
              </w:rPr>
            </w:pPr>
            <w:r w:rsidRPr="005176BD">
              <w:rPr>
                <w:rFonts w:cs="Arial"/>
                <w:sz w:val="20"/>
                <w:szCs w:val="20"/>
                <w:lang w:eastAsia="en-AU"/>
              </w:rPr>
              <w:t>2</w:t>
            </w:r>
          </w:p>
        </w:tc>
      </w:tr>
      <w:tr w:rsidR="007750D8" w:rsidRPr="00084B2B" w14:paraId="11C74B33" w14:textId="77777777" w:rsidTr="0011030B">
        <w:tc>
          <w:tcPr>
            <w:tcW w:w="8979" w:type="dxa"/>
          </w:tcPr>
          <w:p w14:paraId="39A7293F" w14:textId="5B417EB4" w:rsidR="007750D8" w:rsidRPr="005176BD" w:rsidRDefault="007750D8" w:rsidP="003B611A">
            <w:pPr>
              <w:rPr>
                <w:rFonts w:cs="Arial"/>
                <w:sz w:val="20"/>
                <w:szCs w:val="20"/>
                <w:lang w:eastAsia="en-AU"/>
              </w:rPr>
            </w:pPr>
            <w:r w:rsidRPr="005176BD">
              <w:rPr>
                <w:rFonts w:cs="Arial"/>
                <w:sz w:val="20"/>
                <w:szCs w:val="20"/>
                <w:lang w:eastAsia="en-AU"/>
              </w:rPr>
              <w:t>Accuracy of self-reported medicines use compared to pharmaceutical claims data amongst a national sample of older Australian women. Open Journal of Epidemiology, 2013; 3(1): 25-32.</w:t>
            </w:r>
          </w:p>
        </w:tc>
        <w:tc>
          <w:tcPr>
            <w:tcW w:w="4200" w:type="dxa"/>
          </w:tcPr>
          <w:p w14:paraId="5CE6162C" w14:textId="77777777" w:rsidR="007750D8" w:rsidRPr="005176BD" w:rsidRDefault="007750D8" w:rsidP="003B611A">
            <w:pPr>
              <w:rPr>
                <w:rFonts w:cs="Arial"/>
                <w:sz w:val="20"/>
                <w:szCs w:val="20"/>
                <w:lang w:eastAsia="en-AU"/>
              </w:rPr>
            </w:pPr>
            <w:r w:rsidRPr="005176BD">
              <w:rPr>
                <w:rFonts w:cs="Arial"/>
                <w:sz w:val="20"/>
                <w:szCs w:val="20"/>
                <w:lang w:eastAsia="en-AU"/>
              </w:rPr>
              <w:t>Dolja-Gore X, Pit S, Parkinson L, Young A &amp; Byles J.</w:t>
            </w:r>
          </w:p>
        </w:tc>
        <w:tc>
          <w:tcPr>
            <w:tcW w:w="676" w:type="dxa"/>
          </w:tcPr>
          <w:p w14:paraId="01ED9059" w14:textId="77777777" w:rsidR="007750D8" w:rsidRPr="005176BD" w:rsidRDefault="007750D8" w:rsidP="003B611A">
            <w:pPr>
              <w:rPr>
                <w:rFonts w:cs="Arial"/>
                <w:sz w:val="20"/>
                <w:szCs w:val="20"/>
                <w:lang w:eastAsia="en-AU"/>
              </w:rPr>
            </w:pPr>
            <w:r w:rsidRPr="005176BD">
              <w:rPr>
                <w:rFonts w:cs="Arial"/>
                <w:sz w:val="20"/>
                <w:szCs w:val="20"/>
                <w:lang w:eastAsia="en-AU"/>
              </w:rPr>
              <w:t>2</w:t>
            </w:r>
          </w:p>
        </w:tc>
      </w:tr>
      <w:tr w:rsidR="007750D8" w:rsidRPr="00084B2B" w14:paraId="1483D92D" w14:textId="77777777" w:rsidTr="0011030B">
        <w:tc>
          <w:tcPr>
            <w:tcW w:w="8979" w:type="dxa"/>
          </w:tcPr>
          <w:p w14:paraId="259CA518" w14:textId="6DD51EC7" w:rsidR="007750D8" w:rsidRPr="005176BD" w:rsidRDefault="007750D8" w:rsidP="003B611A">
            <w:pPr>
              <w:rPr>
                <w:rFonts w:cs="Arial"/>
                <w:sz w:val="20"/>
                <w:szCs w:val="20"/>
                <w:lang w:eastAsia="en-AU"/>
              </w:rPr>
            </w:pPr>
            <w:r w:rsidRPr="005176BD">
              <w:rPr>
                <w:rFonts w:cs="Arial"/>
                <w:sz w:val="20"/>
                <w:szCs w:val="20"/>
                <w:lang w:eastAsia="en-AU"/>
              </w:rPr>
              <w:t>Validity of self-reported osteoporosis in mid-age and older women. Osteoporosis International, 2013; 24(3): 917-927.</w:t>
            </w:r>
          </w:p>
        </w:tc>
        <w:tc>
          <w:tcPr>
            <w:tcW w:w="4200" w:type="dxa"/>
          </w:tcPr>
          <w:p w14:paraId="057651BB" w14:textId="77777777" w:rsidR="007750D8" w:rsidRPr="005176BD" w:rsidRDefault="007750D8"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Dobson A &amp; Mishra G.</w:t>
            </w:r>
          </w:p>
        </w:tc>
        <w:tc>
          <w:tcPr>
            <w:tcW w:w="676" w:type="dxa"/>
          </w:tcPr>
          <w:p w14:paraId="272A1567" w14:textId="77777777" w:rsidR="007750D8" w:rsidRPr="005176BD" w:rsidRDefault="007750D8" w:rsidP="003B611A">
            <w:pPr>
              <w:rPr>
                <w:rFonts w:cs="Arial"/>
                <w:sz w:val="20"/>
                <w:szCs w:val="20"/>
                <w:lang w:eastAsia="en-AU"/>
              </w:rPr>
            </w:pPr>
            <w:r w:rsidRPr="005176BD">
              <w:rPr>
                <w:rFonts w:cs="Arial"/>
                <w:sz w:val="20"/>
                <w:szCs w:val="20"/>
                <w:lang w:eastAsia="en-AU"/>
              </w:rPr>
              <w:t>11</w:t>
            </w:r>
          </w:p>
        </w:tc>
      </w:tr>
      <w:tr w:rsidR="007750D8" w:rsidRPr="00A04D4E" w14:paraId="02A02AD3" w14:textId="77777777" w:rsidTr="0011030B">
        <w:tc>
          <w:tcPr>
            <w:tcW w:w="8979" w:type="dxa"/>
          </w:tcPr>
          <w:p w14:paraId="5DBD81AC" w14:textId="734D9C27" w:rsidR="007750D8" w:rsidRPr="005176BD" w:rsidRDefault="007750D8" w:rsidP="003B611A">
            <w:pPr>
              <w:rPr>
                <w:rFonts w:cs="Arial"/>
                <w:sz w:val="20"/>
                <w:szCs w:val="20"/>
                <w:lang w:eastAsia="en-AU"/>
              </w:rPr>
            </w:pPr>
            <w:r w:rsidRPr="005176BD">
              <w:rPr>
                <w:rFonts w:cs="Arial"/>
                <w:sz w:val="20"/>
                <w:szCs w:val="20"/>
                <w:lang w:eastAsia="en-AU"/>
              </w:rPr>
              <w:t xml:space="preserve">Physical activity and all-cause mortality in older women and men. British Journal of Sports Medicine, 2012; 46(9): 664-668. </w:t>
            </w:r>
          </w:p>
        </w:tc>
        <w:tc>
          <w:tcPr>
            <w:tcW w:w="4200" w:type="dxa"/>
          </w:tcPr>
          <w:p w14:paraId="4A249992" w14:textId="77777777" w:rsidR="007750D8" w:rsidRPr="005176BD" w:rsidRDefault="007750D8" w:rsidP="003B611A">
            <w:pPr>
              <w:rPr>
                <w:rFonts w:cs="Arial"/>
                <w:sz w:val="20"/>
                <w:szCs w:val="20"/>
                <w:lang w:eastAsia="en-AU"/>
              </w:rPr>
            </w:pPr>
            <w:r w:rsidRPr="005176BD">
              <w:rPr>
                <w:rFonts w:cs="Arial"/>
                <w:sz w:val="20"/>
                <w:szCs w:val="20"/>
                <w:lang w:eastAsia="en-AU"/>
              </w:rPr>
              <w:t>Brown W, McLaughlin D, Leung J, McCaul K, Flicker L, Almeida O, Hankey G, Lopez G &amp; Dobson A.</w:t>
            </w:r>
          </w:p>
        </w:tc>
        <w:tc>
          <w:tcPr>
            <w:tcW w:w="676" w:type="dxa"/>
          </w:tcPr>
          <w:p w14:paraId="79245A11" w14:textId="77777777" w:rsidR="007750D8" w:rsidRPr="005176BD" w:rsidRDefault="007750D8" w:rsidP="003B611A">
            <w:pPr>
              <w:rPr>
                <w:rFonts w:cs="Arial"/>
                <w:sz w:val="20"/>
                <w:szCs w:val="20"/>
                <w:lang w:eastAsia="en-AU"/>
              </w:rPr>
            </w:pPr>
            <w:r w:rsidRPr="005176BD">
              <w:rPr>
                <w:rFonts w:cs="Arial"/>
                <w:sz w:val="20"/>
                <w:szCs w:val="20"/>
                <w:lang w:eastAsia="en-AU"/>
              </w:rPr>
              <w:t>103</w:t>
            </w:r>
          </w:p>
        </w:tc>
      </w:tr>
      <w:tr w:rsidR="007750D8" w:rsidRPr="00084B2B" w14:paraId="25474C74" w14:textId="77777777" w:rsidTr="0011030B">
        <w:tc>
          <w:tcPr>
            <w:tcW w:w="8979" w:type="dxa"/>
          </w:tcPr>
          <w:p w14:paraId="212F5523" w14:textId="6B187A5F" w:rsidR="007750D8" w:rsidRPr="005176BD" w:rsidRDefault="007750D8" w:rsidP="003B611A">
            <w:pPr>
              <w:rPr>
                <w:rFonts w:cs="Arial"/>
                <w:sz w:val="20"/>
                <w:szCs w:val="20"/>
                <w:lang w:eastAsia="en-AU"/>
              </w:rPr>
            </w:pPr>
            <w:r w:rsidRPr="005176BD">
              <w:rPr>
                <w:rFonts w:cs="Arial"/>
                <w:sz w:val="20"/>
                <w:szCs w:val="20"/>
                <w:lang w:eastAsia="en-AU"/>
              </w:rPr>
              <w:lastRenderedPageBreak/>
              <w:t>Does Government subsidy for costs of medical and pharmaceutical services result in higher service utilization by older widowed women in Australia? BMC Health Services Research, 2012; 12(1):</w:t>
            </w:r>
            <w:r w:rsidR="00012F17" w:rsidRPr="005176BD">
              <w:rPr>
                <w:rFonts w:cs="Arial"/>
                <w:sz w:val="20"/>
                <w:szCs w:val="20"/>
                <w:lang w:eastAsia="en-AU"/>
              </w:rPr>
              <w:t xml:space="preserve"> </w:t>
            </w:r>
            <w:r w:rsidRPr="005176BD">
              <w:rPr>
                <w:rFonts w:cs="Arial"/>
                <w:sz w:val="20"/>
                <w:szCs w:val="20"/>
                <w:lang w:eastAsia="en-AU"/>
              </w:rPr>
              <w:t>p179.</w:t>
            </w:r>
          </w:p>
        </w:tc>
        <w:tc>
          <w:tcPr>
            <w:tcW w:w="4200" w:type="dxa"/>
          </w:tcPr>
          <w:p w14:paraId="2FE1E5A0" w14:textId="77777777" w:rsidR="007750D8" w:rsidRPr="005176BD" w:rsidRDefault="007750D8" w:rsidP="003B611A">
            <w:pPr>
              <w:rPr>
                <w:rFonts w:cs="Arial"/>
                <w:sz w:val="20"/>
                <w:szCs w:val="20"/>
                <w:lang w:eastAsia="en-AU"/>
              </w:rPr>
            </w:pPr>
            <w:r w:rsidRPr="005176BD">
              <w:rPr>
                <w:rFonts w:cs="Arial"/>
                <w:sz w:val="20"/>
                <w:szCs w:val="20"/>
                <w:lang w:eastAsia="en-AU"/>
              </w:rPr>
              <w:t xml:space="preserve">Tooth L, Hockey R, </w:t>
            </w:r>
            <w:proofErr w:type="spellStart"/>
            <w:r w:rsidRPr="005176BD">
              <w:rPr>
                <w:rFonts w:cs="Arial"/>
                <w:sz w:val="20"/>
                <w:szCs w:val="20"/>
                <w:lang w:eastAsia="en-AU"/>
              </w:rPr>
              <w:t>Treloar</w:t>
            </w:r>
            <w:proofErr w:type="spellEnd"/>
            <w:r w:rsidRPr="005176BD">
              <w:rPr>
                <w:rFonts w:cs="Arial"/>
                <w:sz w:val="20"/>
                <w:szCs w:val="20"/>
                <w:lang w:eastAsia="en-AU"/>
              </w:rPr>
              <w:t xml:space="preserve"> S, McClintock C &amp; Dobson A.</w:t>
            </w:r>
          </w:p>
        </w:tc>
        <w:tc>
          <w:tcPr>
            <w:tcW w:w="676" w:type="dxa"/>
          </w:tcPr>
          <w:p w14:paraId="0832F0AA" w14:textId="77777777" w:rsidR="007750D8" w:rsidRPr="005176BD" w:rsidRDefault="007750D8" w:rsidP="003B611A">
            <w:pPr>
              <w:rPr>
                <w:rFonts w:cs="Arial"/>
                <w:sz w:val="20"/>
                <w:szCs w:val="20"/>
                <w:lang w:eastAsia="en-AU"/>
              </w:rPr>
            </w:pPr>
            <w:r w:rsidRPr="005176BD">
              <w:rPr>
                <w:rFonts w:cs="Arial"/>
                <w:sz w:val="20"/>
                <w:szCs w:val="20"/>
                <w:lang w:eastAsia="en-AU"/>
              </w:rPr>
              <w:t>10</w:t>
            </w:r>
          </w:p>
        </w:tc>
      </w:tr>
      <w:tr w:rsidR="007750D8" w:rsidRPr="00084B2B" w14:paraId="5EDE1E07" w14:textId="77777777" w:rsidTr="0011030B">
        <w:tc>
          <w:tcPr>
            <w:tcW w:w="8979" w:type="dxa"/>
          </w:tcPr>
          <w:p w14:paraId="3B4CB570" w14:textId="0AE3E03D" w:rsidR="007750D8" w:rsidRPr="005176BD" w:rsidRDefault="007750D8" w:rsidP="003B611A">
            <w:pPr>
              <w:rPr>
                <w:rFonts w:cs="Arial"/>
                <w:sz w:val="20"/>
                <w:szCs w:val="20"/>
                <w:lang w:eastAsia="en-AU"/>
              </w:rPr>
            </w:pPr>
            <w:r w:rsidRPr="005176BD">
              <w:rPr>
                <w:rFonts w:cs="Arial"/>
                <w:sz w:val="20"/>
                <w:szCs w:val="20"/>
                <w:lang w:eastAsia="en-AU"/>
              </w:rPr>
              <w:t xml:space="preserve">An observational study of the discrediting of COX-2 NSAIDs in Australia: </w:t>
            </w:r>
            <w:proofErr w:type="spellStart"/>
            <w:r w:rsidRPr="005176BD">
              <w:rPr>
                <w:rFonts w:cs="Arial"/>
                <w:sz w:val="20"/>
                <w:szCs w:val="20"/>
                <w:lang w:eastAsia="en-AU"/>
              </w:rPr>
              <w:t>Vioxx</w:t>
            </w:r>
            <w:proofErr w:type="spellEnd"/>
            <w:r w:rsidRPr="005176BD">
              <w:rPr>
                <w:rFonts w:cs="Arial"/>
                <w:sz w:val="20"/>
                <w:szCs w:val="20"/>
                <w:lang w:eastAsia="en-AU"/>
              </w:rPr>
              <w:t xml:space="preserve"> or class effect? BMC Public Health, 2011; 11: art 892. </w:t>
            </w:r>
          </w:p>
        </w:tc>
        <w:tc>
          <w:tcPr>
            <w:tcW w:w="4200" w:type="dxa"/>
          </w:tcPr>
          <w:p w14:paraId="08D9657A" w14:textId="1E6643CB" w:rsidR="007750D8" w:rsidRPr="005176BD" w:rsidRDefault="007750D8" w:rsidP="003B611A">
            <w:pPr>
              <w:rPr>
                <w:rFonts w:cs="Arial"/>
                <w:sz w:val="20"/>
                <w:szCs w:val="20"/>
                <w:lang w:eastAsia="en-AU"/>
              </w:rPr>
            </w:pPr>
            <w:r w:rsidRPr="005176BD">
              <w:rPr>
                <w:rFonts w:cs="Arial"/>
                <w:sz w:val="20"/>
                <w:szCs w:val="20"/>
                <w:lang w:eastAsia="en-AU"/>
              </w:rPr>
              <w:t xml:space="preserve">Parkinson L, Dolja-Gore X, Gibson R, Doran E, </w:t>
            </w:r>
            <w:proofErr w:type="spellStart"/>
            <w:r w:rsidRPr="005176BD">
              <w:rPr>
                <w:rFonts w:cs="Arial"/>
                <w:sz w:val="20"/>
                <w:szCs w:val="20"/>
                <w:lang w:eastAsia="en-AU"/>
              </w:rPr>
              <w:t>Notley</w:t>
            </w:r>
            <w:proofErr w:type="spellEnd"/>
            <w:r w:rsidRPr="005176BD">
              <w:rPr>
                <w:rFonts w:cs="Arial"/>
                <w:sz w:val="20"/>
                <w:szCs w:val="20"/>
                <w:lang w:eastAsia="en-AU"/>
              </w:rPr>
              <w:t xml:space="preserve"> L, Stewart Williams L, </w:t>
            </w:r>
            <w:proofErr w:type="spellStart"/>
            <w:r w:rsidRPr="005176BD">
              <w:rPr>
                <w:rFonts w:cs="Arial"/>
                <w:sz w:val="20"/>
                <w:szCs w:val="20"/>
                <w:lang w:eastAsia="en-AU"/>
              </w:rPr>
              <w:t>Kowal</w:t>
            </w:r>
            <w:proofErr w:type="spellEnd"/>
            <w:r w:rsidRPr="005176BD">
              <w:rPr>
                <w:rFonts w:cs="Arial"/>
                <w:sz w:val="20"/>
                <w:szCs w:val="20"/>
                <w:lang w:eastAsia="en-AU"/>
              </w:rPr>
              <w:t xml:space="preserve"> P &amp; Byles J.</w:t>
            </w:r>
            <w:r w:rsidR="00012F17" w:rsidRPr="005176BD">
              <w:rPr>
                <w:rFonts w:cs="Arial"/>
                <w:sz w:val="20"/>
                <w:szCs w:val="20"/>
                <w:lang w:eastAsia="en-AU"/>
              </w:rPr>
              <w:t xml:space="preserve"> </w:t>
            </w:r>
          </w:p>
        </w:tc>
        <w:tc>
          <w:tcPr>
            <w:tcW w:w="676" w:type="dxa"/>
          </w:tcPr>
          <w:p w14:paraId="1716C05B" w14:textId="77777777" w:rsidR="007750D8" w:rsidRPr="005176BD" w:rsidRDefault="007750D8" w:rsidP="003B611A">
            <w:pPr>
              <w:rPr>
                <w:rFonts w:cs="Arial"/>
                <w:sz w:val="20"/>
                <w:szCs w:val="20"/>
                <w:lang w:eastAsia="en-AU"/>
              </w:rPr>
            </w:pPr>
            <w:r w:rsidRPr="005176BD">
              <w:rPr>
                <w:rFonts w:cs="Arial"/>
                <w:sz w:val="20"/>
                <w:szCs w:val="20"/>
                <w:lang w:eastAsia="en-AU"/>
              </w:rPr>
              <w:t>2</w:t>
            </w:r>
          </w:p>
        </w:tc>
      </w:tr>
      <w:tr w:rsidR="007750D8" w:rsidRPr="00084B2B" w14:paraId="7329F471" w14:textId="77777777" w:rsidTr="0011030B">
        <w:tc>
          <w:tcPr>
            <w:tcW w:w="8979" w:type="dxa"/>
          </w:tcPr>
          <w:p w14:paraId="0A32CA83" w14:textId="29A8355C" w:rsidR="007750D8" w:rsidRPr="005176BD" w:rsidRDefault="007750D8" w:rsidP="003B611A">
            <w:pPr>
              <w:rPr>
                <w:rFonts w:cs="Arial"/>
                <w:sz w:val="20"/>
                <w:szCs w:val="20"/>
                <w:lang w:eastAsia="en-AU"/>
              </w:rPr>
            </w:pPr>
            <w:r w:rsidRPr="005176BD">
              <w:rPr>
                <w:rFonts w:cs="Arial"/>
                <w:sz w:val="20"/>
                <w:szCs w:val="20"/>
                <w:lang w:eastAsia="en-AU"/>
              </w:rPr>
              <w:t>Women’s uptake of Medicare Benefits Schedule mental health items for general practitioners, psychologists and other allied mental health professionals. Medical Journal of Australia, 2011; 194(4):</w:t>
            </w:r>
            <w:r w:rsidR="00012F17" w:rsidRPr="005176BD">
              <w:rPr>
                <w:rFonts w:cs="Arial"/>
                <w:sz w:val="20"/>
                <w:szCs w:val="20"/>
                <w:lang w:eastAsia="en-AU"/>
              </w:rPr>
              <w:t xml:space="preserve"> </w:t>
            </w:r>
            <w:r w:rsidRPr="005176BD">
              <w:rPr>
                <w:rFonts w:cs="Arial"/>
                <w:sz w:val="20"/>
                <w:szCs w:val="20"/>
                <w:lang w:eastAsia="en-AU"/>
              </w:rPr>
              <w:t>175-179.</w:t>
            </w:r>
          </w:p>
        </w:tc>
        <w:tc>
          <w:tcPr>
            <w:tcW w:w="4200" w:type="dxa"/>
          </w:tcPr>
          <w:p w14:paraId="598FC081" w14:textId="77777777" w:rsidR="007750D8" w:rsidRPr="005176BD" w:rsidRDefault="007750D8" w:rsidP="003B611A">
            <w:pPr>
              <w:rPr>
                <w:rFonts w:cs="Arial"/>
                <w:sz w:val="20"/>
                <w:szCs w:val="20"/>
                <w:lang w:eastAsia="en-AU"/>
              </w:rPr>
            </w:pPr>
            <w:r w:rsidRPr="005176BD">
              <w:rPr>
                <w:rFonts w:cs="Arial"/>
                <w:sz w:val="20"/>
                <w:szCs w:val="20"/>
                <w:lang w:eastAsia="en-AU"/>
              </w:rPr>
              <w:t>Byles JE, Dolja-Gore X, Loxton D, Parkinson L &amp; Stewart Williams J.</w:t>
            </w:r>
          </w:p>
        </w:tc>
        <w:tc>
          <w:tcPr>
            <w:tcW w:w="676" w:type="dxa"/>
          </w:tcPr>
          <w:p w14:paraId="7AD9088D" w14:textId="77777777" w:rsidR="007750D8" w:rsidRPr="005176BD" w:rsidRDefault="007750D8" w:rsidP="003B611A">
            <w:pPr>
              <w:rPr>
                <w:rFonts w:cs="Arial"/>
                <w:sz w:val="20"/>
                <w:szCs w:val="20"/>
                <w:lang w:eastAsia="en-AU"/>
              </w:rPr>
            </w:pPr>
            <w:r w:rsidRPr="005176BD">
              <w:rPr>
                <w:rFonts w:cs="Arial"/>
                <w:sz w:val="20"/>
                <w:szCs w:val="20"/>
                <w:lang w:eastAsia="en-AU"/>
              </w:rPr>
              <w:t>19</w:t>
            </w:r>
          </w:p>
        </w:tc>
      </w:tr>
      <w:tr w:rsidR="007750D8" w:rsidRPr="00084B2B" w14:paraId="5D380676" w14:textId="77777777" w:rsidTr="0011030B">
        <w:tc>
          <w:tcPr>
            <w:tcW w:w="8979" w:type="dxa"/>
          </w:tcPr>
          <w:p w14:paraId="2B93908F" w14:textId="61A3B9B6" w:rsidR="007750D8" w:rsidRPr="005176BD" w:rsidRDefault="007750D8" w:rsidP="003B611A">
            <w:pPr>
              <w:rPr>
                <w:rFonts w:cs="Arial"/>
                <w:sz w:val="20"/>
                <w:szCs w:val="20"/>
                <w:lang w:eastAsia="en-AU"/>
              </w:rPr>
            </w:pPr>
            <w:r w:rsidRPr="005176BD">
              <w:rPr>
                <w:rFonts w:cs="Arial"/>
                <w:sz w:val="20"/>
                <w:szCs w:val="20"/>
                <w:lang w:eastAsia="en-AU"/>
              </w:rPr>
              <w:t>Does systematically organized care improve outcomes for women with diabetes? Journal of Evaluation in Clinical Practice, 2010; 16(5): 887-894.</w:t>
            </w:r>
          </w:p>
        </w:tc>
        <w:tc>
          <w:tcPr>
            <w:tcW w:w="4200" w:type="dxa"/>
          </w:tcPr>
          <w:p w14:paraId="571D7B04" w14:textId="77777777" w:rsidR="007750D8" w:rsidRPr="005176BD" w:rsidRDefault="007750D8" w:rsidP="003B611A">
            <w:pPr>
              <w:rPr>
                <w:rFonts w:cs="Arial"/>
                <w:sz w:val="20"/>
                <w:szCs w:val="20"/>
                <w:lang w:eastAsia="en-AU"/>
              </w:rPr>
            </w:pPr>
            <w:r w:rsidRPr="005176BD">
              <w:rPr>
                <w:rFonts w:cs="Arial"/>
                <w:sz w:val="20"/>
                <w:szCs w:val="20"/>
                <w:lang w:eastAsia="en-AU"/>
              </w:rPr>
              <w:t>Lowe J, Byles J, Dolja-Gore X &amp; Young A.</w:t>
            </w:r>
          </w:p>
        </w:tc>
        <w:tc>
          <w:tcPr>
            <w:tcW w:w="676" w:type="dxa"/>
          </w:tcPr>
          <w:p w14:paraId="210523B8" w14:textId="77777777" w:rsidR="007750D8" w:rsidRPr="005176BD" w:rsidRDefault="007750D8" w:rsidP="003B611A">
            <w:pPr>
              <w:rPr>
                <w:rFonts w:cs="Arial"/>
                <w:sz w:val="20"/>
                <w:szCs w:val="20"/>
                <w:lang w:eastAsia="en-AU"/>
              </w:rPr>
            </w:pPr>
            <w:r w:rsidRPr="005176BD">
              <w:rPr>
                <w:rFonts w:cs="Arial"/>
                <w:sz w:val="20"/>
                <w:szCs w:val="20"/>
                <w:lang w:eastAsia="en-AU"/>
              </w:rPr>
              <w:t>11</w:t>
            </w:r>
          </w:p>
        </w:tc>
      </w:tr>
      <w:tr w:rsidR="007750D8" w:rsidRPr="00084B2B" w14:paraId="6DDCBFA8" w14:textId="77777777" w:rsidTr="0011030B">
        <w:tc>
          <w:tcPr>
            <w:tcW w:w="8979" w:type="dxa"/>
          </w:tcPr>
          <w:p w14:paraId="495CB4AF" w14:textId="44079A12" w:rsidR="007750D8" w:rsidRPr="005176BD" w:rsidRDefault="007750D8" w:rsidP="003B611A">
            <w:pPr>
              <w:rPr>
                <w:rFonts w:cs="Arial"/>
                <w:sz w:val="20"/>
                <w:szCs w:val="20"/>
                <w:lang w:eastAsia="en-AU"/>
              </w:rPr>
            </w:pPr>
            <w:r w:rsidRPr="005176BD">
              <w:rPr>
                <w:rFonts w:cs="Arial"/>
                <w:sz w:val="20"/>
                <w:szCs w:val="20"/>
                <w:lang w:eastAsia="en-AU"/>
              </w:rPr>
              <w:t>Adherence to bisphosphonate treatment by elderly women. Menopause, 2008; 15(5): 984-990.</w:t>
            </w:r>
          </w:p>
        </w:tc>
        <w:tc>
          <w:tcPr>
            <w:tcW w:w="4200" w:type="dxa"/>
          </w:tcPr>
          <w:p w14:paraId="048C72EC" w14:textId="77777777" w:rsidR="007750D8" w:rsidRPr="005176BD" w:rsidRDefault="007750D8" w:rsidP="003B611A">
            <w:pPr>
              <w:rPr>
                <w:rFonts w:cs="Arial"/>
                <w:sz w:val="20"/>
                <w:szCs w:val="20"/>
                <w:lang w:eastAsia="en-AU"/>
              </w:rPr>
            </w:pPr>
            <w:r w:rsidRPr="005176BD">
              <w:rPr>
                <w:rFonts w:cs="Arial"/>
                <w:sz w:val="20"/>
                <w:szCs w:val="20"/>
                <w:lang w:eastAsia="en-AU"/>
              </w:rPr>
              <w:t>Berecki-</w:t>
            </w:r>
            <w:proofErr w:type="spellStart"/>
            <w:r w:rsidRPr="005176BD">
              <w:rPr>
                <w:rFonts w:cs="Arial"/>
                <w:sz w:val="20"/>
                <w:szCs w:val="20"/>
                <w:lang w:eastAsia="en-AU"/>
              </w:rPr>
              <w:t>Gisolf</w:t>
            </w:r>
            <w:proofErr w:type="spellEnd"/>
            <w:r w:rsidRPr="005176BD">
              <w:rPr>
                <w:rFonts w:cs="Arial"/>
                <w:sz w:val="20"/>
                <w:szCs w:val="20"/>
                <w:lang w:eastAsia="en-AU"/>
              </w:rPr>
              <w:t xml:space="preserve"> J, Hockey R &amp; Dobson A.</w:t>
            </w:r>
          </w:p>
        </w:tc>
        <w:tc>
          <w:tcPr>
            <w:tcW w:w="676" w:type="dxa"/>
          </w:tcPr>
          <w:p w14:paraId="1B2176F1" w14:textId="77777777" w:rsidR="007750D8" w:rsidRPr="005176BD" w:rsidRDefault="007750D8" w:rsidP="003B611A">
            <w:pPr>
              <w:rPr>
                <w:rFonts w:cs="Arial"/>
                <w:sz w:val="20"/>
                <w:szCs w:val="20"/>
                <w:lang w:eastAsia="en-AU"/>
              </w:rPr>
            </w:pPr>
          </w:p>
        </w:tc>
      </w:tr>
      <w:tr w:rsidR="007750D8" w:rsidRPr="00084B2B" w14:paraId="67C5C854" w14:textId="77777777" w:rsidTr="0011030B">
        <w:tc>
          <w:tcPr>
            <w:tcW w:w="8979" w:type="dxa"/>
          </w:tcPr>
          <w:p w14:paraId="48B19481" w14:textId="72AE6F64" w:rsidR="007750D8" w:rsidRPr="005176BD" w:rsidRDefault="007750D8" w:rsidP="003B611A">
            <w:pPr>
              <w:rPr>
                <w:rFonts w:cs="Arial"/>
                <w:sz w:val="20"/>
                <w:szCs w:val="20"/>
                <w:lang w:eastAsia="en-AU"/>
              </w:rPr>
            </w:pPr>
            <w:r w:rsidRPr="005176BD">
              <w:rPr>
                <w:rFonts w:cs="Arial"/>
                <w:sz w:val="20"/>
                <w:szCs w:val="20"/>
                <w:lang w:eastAsia="en-AU"/>
              </w:rPr>
              <w:t xml:space="preserve">Annual health assessments for older Australian women: Uptake and equity. Australian and New Zealand Journal of Public Health, 2007; 31(2): 170-173. </w:t>
            </w:r>
          </w:p>
        </w:tc>
        <w:tc>
          <w:tcPr>
            <w:tcW w:w="4200" w:type="dxa"/>
          </w:tcPr>
          <w:p w14:paraId="5F9AF818" w14:textId="77777777" w:rsidR="007750D8" w:rsidRPr="005176BD" w:rsidRDefault="007750D8" w:rsidP="003B611A">
            <w:pPr>
              <w:rPr>
                <w:rFonts w:cs="Arial"/>
                <w:sz w:val="20"/>
                <w:szCs w:val="20"/>
                <w:lang w:eastAsia="en-AU"/>
              </w:rPr>
            </w:pPr>
            <w:r w:rsidRPr="005176BD">
              <w:rPr>
                <w:rFonts w:cs="Arial"/>
                <w:sz w:val="20"/>
                <w:szCs w:val="20"/>
                <w:lang w:eastAsia="en-AU"/>
              </w:rPr>
              <w:t xml:space="preserve">Byles JE, Young A &amp; </w:t>
            </w:r>
            <w:proofErr w:type="spellStart"/>
            <w:r w:rsidRPr="005176BD">
              <w:rPr>
                <w:rFonts w:cs="Arial"/>
                <w:sz w:val="20"/>
                <w:szCs w:val="20"/>
                <w:lang w:eastAsia="en-AU"/>
              </w:rPr>
              <w:t>Wheway</w:t>
            </w:r>
            <w:proofErr w:type="spellEnd"/>
            <w:r w:rsidRPr="005176BD">
              <w:rPr>
                <w:rFonts w:cs="Arial"/>
                <w:sz w:val="20"/>
                <w:szCs w:val="20"/>
                <w:lang w:eastAsia="en-AU"/>
              </w:rPr>
              <w:t xml:space="preserve"> V.</w:t>
            </w:r>
          </w:p>
        </w:tc>
        <w:tc>
          <w:tcPr>
            <w:tcW w:w="676" w:type="dxa"/>
          </w:tcPr>
          <w:p w14:paraId="572CABC0" w14:textId="77777777" w:rsidR="007750D8" w:rsidRPr="005176BD" w:rsidRDefault="007750D8" w:rsidP="003B611A">
            <w:pPr>
              <w:rPr>
                <w:rFonts w:cs="Arial"/>
                <w:sz w:val="20"/>
                <w:szCs w:val="20"/>
                <w:lang w:eastAsia="en-AU"/>
              </w:rPr>
            </w:pPr>
            <w:r w:rsidRPr="005176BD">
              <w:rPr>
                <w:rFonts w:cs="Arial"/>
                <w:sz w:val="20"/>
                <w:szCs w:val="20"/>
                <w:lang w:eastAsia="en-AU"/>
              </w:rPr>
              <w:t>17</w:t>
            </w:r>
          </w:p>
        </w:tc>
      </w:tr>
      <w:tr w:rsidR="007750D8" w:rsidRPr="00084B2B" w14:paraId="0FA45002" w14:textId="77777777" w:rsidTr="0011030B">
        <w:tc>
          <w:tcPr>
            <w:tcW w:w="8979" w:type="dxa"/>
          </w:tcPr>
          <w:p w14:paraId="49A222B6" w14:textId="77777777" w:rsidR="007750D8" w:rsidRPr="005176BD" w:rsidRDefault="007750D8" w:rsidP="003B611A">
            <w:pPr>
              <w:rPr>
                <w:rFonts w:cs="Arial"/>
                <w:sz w:val="20"/>
                <w:szCs w:val="20"/>
                <w:lang w:eastAsia="en-AU"/>
              </w:rPr>
            </w:pPr>
            <w:r w:rsidRPr="005176BD">
              <w:rPr>
                <w:rFonts w:cs="Arial"/>
                <w:sz w:val="20"/>
                <w:szCs w:val="20"/>
                <w:lang w:eastAsia="en-AU"/>
              </w:rPr>
              <w:t xml:space="preserve">Trends in health service use for women in Australia with diabetes. Australian and New Zealand Journal of Public Health, 2005; 29(5): 422-428. </w:t>
            </w:r>
          </w:p>
        </w:tc>
        <w:tc>
          <w:tcPr>
            <w:tcW w:w="4200" w:type="dxa"/>
          </w:tcPr>
          <w:p w14:paraId="6C1A6E91" w14:textId="77777777" w:rsidR="007750D8" w:rsidRPr="005176BD" w:rsidRDefault="007750D8" w:rsidP="003B611A">
            <w:pPr>
              <w:rPr>
                <w:rFonts w:cs="Arial"/>
                <w:sz w:val="20"/>
                <w:szCs w:val="20"/>
                <w:lang w:eastAsia="en-AU"/>
              </w:rPr>
            </w:pPr>
            <w:r w:rsidRPr="005176BD">
              <w:rPr>
                <w:rFonts w:cs="Arial"/>
                <w:sz w:val="20"/>
                <w:szCs w:val="20"/>
                <w:lang w:eastAsia="en-AU"/>
              </w:rPr>
              <w:t>Young A, Lowe J, Byles J &amp; Patterson A.</w:t>
            </w:r>
          </w:p>
        </w:tc>
        <w:tc>
          <w:tcPr>
            <w:tcW w:w="676" w:type="dxa"/>
          </w:tcPr>
          <w:p w14:paraId="4D109155" w14:textId="77777777" w:rsidR="007750D8" w:rsidRPr="005176BD" w:rsidRDefault="007750D8" w:rsidP="003B611A">
            <w:pPr>
              <w:rPr>
                <w:rFonts w:cs="Arial"/>
                <w:sz w:val="20"/>
                <w:szCs w:val="20"/>
                <w:lang w:eastAsia="en-AU"/>
              </w:rPr>
            </w:pPr>
            <w:r w:rsidRPr="005176BD">
              <w:rPr>
                <w:rFonts w:cs="Arial"/>
                <w:sz w:val="20"/>
                <w:szCs w:val="20"/>
                <w:lang w:eastAsia="en-AU"/>
              </w:rPr>
              <w:t>4</w:t>
            </w:r>
          </w:p>
        </w:tc>
      </w:tr>
      <w:tr w:rsidR="007750D8" w:rsidRPr="00084B2B" w14:paraId="0C810719" w14:textId="77777777" w:rsidTr="0011030B">
        <w:tc>
          <w:tcPr>
            <w:tcW w:w="8979" w:type="dxa"/>
          </w:tcPr>
          <w:p w14:paraId="29A327B7" w14:textId="53821A46" w:rsidR="007750D8" w:rsidRPr="005176BD" w:rsidRDefault="007750D8" w:rsidP="003B611A">
            <w:pPr>
              <w:rPr>
                <w:rFonts w:cs="Arial"/>
                <w:sz w:val="20"/>
                <w:szCs w:val="20"/>
                <w:lang w:eastAsia="en-AU"/>
              </w:rPr>
            </w:pPr>
            <w:r w:rsidRPr="005176BD">
              <w:rPr>
                <w:rFonts w:cs="Arial"/>
                <w:sz w:val="20"/>
                <w:szCs w:val="20"/>
                <w:lang w:eastAsia="en-AU"/>
              </w:rPr>
              <w:t>The decline in bulk billing and increase in out-of-pocket costs for general practice consultations in rural areas of Australia, 1995-2001. Medical Journal of Australia, 2003; 178: 122-126.</w:t>
            </w:r>
          </w:p>
        </w:tc>
        <w:tc>
          <w:tcPr>
            <w:tcW w:w="4200" w:type="dxa"/>
          </w:tcPr>
          <w:p w14:paraId="73377237" w14:textId="77777777" w:rsidR="007750D8" w:rsidRPr="005176BD" w:rsidRDefault="007750D8" w:rsidP="003B611A">
            <w:pPr>
              <w:rPr>
                <w:rFonts w:cs="Arial"/>
                <w:sz w:val="20"/>
                <w:szCs w:val="20"/>
                <w:lang w:eastAsia="en-AU"/>
              </w:rPr>
            </w:pPr>
            <w:r w:rsidRPr="005176BD">
              <w:rPr>
                <w:rFonts w:cs="Arial"/>
                <w:sz w:val="20"/>
                <w:szCs w:val="20"/>
                <w:lang w:eastAsia="en-AU"/>
              </w:rPr>
              <w:t>Young AF &amp; Dobson AJ.</w:t>
            </w:r>
          </w:p>
        </w:tc>
        <w:tc>
          <w:tcPr>
            <w:tcW w:w="676" w:type="dxa"/>
          </w:tcPr>
          <w:p w14:paraId="3125A6E9" w14:textId="77777777" w:rsidR="007750D8" w:rsidRPr="005176BD" w:rsidRDefault="007750D8" w:rsidP="003B611A">
            <w:pPr>
              <w:rPr>
                <w:rFonts w:cs="Arial"/>
                <w:sz w:val="20"/>
                <w:szCs w:val="20"/>
                <w:lang w:eastAsia="en-AU"/>
              </w:rPr>
            </w:pPr>
            <w:r w:rsidRPr="005176BD">
              <w:rPr>
                <w:rFonts w:cs="Arial"/>
                <w:sz w:val="20"/>
                <w:szCs w:val="20"/>
                <w:lang w:eastAsia="en-AU"/>
              </w:rPr>
              <w:t>52</w:t>
            </w:r>
          </w:p>
        </w:tc>
      </w:tr>
      <w:tr w:rsidR="007750D8" w:rsidRPr="00BE49A1" w14:paraId="740B98A7" w14:textId="77777777" w:rsidTr="0011030B">
        <w:trPr>
          <w:trHeight w:val="441"/>
        </w:trPr>
        <w:tc>
          <w:tcPr>
            <w:tcW w:w="8979" w:type="dxa"/>
          </w:tcPr>
          <w:p w14:paraId="7C069991" w14:textId="15CC5AAB" w:rsidR="007750D8" w:rsidRPr="005176BD" w:rsidRDefault="007750D8" w:rsidP="003B611A">
            <w:pPr>
              <w:rPr>
                <w:rFonts w:cs="Arial"/>
                <w:sz w:val="20"/>
                <w:szCs w:val="20"/>
                <w:lang w:eastAsia="en-AU"/>
              </w:rPr>
            </w:pPr>
            <w:r w:rsidRPr="005176BD">
              <w:rPr>
                <w:rFonts w:cs="Arial"/>
                <w:sz w:val="20"/>
                <w:szCs w:val="20"/>
                <w:lang w:eastAsia="en-AU"/>
              </w:rPr>
              <w:t>Effectiveness of the National Death Index for establishing the vital statistics of older women in the Australian Longitudinal Study on Women's Health. Australian and New Zealand Journal of Public Health, 2001; 24(5: 526-528.</w:t>
            </w:r>
            <w:r w:rsidR="00012F17" w:rsidRPr="005176BD">
              <w:rPr>
                <w:rFonts w:cs="Arial"/>
                <w:sz w:val="20"/>
                <w:szCs w:val="20"/>
                <w:lang w:eastAsia="en-AU"/>
              </w:rPr>
              <w:t xml:space="preserve"> </w:t>
            </w:r>
          </w:p>
        </w:tc>
        <w:tc>
          <w:tcPr>
            <w:tcW w:w="4200" w:type="dxa"/>
          </w:tcPr>
          <w:p w14:paraId="243E4C0F" w14:textId="77777777" w:rsidR="007750D8" w:rsidRPr="005176BD" w:rsidRDefault="007750D8" w:rsidP="003B611A">
            <w:pPr>
              <w:rPr>
                <w:rFonts w:cs="Arial"/>
                <w:sz w:val="20"/>
                <w:szCs w:val="20"/>
                <w:lang w:eastAsia="en-AU"/>
              </w:rPr>
            </w:pPr>
            <w:r w:rsidRPr="005176BD">
              <w:rPr>
                <w:rFonts w:cs="Arial"/>
                <w:sz w:val="20"/>
                <w:szCs w:val="20"/>
                <w:lang w:eastAsia="en-AU"/>
              </w:rPr>
              <w:t>Powers J, Ball J, Adamson L &amp; Dobson A.</w:t>
            </w:r>
          </w:p>
        </w:tc>
        <w:tc>
          <w:tcPr>
            <w:tcW w:w="676" w:type="dxa"/>
          </w:tcPr>
          <w:p w14:paraId="04F8A302" w14:textId="441D5876" w:rsidR="007750D8" w:rsidRPr="005176BD" w:rsidRDefault="007750D8" w:rsidP="003B611A">
            <w:pPr>
              <w:rPr>
                <w:rFonts w:cs="Arial"/>
                <w:sz w:val="20"/>
                <w:szCs w:val="20"/>
                <w:lang w:eastAsia="en-AU"/>
              </w:rPr>
            </w:pPr>
            <w:r w:rsidRPr="005176BD">
              <w:rPr>
                <w:rFonts w:cs="Arial"/>
                <w:sz w:val="20"/>
                <w:szCs w:val="20"/>
                <w:lang w:eastAsia="en-AU"/>
              </w:rPr>
              <w:t>83</w:t>
            </w:r>
          </w:p>
        </w:tc>
      </w:tr>
      <w:tr w:rsidR="007750D8" w:rsidRPr="00084B2B" w14:paraId="644F9EFA" w14:textId="77777777" w:rsidTr="0011030B">
        <w:tc>
          <w:tcPr>
            <w:tcW w:w="8979" w:type="dxa"/>
          </w:tcPr>
          <w:p w14:paraId="49FD6806" w14:textId="7EFCBF90" w:rsidR="007750D8" w:rsidRPr="005176BD" w:rsidRDefault="007750D8" w:rsidP="003B611A">
            <w:pPr>
              <w:rPr>
                <w:rFonts w:cs="Arial"/>
                <w:sz w:val="20"/>
                <w:szCs w:val="20"/>
                <w:lang w:eastAsia="en-AU"/>
              </w:rPr>
            </w:pPr>
            <w:r w:rsidRPr="005176BD">
              <w:rPr>
                <w:rFonts w:cs="Arial"/>
                <w:sz w:val="20"/>
                <w:szCs w:val="20"/>
                <w:lang w:eastAsia="en-AU"/>
              </w:rPr>
              <w:t>Health services research using linked records: Who consents and what is the gain? Australian and New Zealand Journal of Public Health, 2001; 25(5): 417-420.</w:t>
            </w:r>
          </w:p>
        </w:tc>
        <w:tc>
          <w:tcPr>
            <w:tcW w:w="4200" w:type="dxa"/>
          </w:tcPr>
          <w:p w14:paraId="198C95E1" w14:textId="77777777" w:rsidR="007750D8" w:rsidRPr="005176BD" w:rsidRDefault="007750D8" w:rsidP="003B611A">
            <w:pPr>
              <w:rPr>
                <w:rFonts w:cs="Arial"/>
                <w:sz w:val="20"/>
                <w:szCs w:val="20"/>
                <w:lang w:eastAsia="en-AU"/>
              </w:rPr>
            </w:pPr>
            <w:r w:rsidRPr="005176BD">
              <w:rPr>
                <w:rFonts w:cs="Arial"/>
                <w:sz w:val="20"/>
                <w:szCs w:val="20"/>
                <w:lang w:eastAsia="en-AU"/>
              </w:rPr>
              <w:t>Young A, Dobson A &amp; Byles J.</w:t>
            </w:r>
          </w:p>
        </w:tc>
        <w:tc>
          <w:tcPr>
            <w:tcW w:w="676" w:type="dxa"/>
          </w:tcPr>
          <w:p w14:paraId="415E938F" w14:textId="77777777" w:rsidR="007750D8" w:rsidRPr="005176BD" w:rsidRDefault="007750D8" w:rsidP="003B611A">
            <w:pPr>
              <w:rPr>
                <w:rFonts w:cs="Arial"/>
                <w:sz w:val="20"/>
                <w:szCs w:val="20"/>
                <w:lang w:eastAsia="en-AU"/>
              </w:rPr>
            </w:pPr>
            <w:r w:rsidRPr="005176BD">
              <w:rPr>
                <w:rFonts w:cs="Arial"/>
                <w:sz w:val="20"/>
                <w:szCs w:val="20"/>
                <w:lang w:eastAsia="en-AU"/>
              </w:rPr>
              <w:t>69</w:t>
            </w:r>
          </w:p>
        </w:tc>
      </w:tr>
      <w:tr w:rsidR="007750D8" w:rsidRPr="00084B2B" w14:paraId="4C63C4C1" w14:textId="77777777" w:rsidTr="0011030B">
        <w:tc>
          <w:tcPr>
            <w:tcW w:w="8979" w:type="dxa"/>
            <w:tcBorders>
              <w:top w:val="single" w:sz="4" w:space="0" w:color="auto"/>
            </w:tcBorders>
          </w:tcPr>
          <w:p w14:paraId="5D92C857" w14:textId="64B91052" w:rsidR="007750D8" w:rsidRPr="005176BD" w:rsidRDefault="007750D8" w:rsidP="003B611A">
            <w:pPr>
              <w:rPr>
                <w:rFonts w:cs="Arial"/>
                <w:sz w:val="20"/>
                <w:szCs w:val="20"/>
                <w:lang w:eastAsia="en-AU"/>
              </w:rPr>
            </w:pPr>
            <w:r w:rsidRPr="005176BD">
              <w:rPr>
                <w:rFonts w:cs="Arial"/>
                <w:sz w:val="20"/>
                <w:szCs w:val="20"/>
                <w:lang w:eastAsia="en-AU"/>
              </w:rPr>
              <w:t>Determinants of general practitioner use among women in Australia. Social Science and Medicine, 2001; 53(12): 1641-1651.</w:t>
            </w:r>
          </w:p>
        </w:tc>
        <w:tc>
          <w:tcPr>
            <w:tcW w:w="4200" w:type="dxa"/>
          </w:tcPr>
          <w:p w14:paraId="631CA48B" w14:textId="77777777" w:rsidR="007750D8" w:rsidRPr="005176BD" w:rsidRDefault="007750D8" w:rsidP="003B611A">
            <w:pPr>
              <w:rPr>
                <w:rFonts w:cs="Arial"/>
                <w:sz w:val="20"/>
                <w:szCs w:val="20"/>
                <w:lang w:eastAsia="en-AU"/>
              </w:rPr>
            </w:pPr>
            <w:r w:rsidRPr="005176BD">
              <w:rPr>
                <w:rFonts w:cs="Arial"/>
                <w:sz w:val="20"/>
                <w:szCs w:val="20"/>
                <w:lang w:eastAsia="en-AU"/>
              </w:rPr>
              <w:t>Young A.</w:t>
            </w:r>
          </w:p>
        </w:tc>
        <w:tc>
          <w:tcPr>
            <w:tcW w:w="676" w:type="dxa"/>
          </w:tcPr>
          <w:p w14:paraId="5CE15AC3" w14:textId="77777777" w:rsidR="007750D8" w:rsidRPr="005176BD" w:rsidRDefault="007750D8" w:rsidP="003B611A">
            <w:pPr>
              <w:rPr>
                <w:rFonts w:cs="Arial"/>
                <w:sz w:val="20"/>
                <w:szCs w:val="20"/>
                <w:lang w:eastAsia="en-AU"/>
              </w:rPr>
            </w:pPr>
            <w:r w:rsidRPr="005176BD">
              <w:rPr>
                <w:rFonts w:cs="Arial"/>
                <w:sz w:val="20"/>
                <w:szCs w:val="20"/>
                <w:lang w:eastAsia="en-AU"/>
              </w:rPr>
              <w:t>51</w:t>
            </w:r>
          </w:p>
        </w:tc>
      </w:tr>
    </w:tbl>
    <w:p w14:paraId="0C7E5334" w14:textId="6AEDD557" w:rsidR="00084B2B" w:rsidRPr="00084B2B" w:rsidRDefault="00084B2B" w:rsidP="003B611A">
      <w:pPr>
        <w:pStyle w:val="Heading2"/>
        <w:ind w:left="578" w:hanging="578"/>
      </w:pPr>
      <w:bookmarkStart w:id="78" w:name="_Toc530561287"/>
      <w:r w:rsidRPr="00084B2B">
        <w:t>Medications</w:t>
      </w:r>
      <w:bookmarkEnd w:id="78"/>
    </w:p>
    <w:tbl>
      <w:tblPr>
        <w:tblStyle w:val="TableGrid1"/>
        <w:tblW w:w="13855" w:type="dxa"/>
        <w:tblLook w:val="04A0" w:firstRow="1" w:lastRow="0" w:firstColumn="1" w:lastColumn="0" w:noHBand="0" w:noVBand="1"/>
        <w:tblCaption w:val="Category: Medications"/>
      </w:tblPr>
      <w:tblGrid>
        <w:gridCol w:w="8518"/>
        <w:gridCol w:w="4000"/>
        <w:gridCol w:w="1337"/>
      </w:tblGrid>
      <w:tr w:rsidR="00084B2B" w:rsidRPr="00084B2B" w14:paraId="67E0AEC0" w14:textId="77777777" w:rsidTr="0011030B">
        <w:trPr>
          <w:tblHeader/>
        </w:trPr>
        <w:tc>
          <w:tcPr>
            <w:tcW w:w="9021" w:type="dxa"/>
            <w:shd w:val="clear" w:color="auto" w:fill="F1E9F3"/>
          </w:tcPr>
          <w:p w14:paraId="654ABA1F" w14:textId="77777777" w:rsidR="00084B2B" w:rsidRPr="00084B2B" w:rsidRDefault="00084B2B" w:rsidP="003B611A">
            <w:pPr>
              <w:rPr>
                <w:rFonts w:cstheme="minorHAnsi"/>
                <w:b/>
                <w:sz w:val="24"/>
                <w:szCs w:val="24"/>
              </w:rPr>
            </w:pPr>
            <w:r w:rsidRPr="00084B2B">
              <w:rPr>
                <w:rFonts w:cstheme="minorHAnsi"/>
                <w:b/>
                <w:sz w:val="24"/>
                <w:szCs w:val="24"/>
              </w:rPr>
              <w:t>Details</w:t>
            </w:r>
          </w:p>
        </w:tc>
        <w:tc>
          <w:tcPr>
            <w:tcW w:w="4217" w:type="dxa"/>
            <w:shd w:val="clear" w:color="auto" w:fill="F1E9F3"/>
          </w:tcPr>
          <w:p w14:paraId="7ED314FE" w14:textId="77777777" w:rsidR="00084B2B" w:rsidRPr="00084B2B" w:rsidRDefault="00084B2B" w:rsidP="003B611A">
            <w:pPr>
              <w:rPr>
                <w:rFonts w:cstheme="minorHAnsi"/>
                <w:b/>
                <w:sz w:val="24"/>
                <w:szCs w:val="24"/>
              </w:rPr>
            </w:pPr>
            <w:r w:rsidRPr="00084B2B">
              <w:rPr>
                <w:rFonts w:cstheme="minorHAnsi"/>
                <w:b/>
                <w:sz w:val="24"/>
                <w:szCs w:val="24"/>
              </w:rPr>
              <w:t>Authors</w:t>
            </w:r>
          </w:p>
        </w:tc>
        <w:tc>
          <w:tcPr>
            <w:tcW w:w="617" w:type="dxa"/>
            <w:shd w:val="clear" w:color="auto" w:fill="F1E9F3"/>
          </w:tcPr>
          <w:p w14:paraId="02D95D65" w14:textId="4F6D9323" w:rsidR="00084B2B" w:rsidRPr="00084B2B" w:rsidRDefault="00084B2B" w:rsidP="003B611A">
            <w:pPr>
              <w:rPr>
                <w:rFonts w:cstheme="minorHAnsi"/>
                <w:b/>
                <w:sz w:val="24"/>
                <w:szCs w:val="24"/>
              </w:rPr>
            </w:pPr>
            <w:r w:rsidRPr="00084B2B">
              <w:rPr>
                <w:rFonts w:cstheme="minorHAnsi"/>
                <w:b/>
                <w:sz w:val="24"/>
                <w:szCs w:val="24"/>
              </w:rPr>
              <w:t>Citations</w:t>
            </w:r>
            <w:r w:rsidR="0011030B">
              <w:rPr>
                <w:rFonts w:cstheme="minorHAnsi"/>
                <w:b/>
                <w:sz w:val="24"/>
                <w:szCs w:val="24"/>
              </w:rPr>
              <w:t>*</w:t>
            </w:r>
          </w:p>
        </w:tc>
      </w:tr>
      <w:tr w:rsidR="00084B2B" w:rsidRPr="00084B2B" w14:paraId="72C0870F" w14:textId="77777777" w:rsidTr="0011030B">
        <w:tc>
          <w:tcPr>
            <w:tcW w:w="9021" w:type="dxa"/>
          </w:tcPr>
          <w:p w14:paraId="319CEB66" w14:textId="64D6EC45" w:rsidR="00084B2B" w:rsidRPr="005176BD" w:rsidRDefault="000F59FB" w:rsidP="003B611A">
            <w:pPr>
              <w:rPr>
                <w:rFonts w:cs="Arial"/>
                <w:sz w:val="20"/>
                <w:szCs w:val="20"/>
                <w:lang w:eastAsia="en-AU"/>
              </w:rPr>
            </w:pPr>
            <w:r w:rsidRPr="005176BD">
              <w:rPr>
                <w:rFonts w:cs="Arial"/>
                <w:sz w:val="20"/>
                <w:szCs w:val="20"/>
                <w:lang w:eastAsia="en-AU"/>
              </w:rPr>
              <w:t>New-onset diabetes after statin exposure in elderly women</w:t>
            </w:r>
            <w:r w:rsidR="00084B2B" w:rsidRPr="005176BD">
              <w:rPr>
                <w:rFonts w:cs="Arial"/>
                <w:sz w:val="20"/>
                <w:szCs w:val="20"/>
                <w:lang w:eastAsia="en-AU"/>
              </w:rPr>
              <w:t>: The Australian Longitudinal Study on Women’s Health. Drugs and Ageing, 2017</w:t>
            </w:r>
            <w:r w:rsidRPr="005176BD">
              <w:rPr>
                <w:rFonts w:cs="Arial"/>
                <w:sz w:val="20"/>
                <w:szCs w:val="20"/>
                <w:lang w:eastAsia="en-AU"/>
              </w:rPr>
              <w:t>;</w:t>
            </w:r>
            <w:r w:rsidR="00084B2B" w:rsidRPr="005176BD">
              <w:rPr>
                <w:rFonts w:cs="Arial"/>
                <w:sz w:val="20"/>
                <w:szCs w:val="20"/>
                <w:lang w:eastAsia="en-AU"/>
              </w:rPr>
              <w:t xml:space="preserve"> 34(3)</w:t>
            </w:r>
            <w:r w:rsidRPr="005176BD">
              <w:rPr>
                <w:rFonts w:cs="Arial"/>
                <w:sz w:val="20"/>
                <w:szCs w:val="20"/>
                <w:lang w:eastAsia="en-AU"/>
              </w:rPr>
              <w:t xml:space="preserve">: </w:t>
            </w:r>
            <w:r w:rsidR="00084B2B" w:rsidRPr="005176BD">
              <w:rPr>
                <w:rFonts w:cs="Arial"/>
                <w:sz w:val="20"/>
                <w:szCs w:val="20"/>
                <w:lang w:eastAsia="en-AU"/>
              </w:rPr>
              <w:t>203-209</w:t>
            </w:r>
            <w:r w:rsidRPr="005176BD">
              <w:rPr>
                <w:rFonts w:cs="Arial"/>
                <w:sz w:val="20"/>
                <w:szCs w:val="20"/>
                <w:lang w:eastAsia="en-AU"/>
              </w:rPr>
              <w:t>.</w:t>
            </w:r>
          </w:p>
        </w:tc>
        <w:tc>
          <w:tcPr>
            <w:tcW w:w="4217" w:type="dxa"/>
          </w:tcPr>
          <w:p w14:paraId="6BFF64E5" w14:textId="77777777" w:rsidR="00084B2B" w:rsidRPr="005176BD" w:rsidRDefault="00084B2B" w:rsidP="003B611A">
            <w:pPr>
              <w:rPr>
                <w:rFonts w:cs="Arial"/>
                <w:sz w:val="20"/>
                <w:szCs w:val="20"/>
                <w:lang w:eastAsia="en-AU"/>
              </w:rPr>
            </w:pPr>
            <w:r w:rsidRPr="005176BD">
              <w:rPr>
                <w:rFonts w:cs="Arial"/>
                <w:sz w:val="20"/>
                <w:szCs w:val="20"/>
                <w:lang w:eastAsia="en-AU"/>
              </w:rPr>
              <w:t xml:space="preserve">Jones M, </w:t>
            </w:r>
            <w:proofErr w:type="spellStart"/>
            <w:r w:rsidRPr="005176BD">
              <w:rPr>
                <w:rFonts w:cs="Arial"/>
                <w:sz w:val="20"/>
                <w:szCs w:val="20"/>
                <w:lang w:eastAsia="en-AU"/>
              </w:rPr>
              <w:t>Tett</w:t>
            </w:r>
            <w:proofErr w:type="spellEnd"/>
            <w:r w:rsidRPr="005176BD">
              <w:rPr>
                <w:rFonts w:cs="Arial"/>
                <w:sz w:val="20"/>
                <w:szCs w:val="20"/>
                <w:lang w:eastAsia="en-AU"/>
              </w:rPr>
              <w:t xml:space="preserve"> S, Peeters GMEE, Mishra G &amp; Dobson A.</w:t>
            </w:r>
          </w:p>
        </w:tc>
        <w:tc>
          <w:tcPr>
            <w:tcW w:w="617" w:type="dxa"/>
          </w:tcPr>
          <w:p w14:paraId="3FCE91EA" w14:textId="77777777" w:rsidR="00084B2B" w:rsidRPr="005176BD" w:rsidRDefault="00084B2B" w:rsidP="003B611A">
            <w:pPr>
              <w:rPr>
                <w:rFonts w:cs="Arial"/>
                <w:sz w:val="20"/>
                <w:szCs w:val="20"/>
                <w:lang w:eastAsia="en-AU"/>
              </w:rPr>
            </w:pPr>
            <w:r w:rsidRPr="005176BD">
              <w:rPr>
                <w:rFonts w:cs="Arial"/>
                <w:sz w:val="20"/>
                <w:szCs w:val="20"/>
                <w:lang w:eastAsia="en-AU"/>
              </w:rPr>
              <w:t>13</w:t>
            </w:r>
          </w:p>
        </w:tc>
      </w:tr>
      <w:tr w:rsidR="00084B2B" w:rsidRPr="00084B2B" w14:paraId="1C18F6FD" w14:textId="77777777" w:rsidTr="0011030B">
        <w:tc>
          <w:tcPr>
            <w:tcW w:w="9021" w:type="dxa"/>
          </w:tcPr>
          <w:p w14:paraId="5F0A4E79" w14:textId="7F5A4694" w:rsidR="0036047B" w:rsidRPr="005176BD" w:rsidRDefault="007750D8" w:rsidP="003B611A">
            <w:pPr>
              <w:rPr>
                <w:rFonts w:cs="Arial"/>
                <w:sz w:val="20"/>
                <w:szCs w:val="20"/>
                <w:lang w:eastAsia="en-AU"/>
              </w:rPr>
            </w:pPr>
            <w:r w:rsidRPr="005176BD">
              <w:rPr>
                <w:rFonts w:cs="Arial"/>
                <w:sz w:val="20"/>
                <w:szCs w:val="20"/>
                <w:lang w:eastAsia="en-AU"/>
              </w:rPr>
              <w:t>First incident hospitalisation for Australian women aged 70 and beyond: A 10 year examination using competing risks. Archives of Gerontology and Geriatrics, 2016; 64: 29-37.</w:t>
            </w:r>
          </w:p>
        </w:tc>
        <w:tc>
          <w:tcPr>
            <w:tcW w:w="4217" w:type="dxa"/>
          </w:tcPr>
          <w:p w14:paraId="297153E5"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Harris ML, Dolja-Gore X, </w:t>
            </w:r>
            <w:proofErr w:type="spellStart"/>
            <w:r w:rsidRPr="005176BD">
              <w:rPr>
                <w:rFonts w:cs="Arial"/>
                <w:sz w:val="20"/>
                <w:szCs w:val="20"/>
                <w:lang w:eastAsia="en-AU"/>
              </w:rPr>
              <w:t>Kendig</w:t>
            </w:r>
            <w:proofErr w:type="spellEnd"/>
            <w:r w:rsidRPr="005176BD">
              <w:rPr>
                <w:rFonts w:cs="Arial"/>
                <w:sz w:val="20"/>
                <w:szCs w:val="20"/>
                <w:lang w:eastAsia="en-AU"/>
              </w:rPr>
              <w:t xml:space="preserve"> H &amp; Byles JE.</w:t>
            </w:r>
          </w:p>
        </w:tc>
        <w:tc>
          <w:tcPr>
            <w:tcW w:w="617" w:type="dxa"/>
          </w:tcPr>
          <w:p w14:paraId="7BAC4D28"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52E719B2" w14:textId="77777777" w:rsidTr="0011030B">
        <w:tc>
          <w:tcPr>
            <w:tcW w:w="9021" w:type="dxa"/>
          </w:tcPr>
          <w:p w14:paraId="04C7FA57" w14:textId="22A2F55A" w:rsidR="00084B2B" w:rsidRPr="005176BD" w:rsidRDefault="00084B2B" w:rsidP="003B611A">
            <w:pPr>
              <w:rPr>
                <w:rFonts w:cs="Arial"/>
                <w:sz w:val="20"/>
                <w:szCs w:val="20"/>
                <w:lang w:eastAsia="en-AU"/>
              </w:rPr>
            </w:pPr>
            <w:r w:rsidRPr="005176BD">
              <w:rPr>
                <w:rFonts w:cs="Arial"/>
                <w:sz w:val="20"/>
                <w:szCs w:val="20"/>
                <w:lang w:eastAsia="en-AU"/>
              </w:rPr>
              <w:lastRenderedPageBreak/>
              <w:t>Associations of guideline recommended medications for acute coronary syndromes with fall-related hospitalizations and cardiovascular events in older women with ischemic heart disease. Journals of Gerontology Series A: Medical Sciences, 2017</w:t>
            </w:r>
            <w:r w:rsidR="00A50BF7" w:rsidRPr="005176BD">
              <w:rPr>
                <w:rFonts w:cs="Arial"/>
                <w:sz w:val="20"/>
                <w:szCs w:val="20"/>
                <w:lang w:eastAsia="en-AU"/>
              </w:rPr>
              <w:t>;</w:t>
            </w:r>
            <w:r w:rsidRPr="005176BD">
              <w:rPr>
                <w:rFonts w:cs="Arial"/>
                <w:sz w:val="20"/>
                <w:szCs w:val="20"/>
                <w:lang w:eastAsia="en-AU"/>
              </w:rPr>
              <w:t xml:space="preserve"> 72(2)</w:t>
            </w:r>
            <w:r w:rsidR="00A50BF7" w:rsidRPr="005176BD">
              <w:rPr>
                <w:rFonts w:cs="Arial"/>
                <w:sz w:val="20"/>
                <w:szCs w:val="20"/>
                <w:lang w:eastAsia="en-AU"/>
              </w:rPr>
              <w:t xml:space="preserve">: </w:t>
            </w:r>
            <w:r w:rsidRPr="005176BD">
              <w:rPr>
                <w:rFonts w:cs="Arial"/>
                <w:sz w:val="20"/>
                <w:szCs w:val="20"/>
                <w:lang w:eastAsia="en-AU"/>
              </w:rPr>
              <w:t>259-265</w:t>
            </w:r>
            <w:r w:rsidR="00A50BF7" w:rsidRPr="005176BD">
              <w:rPr>
                <w:rFonts w:cs="Arial"/>
                <w:sz w:val="20"/>
                <w:szCs w:val="20"/>
                <w:lang w:eastAsia="en-AU"/>
              </w:rPr>
              <w:t>.</w:t>
            </w:r>
          </w:p>
        </w:tc>
        <w:tc>
          <w:tcPr>
            <w:tcW w:w="4217" w:type="dxa"/>
          </w:tcPr>
          <w:p w14:paraId="06DB9873"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w:t>
            </w:r>
            <w:proofErr w:type="spellStart"/>
            <w:r w:rsidRPr="005176BD">
              <w:rPr>
                <w:rFonts w:cs="Arial"/>
                <w:sz w:val="20"/>
                <w:szCs w:val="20"/>
                <w:lang w:eastAsia="en-AU"/>
              </w:rPr>
              <w:t>Hollingworth</w:t>
            </w:r>
            <w:proofErr w:type="spellEnd"/>
            <w:r w:rsidRPr="005176BD">
              <w:rPr>
                <w:rFonts w:cs="Arial"/>
                <w:sz w:val="20"/>
                <w:szCs w:val="20"/>
                <w:lang w:eastAsia="en-AU"/>
              </w:rPr>
              <w:t xml:space="preserve"> S, </w:t>
            </w:r>
            <w:proofErr w:type="spellStart"/>
            <w:r w:rsidRPr="005176BD">
              <w:rPr>
                <w:rFonts w:cs="Arial"/>
                <w:sz w:val="20"/>
                <w:szCs w:val="20"/>
                <w:lang w:eastAsia="en-AU"/>
              </w:rPr>
              <w:t>Gnjidic</w:t>
            </w:r>
            <w:proofErr w:type="spellEnd"/>
            <w:r w:rsidRPr="005176BD">
              <w:rPr>
                <w:rFonts w:cs="Arial"/>
                <w:sz w:val="20"/>
                <w:szCs w:val="20"/>
                <w:lang w:eastAsia="en-AU"/>
              </w:rPr>
              <w:t xml:space="preserve"> D, </w:t>
            </w:r>
            <w:proofErr w:type="spellStart"/>
            <w:r w:rsidRPr="005176BD">
              <w:rPr>
                <w:rFonts w:cs="Arial"/>
                <w:sz w:val="20"/>
                <w:szCs w:val="20"/>
                <w:lang w:eastAsia="en-AU"/>
              </w:rPr>
              <w:t>Hilmer</w:t>
            </w:r>
            <w:proofErr w:type="spellEnd"/>
            <w:r w:rsidRPr="005176BD">
              <w:rPr>
                <w:rFonts w:cs="Arial"/>
                <w:sz w:val="20"/>
                <w:szCs w:val="20"/>
                <w:lang w:eastAsia="en-AU"/>
              </w:rPr>
              <w:t xml:space="preserve"> S, Dobson A &amp; Hubbard R.</w:t>
            </w:r>
          </w:p>
        </w:tc>
        <w:tc>
          <w:tcPr>
            <w:tcW w:w="617" w:type="dxa"/>
          </w:tcPr>
          <w:p w14:paraId="31743A23"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084B2B" w:rsidRPr="00084B2B" w14:paraId="668FE49A" w14:textId="77777777" w:rsidTr="0011030B">
        <w:tc>
          <w:tcPr>
            <w:tcW w:w="9021" w:type="dxa"/>
          </w:tcPr>
          <w:p w14:paraId="06D1985C" w14:textId="23EEA69F" w:rsidR="00084B2B" w:rsidRPr="005176BD" w:rsidRDefault="00084B2B" w:rsidP="003B611A">
            <w:pPr>
              <w:rPr>
                <w:rFonts w:cs="Arial"/>
                <w:sz w:val="20"/>
                <w:szCs w:val="20"/>
                <w:lang w:eastAsia="en-AU"/>
              </w:rPr>
            </w:pPr>
            <w:r w:rsidRPr="005176BD">
              <w:rPr>
                <w:rFonts w:cs="Arial"/>
                <w:sz w:val="20"/>
                <w:szCs w:val="20"/>
                <w:lang w:eastAsia="en-AU"/>
              </w:rPr>
              <w:t>Associations between statin use and physical function in older adults from The Netherlands and Australia: Longitudinal Aging Study Amsterdam and Australian Longitudinal Study on Women's Health. Drugs &amp; Aging, 2016</w:t>
            </w:r>
            <w:r w:rsidR="00A50BF7" w:rsidRPr="005176BD">
              <w:rPr>
                <w:rFonts w:cs="Arial"/>
                <w:sz w:val="20"/>
                <w:szCs w:val="20"/>
                <w:lang w:eastAsia="en-AU"/>
              </w:rPr>
              <w:t>;</w:t>
            </w:r>
            <w:r w:rsidRPr="005176BD">
              <w:rPr>
                <w:rFonts w:cs="Arial"/>
                <w:sz w:val="20"/>
                <w:szCs w:val="20"/>
                <w:lang w:eastAsia="en-AU"/>
              </w:rPr>
              <w:t xml:space="preserve"> 33(6)</w:t>
            </w:r>
            <w:r w:rsidR="00A50BF7" w:rsidRPr="005176BD">
              <w:rPr>
                <w:rFonts w:cs="Arial"/>
                <w:sz w:val="20"/>
                <w:szCs w:val="20"/>
                <w:lang w:eastAsia="en-AU"/>
              </w:rPr>
              <w:t xml:space="preserve">: </w:t>
            </w:r>
            <w:r w:rsidRPr="005176BD">
              <w:rPr>
                <w:rFonts w:cs="Arial"/>
                <w:sz w:val="20"/>
                <w:szCs w:val="20"/>
                <w:lang w:eastAsia="en-AU"/>
              </w:rPr>
              <w:t>437-445</w:t>
            </w:r>
            <w:r w:rsidR="00A50BF7" w:rsidRPr="005176BD">
              <w:rPr>
                <w:rFonts w:cs="Arial"/>
                <w:sz w:val="20"/>
                <w:szCs w:val="20"/>
                <w:lang w:eastAsia="en-AU"/>
              </w:rPr>
              <w:t>.</w:t>
            </w:r>
          </w:p>
        </w:tc>
        <w:tc>
          <w:tcPr>
            <w:tcW w:w="4217" w:type="dxa"/>
          </w:tcPr>
          <w:p w14:paraId="31CEBAF8" w14:textId="77777777" w:rsidR="00084B2B" w:rsidRPr="005176BD" w:rsidRDefault="00084B2B" w:rsidP="003B611A">
            <w:pPr>
              <w:rPr>
                <w:rFonts w:cs="Arial"/>
                <w:sz w:val="20"/>
                <w:szCs w:val="20"/>
                <w:lang w:eastAsia="en-AU"/>
              </w:rPr>
            </w:pPr>
            <w:r w:rsidRPr="005176BD">
              <w:rPr>
                <w:rFonts w:cs="Arial"/>
                <w:sz w:val="20"/>
                <w:szCs w:val="20"/>
                <w:lang w:eastAsia="en-AU"/>
              </w:rPr>
              <w:t xml:space="preserve">van </w:t>
            </w:r>
            <w:proofErr w:type="spellStart"/>
            <w:r w:rsidRPr="005176BD">
              <w:rPr>
                <w:rFonts w:cs="Arial"/>
                <w:sz w:val="20"/>
                <w:szCs w:val="20"/>
                <w:lang w:eastAsia="en-AU"/>
              </w:rPr>
              <w:t>Boheemen</w:t>
            </w:r>
            <w:proofErr w:type="spellEnd"/>
            <w:r w:rsidRPr="005176BD">
              <w:rPr>
                <w:rFonts w:cs="Arial"/>
                <w:sz w:val="20"/>
                <w:szCs w:val="20"/>
                <w:lang w:eastAsia="en-AU"/>
              </w:rPr>
              <w:t xml:space="preserve"> L, </w:t>
            </w:r>
            <w:proofErr w:type="spellStart"/>
            <w:r w:rsidRPr="005176BD">
              <w:rPr>
                <w:rFonts w:cs="Arial"/>
                <w:sz w:val="20"/>
                <w:szCs w:val="20"/>
                <w:lang w:eastAsia="en-AU"/>
              </w:rPr>
              <w:t>Tett</w:t>
            </w:r>
            <w:proofErr w:type="spellEnd"/>
            <w:r w:rsidRPr="005176BD">
              <w:rPr>
                <w:rFonts w:cs="Arial"/>
                <w:sz w:val="20"/>
                <w:szCs w:val="20"/>
                <w:lang w:eastAsia="en-AU"/>
              </w:rPr>
              <w:t xml:space="preserve"> S, </w:t>
            </w:r>
            <w:proofErr w:type="spellStart"/>
            <w:r w:rsidRPr="005176BD">
              <w:rPr>
                <w:rFonts w:cs="Arial"/>
                <w:sz w:val="20"/>
                <w:szCs w:val="20"/>
                <w:lang w:eastAsia="en-AU"/>
              </w:rPr>
              <w:t>Sohl</w:t>
            </w:r>
            <w:proofErr w:type="spellEnd"/>
            <w:r w:rsidRPr="005176BD">
              <w:rPr>
                <w:rFonts w:cs="Arial"/>
                <w:sz w:val="20"/>
                <w:szCs w:val="20"/>
                <w:lang w:eastAsia="en-AU"/>
              </w:rPr>
              <w:t xml:space="preserve"> E, </w:t>
            </w:r>
            <w:proofErr w:type="spellStart"/>
            <w:r w:rsidRPr="005176BD">
              <w:rPr>
                <w:rFonts w:cs="Arial"/>
                <w:sz w:val="20"/>
                <w:szCs w:val="20"/>
                <w:lang w:eastAsia="en-AU"/>
              </w:rPr>
              <w:t>Hugtenburg</w:t>
            </w:r>
            <w:proofErr w:type="spellEnd"/>
            <w:r w:rsidRPr="005176BD">
              <w:rPr>
                <w:rFonts w:cs="Arial"/>
                <w:sz w:val="20"/>
                <w:szCs w:val="20"/>
                <w:lang w:eastAsia="en-AU"/>
              </w:rPr>
              <w:t xml:space="preserve"> J, van </w:t>
            </w:r>
            <w:proofErr w:type="spellStart"/>
            <w:r w:rsidRPr="005176BD">
              <w:rPr>
                <w:rFonts w:cs="Arial"/>
                <w:sz w:val="20"/>
                <w:szCs w:val="20"/>
                <w:lang w:eastAsia="en-AU"/>
              </w:rPr>
              <w:t>Schoor</w:t>
            </w:r>
            <w:proofErr w:type="spellEnd"/>
            <w:r w:rsidRPr="005176BD">
              <w:rPr>
                <w:rFonts w:cs="Arial"/>
                <w:sz w:val="20"/>
                <w:szCs w:val="20"/>
                <w:lang w:eastAsia="en-AU"/>
              </w:rPr>
              <w:t xml:space="preserve"> N &amp; Peeters G.</w:t>
            </w:r>
          </w:p>
        </w:tc>
        <w:tc>
          <w:tcPr>
            <w:tcW w:w="617" w:type="dxa"/>
          </w:tcPr>
          <w:p w14:paraId="62E782C0"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310C5F38" w14:textId="77777777" w:rsidTr="0011030B">
        <w:tc>
          <w:tcPr>
            <w:tcW w:w="9021" w:type="dxa"/>
          </w:tcPr>
          <w:p w14:paraId="3941D484" w14:textId="7E48795F" w:rsidR="00084B2B" w:rsidRPr="005176BD" w:rsidRDefault="00084B2B" w:rsidP="003B611A">
            <w:pPr>
              <w:rPr>
                <w:rFonts w:cs="Arial"/>
                <w:sz w:val="20"/>
                <w:szCs w:val="20"/>
                <w:lang w:eastAsia="en-AU"/>
              </w:rPr>
            </w:pPr>
            <w:r w:rsidRPr="005176BD">
              <w:rPr>
                <w:rFonts w:cs="Arial"/>
                <w:sz w:val="20"/>
                <w:szCs w:val="20"/>
                <w:lang w:eastAsia="en-AU"/>
              </w:rPr>
              <w:t xml:space="preserve">Generating qualitative data by design: </w:t>
            </w:r>
            <w:r w:rsidR="00A50BF7" w:rsidRPr="005176BD">
              <w:rPr>
                <w:rFonts w:cs="Arial"/>
                <w:sz w:val="20"/>
                <w:szCs w:val="20"/>
                <w:lang w:eastAsia="en-AU"/>
              </w:rPr>
              <w:t>T</w:t>
            </w:r>
            <w:r w:rsidRPr="005176BD">
              <w:rPr>
                <w:rFonts w:cs="Arial"/>
                <w:sz w:val="20"/>
                <w:szCs w:val="20"/>
                <w:lang w:eastAsia="en-AU"/>
              </w:rPr>
              <w:t>he Australian Longitudinal Study on Women’s Health qualitative data collection. Public Health Research &amp; Practice, 2016</w:t>
            </w:r>
            <w:r w:rsidR="00A50BF7" w:rsidRPr="005176BD">
              <w:rPr>
                <w:rFonts w:cs="Arial"/>
                <w:sz w:val="20"/>
                <w:szCs w:val="20"/>
                <w:lang w:eastAsia="en-AU"/>
              </w:rPr>
              <w:t>;</w:t>
            </w:r>
            <w:r w:rsidRPr="005176BD">
              <w:rPr>
                <w:rFonts w:cs="Arial"/>
                <w:sz w:val="20"/>
                <w:szCs w:val="20"/>
                <w:lang w:eastAsia="en-AU"/>
              </w:rPr>
              <w:t xml:space="preserve"> 23(3)</w:t>
            </w:r>
            <w:r w:rsidR="00A50BF7" w:rsidRPr="005176BD">
              <w:rPr>
                <w:rFonts w:cs="Arial"/>
                <w:sz w:val="20"/>
                <w:szCs w:val="20"/>
                <w:lang w:eastAsia="en-AU"/>
              </w:rPr>
              <w:t xml:space="preserve">: </w:t>
            </w:r>
            <w:r w:rsidRPr="005176BD">
              <w:rPr>
                <w:rFonts w:cs="Arial"/>
                <w:sz w:val="20"/>
                <w:szCs w:val="20"/>
                <w:lang w:eastAsia="en-AU"/>
              </w:rPr>
              <w:t>e2631631</w:t>
            </w:r>
            <w:r w:rsidR="00A50BF7" w:rsidRPr="005176BD">
              <w:rPr>
                <w:rFonts w:cs="Arial"/>
                <w:sz w:val="20"/>
                <w:szCs w:val="20"/>
                <w:lang w:eastAsia="en-AU"/>
              </w:rPr>
              <w:t>.</w:t>
            </w:r>
          </w:p>
        </w:tc>
        <w:tc>
          <w:tcPr>
            <w:tcW w:w="4217" w:type="dxa"/>
          </w:tcPr>
          <w:p w14:paraId="2D82AD5D" w14:textId="77777777" w:rsidR="00084B2B" w:rsidRPr="005176BD" w:rsidRDefault="00084B2B" w:rsidP="003B611A">
            <w:pPr>
              <w:rPr>
                <w:rFonts w:cs="Arial"/>
                <w:sz w:val="20"/>
                <w:szCs w:val="20"/>
                <w:lang w:eastAsia="en-AU"/>
              </w:rPr>
            </w:pPr>
            <w:r w:rsidRPr="005176BD">
              <w:rPr>
                <w:rFonts w:cs="Arial"/>
                <w:sz w:val="20"/>
                <w:szCs w:val="20"/>
                <w:lang w:eastAsia="en-AU"/>
              </w:rPr>
              <w:t>Tavener M, Chojenta C &amp; Loxton D.</w:t>
            </w:r>
          </w:p>
        </w:tc>
        <w:tc>
          <w:tcPr>
            <w:tcW w:w="617" w:type="dxa"/>
          </w:tcPr>
          <w:p w14:paraId="0941815C" w14:textId="77777777" w:rsidR="00084B2B" w:rsidRPr="005176BD" w:rsidRDefault="00084B2B" w:rsidP="003B611A">
            <w:pPr>
              <w:rPr>
                <w:rFonts w:cs="Arial"/>
                <w:sz w:val="20"/>
                <w:szCs w:val="20"/>
                <w:lang w:eastAsia="en-AU"/>
              </w:rPr>
            </w:pPr>
            <w:r w:rsidRPr="005176BD">
              <w:rPr>
                <w:rFonts w:cs="Arial"/>
                <w:sz w:val="20"/>
                <w:szCs w:val="20"/>
                <w:lang w:eastAsia="en-AU"/>
              </w:rPr>
              <w:t>5</w:t>
            </w:r>
          </w:p>
        </w:tc>
      </w:tr>
      <w:tr w:rsidR="00084B2B" w:rsidRPr="00084B2B" w14:paraId="39F0F8AC" w14:textId="77777777" w:rsidTr="0011030B">
        <w:tc>
          <w:tcPr>
            <w:tcW w:w="9021" w:type="dxa"/>
          </w:tcPr>
          <w:p w14:paraId="42ADB50B" w14:textId="19C54C39" w:rsidR="00084B2B" w:rsidRPr="005176BD" w:rsidRDefault="00084B2B" w:rsidP="003B611A">
            <w:pPr>
              <w:rPr>
                <w:rFonts w:cs="Arial"/>
                <w:sz w:val="20"/>
                <w:szCs w:val="20"/>
                <w:lang w:eastAsia="en-AU"/>
              </w:rPr>
            </w:pPr>
            <w:r w:rsidRPr="005176BD">
              <w:rPr>
                <w:rFonts w:cs="Arial"/>
                <w:sz w:val="20"/>
                <w:szCs w:val="20"/>
                <w:lang w:eastAsia="en-AU"/>
              </w:rPr>
              <w:t xml:space="preserve">The effect of dose and type of proton pump inhibitor use on risk of fractures and osteoporosis treatment in older Australian women: </w:t>
            </w:r>
            <w:r w:rsidR="00A50BF7" w:rsidRPr="005176BD">
              <w:rPr>
                <w:rFonts w:cs="Arial"/>
                <w:sz w:val="20"/>
                <w:szCs w:val="20"/>
                <w:lang w:eastAsia="en-AU"/>
              </w:rPr>
              <w:t>A</w:t>
            </w:r>
            <w:r w:rsidRPr="005176BD">
              <w:rPr>
                <w:rFonts w:cs="Arial"/>
                <w:sz w:val="20"/>
                <w:szCs w:val="20"/>
                <w:lang w:eastAsia="en-AU"/>
              </w:rPr>
              <w:t xml:space="preserve"> prospective cohort study. Bone, 2015</w:t>
            </w:r>
            <w:r w:rsidR="00A50BF7" w:rsidRPr="005176BD">
              <w:rPr>
                <w:rFonts w:cs="Arial"/>
                <w:sz w:val="20"/>
                <w:szCs w:val="20"/>
                <w:lang w:eastAsia="en-AU"/>
              </w:rPr>
              <w:t>;</w:t>
            </w:r>
            <w:r w:rsidRPr="005176BD">
              <w:rPr>
                <w:rFonts w:cs="Arial"/>
                <w:sz w:val="20"/>
                <w:szCs w:val="20"/>
                <w:lang w:eastAsia="en-AU"/>
              </w:rPr>
              <w:t xml:space="preserve"> 81</w:t>
            </w:r>
            <w:r w:rsidR="00A50BF7" w:rsidRPr="005176BD">
              <w:rPr>
                <w:rFonts w:cs="Arial"/>
                <w:sz w:val="20"/>
                <w:szCs w:val="20"/>
                <w:lang w:eastAsia="en-AU"/>
              </w:rPr>
              <w:t xml:space="preserve">: </w:t>
            </w:r>
            <w:r w:rsidRPr="005176BD">
              <w:rPr>
                <w:rFonts w:cs="Arial"/>
                <w:sz w:val="20"/>
                <w:szCs w:val="20"/>
                <w:lang w:eastAsia="en-AU"/>
              </w:rPr>
              <w:t>675-682</w:t>
            </w:r>
            <w:r w:rsidR="00A50BF7" w:rsidRPr="005176BD">
              <w:rPr>
                <w:rFonts w:cs="Arial"/>
                <w:sz w:val="20"/>
                <w:szCs w:val="20"/>
                <w:lang w:eastAsia="en-AU"/>
              </w:rPr>
              <w:t>.</w:t>
            </w:r>
          </w:p>
        </w:tc>
        <w:tc>
          <w:tcPr>
            <w:tcW w:w="4217" w:type="dxa"/>
          </w:tcPr>
          <w:p w14:paraId="1D074EB3" w14:textId="77777777" w:rsidR="00084B2B" w:rsidRPr="005176BD" w:rsidRDefault="00084B2B" w:rsidP="003B611A">
            <w:pPr>
              <w:rPr>
                <w:rFonts w:cs="Arial"/>
                <w:sz w:val="20"/>
                <w:szCs w:val="20"/>
                <w:lang w:eastAsia="en-AU"/>
              </w:rPr>
            </w:pPr>
            <w:r w:rsidRPr="005176BD">
              <w:rPr>
                <w:rFonts w:cs="Arial"/>
                <w:sz w:val="20"/>
                <w:szCs w:val="20"/>
                <w:lang w:eastAsia="en-AU"/>
              </w:rPr>
              <w:t xml:space="preserve">van der Hoorn M, </w:t>
            </w:r>
            <w:proofErr w:type="spellStart"/>
            <w:r w:rsidRPr="005176BD">
              <w:rPr>
                <w:rFonts w:cs="Arial"/>
                <w:sz w:val="20"/>
                <w:szCs w:val="20"/>
                <w:lang w:eastAsia="en-AU"/>
              </w:rPr>
              <w:t>Tett</w:t>
            </w:r>
            <w:proofErr w:type="spellEnd"/>
            <w:r w:rsidRPr="005176BD">
              <w:rPr>
                <w:rFonts w:cs="Arial"/>
                <w:sz w:val="20"/>
                <w:szCs w:val="20"/>
                <w:lang w:eastAsia="en-AU"/>
              </w:rPr>
              <w:t xml:space="preserve"> S, de </w:t>
            </w:r>
            <w:proofErr w:type="spellStart"/>
            <w:r w:rsidRPr="005176BD">
              <w:rPr>
                <w:rFonts w:cs="Arial"/>
                <w:sz w:val="20"/>
                <w:szCs w:val="20"/>
                <w:lang w:eastAsia="en-AU"/>
              </w:rPr>
              <w:t>Vries</w:t>
            </w:r>
            <w:proofErr w:type="spellEnd"/>
            <w:r w:rsidRPr="005176BD">
              <w:rPr>
                <w:rFonts w:cs="Arial"/>
                <w:sz w:val="20"/>
                <w:szCs w:val="20"/>
                <w:lang w:eastAsia="en-AU"/>
              </w:rPr>
              <w:t xml:space="preserve"> O, Dobson A &amp; Peeters G.</w:t>
            </w:r>
          </w:p>
        </w:tc>
        <w:tc>
          <w:tcPr>
            <w:tcW w:w="617" w:type="dxa"/>
          </w:tcPr>
          <w:p w14:paraId="3C62EB7D" w14:textId="77777777" w:rsidR="00084B2B" w:rsidRPr="005176BD" w:rsidRDefault="00084B2B" w:rsidP="003B611A">
            <w:pPr>
              <w:rPr>
                <w:rFonts w:cs="Arial"/>
                <w:sz w:val="20"/>
                <w:szCs w:val="20"/>
                <w:lang w:eastAsia="en-AU"/>
              </w:rPr>
            </w:pPr>
            <w:r w:rsidRPr="005176BD">
              <w:rPr>
                <w:rFonts w:cs="Arial"/>
                <w:sz w:val="20"/>
                <w:szCs w:val="20"/>
                <w:lang w:eastAsia="en-AU"/>
              </w:rPr>
              <w:t>31</w:t>
            </w:r>
          </w:p>
        </w:tc>
      </w:tr>
      <w:tr w:rsidR="00084B2B" w:rsidRPr="00084B2B" w14:paraId="0F6319B9" w14:textId="77777777" w:rsidTr="0011030B">
        <w:tc>
          <w:tcPr>
            <w:tcW w:w="9021" w:type="dxa"/>
          </w:tcPr>
          <w:p w14:paraId="6C80A54A" w14:textId="35E0E242" w:rsidR="00084B2B" w:rsidRPr="005176BD" w:rsidRDefault="00FB70EC" w:rsidP="003B611A">
            <w:pPr>
              <w:rPr>
                <w:rFonts w:cs="Arial"/>
                <w:sz w:val="20"/>
                <w:szCs w:val="20"/>
                <w:lang w:eastAsia="en-AU"/>
              </w:rPr>
            </w:pPr>
            <w:r w:rsidRPr="005176BD">
              <w:rPr>
                <w:rFonts w:cs="Arial"/>
                <w:sz w:val="20"/>
                <w:szCs w:val="20"/>
                <w:lang w:eastAsia="en-AU"/>
              </w:rPr>
              <w:t>Associations between medication use and mental health in older women: A cross-sectional analysis of 5,502 women aged 76 to 81. Journal of American Geriatric Society, 2015; 63(6): 1254-1255. (letter to the editor)</w:t>
            </w:r>
          </w:p>
        </w:tc>
        <w:tc>
          <w:tcPr>
            <w:tcW w:w="4217" w:type="dxa"/>
          </w:tcPr>
          <w:p w14:paraId="1E51FAAD"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Alsalami</w:t>
            </w:r>
            <w:proofErr w:type="spellEnd"/>
            <w:r w:rsidRPr="005176BD">
              <w:rPr>
                <w:rFonts w:cs="Arial"/>
                <w:sz w:val="20"/>
                <w:szCs w:val="20"/>
                <w:lang w:eastAsia="en-AU"/>
              </w:rPr>
              <w:t xml:space="preserve"> MO, Forder PM, Milton AH, McEvoy MA &amp; Byles JE.</w:t>
            </w:r>
          </w:p>
        </w:tc>
        <w:tc>
          <w:tcPr>
            <w:tcW w:w="617" w:type="dxa"/>
          </w:tcPr>
          <w:p w14:paraId="4A0A7CD0"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745356BE" w14:textId="77777777" w:rsidTr="0011030B">
        <w:tc>
          <w:tcPr>
            <w:tcW w:w="9021" w:type="dxa"/>
          </w:tcPr>
          <w:p w14:paraId="67DE7FBC" w14:textId="451BFC45" w:rsidR="00084B2B" w:rsidRPr="005176BD" w:rsidRDefault="00FB70EC" w:rsidP="003B611A">
            <w:pPr>
              <w:rPr>
                <w:rFonts w:cs="Arial"/>
                <w:sz w:val="20"/>
                <w:szCs w:val="20"/>
                <w:lang w:eastAsia="en-AU"/>
              </w:rPr>
            </w:pPr>
            <w:r w:rsidRPr="005176BD">
              <w:rPr>
                <w:rFonts w:cs="Arial"/>
                <w:sz w:val="20"/>
                <w:szCs w:val="20"/>
                <w:lang w:eastAsia="en-AU"/>
              </w:rPr>
              <w:t>Anticholinergic burden in older women: Not seeing the wood for the trees? Medical Journal of Australia, 2015; 202(2): 91-94.</w:t>
            </w:r>
          </w:p>
        </w:tc>
        <w:tc>
          <w:tcPr>
            <w:tcW w:w="4217" w:type="dxa"/>
          </w:tcPr>
          <w:p w14:paraId="5DD72B9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Parkinson L, </w:t>
            </w:r>
            <w:proofErr w:type="spellStart"/>
            <w:r w:rsidRPr="005176BD">
              <w:rPr>
                <w:rFonts w:cs="Arial"/>
                <w:sz w:val="20"/>
                <w:szCs w:val="20"/>
                <w:lang w:eastAsia="en-AU"/>
              </w:rPr>
              <w:t>Magin</w:t>
            </w:r>
            <w:proofErr w:type="spellEnd"/>
            <w:r w:rsidRPr="005176BD">
              <w:rPr>
                <w:rFonts w:cs="Arial"/>
                <w:sz w:val="20"/>
                <w:szCs w:val="20"/>
                <w:lang w:eastAsia="en-AU"/>
              </w:rPr>
              <w:t xml:space="preserve"> P, Thomson A, Byles J, </w:t>
            </w:r>
            <w:proofErr w:type="spellStart"/>
            <w:r w:rsidRPr="005176BD">
              <w:rPr>
                <w:rFonts w:cs="Arial"/>
                <w:sz w:val="20"/>
                <w:szCs w:val="20"/>
                <w:lang w:eastAsia="en-AU"/>
              </w:rPr>
              <w:t>Caughey</w:t>
            </w:r>
            <w:proofErr w:type="spellEnd"/>
            <w:r w:rsidRPr="005176BD">
              <w:rPr>
                <w:rFonts w:cs="Arial"/>
                <w:sz w:val="20"/>
                <w:szCs w:val="20"/>
                <w:lang w:eastAsia="en-AU"/>
              </w:rPr>
              <w:t xml:space="preserve"> G, </w:t>
            </w:r>
            <w:proofErr w:type="spellStart"/>
            <w:r w:rsidRPr="005176BD">
              <w:rPr>
                <w:rFonts w:cs="Arial"/>
                <w:sz w:val="20"/>
                <w:szCs w:val="20"/>
                <w:lang w:eastAsia="en-AU"/>
              </w:rPr>
              <w:t>Etherton</w:t>
            </w:r>
            <w:proofErr w:type="spellEnd"/>
            <w:r w:rsidRPr="005176BD">
              <w:rPr>
                <w:rFonts w:cs="Arial"/>
                <w:sz w:val="20"/>
                <w:szCs w:val="20"/>
                <w:lang w:eastAsia="en-AU"/>
              </w:rPr>
              <w:t xml:space="preserve">-Beer C, </w:t>
            </w:r>
            <w:proofErr w:type="spellStart"/>
            <w:r w:rsidRPr="005176BD">
              <w:rPr>
                <w:rFonts w:cs="Arial"/>
                <w:sz w:val="20"/>
                <w:szCs w:val="20"/>
                <w:lang w:eastAsia="en-AU"/>
              </w:rPr>
              <w:t>Gnjidic</w:t>
            </w:r>
            <w:proofErr w:type="spellEnd"/>
            <w:r w:rsidRPr="005176BD">
              <w:rPr>
                <w:rFonts w:cs="Arial"/>
                <w:sz w:val="20"/>
                <w:szCs w:val="20"/>
                <w:lang w:eastAsia="en-AU"/>
              </w:rPr>
              <w:t xml:space="preserve"> D, </w:t>
            </w:r>
            <w:proofErr w:type="spellStart"/>
            <w:r w:rsidRPr="005176BD">
              <w:rPr>
                <w:rFonts w:cs="Arial"/>
                <w:sz w:val="20"/>
                <w:szCs w:val="20"/>
                <w:lang w:eastAsia="en-AU"/>
              </w:rPr>
              <w:t>Hilmer</w:t>
            </w:r>
            <w:proofErr w:type="spellEnd"/>
            <w:r w:rsidRPr="005176BD">
              <w:rPr>
                <w:rFonts w:cs="Arial"/>
                <w:sz w:val="20"/>
                <w:szCs w:val="20"/>
                <w:lang w:eastAsia="en-AU"/>
              </w:rPr>
              <w:t xml:space="preserve"> S, Lo T, </w:t>
            </w:r>
            <w:proofErr w:type="spellStart"/>
            <w:r w:rsidRPr="005176BD">
              <w:rPr>
                <w:rFonts w:cs="Arial"/>
                <w:sz w:val="20"/>
                <w:szCs w:val="20"/>
                <w:lang w:eastAsia="en-AU"/>
              </w:rPr>
              <w:t>McCowan</w:t>
            </w:r>
            <w:proofErr w:type="spellEnd"/>
            <w:r w:rsidRPr="005176BD">
              <w:rPr>
                <w:rFonts w:cs="Arial"/>
                <w:sz w:val="20"/>
                <w:szCs w:val="20"/>
                <w:lang w:eastAsia="en-AU"/>
              </w:rPr>
              <w:t xml:space="preserve"> C, </w:t>
            </w:r>
            <w:proofErr w:type="spellStart"/>
            <w:r w:rsidRPr="005176BD">
              <w:rPr>
                <w:rFonts w:cs="Arial"/>
                <w:sz w:val="20"/>
                <w:szCs w:val="20"/>
                <w:lang w:eastAsia="en-AU"/>
              </w:rPr>
              <w:t>Moorin</w:t>
            </w:r>
            <w:proofErr w:type="spellEnd"/>
            <w:r w:rsidRPr="005176BD">
              <w:rPr>
                <w:rFonts w:cs="Arial"/>
                <w:sz w:val="20"/>
                <w:szCs w:val="20"/>
                <w:lang w:eastAsia="en-AU"/>
              </w:rPr>
              <w:t>, R &amp; Pond D.</w:t>
            </w:r>
          </w:p>
        </w:tc>
        <w:tc>
          <w:tcPr>
            <w:tcW w:w="617" w:type="dxa"/>
          </w:tcPr>
          <w:p w14:paraId="22B0D11F" w14:textId="77777777" w:rsidR="00084B2B" w:rsidRPr="005176BD" w:rsidRDefault="00084B2B" w:rsidP="003B611A">
            <w:pPr>
              <w:rPr>
                <w:rFonts w:cs="Arial"/>
                <w:sz w:val="20"/>
                <w:szCs w:val="20"/>
                <w:lang w:eastAsia="en-AU"/>
              </w:rPr>
            </w:pPr>
            <w:r w:rsidRPr="005176BD">
              <w:rPr>
                <w:rFonts w:cs="Arial"/>
                <w:sz w:val="20"/>
                <w:szCs w:val="20"/>
                <w:lang w:eastAsia="en-AU"/>
              </w:rPr>
              <w:t>12</w:t>
            </w:r>
          </w:p>
        </w:tc>
      </w:tr>
      <w:tr w:rsidR="00084B2B" w:rsidRPr="00084B2B" w14:paraId="3664ABA7" w14:textId="77777777" w:rsidTr="0011030B">
        <w:tc>
          <w:tcPr>
            <w:tcW w:w="9021" w:type="dxa"/>
          </w:tcPr>
          <w:p w14:paraId="3C33B7FA" w14:textId="54115E55" w:rsidR="00084B2B" w:rsidRPr="005176BD" w:rsidRDefault="00FB70EC" w:rsidP="003B611A">
            <w:pPr>
              <w:rPr>
                <w:rFonts w:cs="Arial"/>
                <w:sz w:val="20"/>
                <w:szCs w:val="20"/>
                <w:lang w:eastAsia="en-AU"/>
              </w:rPr>
            </w:pPr>
            <w:r w:rsidRPr="005176BD">
              <w:rPr>
                <w:rFonts w:cs="Arial"/>
                <w:sz w:val="20"/>
                <w:szCs w:val="20"/>
                <w:lang w:eastAsia="en-AU"/>
              </w:rPr>
              <w:t>Is statin use associated with new joint-related symptoms, physical function and quality of life? The Australian Longitudinal Study on Women’s Health. Arthritis Care &amp; Research, 2015; 67(1): 13-20.</w:t>
            </w:r>
          </w:p>
        </w:tc>
        <w:tc>
          <w:tcPr>
            <w:tcW w:w="4217" w:type="dxa"/>
          </w:tcPr>
          <w:p w14:paraId="2725BC87"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SE, </w:t>
            </w:r>
            <w:proofErr w:type="spellStart"/>
            <w:r w:rsidRPr="005176BD">
              <w:rPr>
                <w:rFonts w:cs="Arial"/>
                <w:sz w:val="20"/>
                <w:szCs w:val="20"/>
                <w:lang w:eastAsia="en-AU"/>
              </w:rPr>
              <w:t>Conaghan</w:t>
            </w:r>
            <w:proofErr w:type="spellEnd"/>
            <w:r w:rsidRPr="005176BD">
              <w:rPr>
                <w:rFonts w:cs="Arial"/>
                <w:sz w:val="20"/>
                <w:szCs w:val="20"/>
                <w:lang w:eastAsia="en-AU"/>
              </w:rPr>
              <w:t xml:space="preserve"> PG, Mishra GD &amp; Dobson AJ.</w:t>
            </w:r>
          </w:p>
        </w:tc>
        <w:tc>
          <w:tcPr>
            <w:tcW w:w="617" w:type="dxa"/>
          </w:tcPr>
          <w:p w14:paraId="6DBE3E30" w14:textId="77777777" w:rsidR="00084B2B" w:rsidRPr="005176BD" w:rsidRDefault="00084B2B" w:rsidP="003B611A">
            <w:pPr>
              <w:rPr>
                <w:rFonts w:cs="Arial"/>
                <w:sz w:val="20"/>
                <w:szCs w:val="20"/>
                <w:lang w:eastAsia="en-AU"/>
              </w:rPr>
            </w:pPr>
            <w:r w:rsidRPr="005176BD">
              <w:rPr>
                <w:rFonts w:cs="Arial"/>
                <w:sz w:val="20"/>
                <w:szCs w:val="20"/>
                <w:lang w:eastAsia="en-AU"/>
              </w:rPr>
              <w:t>12</w:t>
            </w:r>
          </w:p>
        </w:tc>
      </w:tr>
      <w:tr w:rsidR="00084B2B" w:rsidRPr="00084B2B" w14:paraId="13B6ECC1" w14:textId="77777777" w:rsidTr="0011030B">
        <w:tc>
          <w:tcPr>
            <w:tcW w:w="9021" w:type="dxa"/>
          </w:tcPr>
          <w:p w14:paraId="4F19F504" w14:textId="35A3F1CF" w:rsidR="00084B2B" w:rsidRPr="005176BD" w:rsidRDefault="00FB70EC" w:rsidP="003B611A">
            <w:pPr>
              <w:rPr>
                <w:rFonts w:cs="Arial"/>
                <w:sz w:val="20"/>
                <w:szCs w:val="20"/>
                <w:lang w:eastAsia="en-AU"/>
              </w:rPr>
            </w:pPr>
            <w:r w:rsidRPr="005176BD">
              <w:rPr>
                <w:rFonts w:cs="Arial"/>
                <w:sz w:val="20"/>
                <w:szCs w:val="20"/>
                <w:lang w:eastAsia="en-AU"/>
              </w:rPr>
              <w:t xml:space="preserve">Osteoporosis medication dispensing for older Australian women from 2002 to 2010: Influences of publications, guidelines, marketing activities and policy. </w:t>
            </w:r>
            <w:proofErr w:type="spellStart"/>
            <w:r w:rsidRPr="005176BD">
              <w:rPr>
                <w:rFonts w:cs="Arial"/>
                <w:sz w:val="20"/>
                <w:szCs w:val="20"/>
                <w:lang w:eastAsia="en-AU"/>
              </w:rPr>
              <w:t>Pharmacoepidemiology</w:t>
            </w:r>
            <w:proofErr w:type="spellEnd"/>
            <w:r w:rsidRPr="005176BD">
              <w:rPr>
                <w:rFonts w:cs="Arial"/>
                <w:sz w:val="20"/>
                <w:szCs w:val="20"/>
                <w:lang w:eastAsia="en-AU"/>
              </w:rPr>
              <w:t xml:space="preserve"> &amp; Drug Safety, 2014; 23(12): 1303-1311.</w:t>
            </w:r>
          </w:p>
        </w:tc>
        <w:tc>
          <w:tcPr>
            <w:tcW w:w="4217" w:type="dxa"/>
          </w:tcPr>
          <w:p w14:paraId="31D98201"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Duncan E, Mishra G &amp; Dobson A.</w:t>
            </w:r>
          </w:p>
        </w:tc>
        <w:tc>
          <w:tcPr>
            <w:tcW w:w="617" w:type="dxa"/>
          </w:tcPr>
          <w:p w14:paraId="005D3B41" w14:textId="77777777" w:rsidR="00084B2B" w:rsidRPr="005176BD" w:rsidRDefault="00084B2B" w:rsidP="003B611A">
            <w:pPr>
              <w:rPr>
                <w:rFonts w:cs="Arial"/>
                <w:sz w:val="20"/>
                <w:szCs w:val="20"/>
                <w:lang w:eastAsia="en-AU"/>
              </w:rPr>
            </w:pPr>
            <w:r w:rsidRPr="005176BD">
              <w:rPr>
                <w:rFonts w:cs="Arial"/>
                <w:sz w:val="20"/>
                <w:szCs w:val="20"/>
                <w:lang w:eastAsia="en-AU"/>
              </w:rPr>
              <w:t>13</w:t>
            </w:r>
          </w:p>
        </w:tc>
      </w:tr>
      <w:tr w:rsidR="00084B2B" w:rsidRPr="00084B2B" w14:paraId="7C9A1834" w14:textId="77777777" w:rsidTr="0011030B">
        <w:tc>
          <w:tcPr>
            <w:tcW w:w="9021" w:type="dxa"/>
          </w:tcPr>
          <w:p w14:paraId="6BA56E2C" w14:textId="7319892A" w:rsidR="00084B2B" w:rsidRPr="005176BD" w:rsidRDefault="00FB70EC" w:rsidP="003B611A">
            <w:pPr>
              <w:rPr>
                <w:rFonts w:cs="Arial"/>
                <w:sz w:val="20"/>
                <w:szCs w:val="20"/>
                <w:lang w:eastAsia="en-AU"/>
              </w:rPr>
            </w:pPr>
            <w:r w:rsidRPr="005176BD">
              <w:rPr>
                <w:rFonts w:cs="Arial"/>
                <w:sz w:val="20"/>
                <w:szCs w:val="20"/>
                <w:lang w:eastAsia="en-AU"/>
              </w:rPr>
              <w:t>Costs of medicines and health care: A concern for Australian women across the ages. BMC Health Services Research, 2013; 13(1): art 484.</w:t>
            </w:r>
          </w:p>
        </w:tc>
        <w:tc>
          <w:tcPr>
            <w:tcW w:w="4217" w:type="dxa"/>
          </w:tcPr>
          <w:p w14:paraId="44806FD2" w14:textId="16D41AA5" w:rsidR="00084B2B" w:rsidRPr="005176BD" w:rsidRDefault="00084B2B" w:rsidP="003B611A">
            <w:pPr>
              <w:rPr>
                <w:rFonts w:cs="Arial"/>
                <w:sz w:val="20"/>
                <w:szCs w:val="20"/>
                <w:lang w:eastAsia="en-AU"/>
              </w:rPr>
            </w:pPr>
            <w:proofErr w:type="spellStart"/>
            <w:r w:rsidRPr="005176BD">
              <w:rPr>
                <w:rFonts w:cs="Arial"/>
                <w:sz w:val="20"/>
                <w:szCs w:val="20"/>
                <w:lang w:eastAsia="en-AU"/>
              </w:rPr>
              <w:t>Walkom</w:t>
            </w:r>
            <w:proofErr w:type="spellEnd"/>
            <w:r w:rsidRPr="005176BD">
              <w:rPr>
                <w:rFonts w:cs="Arial"/>
                <w:sz w:val="20"/>
                <w:szCs w:val="20"/>
                <w:lang w:eastAsia="en-AU"/>
              </w:rPr>
              <w:t xml:space="preserve"> E, Loxton D &amp; Robertson J.</w:t>
            </w:r>
            <w:r w:rsidR="00012F17" w:rsidRPr="005176BD">
              <w:rPr>
                <w:rFonts w:cs="Arial"/>
                <w:sz w:val="20"/>
                <w:szCs w:val="20"/>
                <w:lang w:eastAsia="en-AU"/>
              </w:rPr>
              <w:t xml:space="preserve"> </w:t>
            </w:r>
          </w:p>
        </w:tc>
        <w:tc>
          <w:tcPr>
            <w:tcW w:w="617" w:type="dxa"/>
          </w:tcPr>
          <w:p w14:paraId="0E4EB59E" w14:textId="77777777" w:rsidR="00084B2B" w:rsidRPr="005176BD" w:rsidRDefault="00084B2B" w:rsidP="003B611A">
            <w:pPr>
              <w:rPr>
                <w:rFonts w:cs="Arial"/>
                <w:sz w:val="20"/>
                <w:szCs w:val="20"/>
                <w:lang w:eastAsia="en-AU"/>
              </w:rPr>
            </w:pPr>
            <w:r w:rsidRPr="005176BD">
              <w:rPr>
                <w:rFonts w:cs="Arial"/>
                <w:sz w:val="20"/>
                <w:szCs w:val="20"/>
                <w:lang w:eastAsia="en-AU"/>
              </w:rPr>
              <w:t>11</w:t>
            </w:r>
          </w:p>
        </w:tc>
      </w:tr>
      <w:tr w:rsidR="00084B2B" w:rsidRPr="00084B2B" w14:paraId="2104F9DE" w14:textId="77777777" w:rsidTr="0011030B">
        <w:tc>
          <w:tcPr>
            <w:tcW w:w="9021" w:type="dxa"/>
          </w:tcPr>
          <w:p w14:paraId="3E9F90BB" w14:textId="3BE4EE1A" w:rsidR="00084B2B" w:rsidRPr="005176BD" w:rsidRDefault="00FB70EC" w:rsidP="003B611A">
            <w:pPr>
              <w:rPr>
                <w:rFonts w:cs="Arial"/>
                <w:sz w:val="20"/>
                <w:szCs w:val="20"/>
                <w:lang w:eastAsia="en-AU"/>
              </w:rPr>
            </w:pPr>
            <w:r w:rsidRPr="005176BD">
              <w:rPr>
                <w:rFonts w:cs="Arial"/>
                <w:sz w:val="20"/>
                <w:szCs w:val="20"/>
                <w:lang w:eastAsia="en-AU"/>
              </w:rPr>
              <w:t>Accuracy of self-reported medicines use compared to pharmaceutical claims data amongst a national sample of older Australian women. Open Journal of Epidemiology, 2013; 3(1): 25-32.</w:t>
            </w:r>
          </w:p>
        </w:tc>
        <w:tc>
          <w:tcPr>
            <w:tcW w:w="4217" w:type="dxa"/>
          </w:tcPr>
          <w:p w14:paraId="0A8029EF" w14:textId="77777777" w:rsidR="00084B2B" w:rsidRPr="005176BD" w:rsidRDefault="00084B2B" w:rsidP="003B611A">
            <w:pPr>
              <w:rPr>
                <w:rFonts w:cs="Arial"/>
                <w:sz w:val="20"/>
                <w:szCs w:val="20"/>
                <w:lang w:eastAsia="en-AU"/>
              </w:rPr>
            </w:pPr>
            <w:r w:rsidRPr="005176BD">
              <w:rPr>
                <w:rFonts w:cs="Arial"/>
                <w:sz w:val="20"/>
                <w:szCs w:val="20"/>
                <w:lang w:eastAsia="en-AU"/>
              </w:rPr>
              <w:t>Dolja-Gore X, Pit S, Parkinson L, Young A &amp; Byles J.</w:t>
            </w:r>
          </w:p>
        </w:tc>
        <w:tc>
          <w:tcPr>
            <w:tcW w:w="617" w:type="dxa"/>
          </w:tcPr>
          <w:p w14:paraId="71D55AB0"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760056BC" w14:textId="77777777" w:rsidTr="0011030B">
        <w:tc>
          <w:tcPr>
            <w:tcW w:w="9021" w:type="dxa"/>
          </w:tcPr>
          <w:p w14:paraId="56F26ABA" w14:textId="070AB992" w:rsidR="00084B2B" w:rsidRPr="005176BD" w:rsidRDefault="00FB70EC" w:rsidP="003B611A">
            <w:pPr>
              <w:rPr>
                <w:rFonts w:cs="Arial"/>
                <w:sz w:val="20"/>
                <w:szCs w:val="20"/>
                <w:lang w:eastAsia="en-AU"/>
              </w:rPr>
            </w:pPr>
            <w:r w:rsidRPr="005176BD">
              <w:rPr>
                <w:rFonts w:cs="Arial"/>
                <w:sz w:val="20"/>
                <w:szCs w:val="20"/>
                <w:lang w:eastAsia="en-AU"/>
              </w:rPr>
              <w:t xml:space="preserve">Assessing patterns of use of cardio-protective </w:t>
            </w:r>
            <w:proofErr w:type="spellStart"/>
            <w:r w:rsidRPr="005176BD">
              <w:rPr>
                <w:rFonts w:cs="Arial"/>
                <w:sz w:val="20"/>
                <w:szCs w:val="20"/>
                <w:lang w:eastAsia="en-AU"/>
              </w:rPr>
              <w:t>polypill</w:t>
            </w:r>
            <w:proofErr w:type="spellEnd"/>
            <w:r w:rsidRPr="005176BD">
              <w:rPr>
                <w:rFonts w:cs="Arial"/>
                <w:sz w:val="20"/>
                <w:szCs w:val="20"/>
                <w:lang w:eastAsia="en-AU"/>
              </w:rPr>
              <w:t xml:space="preserve"> component medicines in Australian women. Drugs and Ageing, 2013; 30(3): 193-203.</w:t>
            </w:r>
          </w:p>
        </w:tc>
        <w:tc>
          <w:tcPr>
            <w:tcW w:w="4217" w:type="dxa"/>
          </w:tcPr>
          <w:p w14:paraId="2CF53A7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Stewart Williams J, </w:t>
            </w:r>
            <w:proofErr w:type="spellStart"/>
            <w:r w:rsidRPr="005176BD">
              <w:rPr>
                <w:rFonts w:cs="Arial"/>
                <w:sz w:val="20"/>
                <w:szCs w:val="20"/>
                <w:lang w:eastAsia="en-AU"/>
              </w:rPr>
              <w:t>Wallick</w:t>
            </w:r>
            <w:proofErr w:type="spellEnd"/>
            <w:r w:rsidRPr="005176BD">
              <w:rPr>
                <w:rFonts w:cs="Arial"/>
                <w:sz w:val="20"/>
                <w:szCs w:val="20"/>
                <w:lang w:eastAsia="en-AU"/>
              </w:rPr>
              <w:t xml:space="preserve"> J, Byles J &amp; Doran C.</w:t>
            </w:r>
          </w:p>
        </w:tc>
        <w:tc>
          <w:tcPr>
            <w:tcW w:w="617" w:type="dxa"/>
          </w:tcPr>
          <w:p w14:paraId="56CF9E7F"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07D0CD63" w14:textId="77777777" w:rsidTr="0011030B">
        <w:tc>
          <w:tcPr>
            <w:tcW w:w="9021" w:type="dxa"/>
          </w:tcPr>
          <w:p w14:paraId="060C5A05" w14:textId="4D0B4734" w:rsidR="00084B2B" w:rsidRPr="005176BD" w:rsidRDefault="00084B2B" w:rsidP="003B611A">
            <w:pPr>
              <w:rPr>
                <w:rFonts w:cs="Arial"/>
                <w:sz w:val="20"/>
                <w:szCs w:val="20"/>
                <w:lang w:eastAsia="en-AU"/>
              </w:rPr>
            </w:pPr>
            <w:r w:rsidRPr="005176BD">
              <w:rPr>
                <w:rFonts w:cs="Arial"/>
                <w:sz w:val="20"/>
                <w:szCs w:val="20"/>
                <w:lang w:eastAsia="en-AU"/>
              </w:rPr>
              <w:t xml:space="preserve">Validity of self-reported osteoporosis in mid-age and older women. Osteoporosis International, </w:t>
            </w:r>
            <w:r w:rsidR="00FB70EC" w:rsidRPr="005176BD">
              <w:rPr>
                <w:rFonts w:cs="Arial"/>
                <w:sz w:val="20"/>
                <w:szCs w:val="20"/>
                <w:lang w:eastAsia="en-AU"/>
              </w:rPr>
              <w:t xml:space="preserve">2013; </w:t>
            </w:r>
            <w:r w:rsidRPr="005176BD">
              <w:rPr>
                <w:rFonts w:cs="Arial"/>
                <w:sz w:val="20"/>
                <w:szCs w:val="20"/>
                <w:lang w:eastAsia="en-AU"/>
              </w:rPr>
              <w:t>24(3)</w:t>
            </w:r>
            <w:r w:rsidR="00FB70EC" w:rsidRPr="005176BD">
              <w:rPr>
                <w:rFonts w:cs="Arial"/>
                <w:sz w:val="20"/>
                <w:szCs w:val="20"/>
                <w:lang w:eastAsia="en-AU"/>
              </w:rPr>
              <w:t>:</w:t>
            </w:r>
            <w:r w:rsidR="00012F17" w:rsidRPr="005176BD">
              <w:rPr>
                <w:rFonts w:cs="Arial"/>
                <w:sz w:val="20"/>
                <w:szCs w:val="20"/>
                <w:lang w:eastAsia="en-AU"/>
              </w:rPr>
              <w:t xml:space="preserve"> </w:t>
            </w:r>
            <w:r w:rsidRPr="005176BD">
              <w:rPr>
                <w:rFonts w:cs="Arial"/>
                <w:sz w:val="20"/>
                <w:szCs w:val="20"/>
                <w:lang w:eastAsia="en-AU"/>
              </w:rPr>
              <w:t>917-927.</w:t>
            </w:r>
          </w:p>
        </w:tc>
        <w:tc>
          <w:tcPr>
            <w:tcW w:w="4217" w:type="dxa"/>
          </w:tcPr>
          <w:p w14:paraId="22E61EB3"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Dobson A &amp; Mishra G.</w:t>
            </w:r>
          </w:p>
        </w:tc>
        <w:tc>
          <w:tcPr>
            <w:tcW w:w="617" w:type="dxa"/>
          </w:tcPr>
          <w:p w14:paraId="71348B4C" w14:textId="77777777" w:rsidR="00084B2B" w:rsidRPr="005176BD" w:rsidRDefault="00084B2B" w:rsidP="003B611A">
            <w:pPr>
              <w:rPr>
                <w:rFonts w:cs="Arial"/>
                <w:sz w:val="20"/>
                <w:szCs w:val="20"/>
                <w:lang w:eastAsia="en-AU"/>
              </w:rPr>
            </w:pPr>
            <w:r w:rsidRPr="005176BD">
              <w:rPr>
                <w:rFonts w:cs="Arial"/>
                <w:sz w:val="20"/>
                <w:szCs w:val="20"/>
                <w:lang w:eastAsia="en-AU"/>
              </w:rPr>
              <w:t>11</w:t>
            </w:r>
          </w:p>
        </w:tc>
      </w:tr>
      <w:tr w:rsidR="00084B2B" w:rsidRPr="00084B2B" w14:paraId="6ABADF2E" w14:textId="77777777" w:rsidTr="0011030B">
        <w:tc>
          <w:tcPr>
            <w:tcW w:w="9021" w:type="dxa"/>
          </w:tcPr>
          <w:p w14:paraId="7063FC4B" w14:textId="5894AEC5" w:rsidR="00084B2B" w:rsidRPr="005176BD" w:rsidRDefault="00FB70EC" w:rsidP="003B611A">
            <w:pPr>
              <w:rPr>
                <w:rFonts w:cs="Arial"/>
                <w:sz w:val="20"/>
                <w:szCs w:val="20"/>
                <w:lang w:eastAsia="en-AU"/>
              </w:rPr>
            </w:pPr>
            <w:r w:rsidRPr="005176BD">
              <w:rPr>
                <w:rFonts w:cs="Arial"/>
                <w:sz w:val="20"/>
                <w:szCs w:val="20"/>
                <w:lang w:eastAsia="en-AU"/>
              </w:rPr>
              <w:t>Complementary and alternative medicine use among older Australian women – a qualitative study. BMC Complementary and Alternative Medicine, 2012; 12: art 34.</w:t>
            </w:r>
          </w:p>
        </w:tc>
        <w:tc>
          <w:tcPr>
            <w:tcW w:w="4217" w:type="dxa"/>
          </w:tcPr>
          <w:p w14:paraId="46D2C554" w14:textId="77777777" w:rsidR="00084B2B" w:rsidRPr="005176BD" w:rsidRDefault="00084B2B" w:rsidP="003B611A">
            <w:pPr>
              <w:rPr>
                <w:rFonts w:cs="Arial"/>
                <w:sz w:val="20"/>
                <w:szCs w:val="20"/>
                <w:lang w:eastAsia="en-AU"/>
              </w:rPr>
            </w:pPr>
            <w:r w:rsidRPr="005176BD">
              <w:rPr>
                <w:rFonts w:cs="Arial"/>
                <w:sz w:val="20"/>
                <w:szCs w:val="20"/>
                <w:lang w:eastAsia="en-AU"/>
              </w:rPr>
              <w:t>McLaughlin D, Liu C-W &amp; Adams J.</w:t>
            </w:r>
          </w:p>
        </w:tc>
        <w:tc>
          <w:tcPr>
            <w:tcW w:w="617" w:type="dxa"/>
          </w:tcPr>
          <w:p w14:paraId="1EE8F990" w14:textId="77777777" w:rsidR="00084B2B" w:rsidRPr="005176BD" w:rsidRDefault="00084B2B" w:rsidP="003B611A">
            <w:pPr>
              <w:rPr>
                <w:rFonts w:cs="Arial"/>
                <w:sz w:val="20"/>
                <w:szCs w:val="20"/>
                <w:lang w:eastAsia="en-AU"/>
              </w:rPr>
            </w:pPr>
            <w:r w:rsidRPr="005176BD">
              <w:rPr>
                <w:rFonts w:cs="Arial"/>
                <w:sz w:val="20"/>
                <w:szCs w:val="20"/>
                <w:lang w:eastAsia="en-AU"/>
              </w:rPr>
              <w:t>36</w:t>
            </w:r>
          </w:p>
        </w:tc>
      </w:tr>
      <w:tr w:rsidR="00084B2B" w:rsidRPr="00084B2B" w14:paraId="355FDBFB" w14:textId="77777777" w:rsidTr="0011030B">
        <w:tc>
          <w:tcPr>
            <w:tcW w:w="9021" w:type="dxa"/>
          </w:tcPr>
          <w:p w14:paraId="1E10C7B2" w14:textId="5B01B1A7" w:rsidR="00084B2B" w:rsidRPr="005176BD" w:rsidRDefault="00084B2B" w:rsidP="003B611A">
            <w:pPr>
              <w:rPr>
                <w:rFonts w:cs="Arial"/>
                <w:sz w:val="20"/>
                <w:szCs w:val="20"/>
                <w:lang w:eastAsia="en-AU"/>
              </w:rPr>
            </w:pPr>
            <w:r w:rsidRPr="005176BD">
              <w:rPr>
                <w:rFonts w:cs="Arial"/>
                <w:sz w:val="20"/>
                <w:szCs w:val="20"/>
                <w:lang w:eastAsia="en-AU"/>
              </w:rPr>
              <w:t xml:space="preserve">The validity of self-reported cancer diagnoses and factors associated with accurate reporting in a cohort of older Australian women. Cancer Epidemiology, </w:t>
            </w:r>
            <w:r w:rsidR="00FB70EC" w:rsidRPr="005176BD">
              <w:rPr>
                <w:rFonts w:cs="Arial"/>
                <w:sz w:val="20"/>
                <w:szCs w:val="20"/>
                <w:lang w:eastAsia="en-AU"/>
              </w:rPr>
              <w:t xml:space="preserve">2011; </w:t>
            </w:r>
            <w:r w:rsidRPr="005176BD">
              <w:rPr>
                <w:rFonts w:cs="Arial"/>
                <w:sz w:val="20"/>
                <w:szCs w:val="20"/>
                <w:lang w:eastAsia="en-AU"/>
              </w:rPr>
              <w:t>35(6): e75-e80.</w:t>
            </w:r>
          </w:p>
        </w:tc>
        <w:tc>
          <w:tcPr>
            <w:tcW w:w="4217" w:type="dxa"/>
          </w:tcPr>
          <w:p w14:paraId="04C9C54B"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Stavrou</w:t>
            </w:r>
            <w:proofErr w:type="spellEnd"/>
            <w:r w:rsidRPr="005176BD">
              <w:rPr>
                <w:rFonts w:cs="Arial"/>
                <w:sz w:val="20"/>
                <w:szCs w:val="20"/>
                <w:lang w:eastAsia="en-AU"/>
              </w:rPr>
              <w:t xml:space="preserve"> E, </w:t>
            </w:r>
            <w:proofErr w:type="spellStart"/>
            <w:r w:rsidRPr="005176BD">
              <w:rPr>
                <w:rFonts w:cs="Arial"/>
                <w:sz w:val="20"/>
                <w:szCs w:val="20"/>
                <w:lang w:eastAsia="en-AU"/>
              </w:rPr>
              <w:t>Vajdic</w:t>
            </w:r>
            <w:proofErr w:type="spellEnd"/>
            <w:r w:rsidRPr="005176BD">
              <w:rPr>
                <w:rFonts w:cs="Arial"/>
                <w:sz w:val="20"/>
                <w:szCs w:val="20"/>
                <w:lang w:eastAsia="en-AU"/>
              </w:rPr>
              <w:t xml:space="preserve"> C, Loxton D &amp; Pearson S-A.</w:t>
            </w:r>
          </w:p>
        </w:tc>
        <w:tc>
          <w:tcPr>
            <w:tcW w:w="617" w:type="dxa"/>
          </w:tcPr>
          <w:p w14:paraId="4BA2889D" w14:textId="77777777" w:rsidR="00084B2B" w:rsidRPr="005176BD" w:rsidRDefault="00084B2B" w:rsidP="003B611A">
            <w:pPr>
              <w:rPr>
                <w:rFonts w:cs="Arial"/>
                <w:sz w:val="20"/>
                <w:szCs w:val="20"/>
                <w:lang w:eastAsia="en-AU"/>
              </w:rPr>
            </w:pPr>
            <w:r w:rsidRPr="005176BD">
              <w:rPr>
                <w:rFonts w:cs="Arial"/>
                <w:sz w:val="20"/>
                <w:szCs w:val="20"/>
                <w:lang w:eastAsia="en-AU"/>
              </w:rPr>
              <w:t>22</w:t>
            </w:r>
          </w:p>
        </w:tc>
      </w:tr>
      <w:tr w:rsidR="00084B2B" w:rsidRPr="00084B2B" w14:paraId="638FF4AA" w14:textId="77777777" w:rsidTr="0011030B">
        <w:tc>
          <w:tcPr>
            <w:tcW w:w="9021" w:type="dxa"/>
          </w:tcPr>
          <w:p w14:paraId="39870A12" w14:textId="5BAA944F" w:rsidR="00084B2B" w:rsidRPr="005176BD" w:rsidRDefault="00FB70EC" w:rsidP="003B611A">
            <w:pPr>
              <w:rPr>
                <w:rFonts w:cs="Arial"/>
                <w:sz w:val="20"/>
                <w:szCs w:val="20"/>
                <w:lang w:eastAsia="en-AU"/>
              </w:rPr>
            </w:pPr>
            <w:r w:rsidRPr="005176BD">
              <w:rPr>
                <w:rFonts w:cs="Arial"/>
                <w:sz w:val="20"/>
                <w:szCs w:val="20"/>
                <w:lang w:eastAsia="en-AU"/>
              </w:rPr>
              <w:lastRenderedPageBreak/>
              <w:t>Women’s uptake of Medicare Benefits Schedule mental health items for general practitioners, psychologists and other allied mental health professionals. Medical Journal of Australia, 2011; 194(4): 175-179.</w:t>
            </w:r>
          </w:p>
        </w:tc>
        <w:tc>
          <w:tcPr>
            <w:tcW w:w="4217" w:type="dxa"/>
          </w:tcPr>
          <w:p w14:paraId="0C9A1EDF" w14:textId="77777777" w:rsidR="00084B2B" w:rsidRPr="005176BD" w:rsidRDefault="00084B2B" w:rsidP="003B611A">
            <w:pPr>
              <w:rPr>
                <w:rFonts w:cs="Arial"/>
                <w:sz w:val="20"/>
                <w:szCs w:val="20"/>
                <w:lang w:eastAsia="en-AU"/>
              </w:rPr>
            </w:pPr>
            <w:r w:rsidRPr="005176BD">
              <w:rPr>
                <w:rFonts w:cs="Arial"/>
                <w:sz w:val="20"/>
                <w:szCs w:val="20"/>
                <w:lang w:eastAsia="en-AU"/>
              </w:rPr>
              <w:t>Byles JE, Dolja-Gore X, Loxton D, Parkinson L &amp; Stewart Williams J.</w:t>
            </w:r>
          </w:p>
        </w:tc>
        <w:tc>
          <w:tcPr>
            <w:tcW w:w="617" w:type="dxa"/>
          </w:tcPr>
          <w:p w14:paraId="0F9F0BAF" w14:textId="77777777" w:rsidR="00084B2B" w:rsidRPr="005176BD" w:rsidRDefault="00084B2B" w:rsidP="003B611A">
            <w:pPr>
              <w:rPr>
                <w:rFonts w:cs="Arial"/>
                <w:sz w:val="20"/>
                <w:szCs w:val="20"/>
                <w:lang w:eastAsia="en-AU"/>
              </w:rPr>
            </w:pPr>
            <w:r w:rsidRPr="005176BD">
              <w:rPr>
                <w:rFonts w:cs="Arial"/>
                <w:sz w:val="20"/>
                <w:szCs w:val="20"/>
                <w:lang w:eastAsia="en-AU"/>
              </w:rPr>
              <w:t>19</w:t>
            </w:r>
          </w:p>
        </w:tc>
      </w:tr>
      <w:tr w:rsidR="00084B2B" w:rsidRPr="00084B2B" w14:paraId="0B2DFFC0" w14:textId="77777777" w:rsidTr="0011030B">
        <w:tc>
          <w:tcPr>
            <w:tcW w:w="9021" w:type="dxa"/>
          </w:tcPr>
          <w:p w14:paraId="24AA1186" w14:textId="739F0A74" w:rsidR="00084B2B" w:rsidRPr="005176BD" w:rsidRDefault="00FB70EC" w:rsidP="003B611A">
            <w:pPr>
              <w:rPr>
                <w:rFonts w:cs="Arial"/>
                <w:sz w:val="20"/>
                <w:szCs w:val="20"/>
                <w:lang w:eastAsia="en-AU"/>
              </w:rPr>
            </w:pPr>
            <w:r w:rsidRPr="005176BD">
              <w:rPr>
                <w:rFonts w:cs="Arial"/>
                <w:sz w:val="20"/>
                <w:szCs w:val="20"/>
                <w:lang w:eastAsia="en-AU"/>
              </w:rPr>
              <w:t>Increased bulk-billing for general practice consultations in regional and remote areas, 2002-2008. Medical Journal of Australia, 2011; 195(4): 203-204.</w:t>
            </w:r>
          </w:p>
        </w:tc>
        <w:tc>
          <w:tcPr>
            <w:tcW w:w="4217" w:type="dxa"/>
          </w:tcPr>
          <w:p w14:paraId="2B6F0D82" w14:textId="77777777" w:rsidR="00084B2B" w:rsidRPr="005176BD" w:rsidRDefault="00084B2B" w:rsidP="003B611A">
            <w:pPr>
              <w:rPr>
                <w:rFonts w:cs="Arial"/>
                <w:sz w:val="20"/>
                <w:szCs w:val="20"/>
                <w:lang w:eastAsia="en-AU"/>
              </w:rPr>
            </w:pPr>
            <w:r w:rsidRPr="005176BD">
              <w:rPr>
                <w:rFonts w:cs="Arial"/>
                <w:sz w:val="20"/>
                <w:szCs w:val="20"/>
                <w:lang w:eastAsia="en-AU"/>
              </w:rPr>
              <w:t>Dolja-Gore X, Byles J, Loxton D, Hockey R &amp; Dobson A.</w:t>
            </w:r>
          </w:p>
        </w:tc>
        <w:tc>
          <w:tcPr>
            <w:tcW w:w="617" w:type="dxa"/>
          </w:tcPr>
          <w:p w14:paraId="5E66072C"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084B2B" w:rsidRPr="00084B2B" w14:paraId="0FF96B5B" w14:textId="77777777" w:rsidTr="0011030B">
        <w:tc>
          <w:tcPr>
            <w:tcW w:w="9021" w:type="dxa"/>
          </w:tcPr>
          <w:p w14:paraId="7EB91747" w14:textId="376101CC" w:rsidR="00084B2B" w:rsidRPr="005176BD" w:rsidRDefault="00FB70EC" w:rsidP="003B611A">
            <w:pPr>
              <w:rPr>
                <w:rFonts w:cs="Arial"/>
                <w:sz w:val="20"/>
                <w:szCs w:val="20"/>
                <w:lang w:eastAsia="en-AU"/>
              </w:rPr>
            </w:pPr>
            <w:r w:rsidRPr="005176BD">
              <w:rPr>
                <w:rFonts w:cs="Arial"/>
                <w:sz w:val="20"/>
                <w:szCs w:val="20"/>
                <w:lang w:eastAsia="en-AU"/>
              </w:rPr>
              <w:t xml:space="preserve">An observational study of the discrediting of COX-2 NSAIDs in Australia: </w:t>
            </w:r>
            <w:proofErr w:type="spellStart"/>
            <w:r w:rsidRPr="005176BD">
              <w:rPr>
                <w:rFonts w:cs="Arial"/>
                <w:sz w:val="20"/>
                <w:szCs w:val="20"/>
                <w:lang w:eastAsia="en-AU"/>
              </w:rPr>
              <w:t>Vioxx</w:t>
            </w:r>
            <w:proofErr w:type="spellEnd"/>
            <w:r w:rsidRPr="005176BD">
              <w:rPr>
                <w:rFonts w:cs="Arial"/>
                <w:sz w:val="20"/>
                <w:szCs w:val="20"/>
                <w:lang w:eastAsia="en-AU"/>
              </w:rPr>
              <w:t xml:space="preserve"> or class effect? BMC Public Health, 2011; 11: art 892.</w:t>
            </w:r>
          </w:p>
        </w:tc>
        <w:tc>
          <w:tcPr>
            <w:tcW w:w="4217" w:type="dxa"/>
          </w:tcPr>
          <w:p w14:paraId="1DBEF748" w14:textId="51196C0D" w:rsidR="00084B2B" w:rsidRPr="005176BD" w:rsidRDefault="00084B2B" w:rsidP="003B611A">
            <w:pPr>
              <w:rPr>
                <w:rFonts w:cs="Arial"/>
                <w:sz w:val="20"/>
                <w:szCs w:val="20"/>
                <w:lang w:eastAsia="en-AU"/>
              </w:rPr>
            </w:pPr>
            <w:r w:rsidRPr="005176BD">
              <w:rPr>
                <w:rFonts w:cs="Arial"/>
                <w:sz w:val="20"/>
                <w:szCs w:val="20"/>
                <w:lang w:eastAsia="en-AU"/>
              </w:rPr>
              <w:t xml:space="preserve">Parkinson L, Dolja-Gore X, Gibson R, Doran E, </w:t>
            </w:r>
            <w:proofErr w:type="spellStart"/>
            <w:r w:rsidRPr="005176BD">
              <w:rPr>
                <w:rFonts w:cs="Arial"/>
                <w:sz w:val="20"/>
                <w:szCs w:val="20"/>
                <w:lang w:eastAsia="en-AU"/>
              </w:rPr>
              <w:t>Notley</w:t>
            </w:r>
            <w:proofErr w:type="spellEnd"/>
            <w:r w:rsidRPr="005176BD">
              <w:rPr>
                <w:rFonts w:cs="Arial"/>
                <w:sz w:val="20"/>
                <w:szCs w:val="20"/>
                <w:lang w:eastAsia="en-AU"/>
              </w:rPr>
              <w:t xml:space="preserve"> L, Stewart Williams L, </w:t>
            </w:r>
            <w:proofErr w:type="spellStart"/>
            <w:r w:rsidRPr="005176BD">
              <w:rPr>
                <w:rFonts w:cs="Arial"/>
                <w:sz w:val="20"/>
                <w:szCs w:val="20"/>
                <w:lang w:eastAsia="en-AU"/>
              </w:rPr>
              <w:t>Kowal</w:t>
            </w:r>
            <w:proofErr w:type="spellEnd"/>
            <w:r w:rsidRPr="005176BD">
              <w:rPr>
                <w:rFonts w:cs="Arial"/>
                <w:sz w:val="20"/>
                <w:szCs w:val="20"/>
                <w:lang w:eastAsia="en-AU"/>
              </w:rPr>
              <w:t xml:space="preserve"> P &amp; Byles J.</w:t>
            </w:r>
            <w:r w:rsidR="00012F17" w:rsidRPr="005176BD">
              <w:rPr>
                <w:rFonts w:cs="Arial"/>
                <w:sz w:val="20"/>
                <w:szCs w:val="20"/>
                <w:lang w:eastAsia="en-AU"/>
              </w:rPr>
              <w:t xml:space="preserve"> </w:t>
            </w:r>
          </w:p>
        </w:tc>
        <w:tc>
          <w:tcPr>
            <w:tcW w:w="617" w:type="dxa"/>
          </w:tcPr>
          <w:p w14:paraId="42213BA1"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6BCACF3D" w14:textId="77777777" w:rsidTr="0011030B">
        <w:tc>
          <w:tcPr>
            <w:tcW w:w="9021" w:type="dxa"/>
          </w:tcPr>
          <w:p w14:paraId="6E9829B1" w14:textId="1F8EBA1D" w:rsidR="00084B2B" w:rsidRPr="005176BD" w:rsidRDefault="00FB70EC" w:rsidP="003B611A">
            <w:pPr>
              <w:rPr>
                <w:rFonts w:cs="Arial"/>
                <w:sz w:val="20"/>
                <w:szCs w:val="20"/>
                <w:lang w:eastAsia="en-AU"/>
              </w:rPr>
            </w:pPr>
            <w:r w:rsidRPr="005176BD">
              <w:rPr>
                <w:rFonts w:cs="Arial"/>
                <w:sz w:val="20"/>
                <w:szCs w:val="20"/>
                <w:lang w:eastAsia="en-AU"/>
              </w:rPr>
              <w:t>A longitudinal analysis of older Australian women's consultations with complementary and alternative medicine (CAM) practitioners, 1996-2005. Age &amp; Ageing, 2009; 38(1): 93-99.</w:t>
            </w:r>
          </w:p>
        </w:tc>
        <w:tc>
          <w:tcPr>
            <w:tcW w:w="4217" w:type="dxa"/>
          </w:tcPr>
          <w:p w14:paraId="5E846EE0" w14:textId="77777777" w:rsidR="00084B2B" w:rsidRPr="005176BD" w:rsidRDefault="00084B2B" w:rsidP="003B611A">
            <w:pPr>
              <w:rPr>
                <w:rFonts w:cs="Arial"/>
                <w:sz w:val="20"/>
                <w:szCs w:val="20"/>
                <w:lang w:eastAsia="en-AU"/>
              </w:rPr>
            </w:pPr>
            <w:r w:rsidRPr="005176BD">
              <w:rPr>
                <w:rFonts w:cs="Arial"/>
                <w:sz w:val="20"/>
                <w:szCs w:val="20"/>
                <w:lang w:eastAsia="en-AU"/>
              </w:rPr>
              <w:t>Adams J, Sibbritt D &amp; Young A.</w:t>
            </w:r>
          </w:p>
        </w:tc>
        <w:tc>
          <w:tcPr>
            <w:tcW w:w="617" w:type="dxa"/>
          </w:tcPr>
          <w:p w14:paraId="199E5FB8" w14:textId="77777777" w:rsidR="00084B2B" w:rsidRPr="005176BD" w:rsidRDefault="00084B2B" w:rsidP="003B611A">
            <w:pPr>
              <w:rPr>
                <w:rFonts w:cs="Arial"/>
                <w:sz w:val="20"/>
                <w:szCs w:val="20"/>
                <w:lang w:eastAsia="en-AU"/>
              </w:rPr>
            </w:pPr>
            <w:r w:rsidRPr="005176BD">
              <w:rPr>
                <w:rFonts w:cs="Arial"/>
                <w:sz w:val="20"/>
                <w:szCs w:val="20"/>
                <w:lang w:eastAsia="en-AU"/>
              </w:rPr>
              <w:t>31</w:t>
            </w:r>
          </w:p>
        </w:tc>
      </w:tr>
      <w:tr w:rsidR="00FB70EC" w:rsidRPr="00084B2B" w14:paraId="350B88AF" w14:textId="77777777" w:rsidTr="0011030B">
        <w:tc>
          <w:tcPr>
            <w:tcW w:w="9021" w:type="dxa"/>
          </w:tcPr>
          <w:p w14:paraId="5E7D363E" w14:textId="4186BD8E" w:rsidR="00FB70EC" w:rsidRPr="005176BD" w:rsidRDefault="00FB70EC" w:rsidP="003B611A">
            <w:pPr>
              <w:rPr>
                <w:rFonts w:cs="Arial"/>
                <w:sz w:val="20"/>
                <w:szCs w:val="20"/>
                <w:lang w:eastAsia="en-AU"/>
              </w:rPr>
            </w:pPr>
            <w:r w:rsidRPr="005176BD">
              <w:rPr>
                <w:rFonts w:cs="Arial"/>
                <w:sz w:val="20"/>
                <w:szCs w:val="20"/>
                <w:lang w:eastAsia="en-AU"/>
              </w:rPr>
              <w:t>Adherence to bisphosphonate treatment by elderly women. Menopause, 2008; 15(5): 984-990.</w:t>
            </w:r>
          </w:p>
        </w:tc>
        <w:tc>
          <w:tcPr>
            <w:tcW w:w="4217" w:type="dxa"/>
          </w:tcPr>
          <w:p w14:paraId="0496D5B3" w14:textId="77777777" w:rsidR="00FB70EC" w:rsidRPr="005176BD" w:rsidRDefault="00FB70EC" w:rsidP="003B611A">
            <w:pPr>
              <w:rPr>
                <w:rFonts w:cs="Arial"/>
                <w:sz w:val="20"/>
                <w:szCs w:val="20"/>
                <w:lang w:eastAsia="en-AU"/>
              </w:rPr>
            </w:pPr>
            <w:r w:rsidRPr="005176BD">
              <w:rPr>
                <w:rFonts w:cs="Arial"/>
                <w:sz w:val="20"/>
                <w:szCs w:val="20"/>
                <w:lang w:eastAsia="en-AU"/>
              </w:rPr>
              <w:t>Berecki-</w:t>
            </w:r>
            <w:proofErr w:type="spellStart"/>
            <w:r w:rsidRPr="005176BD">
              <w:rPr>
                <w:rFonts w:cs="Arial"/>
                <w:sz w:val="20"/>
                <w:szCs w:val="20"/>
                <w:lang w:eastAsia="en-AU"/>
              </w:rPr>
              <w:t>Gisolf</w:t>
            </w:r>
            <w:proofErr w:type="spellEnd"/>
            <w:r w:rsidRPr="005176BD">
              <w:rPr>
                <w:rFonts w:cs="Arial"/>
                <w:sz w:val="20"/>
                <w:szCs w:val="20"/>
                <w:lang w:eastAsia="en-AU"/>
              </w:rPr>
              <w:t xml:space="preserve"> J, Hockey R &amp; Dobson A.</w:t>
            </w:r>
          </w:p>
        </w:tc>
        <w:tc>
          <w:tcPr>
            <w:tcW w:w="617" w:type="dxa"/>
          </w:tcPr>
          <w:p w14:paraId="2990DA18" w14:textId="77777777" w:rsidR="00FB70EC" w:rsidRPr="005176BD" w:rsidRDefault="00FB70EC" w:rsidP="003B611A">
            <w:pPr>
              <w:rPr>
                <w:rFonts w:cs="Arial"/>
                <w:sz w:val="20"/>
                <w:szCs w:val="20"/>
                <w:lang w:eastAsia="en-AU"/>
              </w:rPr>
            </w:pPr>
            <w:r w:rsidRPr="005176BD">
              <w:rPr>
                <w:rFonts w:cs="Arial"/>
                <w:sz w:val="20"/>
                <w:szCs w:val="20"/>
                <w:lang w:eastAsia="en-AU"/>
              </w:rPr>
              <w:t>21</w:t>
            </w:r>
          </w:p>
        </w:tc>
      </w:tr>
      <w:tr w:rsidR="00084B2B" w:rsidRPr="00084B2B" w14:paraId="3DB23B2E" w14:textId="77777777" w:rsidTr="0011030B">
        <w:tc>
          <w:tcPr>
            <w:tcW w:w="9021" w:type="dxa"/>
          </w:tcPr>
          <w:p w14:paraId="168783BC" w14:textId="48384A32" w:rsidR="00084B2B" w:rsidRPr="005176BD" w:rsidRDefault="00084B2B" w:rsidP="003B611A">
            <w:pPr>
              <w:rPr>
                <w:rFonts w:cs="Arial"/>
                <w:sz w:val="20"/>
                <w:szCs w:val="20"/>
                <w:lang w:eastAsia="en-AU"/>
              </w:rPr>
            </w:pPr>
            <w:r w:rsidRPr="005176BD">
              <w:rPr>
                <w:rFonts w:cs="Arial"/>
                <w:sz w:val="20"/>
                <w:szCs w:val="20"/>
                <w:lang w:eastAsia="en-AU"/>
              </w:rPr>
              <w:t xml:space="preserve">The profile of women who consult alternative health practitioners in Australia. Medical Journal of Australia, </w:t>
            </w:r>
            <w:r w:rsidR="00EB5432" w:rsidRPr="005176BD">
              <w:rPr>
                <w:rFonts w:cs="Arial"/>
                <w:sz w:val="20"/>
                <w:szCs w:val="20"/>
                <w:lang w:eastAsia="en-AU"/>
              </w:rPr>
              <w:t xml:space="preserve">2003; </w:t>
            </w:r>
            <w:r w:rsidRPr="005176BD">
              <w:rPr>
                <w:rFonts w:cs="Arial"/>
                <w:sz w:val="20"/>
                <w:szCs w:val="20"/>
                <w:lang w:eastAsia="en-AU"/>
              </w:rPr>
              <w:t>179(6)</w:t>
            </w:r>
            <w:r w:rsidR="00EB5432" w:rsidRPr="005176BD">
              <w:rPr>
                <w:rFonts w:cs="Arial"/>
                <w:sz w:val="20"/>
                <w:szCs w:val="20"/>
                <w:lang w:eastAsia="en-AU"/>
              </w:rPr>
              <w:t>:</w:t>
            </w:r>
            <w:r w:rsidRPr="005176BD">
              <w:rPr>
                <w:rFonts w:cs="Arial"/>
                <w:sz w:val="20"/>
                <w:szCs w:val="20"/>
                <w:lang w:eastAsia="en-AU"/>
              </w:rPr>
              <w:t xml:space="preserve"> 297-300.</w:t>
            </w:r>
          </w:p>
        </w:tc>
        <w:tc>
          <w:tcPr>
            <w:tcW w:w="4217" w:type="dxa"/>
          </w:tcPr>
          <w:p w14:paraId="67D574D3" w14:textId="77777777" w:rsidR="00084B2B" w:rsidRPr="005176BD" w:rsidRDefault="00084B2B" w:rsidP="003B611A">
            <w:pPr>
              <w:rPr>
                <w:rFonts w:cs="Arial"/>
                <w:sz w:val="20"/>
                <w:szCs w:val="20"/>
                <w:lang w:eastAsia="en-AU"/>
              </w:rPr>
            </w:pPr>
            <w:r w:rsidRPr="005176BD">
              <w:rPr>
                <w:rFonts w:cs="Arial"/>
                <w:sz w:val="20"/>
                <w:szCs w:val="20"/>
                <w:lang w:eastAsia="en-AU"/>
              </w:rPr>
              <w:t xml:space="preserve">Adams J, Sibbritt D, </w:t>
            </w:r>
            <w:proofErr w:type="spellStart"/>
            <w:r w:rsidRPr="005176BD">
              <w:rPr>
                <w:rFonts w:cs="Arial"/>
                <w:sz w:val="20"/>
                <w:szCs w:val="20"/>
                <w:lang w:eastAsia="en-AU"/>
              </w:rPr>
              <w:t>Easthope</w:t>
            </w:r>
            <w:proofErr w:type="spellEnd"/>
            <w:r w:rsidRPr="005176BD">
              <w:rPr>
                <w:rFonts w:cs="Arial"/>
                <w:sz w:val="20"/>
                <w:szCs w:val="20"/>
                <w:lang w:eastAsia="en-AU"/>
              </w:rPr>
              <w:t xml:space="preserve"> G &amp; Young A.</w:t>
            </w:r>
          </w:p>
        </w:tc>
        <w:tc>
          <w:tcPr>
            <w:tcW w:w="617" w:type="dxa"/>
          </w:tcPr>
          <w:p w14:paraId="02EF9EF8" w14:textId="77777777" w:rsidR="00084B2B" w:rsidRPr="005176BD" w:rsidRDefault="00084B2B" w:rsidP="003B611A">
            <w:pPr>
              <w:rPr>
                <w:rFonts w:cs="Arial"/>
                <w:sz w:val="20"/>
                <w:szCs w:val="20"/>
                <w:lang w:eastAsia="en-AU"/>
              </w:rPr>
            </w:pPr>
            <w:r w:rsidRPr="005176BD">
              <w:rPr>
                <w:rFonts w:cs="Arial"/>
                <w:sz w:val="20"/>
                <w:szCs w:val="20"/>
                <w:lang w:eastAsia="en-AU"/>
              </w:rPr>
              <w:t>158</w:t>
            </w:r>
          </w:p>
        </w:tc>
      </w:tr>
    </w:tbl>
    <w:p w14:paraId="0FA376CF" w14:textId="0AB5EF69" w:rsidR="005176BD" w:rsidRPr="00084B2B" w:rsidRDefault="005176BD" w:rsidP="003B611A">
      <w:pPr>
        <w:pStyle w:val="Heading2"/>
        <w:ind w:left="578" w:hanging="578"/>
      </w:pPr>
      <w:bookmarkStart w:id="79" w:name="_Toc530561288"/>
      <w:r w:rsidRPr="00084B2B">
        <w:t>Me</w:t>
      </w:r>
      <w:r>
        <w:t>ntal Health</w:t>
      </w:r>
      <w:bookmarkEnd w:id="79"/>
    </w:p>
    <w:tbl>
      <w:tblPr>
        <w:tblStyle w:val="TableGrid1"/>
        <w:tblW w:w="13855" w:type="dxa"/>
        <w:tblLook w:val="04A0" w:firstRow="1" w:lastRow="0" w:firstColumn="1" w:lastColumn="0" w:noHBand="0" w:noVBand="1"/>
        <w:tblCaption w:val="Category: Mental Health"/>
      </w:tblPr>
      <w:tblGrid>
        <w:gridCol w:w="8674"/>
        <w:gridCol w:w="3844"/>
        <w:gridCol w:w="1337"/>
      </w:tblGrid>
      <w:tr w:rsidR="00084B2B" w:rsidRPr="00084B2B" w14:paraId="350A1CFA" w14:textId="77777777" w:rsidTr="0011030B">
        <w:trPr>
          <w:tblHeader/>
        </w:trPr>
        <w:tc>
          <w:tcPr>
            <w:tcW w:w="9161" w:type="dxa"/>
            <w:shd w:val="clear" w:color="auto" w:fill="F1E9F3"/>
          </w:tcPr>
          <w:p w14:paraId="3609639A" w14:textId="77777777" w:rsidR="00084B2B" w:rsidRPr="00084B2B" w:rsidRDefault="00084B2B" w:rsidP="003B611A">
            <w:pPr>
              <w:rPr>
                <w:rFonts w:cstheme="minorHAnsi"/>
                <w:b/>
                <w:sz w:val="24"/>
                <w:szCs w:val="24"/>
              </w:rPr>
            </w:pPr>
            <w:r w:rsidRPr="00084B2B">
              <w:rPr>
                <w:rFonts w:cstheme="minorHAnsi"/>
                <w:b/>
                <w:sz w:val="24"/>
                <w:szCs w:val="24"/>
              </w:rPr>
              <w:t>Details</w:t>
            </w:r>
          </w:p>
        </w:tc>
        <w:tc>
          <w:tcPr>
            <w:tcW w:w="4077" w:type="dxa"/>
            <w:shd w:val="clear" w:color="auto" w:fill="F1E9F3"/>
          </w:tcPr>
          <w:p w14:paraId="213EEC21" w14:textId="77777777" w:rsidR="00084B2B" w:rsidRPr="00084B2B" w:rsidRDefault="00084B2B" w:rsidP="003B611A">
            <w:pPr>
              <w:rPr>
                <w:rFonts w:cstheme="minorHAnsi"/>
                <w:b/>
                <w:sz w:val="24"/>
                <w:szCs w:val="24"/>
              </w:rPr>
            </w:pPr>
            <w:r w:rsidRPr="00084B2B">
              <w:rPr>
                <w:rFonts w:cstheme="minorHAnsi"/>
                <w:b/>
                <w:sz w:val="24"/>
                <w:szCs w:val="24"/>
              </w:rPr>
              <w:t>Authors</w:t>
            </w:r>
          </w:p>
        </w:tc>
        <w:tc>
          <w:tcPr>
            <w:tcW w:w="617" w:type="dxa"/>
            <w:shd w:val="clear" w:color="auto" w:fill="F1E9F3"/>
          </w:tcPr>
          <w:p w14:paraId="05F57805" w14:textId="1B2BBDC0" w:rsidR="00084B2B" w:rsidRPr="00084B2B" w:rsidRDefault="00084B2B" w:rsidP="003B611A">
            <w:pPr>
              <w:rPr>
                <w:rFonts w:cstheme="minorHAnsi"/>
                <w:b/>
                <w:sz w:val="24"/>
                <w:szCs w:val="24"/>
              </w:rPr>
            </w:pPr>
            <w:r w:rsidRPr="00084B2B">
              <w:rPr>
                <w:rFonts w:cstheme="minorHAnsi"/>
                <w:b/>
                <w:sz w:val="24"/>
                <w:szCs w:val="24"/>
              </w:rPr>
              <w:t>Citations</w:t>
            </w:r>
            <w:r w:rsidR="0011030B">
              <w:rPr>
                <w:rFonts w:cstheme="minorHAnsi"/>
                <w:b/>
                <w:sz w:val="24"/>
                <w:szCs w:val="24"/>
              </w:rPr>
              <w:t>*</w:t>
            </w:r>
          </w:p>
        </w:tc>
      </w:tr>
      <w:tr w:rsidR="00084B2B" w:rsidRPr="00084B2B" w14:paraId="2B393F03" w14:textId="77777777" w:rsidTr="0011030B">
        <w:tc>
          <w:tcPr>
            <w:tcW w:w="9161" w:type="dxa"/>
          </w:tcPr>
          <w:p w14:paraId="60066F65" w14:textId="640EA1F7" w:rsidR="00084B2B" w:rsidRPr="005176BD" w:rsidRDefault="00FB70EC" w:rsidP="003B611A">
            <w:pPr>
              <w:rPr>
                <w:rFonts w:cs="Arial"/>
                <w:sz w:val="20"/>
                <w:szCs w:val="20"/>
                <w:lang w:eastAsia="en-AU"/>
              </w:rPr>
            </w:pPr>
            <w:r w:rsidRPr="005176BD">
              <w:rPr>
                <w:rFonts w:cs="Arial"/>
                <w:sz w:val="20"/>
                <w:szCs w:val="20"/>
                <w:lang w:eastAsia="en-AU"/>
              </w:rPr>
              <w:t>Mental health trajectories among women in Australia as they age. Ageing and Mental Health, 2018</w:t>
            </w:r>
            <w:r w:rsidR="00EB5432" w:rsidRPr="005176BD">
              <w:rPr>
                <w:rFonts w:cs="Arial"/>
                <w:sz w:val="20"/>
                <w:szCs w:val="20"/>
                <w:lang w:eastAsia="en-AU"/>
              </w:rPr>
              <w:t>;</w:t>
            </w:r>
            <w:r w:rsidRPr="005176BD">
              <w:rPr>
                <w:rFonts w:cs="Arial"/>
                <w:sz w:val="20"/>
                <w:szCs w:val="20"/>
                <w:lang w:eastAsia="en-AU"/>
              </w:rPr>
              <w:t xml:space="preserve"> DOI:10.1080/13607863.2018.147445</w:t>
            </w:r>
          </w:p>
        </w:tc>
        <w:tc>
          <w:tcPr>
            <w:tcW w:w="4077" w:type="dxa"/>
          </w:tcPr>
          <w:p w14:paraId="71EC67F4" w14:textId="77777777" w:rsidR="00084B2B" w:rsidRPr="005176BD" w:rsidRDefault="00084B2B" w:rsidP="003B611A">
            <w:pPr>
              <w:rPr>
                <w:rFonts w:cs="Arial"/>
                <w:sz w:val="20"/>
                <w:szCs w:val="20"/>
                <w:lang w:eastAsia="en-AU"/>
              </w:rPr>
            </w:pPr>
            <w:r w:rsidRPr="005176BD">
              <w:rPr>
                <w:rFonts w:cs="Arial"/>
                <w:sz w:val="20"/>
                <w:szCs w:val="20"/>
                <w:lang w:eastAsia="en-AU"/>
              </w:rPr>
              <w:t xml:space="preserve">Tran T, </w:t>
            </w:r>
            <w:proofErr w:type="spellStart"/>
            <w:r w:rsidRPr="005176BD">
              <w:rPr>
                <w:rFonts w:cs="Arial"/>
                <w:sz w:val="20"/>
                <w:szCs w:val="20"/>
                <w:lang w:eastAsia="en-AU"/>
              </w:rPr>
              <w:t>Hammarberg</w:t>
            </w:r>
            <w:proofErr w:type="spellEnd"/>
            <w:r w:rsidRPr="005176BD">
              <w:rPr>
                <w:rFonts w:cs="Arial"/>
                <w:sz w:val="20"/>
                <w:szCs w:val="20"/>
                <w:lang w:eastAsia="en-AU"/>
              </w:rPr>
              <w:t xml:space="preserve"> K, Ryan J, </w:t>
            </w:r>
            <w:proofErr w:type="spellStart"/>
            <w:r w:rsidRPr="005176BD">
              <w:rPr>
                <w:rFonts w:cs="Arial"/>
                <w:sz w:val="20"/>
                <w:szCs w:val="20"/>
                <w:lang w:eastAsia="en-AU"/>
              </w:rPr>
              <w:t>Lowthian</w:t>
            </w:r>
            <w:proofErr w:type="spellEnd"/>
            <w:r w:rsidRPr="005176BD">
              <w:rPr>
                <w:rFonts w:cs="Arial"/>
                <w:sz w:val="20"/>
                <w:szCs w:val="20"/>
                <w:lang w:eastAsia="en-AU"/>
              </w:rPr>
              <w:t xml:space="preserve"> J, Freak-</w:t>
            </w:r>
            <w:proofErr w:type="spellStart"/>
            <w:r w:rsidRPr="005176BD">
              <w:rPr>
                <w:rFonts w:cs="Arial"/>
                <w:sz w:val="20"/>
                <w:szCs w:val="20"/>
                <w:lang w:eastAsia="en-AU"/>
              </w:rPr>
              <w:t>Poli</w:t>
            </w:r>
            <w:proofErr w:type="spellEnd"/>
            <w:r w:rsidRPr="005176BD">
              <w:rPr>
                <w:rFonts w:cs="Arial"/>
                <w:sz w:val="20"/>
                <w:szCs w:val="20"/>
                <w:lang w:eastAsia="en-AU"/>
              </w:rPr>
              <w:t xml:space="preserve"> R, Owen A, </w:t>
            </w:r>
            <w:proofErr w:type="spellStart"/>
            <w:r w:rsidRPr="005176BD">
              <w:rPr>
                <w:rFonts w:cs="Arial"/>
                <w:sz w:val="20"/>
                <w:szCs w:val="20"/>
                <w:lang w:eastAsia="en-AU"/>
              </w:rPr>
              <w:t>Kirkman</w:t>
            </w:r>
            <w:proofErr w:type="spellEnd"/>
            <w:r w:rsidRPr="005176BD">
              <w:rPr>
                <w:rFonts w:cs="Arial"/>
                <w:sz w:val="20"/>
                <w:szCs w:val="20"/>
                <w:lang w:eastAsia="en-AU"/>
              </w:rPr>
              <w:t xml:space="preserve"> M, Curtis A, Rowe H, Brown H, Ward S, Britt C &amp; Fisher J.</w:t>
            </w:r>
          </w:p>
        </w:tc>
        <w:tc>
          <w:tcPr>
            <w:tcW w:w="617" w:type="dxa"/>
          </w:tcPr>
          <w:p w14:paraId="155CFBEC" w14:textId="167FF4AF" w:rsidR="00084B2B" w:rsidRPr="005176BD" w:rsidRDefault="00084B2B" w:rsidP="003B611A">
            <w:pPr>
              <w:rPr>
                <w:rFonts w:cs="Arial"/>
                <w:sz w:val="20"/>
                <w:szCs w:val="20"/>
                <w:lang w:eastAsia="en-AU"/>
              </w:rPr>
            </w:pPr>
          </w:p>
        </w:tc>
      </w:tr>
      <w:tr w:rsidR="00084B2B" w:rsidRPr="00084B2B" w14:paraId="3A99FEE1" w14:textId="77777777" w:rsidTr="0011030B">
        <w:tc>
          <w:tcPr>
            <w:tcW w:w="9161" w:type="dxa"/>
          </w:tcPr>
          <w:p w14:paraId="4E332B5C" w14:textId="665D17B3" w:rsidR="00084B2B" w:rsidRPr="005176BD" w:rsidRDefault="00084B2B" w:rsidP="003B611A">
            <w:pPr>
              <w:rPr>
                <w:rFonts w:cs="Arial"/>
                <w:sz w:val="20"/>
                <w:szCs w:val="20"/>
                <w:lang w:eastAsia="en-AU"/>
              </w:rPr>
            </w:pPr>
            <w:r w:rsidRPr="005176BD">
              <w:rPr>
                <w:rFonts w:cs="Arial"/>
                <w:sz w:val="20"/>
                <w:szCs w:val="20"/>
                <w:lang w:eastAsia="en-AU"/>
              </w:rPr>
              <w:t>Physical activity and quality of life in older women with a history of depressive symptoms. Preventive Medicine, 2016</w:t>
            </w:r>
            <w:r w:rsidR="00FB70EC" w:rsidRPr="005176BD">
              <w:rPr>
                <w:rFonts w:cs="Arial"/>
                <w:sz w:val="20"/>
                <w:szCs w:val="20"/>
                <w:lang w:eastAsia="en-AU"/>
              </w:rPr>
              <w:t xml:space="preserve">; </w:t>
            </w:r>
            <w:r w:rsidRPr="005176BD">
              <w:rPr>
                <w:rFonts w:cs="Arial"/>
                <w:sz w:val="20"/>
                <w:szCs w:val="20"/>
                <w:lang w:eastAsia="en-AU"/>
              </w:rPr>
              <w:t>91</w:t>
            </w:r>
            <w:r w:rsidR="00FB70EC" w:rsidRPr="005176BD">
              <w:rPr>
                <w:rFonts w:cs="Arial"/>
                <w:sz w:val="20"/>
                <w:szCs w:val="20"/>
                <w:lang w:eastAsia="en-AU"/>
              </w:rPr>
              <w:t>:</w:t>
            </w:r>
            <w:r w:rsidRPr="005176BD">
              <w:rPr>
                <w:rFonts w:cs="Arial"/>
                <w:sz w:val="20"/>
                <w:szCs w:val="20"/>
                <w:lang w:eastAsia="en-AU"/>
              </w:rPr>
              <w:t xml:space="preserve"> 299-305</w:t>
            </w:r>
            <w:r w:rsidR="00FB70EC" w:rsidRPr="005176BD">
              <w:rPr>
                <w:rFonts w:cs="Arial"/>
                <w:sz w:val="20"/>
                <w:szCs w:val="20"/>
                <w:lang w:eastAsia="en-AU"/>
              </w:rPr>
              <w:t>.</w:t>
            </w:r>
          </w:p>
        </w:tc>
        <w:tc>
          <w:tcPr>
            <w:tcW w:w="4077" w:type="dxa"/>
          </w:tcPr>
          <w:p w14:paraId="1C133706"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KC, van </w:t>
            </w:r>
            <w:proofErr w:type="spellStart"/>
            <w:r w:rsidRPr="005176BD">
              <w:rPr>
                <w:rFonts w:cs="Arial"/>
                <w:sz w:val="20"/>
                <w:szCs w:val="20"/>
                <w:lang w:eastAsia="en-AU"/>
              </w:rPr>
              <w:t>Gellecum</w:t>
            </w:r>
            <w:proofErr w:type="spellEnd"/>
            <w:r w:rsidRPr="005176BD">
              <w:rPr>
                <w:rFonts w:cs="Arial"/>
                <w:sz w:val="20"/>
                <w:szCs w:val="20"/>
                <w:lang w:eastAsia="en-AU"/>
              </w:rPr>
              <w:t xml:space="preserve"> YR, Burton NW, van </w:t>
            </w:r>
            <w:proofErr w:type="spellStart"/>
            <w:r w:rsidRPr="005176BD">
              <w:rPr>
                <w:rFonts w:cs="Arial"/>
                <w:sz w:val="20"/>
                <w:szCs w:val="20"/>
                <w:lang w:eastAsia="en-AU"/>
              </w:rPr>
              <w:t>Uffelen</w:t>
            </w:r>
            <w:proofErr w:type="spellEnd"/>
            <w:r w:rsidRPr="005176BD">
              <w:rPr>
                <w:rFonts w:cs="Arial"/>
                <w:sz w:val="20"/>
                <w:szCs w:val="20"/>
                <w:lang w:eastAsia="en-AU"/>
              </w:rPr>
              <w:t xml:space="preserve"> JGZ &amp; Brown W.</w:t>
            </w:r>
          </w:p>
        </w:tc>
        <w:tc>
          <w:tcPr>
            <w:tcW w:w="617" w:type="dxa"/>
          </w:tcPr>
          <w:p w14:paraId="2832A96A" w14:textId="77777777" w:rsidR="00084B2B" w:rsidRPr="005176BD" w:rsidRDefault="00084B2B" w:rsidP="003B611A">
            <w:pPr>
              <w:rPr>
                <w:rFonts w:cs="Arial"/>
                <w:sz w:val="20"/>
                <w:szCs w:val="20"/>
                <w:lang w:eastAsia="en-AU"/>
              </w:rPr>
            </w:pPr>
            <w:r w:rsidRPr="005176BD">
              <w:rPr>
                <w:rFonts w:cs="Arial"/>
                <w:sz w:val="20"/>
                <w:szCs w:val="20"/>
                <w:lang w:eastAsia="en-AU"/>
              </w:rPr>
              <w:t>8</w:t>
            </w:r>
          </w:p>
        </w:tc>
      </w:tr>
      <w:tr w:rsidR="00084B2B" w:rsidRPr="00084B2B" w14:paraId="4231599F" w14:textId="77777777" w:rsidTr="0011030B">
        <w:tc>
          <w:tcPr>
            <w:tcW w:w="9161" w:type="dxa"/>
          </w:tcPr>
          <w:p w14:paraId="40D3E07E" w14:textId="2E631ABF" w:rsidR="00084B2B" w:rsidRPr="005176BD" w:rsidRDefault="00FB70EC" w:rsidP="003B611A">
            <w:pPr>
              <w:rPr>
                <w:rFonts w:cs="Arial"/>
                <w:sz w:val="20"/>
                <w:szCs w:val="20"/>
                <w:lang w:eastAsia="en-AU"/>
              </w:rPr>
            </w:pPr>
            <w:r w:rsidRPr="005176BD">
              <w:rPr>
                <w:rFonts w:cs="Arial"/>
                <w:sz w:val="20"/>
                <w:szCs w:val="20"/>
                <w:lang w:eastAsia="en-AU"/>
              </w:rPr>
              <w:t>Improvements in physical function and pain sustained for up to 10 years after knee or hip arthroplasty irrespective of mental health status before surgery:</w:t>
            </w:r>
            <w:r w:rsidR="00012F17" w:rsidRPr="005176BD">
              <w:rPr>
                <w:rFonts w:cs="Arial"/>
                <w:sz w:val="20"/>
                <w:szCs w:val="20"/>
                <w:lang w:eastAsia="en-AU"/>
              </w:rPr>
              <w:t xml:space="preserve"> </w:t>
            </w:r>
            <w:r w:rsidRPr="005176BD">
              <w:rPr>
                <w:rFonts w:cs="Arial"/>
                <w:sz w:val="20"/>
                <w:szCs w:val="20"/>
                <w:lang w:eastAsia="en-AU"/>
              </w:rPr>
              <w:t xml:space="preserve">9,737 middle-aged and 9,292 older women from the Australian Longitudinal Study on Women’s Health. </w:t>
            </w:r>
            <w:proofErr w:type="spellStart"/>
            <w:r w:rsidRPr="005176BD">
              <w:rPr>
                <w:rFonts w:cs="Arial"/>
                <w:sz w:val="20"/>
                <w:szCs w:val="20"/>
                <w:lang w:eastAsia="en-AU"/>
              </w:rPr>
              <w:t>Acta</w:t>
            </w:r>
            <w:proofErr w:type="spellEnd"/>
            <w:r w:rsidRPr="005176BD">
              <w:rPr>
                <w:rFonts w:cs="Arial"/>
                <w:sz w:val="20"/>
                <w:szCs w:val="20"/>
                <w:lang w:eastAsia="en-AU"/>
              </w:rPr>
              <w:t xml:space="preserve"> </w:t>
            </w:r>
            <w:proofErr w:type="spellStart"/>
            <w:r w:rsidRPr="005176BD">
              <w:rPr>
                <w:rFonts w:cs="Arial"/>
                <w:sz w:val="20"/>
                <w:szCs w:val="20"/>
                <w:lang w:eastAsia="en-AU"/>
              </w:rPr>
              <w:t>Orthopaedica</w:t>
            </w:r>
            <w:proofErr w:type="spellEnd"/>
            <w:r w:rsidRPr="005176BD">
              <w:rPr>
                <w:rFonts w:cs="Arial"/>
                <w:sz w:val="20"/>
                <w:szCs w:val="20"/>
                <w:lang w:eastAsia="en-AU"/>
              </w:rPr>
              <w:t>, 2017; 8(2): 158-165.</w:t>
            </w:r>
          </w:p>
        </w:tc>
        <w:tc>
          <w:tcPr>
            <w:tcW w:w="4077" w:type="dxa"/>
          </w:tcPr>
          <w:p w14:paraId="1B582B0D" w14:textId="77777777" w:rsidR="00084B2B" w:rsidRPr="005176BD" w:rsidRDefault="00084B2B" w:rsidP="003B611A">
            <w:pPr>
              <w:rPr>
                <w:rFonts w:cs="Arial"/>
                <w:sz w:val="20"/>
                <w:szCs w:val="20"/>
                <w:lang w:eastAsia="en-AU"/>
              </w:rPr>
            </w:pPr>
            <w:r w:rsidRPr="005176BD">
              <w:rPr>
                <w:rFonts w:cs="Arial"/>
                <w:sz w:val="20"/>
                <w:szCs w:val="20"/>
                <w:lang w:eastAsia="en-AU"/>
              </w:rPr>
              <w:t>Peeters G, Rainbird S, Lorimer M, Dobson A, Mishra G &amp; Graves S.</w:t>
            </w:r>
          </w:p>
        </w:tc>
        <w:tc>
          <w:tcPr>
            <w:tcW w:w="617" w:type="dxa"/>
          </w:tcPr>
          <w:p w14:paraId="20784D11" w14:textId="77777777" w:rsidR="00084B2B" w:rsidRPr="005176BD" w:rsidRDefault="00084B2B" w:rsidP="003B611A">
            <w:pPr>
              <w:rPr>
                <w:rFonts w:cs="Arial"/>
                <w:sz w:val="20"/>
                <w:szCs w:val="20"/>
                <w:lang w:eastAsia="en-AU"/>
              </w:rPr>
            </w:pPr>
            <w:r w:rsidRPr="005176BD">
              <w:rPr>
                <w:rFonts w:cs="Arial"/>
                <w:sz w:val="20"/>
                <w:szCs w:val="20"/>
                <w:lang w:eastAsia="en-AU"/>
              </w:rPr>
              <w:t>5</w:t>
            </w:r>
          </w:p>
        </w:tc>
      </w:tr>
      <w:tr w:rsidR="00084B2B" w:rsidRPr="00084B2B" w14:paraId="6D23CA44" w14:textId="77777777" w:rsidTr="0011030B">
        <w:tc>
          <w:tcPr>
            <w:tcW w:w="9161" w:type="dxa"/>
          </w:tcPr>
          <w:p w14:paraId="7A47F76F" w14:textId="5B16856D" w:rsidR="00084B2B" w:rsidRPr="005176BD" w:rsidRDefault="00EB5432" w:rsidP="003B611A">
            <w:pPr>
              <w:rPr>
                <w:rFonts w:cs="Arial"/>
                <w:sz w:val="20"/>
                <w:szCs w:val="20"/>
                <w:lang w:eastAsia="en-AU"/>
              </w:rPr>
            </w:pPr>
            <w:r w:rsidRPr="005176BD">
              <w:rPr>
                <w:rFonts w:cs="Arial"/>
                <w:sz w:val="20"/>
                <w:szCs w:val="20"/>
                <w:lang w:eastAsia="en-AU"/>
              </w:rPr>
              <w:t>Generating qualitative data by design: The Australian Longitudinal Study on Women’s Health qualitative data collection. Public Health Research &amp; Practice, 2016; 23(3): e2631631.</w:t>
            </w:r>
          </w:p>
        </w:tc>
        <w:tc>
          <w:tcPr>
            <w:tcW w:w="4077" w:type="dxa"/>
          </w:tcPr>
          <w:p w14:paraId="35EC52E3" w14:textId="77777777" w:rsidR="00084B2B" w:rsidRPr="005176BD" w:rsidRDefault="00084B2B" w:rsidP="003B611A">
            <w:pPr>
              <w:rPr>
                <w:rFonts w:cs="Arial"/>
                <w:sz w:val="20"/>
                <w:szCs w:val="20"/>
                <w:lang w:eastAsia="en-AU"/>
              </w:rPr>
            </w:pPr>
            <w:r w:rsidRPr="005176BD">
              <w:rPr>
                <w:rFonts w:cs="Arial"/>
                <w:sz w:val="20"/>
                <w:szCs w:val="20"/>
                <w:lang w:eastAsia="en-AU"/>
              </w:rPr>
              <w:t>Tavener M, Chojenta C &amp; Loxton D.</w:t>
            </w:r>
          </w:p>
        </w:tc>
        <w:tc>
          <w:tcPr>
            <w:tcW w:w="617" w:type="dxa"/>
          </w:tcPr>
          <w:p w14:paraId="4634A827" w14:textId="77777777" w:rsidR="00084B2B" w:rsidRPr="005176BD" w:rsidRDefault="00084B2B" w:rsidP="003B611A">
            <w:pPr>
              <w:rPr>
                <w:rFonts w:cs="Arial"/>
                <w:sz w:val="20"/>
                <w:szCs w:val="20"/>
                <w:lang w:eastAsia="en-AU"/>
              </w:rPr>
            </w:pPr>
            <w:r w:rsidRPr="005176BD">
              <w:rPr>
                <w:rFonts w:cs="Arial"/>
                <w:sz w:val="20"/>
                <w:szCs w:val="20"/>
                <w:lang w:eastAsia="en-AU"/>
              </w:rPr>
              <w:t>5</w:t>
            </w:r>
          </w:p>
        </w:tc>
      </w:tr>
      <w:tr w:rsidR="00084B2B" w:rsidRPr="00084B2B" w14:paraId="1832F14C" w14:textId="77777777" w:rsidTr="0011030B">
        <w:tc>
          <w:tcPr>
            <w:tcW w:w="9161" w:type="dxa"/>
          </w:tcPr>
          <w:p w14:paraId="11137456" w14:textId="60335004" w:rsidR="00084B2B" w:rsidRPr="005176BD" w:rsidRDefault="00084B2B" w:rsidP="003B611A">
            <w:pPr>
              <w:rPr>
                <w:rFonts w:cs="Arial"/>
                <w:sz w:val="20"/>
                <w:szCs w:val="20"/>
                <w:lang w:eastAsia="en-AU"/>
              </w:rPr>
            </w:pPr>
            <w:r w:rsidRPr="005176BD">
              <w:rPr>
                <w:rFonts w:cs="Arial"/>
                <w:sz w:val="20"/>
                <w:szCs w:val="20"/>
                <w:lang w:eastAsia="en-AU"/>
              </w:rPr>
              <w:t xml:space="preserve">Moderating effects of social engagement on driving cessation in older women.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2016</w:t>
            </w:r>
            <w:r w:rsidR="00EB5432" w:rsidRPr="005176BD">
              <w:rPr>
                <w:rFonts w:cs="Arial"/>
                <w:sz w:val="20"/>
                <w:szCs w:val="20"/>
                <w:lang w:eastAsia="en-AU"/>
              </w:rPr>
              <w:t>;</w:t>
            </w:r>
            <w:r w:rsidRPr="005176BD">
              <w:rPr>
                <w:rFonts w:cs="Arial"/>
                <w:sz w:val="20"/>
                <w:szCs w:val="20"/>
                <w:lang w:eastAsia="en-AU"/>
              </w:rPr>
              <w:t xml:space="preserve"> 28(8)</w:t>
            </w:r>
            <w:r w:rsidR="00EB5432" w:rsidRPr="005176BD">
              <w:rPr>
                <w:rFonts w:cs="Arial"/>
                <w:sz w:val="20"/>
                <w:szCs w:val="20"/>
                <w:lang w:eastAsia="en-AU"/>
              </w:rPr>
              <w:t xml:space="preserve">: </w:t>
            </w:r>
            <w:r w:rsidRPr="005176BD">
              <w:rPr>
                <w:rFonts w:cs="Arial"/>
                <w:sz w:val="20"/>
                <w:szCs w:val="20"/>
                <w:lang w:eastAsia="en-AU"/>
              </w:rPr>
              <w:t>1237-1244</w:t>
            </w:r>
            <w:r w:rsidR="00EB5432" w:rsidRPr="005176BD">
              <w:rPr>
                <w:rFonts w:cs="Arial"/>
                <w:sz w:val="20"/>
                <w:szCs w:val="20"/>
                <w:lang w:eastAsia="en-AU"/>
              </w:rPr>
              <w:t>.</w:t>
            </w:r>
          </w:p>
        </w:tc>
        <w:tc>
          <w:tcPr>
            <w:tcW w:w="4077" w:type="dxa"/>
          </w:tcPr>
          <w:p w14:paraId="3262D4CB" w14:textId="77777777" w:rsidR="00084B2B" w:rsidRPr="005176BD" w:rsidRDefault="00084B2B" w:rsidP="003B611A">
            <w:pPr>
              <w:rPr>
                <w:rFonts w:cs="Arial"/>
                <w:sz w:val="20"/>
                <w:szCs w:val="20"/>
                <w:lang w:eastAsia="en-AU"/>
              </w:rPr>
            </w:pPr>
            <w:r w:rsidRPr="005176BD">
              <w:rPr>
                <w:rFonts w:cs="Arial"/>
                <w:sz w:val="20"/>
                <w:szCs w:val="20"/>
                <w:lang w:eastAsia="en-AU"/>
              </w:rPr>
              <w:t>Pachana N, Leung J, Gardiner P &amp; McLaughlin D.</w:t>
            </w:r>
          </w:p>
        </w:tc>
        <w:tc>
          <w:tcPr>
            <w:tcW w:w="617" w:type="dxa"/>
          </w:tcPr>
          <w:p w14:paraId="148A4983" w14:textId="77777777" w:rsidR="00084B2B" w:rsidRPr="005176BD" w:rsidRDefault="00084B2B" w:rsidP="003B611A">
            <w:pPr>
              <w:rPr>
                <w:rFonts w:cs="Arial"/>
                <w:sz w:val="20"/>
                <w:szCs w:val="20"/>
                <w:lang w:eastAsia="en-AU"/>
              </w:rPr>
            </w:pPr>
            <w:r w:rsidRPr="005176BD">
              <w:rPr>
                <w:rFonts w:cs="Arial"/>
                <w:sz w:val="20"/>
                <w:szCs w:val="20"/>
                <w:lang w:eastAsia="en-AU"/>
              </w:rPr>
              <w:t>9</w:t>
            </w:r>
          </w:p>
        </w:tc>
      </w:tr>
      <w:tr w:rsidR="00084B2B" w:rsidRPr="00084B2B" w14:paraId="40FCD9E9" w14:textId="77777777" w:rsidTr="0011030B">
        <w:tc>
          <w:tcPr>
            <w:tcW w:w="9161" w:type="dxa"/>
          </w:tcPr>
          <w:p w14:paraId="755FA7C1" w14:textId="0D0130E6" w:rsidR="00084B2B" w:rsidRPr="005176BD" w:rsidRDefault="00084B2B" w:rsidP="003B611A">
            <w:pPr>
              <w:rPr>
                <w:rFonts w:cs="Arial"/>
                <w:sz w:val="20"/>
                <w:szCs w:val="20"/>
                <w:lang w:eastAsia="en-AU"/>
              </w:rPr>
            </w:pPr>
            <w:r w:rsidRPr="005176BD">
              <w:rPr>
                <w:rFonts w:cs="Arial"/>
                <w:sz w:val="20"/>
                <w:szCs w:val="20"/>
                <w:lang w:eastAsia="en-AU"/>
              </w:rPr>
              <w:t>Urinary incontinence and social function in older Australian women. Journal of the American Geriatrics Society, 2016</w:t>
            </w:r>
            <w:r w:rsidR="00EB5432" w:rsidRPr="005176BD">
              <w:rPr>
                <w:rFonts w:cs="Arial"/>
                <w:sz w:val="20"/>
                <w:szCs w:val="20"/>
                <w:lang w:eastAsia="en-AU"/>
              </w:rPr>
              <w:t>;</w:t>
            </w:r>
            <w:r w:rsidRPr="005176BD">
              <w:rPr>
                <w:rFonts w:cs="Arial"/>
                <w:sz w:val="20"/>
                <w:szCs w:val="20"/>
                <w:lang w:eastAsia="en-AU"/>
              </w:rPr>
              <w:t xml:space="preserve"> 64(8)</w:t>
            </w:r>
            <w:r w:rsidR="00EB5432" w:rsidRPr="005176BD">
              <w:rPr>
                <w:rFonts w:cs="Arial"/>
                <w:sz w:val="20"/>
                <w:szCs w:val="20"/>
                <w:lang w:eastAsia="en-AU"/>
              </w:rPr>
              <w:t>:</w:t>
            </w:r>
            <w:r w:rsidRPr="005176BD">
              <w:rPr>
                <w:rFonts w:cs="Arial"/>
                <w:sz w:val="20"/>
                <w:szCs w:val="20"/>
                <w:lang w:eastAsia="en-AU"/>
              </w:rPr>
              <w:t xml:space="preserve"> 1646-1650</w:t>
            </w:r>
            <w:r w:rsidR="00EB5432" w:rsidRPr="005176BD">
              <w:rPr>
                <w:rFonts w:cs="Arial"/>
                <w:sz w:val="20"/>
                <w:szCs w:val="20"/>
                <w:lang w:eastAsia="en-AU"/>
              </w:rPr>
              <w:t>.</w:t>
            </w:r>
          </w:p>
        </w:tc>
        <w:tc>
          <w:tcPr>
            <w:tcW w:w="4077" w:type="dxa"/>
          </w:tcPr>
          <w:p w14:paraId="71B38B53" w14:textId="77777777" w:rsidR="00084B2B" w:rsidRPr="005176BD" w:rsidRDefault="00084B2B" w:rsidP="003B611A">
            <w:pPr>
              <w:rPr>
                <w:rFonts w:cs="Arial"/>
                <w:sz w:val="20"/>
                <w:szCs w:val="20"/>
                <w:lang w:eastAsia="en-AU"/>
              </w:rPr>
            </w:pPr>
            <w:r w:rsidRPr="005176BD">
              <w:rPr>
                <w:rFonts w:cs="Arial"/>
                <w:sz w:val="20"/>
                <w:szCs w:val="20"/>
                <w:lang w:eastAsia="en-AU"/>
              </w:rPr>
              <w:t>Vo K, Forder P &amp; Byles J.</w:t>
            </w:r>
          </w:p>
        </w:tc>
        <w:tc>
          <w:tcPr>
            <w:tcW w:w="617" w:type="dxa"/>
          </w:tcPr>
          <w:p w14:paraId="0FF4E4DE" w14:textId="77777777" w:rsidR="00084B2B" w:rsidRPr="005176BD" w:rsidRDefault="00084B2B" w:rsidP="003B611A">
            <w:pPr>
              <w:rPr>
                <w:rFonts w:cs="Arial"/>
                <w:sz w:val="20"/>
                <w:szCs w:val="20"/>
                <w:lang w:eastAsia="en-AU"/>
              </w:rPr>
            </w:pPr>
            <w:r w:rsidRPr="005176BD">
              <w:rPr>
                <w:rFonts w:cs="Arial"/>
                <w:sz w:val="20"/>
                <w:szCs w:val="20"/>
                <w:lang w:eastAsia="en-AU"/>
              </w:rPr>
              <w:t>0</w:t>
            </w:r>
          </w:p>
        </w:tc>
      </w:tr>
      <w:tr w:rsidR="00084B2B" w:rsidRPr="00084B2B" w14:paraId="3C72A0B8" w14:textId="77777777" w:rsidTr="0011030B">
        <w:tc>
          <w:tcPr>
            <w:tcW w:w="9161" w:type="dxa"/>
          </w:tcPr>
          <w:p w14:paraId="3F40A180" w14:textId="747C0555" w:rsidR="00084B2B" w:rsidRPr="005176BD" w:rsidRDefault="00EB5432" w:rsidP="003B611A">
            <w:pPr>
              <w:rPr>
                <w:rFonts w:cs="Arial"/>
                <w:sz w:val="20"/>
                <w:szCs w:val="20"/>
                <w:lang w:eastAsia="en-AU"/>
              </w:rPr>
            </w:pPr>
            <w:r w:rsidRPr="005176BD">
              <w:rPr>
                <w:rFonts w:cs="Arial"/>
                <w:sz w:val="20"/>
                <w:szCs w:val="20"/>
                <w:lang w:eastAsia="en-AU"/>
              </w:rPr>
              <w:lastRenderedPageBreak/>
              <w:t xml:space="preserve">Long-term consequences of </w:t>
            </w:r>
            <w:proofErr w:type="spellStart"/>
            <w:r w:rsidRPr="005176BD">
              <w:rPr>
                <w:rFonts w:cs="Arial"/>
                <w:sz w:val="20"/>
                <w:szCs w:val="20"/>
                <w:lang w:eastAsia="en-AU"/>
              </w:rPr>
              <w:t>noninjurious</w:t>
            </w:r>
            <w:proofErr w:type="spellEnd"/>
            <w:r w:rsidRPr="005176BD">
              <w:rPr>
                <w:rFonts w:cs="Arial"/>
                <w:sz w:val="20"/>
                <w:szCs w:val="20"/>
                <w:lang w:eastAsia="en-AU"/>
              </w:rPr>
              <w:t xml:space="preserve"> and injurious falls on well-being in older women. Journals of Gerontology Series A: Biological Sciences &amp; Medical Sciences, 2015; 70(12): 1519-1525.</w:t>
            </w:r>
          </w:p>
        </w:tc>
        <w:tc>
          <w:tcPr>
            <w:tcW w:w="4077" w:type="dxa"/>
          </w:tcPr>
          <w:p w14:paraId="2D808DE2" w14:textId="77777777" w:rsidR="00084B2B" w:rsidRPr="005176BD" w:rsidRDefault="00084B2B" w:rsidP="003B611A">
            <w:pPr>
              <w:rPr>
                <w:rFonts w:cs="Arial"/>
                <w:sz w:val="20"/>
                <w:szCs w:val="20"/>
                <w:lang w:eastAsia="en-AU"/>
              </w:rPr>
            </w:pPr>
            <w:r w:rsidRPr="005176BD">
              <w:rPr>
                <w:rFonts w:cs="Arial"/>
                <w:sz w:val="20"/>
                <w:szCs w:val="20"/>
                <w:lang w:eastAsia="en-AU"/>
              </w:rPr>
              <w:t>Peeters G, Jones M, Byles J &amp; Dobson A.</w:t>
            </w:r>
          </w:p>
        </w:tc>
        <w:tc>
          <w:tcPr>
            <w:tcW w:w="617" w:type="dxa"/>
          </w:tcPr>
          <w:p w14:paraId="37CFDD89"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BC3825" w:rsidRPr="0007184E" w14:paraId="55177843" w14:textId="77777777" w:rsidTr="0011030B">
        <w:tc>
          <w:tcPr>
            <w:tcW w:w="9161" w:type="dxa"/>
          </w:tcPr>
          <w:p w14:paraId="7FCA41C2" w14:textId="77777777" w:rsidR="00BC3825" w:rsidRPr="005176BD" w:rsidRDefault="00BC3825" w:rsidP="003B611A">
            <w:pPr>
              <w:rPr>
                <w:rFonts w:cs="Arial"/>
                <w:sz w:val="20"/>
                <w:szCs w:val="20"/>
                <w:lang w:eastAsia="en-AU"/>
              </w:rPr>
            </w:pPr>
            <w:r w:rsidRPr="005176BD">
              <w:rPr>
                <w:rFonts w:cs="Arial"/>
                <w:sz w:val="20"/>
                <w:szCs w:val="20"/>
                <w:lang w:eastAsia="en-AU"/>
              </w:rPr>
              <w:t xml:space="preserve">Examination of the association between mental health, morbidity, and mortality in late life: Findings from longitudinal community surveys.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2015; 27(5): 739-746.</w:t>
            </w:r>
          </w:p>
        </w:tc>
        <w:tc>
          <w:tcPr>
            <w:tcW w:w="4077" w:type="dxa"/>
          </w:tcPr>
          <w:p w14:paraId="0D49BD8B" w14:textId="77777777" w:rsidR="00BC3825" w:rsidRPr="005176BD" w:rsidRDefault="00BC3825" w:rsidP="003B611A">
            <w:pPr>
              <w:rPr>
                <w:rFonts w:cs="Arial"/>
                <w:sz w:val="20"/>
                <w:szCs w:val="20"/>
                <w:lang w:eastAsia="en-AU"/>
              </w:rPr>
            </w:pPr>
            <w:r w:rsidRPr="005176BD">
              <w:rPr>
                <w:rFonts w:cs="Arial"/>
                <w:sz w:val="20"/>
                <w:szCs w:val="20"/>
                <w:lang w:eastAsia="en-AU"/>
              </w:rPr>
              <w:t xml:space="preserve">Burns RA, Butterworth P, Browning C, Byles J, </w:t>
            </w:r>
            <w:proofErr w:type="spellStart"/>
            <w:r w:rsidRPr="005176BD">
              <w:rPr>
                <w:rFonts w:cs="Arial"/>
                <w:sz w:val="20"/>
                <w:szCs w:val="20"/>
                <w:lang w:eastAsia="en-AU"/>
              </w:rPr>
              <w:t>Luszcz</w:t>
            </w:r>
            <w:proofErr w:type="spellEnd"/>
            <w:r w:rsidRPr="005176BD">
              <w:rPr>
                <w:rFonts w:cs="Arial"/>
                <w:sz w:val="20"/>
                <w:szCs w:val="20"/>
                <w:lang w:eastAsia="en-AU"/>
              </w:rPr>
              <w:t xml:space="preserve"> M, Mitchell P, Shaw J, Anstey KJ.</w:t>
            </w:r>
          </w:p>
        </w:tc>
        <w:tc>
          <w:tcPr>
            <w:tcW w:w="617" w:type="dxa"/>
          </w:tcPr>
          <w:p w14:paraId="60F93FF5" w14:textId="77777777" w:rsidR="00BC3825" w:rsidRPr="005176BD" w:rsidRDefault="00BC3825" w:rsidP="003B611A">
            <w:pPr>
              <w:rPr>
                <w:rFonts w:cs="Arial"/>
                <w:sz w:val="20"/>
                <w:szCs w:val="20"/>
                <w:lang w:eastAsia="en-AU"/>
              </w:rPr>
            </w:pPr>
            <w:r w:rsidRPr="005176BD">
              <w:rPr>
                <w:rFonts w:cs="Arial"/>
                <w:sz w:val="20"/>
                <w:szCs w:val="20"/>
                <w:lang w:eastAsia="en-AU"/>
              </w:rPr>
              <w:t>2</w:t>
            </w:r>
          </w:p>
        </w:tc>
      </w:tr>
      <w:tr w:rsidR="00084B2B" w:rsidRPr="00084B2B" w14:paraId="73274F59" w14:textId="77777777" w:rsidTr="0011030B">
        <w:tc>
          <w:tcPr>
            <w:tcW w:w="9161" w:type="dxa"/>
          </w:tcPr>
          <w:p w14:paraId="148C856B" w14:textId="1C3F5944" w:rsidR="00084B2B" w:rsidRPr="005176BD" w:rsidRDefault="00FB70EC" w:rsidP="003B611A">
            <w:pPr>
              <w:rPr>
                <w:rFonts w:cs="Arial"/>
                <w:sz w:val="20"/>
                <w:szCs w:val="20"/>
                <w:lang w:eastAsia="en-AU"/>
              </w:rPr>
            </w:pPr>
            <w:r w:rsidRPr="005176BD">
              <w:rPr>
                <w:rFonts w:cs="Arial"/>
                <w:sz w:val="20"/>
                <w:szCs w:val="20"/>
                <w:lang w:eastAsia="en-AU"/>
              </w:rPr>
              <w:t>Associations between medication use and mental health in older women: A cross-sectional analysis of 5,502 women aged 76 to 81. Journal of American Geriatric Society, 2015; 63(6): 1254-1255. (letter to the editor)</w:t>
            </w:r>
          </w:p>
        </w:tc>
        <w:tc>
          <w:tcPr>
            <w:tcW w:w="4077" w:type="dxa"/>
          </w:tcPr>
          <w:p w14:paraId="6DE713CA"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Alsalami</w:t>
            </w:r>
            <w:proofErr w:type="spellEnd"/>
            <w:r w:rsidRPr="005176BD">
              <w:rPr>
                <w:rFonts w:cs="Arial"/>
                <w:sz w:val="20"/>
                <w:szCs w:val="20"/>
                <w:lang w:eastAsia="en-AU"/>
              </w:rPr>
              <w:t xml:space="preserve"> MO, Forder PM, Milton AH, McEvoy MA &amp; Byles JE.</w:t>
            </w:r>
          </w:p>
        </w:tc>
        <w:tc>
          <w:tcPr>
            <w:tcW w:w="617" w:type="dxa"/>
          </w:tcPr>
          <w:p w14:paraId="54EF15E2"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32FE0701" w14:textId="77777777" w:rsidTr="0011030B">
        <w:tc>
          <w:tcPr>
            <w:tcW w:w="9161" w:type="dxa"/>
          </w:tcPr>
          <w:p w14:paraId="461BF7C7" w14:textId="45505175" w:rsidR="00084B2B" w:rsidRPr="005176BD" w:rsidRDefault="00084B2B" w:rsidP="003B611A">
            <w:pPr>
              <w:rPr>
                <w:rFonts w:cs="Arial"/>
                <w:sz w:val="20"/>
                <w:szCs w:val="20"/>
                <w:lang w:eastAsia="en-AU"/>
              </w:rPr>
            </w:pPr>
            <w:r w:rsidRPr="005176BD">
              <w:rPr>
                <w:rFonts w:cs="Arial"/>
                <w:sz w:val="20"/>
                <w:szCs w:val="20"/>
                <w:lang w:eastAsia="en-AU"/>
              </w:rPr>
              <w:t>Late life changes in mental health: A longitudinal study of 9683 women. Aging and Mental Health, 2015</w:t>
            </w:r>
            <w:r w:rsidR="00A10485" w:rsidRPr="005176BD">
              <w:rPr>
                <w:rFonts w:cs="Arial"/>
                <w:sz w:val="20"/>
                <w:szCs w:val="20"/>
                <w:lang w:eastAsia="en-AU"/>
              </w:rPr>
              <w:t>;</w:t>
            </w:r>
            <w:r w:rsidRPr="005176BD">
              <w:rPr>
                <w:rFonts w:cs="Arial"/>
                <w:sz w:val="20"/>
                <w:szCs w:val="20"/>
                <w:lang w:eastAsia="en-AU"/>
              </w:rPr>
              <w:t xml:space="preserve"> doi:10.1080/13607863.2015.1060943</w:t>
            </w:r>
          </w:p>
        </w:tc>
        <w:tc>
          <w:tcPr>
            <w:tcW w:w="4077" w:type="dxa"/>
          </w:tcPr>
          <w:p w14:paraId="39FD5D3E" w14:textId="77777777" w:rsidR="00084B2B" w:rsidRPr="005176BD" w:rsidRDefault="00084B2B" w:rsidP="003B611A">
            <w:pPr>
              <w:rPr>
                <w:rFonts w:cs="Arial"/>
                <w:sz w:val="20"/>
                <w:szCs w:val="20"/>
                <w:lang w:eastAsia="en-AU"/>
              </w:rPr>
            </w:pPr>
            <w:r w:rsidRPr="005176BD">
              <w:rPr>
                <w:rFonts w:cs="Arial"/>
                <w:sz w:val="20"/>
                <w:szCs w:val="20"/>
                <w:lang w:eastAsia="en-AU"/>
              </w:rPr>
              <w:t>Leigh L, Byles J, Chojenta C &amp; Pachana N.</w:t>
            </w:r>
          </w:p>
        </w:tc>
        <w:tc>
          <w:tcPr>
            <w:tcW w:w="617" w:type="dxa"/>
          </w:tcPr>
          <w:p w14:paraId="47EEE618"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6F54A62D" w14:textId="77777777" w:rsidTr="0011030B">
        <w:tc>
          <w:tcPr>
            <w:tcW w:w="9161" w:type="dxa"/>
          </w:tcPr>
          <w:p w14:paraId="565F747F" w14:textId="1C786C92" w:rsidR="00084B2B" w:rsidRPr="005176BD" w:rsidRDefault="00084B2B" w:rsidP="003B611A">
            <w:pPr>
              <w:rPr>
                <w:rFonts w:cs="Arial"/>
                <w:sz w:val="20"/>
                <w:szCs w:val="20"/>
                <w:lang w:eastAsia="en-AU"/>
              </w:rPr>
            </w:pPr>
            <w:r w:rsidRPr="005176BD">
              <w:rPr>
                <w:rFonts w:cs="Arial"/>
                <w:sz w:val="20"/>
                <w:szCs w:val="20"/>
                <w:lang w:eastAsia="en-AU"/>
              </w:rPr>
              <w:t>Environmental correlates of mental health measures for women in Western Australia. Eco Health, 2014</w:t>
            </w:r>
            <w:r w:rsidR="00A10485" w:rsidRPr="005176BD">
              <w:rPr>
                <w:rFonts w:cs="Arial"/>
                <w:sz w:val="20"/>
                <w:szCs w:val="20"/>
                <w:lang w:eastAsia="en-AU"/>
              </w:rPr>
              <w:t>;</w:t>
            </w:r>
            <w:r w:rsidRPr="005176BD">
              <w:rPr>
                <w:rFonts w:cs="Arial"/>
                <w:sz w:val="20"/>
                <w:szCs w:val="20"/>
                <w:lang w:eastAsia="en-AU"/>
              </w:rPr>
              <w:t xml:space="preserve"> 11(4)</w:t>
            </w:r>
            <w:r w:rsidR="00A10485" w:rsidRPr="005176BD">
              <w:rPr>
                <w:rFonts w:cs="Arial"/>
                <w:sz w:val="20"/>
                <w:szCs w:val="20"/>
                <w:lang w:eastAsia="en-AU"/>
              </w:rPr>
              <w:t xml:space="preserve">: </w:t>
            </w:r>
            <w:r w:rsidRPr="005176BD">
              <w:rPr>
                <w:rFonts w:cs="Arial"/>
                <w:sz w:val="20"/>
                <w:szCs w:val="20"/>
                <w:lang w:eastAsia="en-AU"/>
              </w:rPr>
              <w:t>502-511</w:t>
            </w:r>
            <w:r w:rsidR="00A10485" w:rsidRPr="005176BD">
              <w:rPr>
                <w:rFonts w:cs="Arial"/>
                <w:sz w:val="20"/>
                <w:szCs w:val="20"/>
                <w:lang w:eastAsia="en-AU"/>
              </w:rPr>
              <w:t>.</w:t>
            </w:r>
          </w:p>
        </w:tc>
        <w:tc>
          <w:tcPr>
            <w:tcW w:w="4077" w:type="dxa"/>
          </w:tcPr>
          <w:p w14:paraId="270522C0"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Fearnley</w:t>
            </w:r>
            <w:proofErr w:type="spellEnd"/>
            <w:r w:rsidRPr="005176BD">
              <w:rPr>
                <w:rFonts w:cs="Arial"/>
                <w:sz w:val="20"/>
                <w:szCs w:val="20"/>
                <w:lang w:eastAsia="en-AU"/>
              </w:rPr>
              <w:t xml:space="preserve"> E, </w:t>
            </w:r>
            <w:proofErr w:type="spellStart"/>
            <w:r w:rsidRPr="005176BD">
              <w:rPr>
                <w:rFonts w:cs="Arial"/>
                <w:sz w:val="20"/>
                <w:szCs w:val="20"/>
                <w:lang w:eastAsia="en-AU"/>
              </w:rPr>
              <w:t>Soares</w:t>
            </w:r>
            <w:proofErr w:type="spellEnd"/>
            <w:r w:rsidRPr="005176BD">
              <w:rPr>
                <w:rFonts w:cs="Arial"/>
                <w:sz w:val="20"/>
                <w:szCs w:val="20"/>
                <w:lang w:eastAsia="en-AU"/>
              </w:rPr>
              <w:t xml:space="preserve"> </w:t>
            </w:r>
            <w:proofErr w:type="spellStart"/>
            <w:r w:rsidRPr="005176BD">
              <w:rPr>
                <w:rFonts w:cs="Arial"/>
                <w:sz w:val="20"/>
                <w:szCs w:val="20"/>
                <w:lang w:eastAsia="en-AU"/>
              </w:rPr>
              <w:t>Magalhaes</w:t>
            </w:r>
            <w:proofErr w:type="spellEnd"/>
            <w:r w:rsidRPr="005176BD">
              <w:rPr>
                <w:rFonts w:cs="Arial"/>
                <w:sz w:val="20"/>
                <w:szCs w:val="20"/>
                <w:lang w:eastAsia="en-AU"/>
              </w:rPr>
              <w:t xml:space="preserve"> R, </w:t>
            </w:r>
            <w:proofErr w:type="spellStart"/>
            <w:r w:rsidRPr="005176BD">
              <w:rPr>
                <w:rFonts w:cs="Arial"/>
                <w:sz w:val="20"/>
                <w:szCs w:val="20"/>
                <w:lang w:eastAsia="en-AU"/>
              </w:rPr>
              <w:t>Speldewinde</w:t>
            </w:r>
            <w:proofErr w:type="spellEnd"/>
            <w:r w:rsidRPr="005176BD">
              <w:rPr>
                <w:rFonts w:cs="Arial"/>
                <w:sz w:val="20"/>
                <w:szCs w:val="20"/>
                <w:lang w:eastAsia="en-AU"/>
              </w:rPr>
              <w:t xml:space="preserve"> P, Weinstein P &amp; Dobson A.</w:t>
            </w:r>
          </w:p>
        </w:tc>
        <w:tc>
          <w:tcPr>
            <w:tcW w:w="617" w:type="dxa"/>
          </w:tcPr>
          <w:p w14:paraId="0B12E7D6"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022DF8FA" w14:textId="77777777" w:rsidTr="0011030B">
        <w:tc>
          <w:tcPr>
            <w:tcW w:w="9161" w:type="dxa"/>
          </w:tcPr>
          <w:p w14:paraId="1D77F759" w14:textId="4006AB02" w:rsidR="00084B2B" w:rsidRPr="005176BD" w:rsidRDefault="00084B2B" w:rsidP="003B611A">
            <w:pPr>
              <w:rPr>
                <w:rFonts w:cs="Arial"/>
                <w:sz w:val="20"/>
                <w:szCs w:val="20"/>
                <w:lang w:eastAsia="en-AU"/>
              </w:rPr>
            </w:pPr>
            <w:r w:rsidRPr="005176BD">
              <w:rPr>
                <w:rFonts w:cs="Arial"/>
                <w:sz w:val="20"/>
                <w:szCs w:val="20"/>
                <w:lang w:eastAsia="en-AU"/>
              </w:rPr>
              <w:t>A comparison of SF-36 summary measures of physical and mental health for women across the life course. Quality of Life Research</w:t>
            </w:r>
            <w:r w:rsidR="00A10485" w:rsidRPr="005176BD">
              <w:rPr>
                <w:rFonts w:cs="Arial"/>
                <w:sz w:val="20"/>
                <w:szCs w:val="20"/>
                <w:lang w:eastAsia="en-AU"/>
              </w:rPr>
              <w:t xml:space="preserve">, 2014; </w:t>
            </w:r>
            <w:r w:rsidRPr="005176BD">
              <w:rPr>
                <w:rFonts w:cs="Arial"/>
                <w:sz w:val="20"/>
                <w:szCs w:val="20"/>
                <w:lang w:eastAsia="en-AU"/>
              </w:rPr>
              <w:t>23(5)</w:t>
            </w:r>
            <w:r w:rsidR="00A10485" w:rsidRPr="005176BD">
              <w:rPr>
                <w:rFonts w:cs="Arial"/>
                <w:sz w:val="20"/>
                <w:szCs w:val="20"/>
                <w:lang w:eastAsia="en-AU"/>
              </w:rPr>
              <w:t xml:space="preserve">: </w:t>
            </w:r>
            <w:r w:rsidRPr="005176BD">
              <w:rPr>
                <w:rFonts w:cs="Arial"/>
                <w:sz w:val="20"/>
                <w:szCs w:val="20"/>
                <w:lang w:eastAsia="en-AU"/>
              </w:rPr>
              <w:t xml:space="preserve">1515-1521. </w:t>
            </w:r>
          </w:p>
        </w:tc>
        <w:tc>
          <w:tcPr>
            <w:tcW w:w="4077" w:type="dxa"/>
          </w:tcPr>
          <w:p w14:paraId="1E58D37F" w14:textId="77777777" w:rsidR="00084B2B" w:rsidRPr="005176BD" w:rsidRDefault="00084B2B" w:rsidP="003B611A">
            <w:pPr>
              <w:rPr>
                <w:rFonts w:cs="Arial"/>
                <w:sz w:val="20"/>
                <w:szCs w:val="20"/>
                <w:lang w:eastAsia="en-AU"/>
              </w:rPr>
            </w:pPr>
            <w:r w:rsidRPr="005176BD">
              <w:rPr>
                <w:rFonts w:cs="Arial"/>
                <w:sz w:val="20"/>
                <w:szCs w:val="20"/>
                <w:lang w:eastAsia="en-AU"/>
              </w:rPr>
              <w:t>Mishra G, Hockey R &amp; Dobson A.</w:t>
            </w:r>
          </w:p>
        </w:tc>
        <w:tc>
          <w:tcPr>
            <w:tcW w:w="617" w:type="dxa"/>
          </w:tcPr>
          <w:p w14:paraId="50B67186" w14:textId="77777777" w:rsidR="00084B2B" w:rsidRPr="005176BD" w:rsidRDefault="00084B2B" w:rsidP="003B611A">
            <w:pPr>
              <w:rPr>
                <w:rFonts w:cs="Arial"/>
                <w:sz w:val="20"/>
                <w:szCs w:val="20"/>
                <w:lang w:eastAsia="en-AU"/>
              </w:rPr>
            </w:pPr>
            <w:r w:rsidRPr="005176BD">
              <w:rPr>
                <w:rFonts w:cs="Arial"/>
                <w:sz w:val="20"/>
                <w:szCs w:val="20"/>
                <w:lang w:eastAsia="en-AU"/>
              </w:rPr>
              <w:t>21</w:t>
            </w:r>
          </w:p>
        </w:tc>
      </w:tr>
      <w:tr w:rsidR="00084B2B" w:rsidRPr="00084B2B" w14:paraId="35470708" w14:textId="77777777" w:rsidTr="0011030B">
        <w:tc>
          <w:tcPr>
            <w:tcW w:w="9161" w:type="dxa"/>
          </w:tcPr>
          <w:p w14:paraId="38B53363" w14:textId="267EFA94" w:rsidR="00084B2B" w:rsidRPr="005176BD" w:rsidRDefault="00084B2B" w:rsidP="003B611A">
            <w:pPr>
              <w:rPr>
                <w:rFonts w:cs="Arial"/>
                <w:sz w:val="20"/>
                <w:szCs w:val="20"/>
                <w:lang w:eastAsia="en-AU"/>
              </w:rPr>
            </w:pPr>
            <w:r w:rsidRPr="005176BD">
              <w:rPr>
                <w:rFonts w:cs="Arial"/>
                <w:sz w:val="20"/>
                <w:szCs w:val="20"/>
                <w:lang w:eastAsia="en-AU"/>
              </w:rPr>
              <w:t xml:space="preserve">Health-related factors associated with participation in creative hobbies by Australian women aged in their eighties. Arts &amp; Health: An International Journal for Research, Policy and Practice, </w:t>
            </w:r>
            <w:r w:rsidR="00A10485" w:rsidRPr="005176BD">
              <w:rPr>
                <w:rFonts w:cs="Arial"/>
                <w:sz w:val="20"/>
                <w:szCs w:val="20"/>
                <w:lang w:eastAsia="en-AU"/>
              </w:rPr>
              <w:t xml:space="preserve">2014; </w:t>
            </w:r>
            <w:r w:rsidRPr="005176BD">
              <w:rPr>
                <w:rFonts w:cs="Arial"/>
                <w:sz w:val="20"/>
                <w:szCs w:val="20"/>
                <w:lang w:eastAsia="en-AU"/>
              </w:rPr>
              <w:t>6(2)</w:t>
            </w:r>
            <w:r w:rsidR="00A10485" w:rsidRPr="005176BD">
              <w:rPr>
                <w:rFonts w:cs="Arial"/>
                <w:sz w:val="20"/>
                <w:szCs w:val="20"/>
                <w:lang w:eastAsia="en-AU"/>
              </w:rPr>
              <w:t>:</w:t>
            </w:r>
            <w:r w:rsidRPr="005176BD">
              <w:rPr>
                <w:rFonts w:cs="Arial"/>
                <w:sz w:val="20"/>
                <w:szCs w:val="20"/>
                <w:lang w:eastAsia="en-AU"/>
              </w:rPr>
              <w:t xml:space="preserve"> 132-142.</w:t>
            </w:r>
          </w:p>
        </w:tc>
        <w:tc>
          <w:tcPr>
            <w:tcW w:w="4077" w:type="dxa"/>
          </w:tcPr>
          <w:p w14:paraId="1A812906" w14:textId="77777777" w:rsidR="00084B2B" w:rsidRPr="005176BD" w:rsidRDefault="00084B2B" w:rsidP="003B611A">
            <w:pPr>
              <w:rPr>
                <w:rFonts w:cs="Arial"/>
                <w:sz w:val="20"/>
                <w:szCs w:val="20"/>
                <w:lang w:eastAsia="en-AU"/>
              </w:rPr>
            </w:pPr>
            <w:r w:rsidRPr="005176BD">
              <w:rPr>
                <w:rFonts w:cs="Arial"/>
                <w:sz w:val="20"/>
                <w:szCs w:val="20"/>
                <w:lang w:eastAsia="en-AU"/>
              </w:rPr>
              <w:t>Liddle J, Parkinson L &amp; Sibbritt D.</w:t>
            </w:r>
          </w:p>
        </w:tc>
        <w:tc>
          <w:tcPr>
            <w:tcW w:w="617" w:type="dxa"/>
          </w:tcPr>
          <w:p w14:paraId="680F7D4E"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3BB6EDB8" w14:textId="77777777" w:rsidTr="0011030B">
        <w:tc>
          <w:tcPr>
            <w:tcW w:w="9161" w:type="dxa"/>
          </w:tcPr>
          <w:p w14:paraId="00E594C1" w14:textId="00B967CC" w:rsidR="00084B2B" w:rsidRPr="005176BD" w:rsidRDefault="00084B2B" w:rsidP="003B611A">
            <w:pPr>
              <w:rPr>
                <w:rFonts w:cs="Arial"/>
                <w:sz w:val="20"/>
                <w:szCs w:val="20"/>
                <w:lang w:eastAsia="en-AU"/>
              </w:rPr>
            </w:pPr>
            <w:r w:rsidRPr="005176BD">
              <w:rPr>
                <w:rFonts w:cs="Arial"/>
                <w:sz w:val="20"/>
                <w:szCs w:val="20"/>
                <w:lang w:eastAsia="en-AU"/>
              </w:rPr>
              <w:t xml:space="preserve">Is use of formal community services by older women related to changes in their informal care arrangements? Ageing &amp; Society, </w:t>
            </w:r>
            <w:r w:rsidR="00A10485" w:rsidRPr="005176BD">
              <w:rPr>
                <w:rFonts w:cs="Arial"/>
                <w:sz w:val="20"/>
                <w:szCs w:val="20"/>
                <w:lang w:eastAsia="en-AU"/>
              </w:rPr>
              <w:t xml:space="preserve">2014; </w:t>
            </w:r>
            <w:r w:rsidRPr="005176BD">
              <w:rPr>
                <w:rFonts w:cs="Arial"/>
                <w:sz w:val="20"/>
                <w:szCs w:val="20"/>
                <w:lang w:eastAsia="en-AU"/>
              </w:rPr>
              <w:t>34(2)</w:t>
            </w:r>
            <w:r w:rsidR="00A10485" w:rsidRPr="005176BD">
              <w:rPr>
                <w:rFonts w:cs="Arial"/>
                <w:sz w:val="20"/>
                <w:szCs w:val="20"/>
                <w:lang w:eastAsia="en-AU"/>
              </w:rPr>
              <w:t>:</w:t>
            </w:r>
            <w:r w:rsidRPr="005176BD">
              <w:rPr>
                <w:rFonts w:cs="Arial"/>
                <w:sz w:val="20"/>
                <w:szCs w:val="20"/>
                <w:lang w:eastAsia="en-AU"/>
              </w:rPr>
              <w:t xml:space="preserve"> 310-329.</w:t>
            </w:r>
          </w:p>
        </w:tc>
        <w:tc>
          <w:tcPr>
            <w:tcW w:w="4077" w:type="dxa"/>
          </w:tcPr>
          <w:p w14:paraId="0288513C" w14:textId="77777777" w:rsidR="00084B2B" w:rsidRPr="005176BD" w:rsidRDefault="00084B2B" w:rsidP="003B611A">
            <w:pPr>
              <w:rPr>
                <w:rFonts w:cs="Arial"/>
                <w:sz w:val="20"/>
                <w:szCs w:val="20"/>
                <w:lang w:eastAsia="en-AU"/>
              </w:rPr>
            </w:pPr>
            <w:r w:rsidRPr="005176BD">
              <w:rPr>
                <w:rFonts w:cs="Arial"/>
                <w:sz w:val="20"/>
                <w:szCs w:val="20"/>
                <w:lang w:eastAsia="en-AU"/>
              </w:rPr>
              <w:t>McKenzie S, Lucke J, Hockey R, Dobson A &amp; Tooth L.</w:t>
            </w:r>
          </w:p>
        </w:tc>
        <w:tc>
          <w:tcPr>
            <w:tcW w:w="617" w:type="dxa"/>
          </w:tcPr>
          <w:p w14:paraId="42A12937"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493C8903" w14:textId="77777777" w:rsidTr="0011030B">
        <w:tc>
          <w:tcPr>
            <w:tcW w:w="9161" w:type="dxa"/>
          </w:tcPr>
          <w:p w14:paraId="73CA890D" w14:textId="327F731D" w:rsidR="00084B2B" w:rsidRPr="005176BD" w:rsidRDefault="00084B2B" w:rsidP="003B611A">
            <w:pPr>
              <w:rPr>
                <w:rFonts w:cs="Arial"/>
                <w:sz w:val="20"/>
                <w:szCs w:val="20"/>
                <w:lang w:eastAsia="en-AU"/>
              </w:rPr>
            </w:pPr>
            <w:r w:rsidRPr="005176BD">
              <w:rPr>
                <w:rFonts w:cs="Arial"/>
                <w:sz w:val="20"/>
                <w:szCs w:val="20"/>
                <w:lang w:eastAsia="en-AU"/>
              </w:rPr>
              <w:t xml:space="preserve">Prevalence correlates and impact of </w:t>
            </w:r>
            <w:proofErr w:type="spellStart"/>
            <w:r w:rsidRPr="005176BD">
              <w:rPr>
                <w:rFonts w:cs="Arial"/>
                <w:sz w:val="20"/>
                <w:szCs w:val="20"/>
                <w:lang w:eastAsia="en-AU"/>
              </w:rPr>
              <w:t>fecal</w:t>
            </w:r>
            <w:proofErr w:type="spellEnd"/>
            <w:r w:rsidRPr="005176BD">
              <w:rPr>
                <w:rFonts w:cs="Arial"/>
                <w:sz w:val="20"/>
                <w:szCs w:val="20"/>
                <w:lang w:eastAsia="en-AU"/>
              </w:rPr>
              <w:t xml:space="preserve"> incontinence among older women. Diseases of the Colon and Rectum, </w:t>
            </w:r>
            <w:r w:rsidR="00EB5432" w:rsidRPr="005176BD">
              <w:rPr>
                <w:rFonts w:cs="Arial"/>
                <w:sz w:val="20"/>
                <w:szCs w:val="20"/>
                <w:lang w:eastAsia="en-AU"/>
              </w:rPr>
              <w:t xml:space="preserve">2013; </w:t>
            </w:r>
            <w:r w:rsidRPr="005176BD">
              <w:rPr>
                <w:rFonts w:cs="Arial"/>
                <w:sz w:val="20"/>
                <w:szCs w:val="20"/>
                <w:lang w:eastAsia="en-AU"/>
              </w:rPr>
              <w:t>56(9)</w:t>
            </w:r>
            <w:r w:rsidR="00EB5432" w:rsidRPr="005176BD">
              <w:rPr>
                <w:rFonts w:cs="Arial"/>
                <w:sz w:val="20"/>
                <w:szCs w:val="20"/>
                <w:lang w:eastAsia="en-AU"/>
              </w:rPr>
              <w:t>:</w:t>
            </w:r>
            <w:r w:rsidRPr="005176BD">
              <w:rPr>
                <w:rFonts w:cs="Arial"/>
                <w:sz w:val="20"/>
                <w:szCs w:val="20"/>
                <w:lang w:eastAsia="en-AU"/>
              </w:rPr>
              <w:t xml:space="preserve"> 1080-1086.</w:t>
            </w:r>
          </w:p>
        </w:tc>
        <w:tc>
          <w:tcPr>
            <w:tcW w:w="4077" w:type="dxa"/>
          </w:tcPr>
          <w:p w14:paraId="3BF8B66D" w14:textId="6C0755F3" w:rsidR="00084B2B" w:rsidRPr="005176BD" w:rsidRDefault="00084B2B" w:rsidP="003B611A">
            <w:pPr>
              <w:rPr>
                <w:rFonts w:cs="Arial"/>
                <w:sz w:val="20"/>
                <w:szCs w:val="20"/>
                <w:lang w:eastAsia="en-AU"/>
              </w:rPr>
            </w:pPr>
            <w:proofErr w:type="spellStart"/>
            <w:r w:rsidRPr="005176BD">
              <w:rPr>
                <w:rFonts w:cs="Arial"/>
                <w:sz w:val="20"/>
                <w:szCs w:val="20"/>
                <w:lang w:eastAsia="en-AU"/>
              </w:rPr>
              <w:t>Halland</w:t>
            </w:r>
            <w:proofErr w:type="spellEnd"/>
            <w:r w:rsidRPr="005176BD">
              <w:rPr>
                <w:rFonts w:cs="Arial"/>
                <w:sz w:val="20"/>
                <w:szCs w:val="20"/>
                <w:lang w:eastAsia="en-AU"/>
              </w:rPr>
              <w:t xml:space="preserve"> M, </w:t>
            </w:r>
            <w:proofErr w:type="spellStart"/>
            <w:r w:rsidRPr="005176BD">
              <w:rPr>
                <w:rFonts w:cs="Arial"/>
                <w:sz w:val="20"/>
                <w:szCs w:val="20"/>
                <w:lang w:eastAsia="en-AU"/>
              </w:rPr>
              <w:t>Koloski</w:t>
            </w:r>
            <w:proofErr w:type="spellEnd"/>
            <w:r w:rsidRPr="005176BD">
              <w:rPr>
                <w:rFonts w:cs="Arial"/>
                <w:sz w:val="20"/>
                <w:szCs w:val="20"/>
                <w:lang w:eastAsia="en-AU"/>
              </w:rPr>
              <w:t xml:space="preserve"> N, Jones M, Byles J, </w:t>
            </w:r>
            <w:proofErr w:type="spellStart"/>
            <w:r w:rsidRPr="005176BD">
              <w:rPr>
                <w:rFonts w:cs="Arial"/>
                <w:sz w:val="20"/>
                <w:szCs w:val="20"/>
                <w:lang w:eastAsia="en-AU"/>
              </w:rPr>
              <w:t>Chiarelli</w:t>
            </w:r>
            <w:proofErr w:type="spellEnd"/>
            <w:r w:rsidRPr="005176BD">
              <w:rPr>
                <w:rFonts w:cs="Arial"/>
                <w:sz w:val="20"/>
                <w:szCs w:val="20"/>
                <w:lang w:eastAsia="en-AU"/>
              </w:rPr>
              <w:t xml:space="preserve"> P, Forder P, &amp; Talley N.</w:t>
            </w:r>
          </w:p>
        </w:tc>
        <w:tc>
          <w:tcPr>
            <w:tcW w:w="617" w:type="dxa"/>
          </w:tcPr>
          <w:p w14:paraId="4F7B536E" w14:textId="77777777" w:rsidR="00084B2B" w:rsidRPr="005176BD" w:rsidRDefault="00084B2B" w:rsidP="003B611A">
            <w:pPr>
              <w:rPr>
                <w:rFonts w:cs="Arial"/>
                <w:sz w:val="20"/>
                <w:szCs w:val="20"/>
                <w:lang w:eastAsia="en-AU"/>
              </w:rPr>
            </w:pPr>
            <w:r w:rsidRPr="005176BD">
              <w:rPr>
                <w:rFonts w:cs="Arial"/>
                <w:sz w:val="20"/>
                <w:szCs w:val="20"/>
                <w:lang w:eastAsia="en-AU"/>
              </w:rPr>
              <w:t>28</w:t>
            </w:r>
          </w:p>
        </w:tc>
      </w:tr>
      <w:tr w:rsidR="00BE49A1" w:rsidRPr="00A04D4E" w14:paraId="46FD598C" w14:textId="77777777" w:rsidTr="0011030B">
        <w:trPr>
          <w:trHeight w:val="441"/>
        </w:trPr>
        <w:tc>
          <w:tcPr>
            <w:tcW w:w="9161" w:type="dxa"/>
          </w:tcPr>
          <w:p w14:paraId="50EAA779" w14:textId="2AD6D259" w:rsidR="00BE49A1" w:rsidRPr="005176BD" w:rsidRDefault="00BE49A1" w:rsidP="003B611A">
            <w:pPr>
              <w:rPr>
                <w:rFonts w:cs="Arial"/>
                <w:sz w:val="20"/>
                <w:szCs w:val="20"/>
                <w:lang w:eastAsia="en-AU"/>
              </w:rPr>
            </w:pPr>
            <w:r w:rsidRPr="005176BD">
              <w:rPr>
                <w:rFonts w:cs="Arial"/>
                <w:sz w:val="20"/>
                <w:szCs w:val="20"/>
                <w:lang w:eastAsia="en-AU"/>
              </w:rPr>
              <w:t>Utility and acceptability of the Modified Telephone Interview for Cognitive Status (TICS-M) in a longitudinal study of Australian women aged 85-90 years. Journal of the American Geriatric Society (JAGS</w:t>
            </w:r>
            <w:r w:rsidR="00EB5432" w:rsidRPr="005176BD">
              <w:rPr>
                <w:rFonts w:cs="Arial"/>
                <w:sz w:val="20"/>
                <w:szCs w:val="20"/>
                <w:lang w:eastAsia="en-AU"/>
              </w:rPr>
              <w:t xml:space="preserve">, </w:t>
            </w:r>
            <w:r w:rsidRPr="005176BD">
              <w:rPr>
                <w:rFonts w:cs="Arial"/>
                <w:sz w:val="20"/>
                <w:szCs w:val="20"/>
                <w:lang w:eastAsia="en-AU"/>
              </w:rPr>
              <w:t>2013</w:t>
            </w:r>
            <w:r w:rsidR="00EB5432" w:rsidRPr="005176BD">
              <w:rPr>
                <w:rFonts w:cs="Arial"/>
                <w:sz w:val="20"/>
                <w:szCs w:val="20"/>
                <w:lang w:eastAsia="en-AU"/>
              </w:rPr>
              <w:t>;</w:t>
            </w:r>
            <w:r w:rsidRPr="005176BD">
              <w:rPr>
                <w:rFonts w:cs="Arial"/>
                <w:sz w:val="20"/>
                <w:szCs w:val="20"/>
                <w:lang w:eastAsia="en-AU"/>
              </w:rPr>
              <w:t xml:space="preserve"> 61(7)</w:t>
            </w:r>
            <w:r w:rsidR="00EB5432" w:rsidRPr="005176BD">
              <w:rPr>
                <w:rFonts w:cs="Arial"/>
                <w:sz w:val="20"/>
                <w:szCs w:val="20"/>
                <w:lang w:eastAsia="en-AU"/>
              </w:rPr>
              <w:t xml:space="preserve">: </w:t>
            </w:r>
            <w:r w:rsidRPr="005176BD">
              <w:rPr>
                <w:rFonts w:cs="Arial"/>
                <w:sz w:val="20"/>
                <w:szCs w:val="20"/>
                <w:lang w:eastAsia="en-AU"/>
              </w:rPr>
              <w:t>1217-1249</w:t>
            </w:r>
            <w:r w:rsidR="007E52CA" w:rsidRPr="005176BD">
              <w:rPr>
                <w:rFonts w:cs="Arial"/>
                <w:sz w:val="20"/>
                <w:szCs w:val="20"/>
                <w:lang w:eastAsia="en-AU"/>
              </w:rPr>
              <w:t>.</w:t>
            </w:r>
            <w:r w:rsidRPr="005176BD">
              <w:rPr>
                <w:rFonts w:cs="Arial"/>
                <w:sz w:val="20"/>
                <w:szCs w:val="20"/>
                <w:lang w:eastAsia="en-AU"/>
              </w:rPr>
              <w:t xml:space="preserve"> (Letter to the editor)</w:t>
            </w:r>
          </w:p>
        </w:tc>
        <w:tc>
          <w:tcPr>
            <w:tcW w:w="4077" w:type="dxa"/>
          </w:tcPr>
          <w:p w14:paraId="5527AB37" w14:textId="77777777" w:rsidR="00BE49A1" w:rsidRPr="005176BD" w:rsidRDefault="00BE49A1" w:rsidP="003B611A">
            <w:pPr>
              <w:rPr>
                <w:rFonts w:cs="Arial"/>
                <w:sz w:val="20"/>
                <w:szCs w:val="20"/>
                <w:lang w:eastAsia="en-AU"/>
              </w:rPr>
            </w:pPr>
            <w:r w:rsidRPr="005176BD">
              <w:rPr>
                <w:rFonts w:cs="Arial"/>
                <w:sz w:val="20"/>
                <w:szCs w:val="20"/>
                <w:lang w:eastAsia="en-AU"/>
              </w:rPr>
              <w:t>Baker A, Byles J, Loxton D, McLaughlin D, Graves D &amp; Dobson A.</w:t>
            </w:r>
          </w:p>
        </w:tc>
        <w:tc>
          <w:tcPr>
            <w:tcW w:w="617" w:type="dxa"/>
          </w:tcPr>
          <w:p w14:paraId="6DE04A26" w14:textId="332EC543" w:rsidR="00BE49A1" w:rsidRPr="005176BD" w:rsidRDefault="00BE49A1" w:rsidP="003B611A">
            <w:pPr>
              <w:rPr>
                <w:rFonts w:cs="Arial"/>
                <w:sz w:val="20"/>
                <w:szCs w:val="20"/>
                <w:lang w:eastAsia="en-AU"/>
              </w:rPr>
            </w:pPr>
            <w:r w:rsidRPr="005176BD">
              <w:rPr>
                <w:rFonts w:cs="Arial"/>
                <w:sz w:val="20"/>
                <w:szCs w:val="20"/>
                <w:lang w:eastAsia="en-AU"/>
              </w:rPr>
              <w:t>3</w:t>
            </w:r>
          </w:p>
        </w:tc>
      </w:tr>
      <w:tr w:rsidR="00BC3825" w:rsidRPr="00BC3825" w14:paraId="1249CBA6" w14:textId="77777777" w:rsidTr="0011030B">
        <w:tc>
          <w:tcPr>
            <w:tcW w:w="9161" w:type="dxa"/>
          </w:tcPr>
          <w:p w14:paraId="0908886C" w14:textId="77777777" w:rsidR="00BC3825" w:rsidRPr="005176BD" w:rsidRDefault="00BC3825" w:rsidP="003B611A">
            <w:pPr>
              <w:rPr>
                <w:rFonts w:cs="Arial"/>
                <w:sz w:val="20"/>
                <w:szCs w:val="20"/>
                <w:lang w:eastAsia="en-AU"/>
              </w:rPr>
            </w:pPr>
            <w:r w:rsidRPr="005176BD">
              <w:rPr>
                <w:rFonts w:cs="Arial"/>
                <w:sz w:val="20"/>
                <w:szCs w:val="20"/>
                <w:lang w:eastAsia="en-AU"/>
              </w:rPr>
              <w:t>The impact of socioeconomic status on changes in the general and mental health of women over time: Evidence from a longitudinal study of Australian women. International Journal for Equity in Health, 2013; 12(25): 1-11.</w:t>
            </w:r>
          </w:p>
        </w:tc>
        <w:tc>
          <w:tcPr>
            <w:tcW w:w="4077" w:type="dxa"/>
          </w:tcPr>
          <w:p w14:paraId="27664551" w14:textId="77777777" w:rsidR="00BC3825" w:rsidRPr="005176BD" w:rsidRDefault="00BC3825" w:rsidP="003B611A">
            <w:pPr>
              <w:rPr>
                <w:rFonts w:cs="Arial"/>
                <w:sz w:val="20"/>
                <w:szCs w:val="20"/>
                <w:lang w:eastAsia="en-AU"/>
              </w:rPr>
            </w:pPr>
            <w:r w:rsidRPr="005176BD">
              <w:rPr>
                <w:rFonts w:cs="Arial"/>
                <w:sz w:val="20"/>
                <w:szCs w:val="20"/>
                <w:lang w:eastAsia="en-AU"/>
              </w:rPr>
              <w:t>Stewart Williams J, Cunich M, Byles J.</w:t>
            </w:r>
          </w:p>
        </w:tc>
        <w:tc>
          <w:tcPr>
            <w:tcW w:w="617" w:type="dxa"/>
          </w:tcPr>
          <w:p w14:paraId="197E031A" w14:textId="77777777" w:rsidR="00BC3825" w:rsidRPr="005176BD" w:rsidRDefault="00BC3825" w:rsidP="003B611A">
            <w:pPr>
              <w:rPr>
                <w:rFonts w:cs="Arial"/>
                <w:sz w:val="20"/>
                <w:szCs w:val="20"/>
                <w:lang w:eastAsia="en-AU"/>
              </w:rPr>
            </w:pPr>
            <w:r w:rsidRPr="005176BD">
              <w:rPr>
                <w:rFonts w:cs="Arial"/>
                <w:sz w:val="20"/>
                <w:szCs w:val="20"/>
                <w:lang w:eastAsia="en-AU"/>
              </w:rPr>
              <w:t>7</w:t>
            </w:r>
          </w:p>
        </w:tc>
      </w:tr>
      <w:tr w:rsidR="00084B2B" w:rsidRPr="00084B2B" w14:paraId="3175CE35" w14:textId="77777777" w:rsidTr="0011030B">
        <w:tc>
          <w:tcPr>
            <w:tcW w:w="9161" w:type="dxa"/>
          </w:tcPr>
          <w:p w14:paraId="32612111" w14:textId="379B103E" w:rsidR="00084B2B" w:rsidRPr="005176BD" w:rsidRDefault="00084B2B" w:rsidP="003B611A">
            <w:pPr>
              <w:rPr>
                <w:rFonts w:cs="Arial"/>
                <w:sz w:val="20"/>
                <w:szCs w:val="20"/>
                <w:lang w:eastAsia="en-AU"/>
              </w:rPr>
            </w:pPr>
            <w:r w:rsidRPr="005176BD">
              <w:rPr>
                <w:rFonts w:cs="Arial"/>
                <w:sz w:val="20"/>
                <w:szCs w:val="20"/>
                <w:lang w:eastAsia="en-AU"/>
              </w:rPr>
              <w:t xml:space="preserve">Purpose and pleasure in late life: Conceptualising older women's participation in art and craft activities. Journal of Aging Studies, </w:t>
            </w:r>
            <w:r w:rsidR="00EB5432" w:rsidRPr="005176BD">
              <w:rPr>
                <w:rFonts w:cs="Arial"/>
                <w:sz w:val="20"/>
                <w:szCs w:val="20"/>
                <w:lang w:eastAsia="en-AU"/>
              </w:rPr>
              <w:t xml:space="preserve">2013; </w:t>
            </w:r>
            <w:r w:rsidRPr="005176BD">
              <w:rPr>
                <w:rFonts w:cs="Arial"/>
                <w:sz w:val="20"/>
                <w:szCs w:val="20"/>
                <w:lang w:eastAsia="en-AU"/>
              </w:rPr>
              <w:t>27(4)</w:t>
            </w:r>
            <w:r w:rsidR="00EB5432" w:rsidRPr="005176BD">
              <w:rPr>
                <w:rFonts w:cs="Arial"/>
                <w:sz w:val="20"/>
                <w:szCs w:val="20"/>
                <w:lang w:eastAsia="en-AU"/>
              </w:rPr>
              <w:t>:</w:t>
            </w:r>
            <w:r w:rsidRPr="005176BD">
              <w:rPr>
                <w:rFonts w:cs="Arial"/>
                <w:sz w:val="20"/>
                <w:szCs w:val="20"/>
                <w:lang w:eastAsia="en-AU"/>
              </w:rPr>
              <w:t xml:space="preserve"> 330-338. </w:t>
            </w:r>
          </w:p>
        </w:tc>
        <w:tc>
          <w:tcPr>
            <w:tcW w:w="4077" w:type="dxa"/>
          </w:tcPr>
          <w:p w14:paraId="533E4F02" w14:textId="77777777" w:rsidR="00084B2B" w:rsidRPr="005176BD" w:rsidRDefault="00084B2B" w:rsidP="003B611A">
            <w:pPr>
              <w:rPr>
                <w:rFonts w:cs="Arial"/>
                <w:sz w:val="20"/>
                <w:szCs w:val="20"/>
                <w:lang w:eastAsia="en-AU"/>
              </w:rPr>
            </w:pPr>
            <w:r w:rsidRPr="005176BD">
              <w:rPr>
                <w:rFonts w:cs="Arial"/>
                <w:sz w:val="20"/>
                <w:szCs w:val="20"/>
                <w:lang w:eastAsia="en-AU"/>
              </w:rPr>
              <w:t>Liddle J, Parkinson L &amp; Sibbritt D.</w:t>
            </w:r>
          </w:p>
        </w:tc>
        <w:tc>
          <w:tcPr>
            <w:tcW w:w="617" w:type="dxa"/>
          </w:tcPr>
          <w:p w14:paraId="1869E4A8" w14:textId="77777777" w:rsidR="00084B2B" w:rsidRPr="005176BD" w:rsidRDefault="00084B2B" w:rsidP="003B611A">
            <w:pPr>
              <w:rPr>
                <w:rFonts w:cs="Arial"/>
                <w:sz w:val="20"/>
                <w:szCs w:val="20"/>
                <w:lang w:eastAsia="en-AU"/>
              </w:rPr>
            </w:pPr>
            <w:r w:rsidRPr="005176BD">
              <w:rPr>
                <w:rFonts w:cs="Arial"/>
                <w:sz w:val="20"/>
                <w:szCs w:val="20"/>
                <w:lang w:eastAsia="en-AU"/>
              </w:rPr>
              <w:t>22</w:t>
            </w:r>
          </w:p>
        </w:tc>
      </w:tr>
      <w:tr w:rsidR="00084B2B" w:rsidRPr="00084B2B" w14:paraId="3FCD8A65" w14:textId="77777777" w:rsidTr="0011030B">
        <w:tc>
          <w:tcPr>
            <w:tcW w:w="9161" w:type="dxa"/>
          </w:tcPr>
          <w:p w14:paraId="0F74A48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Predictors of Complementary and Alternative Medicine (CAM) use in two cohorts of Australian women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2012; 25(1): 168-170.</w:t>
            </w:r>
          </w:p>
        </w:tc>
        <w:tc>
          <w:tcPr>
            <w:tcW w:w="4077" w:type="dxa"/>
          </w:tcPr>
          <w:p w14:paraId="08D92172"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Poulsen</w:t>
            </w:r>
            <w:proofErr w:type="spellEnd"/>
            <w:r w:rsidRPr="005176BD">
              <w:rPr>
                <w:rFonts w:cs="Arial"/>
                <w:sz w:val="20"/>
                <w:szCs w:val="20"/>
                <w:lang w:eastAsia="en-AU"/>
              </w:rPr>
              <w:t xml:space="preserve"> E, Sibbritt D, McLaughlin D, Adams J &amp; Pachana N. </w:t>
            </w:r>
          </w:p>
        </w:tc>
        <w:tc>
          <w:tcPr>
            <w:tcW w:w="617" w:type="dxa"/>
          </w:tcPr>
          <w:p w14:paraId="0CE4C7B1"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7E52CA" w:rsidRPr="00A04D4E" w14:paraId="76CE420A" w14:textId="77777777" w:rsidTr="0011030B">
        <w:trPr>
          <w:trHeight w:val="441"/>
        </w:trPr>
        <w:tc>
          <w:tcPr>
            <w:tcW w:w="9161" w:type="dxa"/>
          </w:tcPr>
          <w:p w14:paraId="581886F5" w14:textId="0DD306BD" w:rsidR="007E52CA" w:rsidRPr="005176BD" w:rsidRDefault="007E52CA" w:rsidP="003B611A">
            <w:pPr>
              <w:rPr>
                <w:rFonts w:cs="Arial"/>
                <w:sz w:val="20"/>
                <w:szCs w:val="20"/>
                <w:lang w:eastAsia="en-AU"/>
              </w:rPr>
            </w:pPr>
            <w:r w:rsidRPr="005176BD">
              <w:rPr>
                <w:rFonts w:cs="Arial"/>
                <w:sz w:val="20"/>
                <w:szCs w:val="20"/>
                <w:lang w:eastAsia="en-AU"/>
              </w:rPr>
              <w:t xml:space="preserve">Positive components of mental health provide significant protection against likelihood of falling in older women over a 13-year period. International </w:t>
            </w:r>
            <w:proofErr w:type="spellStart"/>
            <w:r w:rsidRPr="005176BD">
              <w:rPr>
                <w:rFonts w:cs="Arial"/>
                <w:sz w:val="20"/>
                <w:szCs w:val="20"/>
                <w:lang w:eastAsia="en-AU"/>
              </w:rPr>
              <w:t>Psychogeriatrics</w:t>
            </w:r>
            <w:proofErr w:type="spellEnd"/>
            <w:r w:rsidR="00EB5432" w:rsidRPr="005176BD">
              <w:rPr>
                <w:rFonts w:cs="Arial"/>
                <w:sz w:val="20"/>
                <w:szCs w:val="20"/>
                <w:lang w:eastAsia="en-AU"/>
              </w:rPr>
              <w:t xml:space="preserve">, </w:t>
            </w:r>
            <w:r w:rsidRPr="005176BD">
              <w:rPr>
                <w:rFonts w:cs="Arial"/>
                <w:sz w:val="20"/>
                <w:szCs w:val="20"/>
                <w:lang w:eastAsia="en-AU"/>
              </w:rPr>
              <w:t>201</w:t>
            </w:r>
            <w:r w:rsidR="008F3670" w:rsidRPr="005176BD">
              <w:rPr>
                <w:rFonts w:cs="Arial"/>
                <w:sz w:val="20"/>
                <w:szCs w:val="20"/>
                <w:lang w:eastAsia="en-AU"/>
              </w:rPr>
              <w:t>2</w:t>
            </w:r>
            <w:r w:rsidR="00EB5432" w:rsidRPr="005176BD">
              <w:rPr>
                <w:rFonts w:cs="Arial"/>
                <w:sz w:val="20"/>
                <w:szCs w:val="20"/>
                <w:lang w:eastAsia="en-AU"/>
              </w:rPr>
              <w:t>;</w:t>
            </w:r>
            <w:r w:rsidRPr="005176BD">
              <w:rPr>
                <w:rFonts w:cs="Arial"/>
                <w:sz w:val="20"/>
                <w:szCs w:val="20"/>
                <w:lang w:eastAsia="en-AU"/>
              </w:rPr>
              <w:t xml:space="preserve"> 24(9)</w:t>
            </w:r>
            <w:r w:rsidR="00EB5432" w:rsidRPr="005176BD">
              <w:rPr>
                <w:rFonts w:cs="Arial"/>
                <w:sz w:val="20"/>
                <w:szCs w:val="20"/>
                <w:lang w:eastAsia="en-AU"/>
              </w:rPr>
              <w:t>:</w:t>
            </w:r>
            <w:r w:rsidRPr="005176BD">
              <w:rPr>
                <w:rFonts w:cs="Arial"/>
                <w:sz w:val="20"/>
                <w:szCs w:val="20"/>
                <w:lang w:eastAsia="en-AU"/>
              </w:rPr>
              <w:t>1419-1428</w:t>
            </w:r>
            <w:r w:rsidR="00EB5432" w:rsidRPr="005176BD">
              <w:rPr>
                <w:rFonts w:cs="Arial"/>
                <w:sz w:val="20"/>
                <w:szCs w:val="20"/>
                <w:lang w:eastAsia="en-AU"/>
              </w:rPr>
              <w:t>.</w:t>
            </w:r>
          </w:p>
        </w:tc>
        <w:tc>
          <w:tcPr>
            <w:tcW w:w="4077" w:type="dxa"/>
          </w:tcPr>
          <w:p w14:paraId="3FFE5519" w14:textId="77777777" w:rsidR="007E52CA" w:rsidRPr="005176BD" w:rsidRDefault="007E52CA" w:rsidP="003B611A">
            <w:pPr>
              <w:rPr>
                <w:rFonts w:cs="Arial"/>
                <w:sz w:val="20"/>
                <w:szCs w:val="20"/>
                <w:lang w:eastAsia="en-AU"/>
              </w:rPr>
            </w:pPr>
            <w:r w:rsidRPr="005176BD">
              <w:rPr>
                <w:rFonts w:cs="Arial"/>
                <w:sz w:val="20"/>
                <w:szCs w:val="20"/>
                <w:lang w:eastAsia="en-AU"/>
              </w:rPr>
              <w:t>Burns R, Byles J, Mitchell P &amp; Anstey K.</w:t>
            </w:r>
          </w:p>
        </w:tc>
        <w:tc>
          <w:tcPr>
            <w:tcW w:w="617" w:type="dxa"/>
          </w:tcPr>
          <w:p w14:paraId="1B136FBC" w14:textId="24A9E429" w:rsidR="007E52CA" w:rsidRPr="005176BD" w:rsidRDefault="007E52CA" w:rsidP="003B611A">
            <w:pPr>
              <w:rPr>
                <w:rFonts w:cs="Arial"/>
                <w:sz w:val="20"/>
                <w:szCs w:val="20"/>
                <w:lang w:eastAsia="en-AU"/>
              </w:rPr>
            </w:pPr>
            <w:r w:rsidRPr="005176BD">
              <w:rPr>
                <w:rFonts w:cs="Arial"/>
                <w:sz w:val="20"/>
                <w:szCs w:val="20"/>
                <w:lang w:eastAsia="en-AU"/>
              </w:rPr>
              <w:t>8</w:t>
            </w:r>
          </w:p>
        </w:tc>
      </w:tr>
      <w:tr w:rsidR="008F3670" w:rsidRPr="008F3670" w14:paraId="3EC7C04D" w14:textId="77777777" w:rsidTr="0011030B">
        <w:trPr>
          <w:trHeight w:val="441"/>
        </w:trPr>
        <w:tc>
          <w:tcPr>
            <w:tcW w:w="9161" w:type="dxa"/>
          </w:tcPr>
          <w:p w14:paraId="140E5DE4" w14:textId="187D50D8" w:rsidR="008F3670" w:rsidRPr="005176BD" w:rsidRDefault="008F3670" w:rsidP="003B611A">
            <w:pPr>
              <w:rPr>
                <w:rFonts w:cs="Arial"/>
                <w:sz w:val="20"/>
                <w:szCs w:val="20"/>
                <w:lang w:eastAsia="en-AU"/>
              </w:rPr>
            </w:pPr>
            <w:r w:rsidRPr="005176BD">
              <w:rPr>
                <w:rFonts w:cs="Arial"/>
                <w:sz w:val="20"/>
                <w:szCs w:val="20"/>
                <w:lang w:eastAsia="en-AU"/>
              </w:rPr>
              <w:t xml:space="preserve">Anxiety and depression in adults in their eighties: Do gender differences remain?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2012; 24(1): 145-150.</w:t>
            </w:r>
          </w:p>
        </w:tc>
        <w:tc>
          <w:tcPr>
            <w:tcW w:w="4077" w:type="dxa"/>
          </w:tcPr>
          <w:p w14:paraId="0634A104" w14:textId="507BBD16" w:rsidR="008F3670" w:rsidRPr="005176BD" w:rsidRDefault="008F3670" w:rsidP="003B611A">
            <w:pPr>
              <w:rPr>
                <w:rFonts w:cs="Arial"/>
                <w:sz w:val="20"/>
                <w:szCs w:val="20"/>
                <w:lang w:eastAsia="en-AU"/>
              </w:rPr>
            </w:pPr>
            <w:r w:rsidRPr="005176BD">
              <w:rPr>
                <w:rFonts w:cs="Arial"/>
                <w:sz w:val="20"/>
                <w:szCs w:val="20"/>
                <w:lang w:eastAsia="en-AU"/>
              </w:rPr>
              <w:t>Pachana N, McLaughlin D, Leung J, Byrne G &amp; Dobson A.</w:t>
            </w:r>
          </w:p>
        </w:tc>
        <w:tc>
          <w:tcPr>
            <w:tcW w:w="617" w:type="dxa"/>
          </w:tcPr>
          <w:p w14:paraId="2C11B7DF" w14:textId="34A9958B" w:rsidR="008F3670" w:rsidRPr="005176BD" w:rsidRDefault="008F3670" w:rsidP="003B611A">
            <w:pPr>
              <w:rPr>
                <w:rFonts w:cs="Arial"/>
                <w:sz w:val="20"/>
                <w:szCs w:val="20"/>
                <w:lang w:eastAsia="en-AU"/>
              </w:rPr>
            </w:pPr>
            <w:r w:rsidRPr="005176BD">
              <w:rPr>
                <w:rFonts w:cs="Arial"/>
                <w:sz w:val="20"/>
                <w:szCs w:val="20"/>
                <w:lang w:eastAsia="en-AU"/>
              </w:rPr>
              <w:t>31</w:t>
            </w:r>
          </w:p>
        </w:tc>
      </w:tr>
      <w:tr w:rsidR="00BC3825" w:rsidRPr="0007184E" w14:paraId="78E2946E" w14:textId="77777777" w:rsidTr="0011030B">
        <w:tc>
          <w:tcPr>
            <w:tcW w:w="9161" w:type="dxa"/>
          </w:tcPr>
          <w:p w14:paraId="35CA748C" w14:textId="77777777" w:rsidR="00BC3825" w:rsidRPr="005176BD" w:rsidRDefault="00BC3825" w:rsidP="003B611A">
            <w:pPr>
              <w:rPr>
                <w:rFonts w:cs="Arial"/>
                <w:sz w:val="20"/>
                <w:szCs w:val="20"/>
                <w:lang w:eastAsia="en-AU"/>
              </w:rPr>
            </w:pPr>
            <w:r w:rsidRPr="005176BD">
              <w:rPr>
                <w:rFonts w:cs="Arial"/>
                <w:sz w:val="20"/>
                <w:szCs w:val="20"/>
                <w:lang w:eastAsia="en-AU"/>
              </w:rPr>
              <w:lastRenderedPageBreak/>
              <w:t xml:space="preserve">Positive components of mental health provide significant protection against likelihood of falling in older women over a 13 year period.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2012; 24(9): 1419-1428.</w:t>
            </w:r>
          </w:p>
        </w:tc>
        <w:tc>
          <w:tcPr>
            <w:tcW w:w="4077" w:type="dxa"/>
          </w:tcPr>
          <w:p w14:paraId="32E5DD47" w14:textId="77777777" w:rsidR="00BC3825" w:rsidRPr="005176BD" w:rsidRDefault="00BC3825" w:rsidP="003B611A">
            <w:pPr>
              <w:rPr>
                <w:rFonts w:cs="Arial"/>
                <w:sz w:val="20"/>
                <w:szCs w:val="20"/>
                <w:lang w:eastAsia="en-AU"/>
              </w:rPr>
            </w:pPr>
            <w:r w:rsidRPr="005176BD">
              <w:rPr>
                <w:rFonts w:cs="Arial"/>
                <w:sz w:val="20"/>
                <w:szCs w:val="20"/>
                <w:lang w:eastAsia="en-AU"/>
              </w:rPr>
              <w:t>Burns RA, Byles J, Mitchell P, Anstey KJ.</w:t>
            </w:r>
          </w:p>
        </w:tc>
        <w:tc>
          <w:tcPr>
            <w:tcW w:w="617" w:type="dxa"/>
          </w:tcPr>
          <w:p w14:paraId="3766AC09" w14:textId="77777777" w:rsidR="00BC3825" w:rsidRPr="005176BD" w:rsidRDefault="00BC3825" w:rsidP="003B611A">
            <w:pPr>
              <w:rPr>
                <w:rFonts w:cs="Arial"/>
                <w:sz w:val="20"/>
                <w:szCs w:val="20"/>
                <w:lang w:eastAsia="en-AU"/>
              </w:rPr>
            </w:pPr>
            <w:r w:rsidRPr="005176BD">
              <w:rPr>
                <w:rFonts w:cs="Arial"/>
                <w:sz w:val="20"/>
                <w:szCs w:val="20"/>
                <w:lang w:eastAsia="en-AU"/>
              </w:rPr>
              <w:t>6</w:t>
            </w:r>
          </w:p>
        </w:tc>
      </w:tr>
      <w:tr w:rsidR="00084B2B" w:rsidRPr="00084B2B" w14:paraId="7D08DEE9" w14:textId="77777777" w:rsidTr="0011030B">
        <w:tc>
          <w:tcPr>
            <w:tcW w:w="9161" w:type="dxa"/>
          </w:tcPr>
          <w:p w14:paraId="4B432E44" w14:textId="08A8F5FE" w:rsidR="00084B2B" w:rsidRPr="005176BD" w:rsidRDefault="00084B2B" w:rsidP="003B611A">
            <w:pPr>
              <w:rPr>
                <w:rFonts w:cs="Arial"/>
                <w:sz w:val="20"/>
                <w:szCs w:val="20"/>
                <w:lang w:eastAsia="en-AU"/>
              </w:rPr>
            </w:pPr>
            <w:r w:rsidRPr="005176BD">
              <w:rPr>
                <w:rFonts w:cs="Arial"/>
                <w:sz w:val="20"/>
                <w:szCs w:val="20"/>
                <w:lang w:eastAsia="en-AU"/>
              </w:rPr>
              <w:t xml:space="preserve">Painting pictures and playing musical instruments: Change in participation and relationship to health in older women. Australasian Journal on Ageing, </w:t>
            </w:r>
            <w:r w:rsidR="00EB5432" w:rsidRPr="005176BD">
              <w:rPr>
                <w:rFonts w:cs="Arial"/>
                <w:sz w:val="20"/>
                <w:szCs w:val="20"/>
                <w:lang w:eastAsia="en-AU"/>
              </w:rPr>
              <w:t xml:space="preserve">2012; </w:t>
            </w:r>
            <w:r w:rsidRPr="005176BD">
              <w:rPr>
                <w:rFonts w:cs="Arial"/>
                <w:sz w:val="20"/>
                <w:szCs w:val="20"/>
                <w:lang w:eastAsia="en-AU"/>
              </w:rPr>
              <w:t>31(4)</w:t>
            </w:r>
            <w:r w:rsidR="00EB5432" w:rsidRPr="005176BD">
              <w:rPr>
                <w:rFonts w:cs="Arial"/>
                <w:sz w:val="20"/>
                <w:szCs w:val="20"/>
                <w:lang w:eastAsia="en-AU"/>
              </w:rPr>
              <w:t>:</w:t>
            </w:r>
            <w:r w:rsidRPr="005176BD">
              <w:rPr>
                <w:rFonts w:cs="Arial"/>
                <w:sz w:val="20"/>
                <w:szCs w:val="20"/>
                <w:lang w:eastAsia="en-AU"/>
              </w:rPr>
              <w:t xml:space="preserve"> 218-221.</w:t>
            </w:r>
          </w:p>
        </w:tc>
        <w:tc>
          <w:tcPr>
            <w:tcW w:w="4077" w:type="dxa"/>
          </w:tcPr>
          <w:p w14:paraId="6B52BDEB" w14:textId="77777777" w:rsidR="00084B2B" w:rsidRPr="005176BD" w:rsidRDefault="00084B2B" w:rsidP="003B611A">
            <w:pPr>
              <w:rPr>
                <w:rFonts w:cs="Arial"/>
                <w:sz w:val="20"/>
                <w:szCs w:val="20"/>
                <w:lang w:eastAsia="en-AU"/>
              </w:rPr>
            </w:pPr>
            <w:r w:rsidRPr="005176BD">
              <w:rPr>
                <w:rFonts w:cs="Arial"/>
                <w:sz w:val="20"/>
                <w:szCs w:val="20"/>
                <w:lang w:eastAsia="en-AU"/>
              </w:rPr>
              <w:t>Liddle J, Parkinson L &amp; Sibbritt D.</w:t>
            </w:r>
          </w:p>
        </w:tc>
        <w:tc>
          <w:tcPr>
            <w:tcW w:w="617" w:type="dxa"/>
          </w:tcPr>
          <w:p w14:paraId="604CCAB1"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084B2B" w:rsidRPr="00084B2B" w14:paraId="3EE72BB7" w14:textId="77777777" w:rsidTr="0011030B">
        <w:tc>
          <w:tcPr>
            <w:tcW w:w="9161" w:type="dxa"/>
          </w:tcPr>
          <w:p w14:paraId="585C7F16" w14:textId="5B353E7D" w:rsidR="00084B2B" w:rsidRPr="005176BD" w:rsidRDefault="00084B2B" w:rsidP="003B611A">
            <w:pPr>
              <w:rPr>
                <w:rFonts w:cs="Arial"/>
                <w:sz w:val="20"/>
                <w:szCs w:val="20"/>
                <w:lang w:eastAsia="en-AU"/>
              </w:rPr>
            </w:pPr>
            <w:r w:rsidRPr="005176BD">
              <w:rPr>
                <w:rFonts w:cs="Arial"/>
                <w:sz w:val="20"/>
                <w:szCs w:val="20"/>
                <w:lang w:eastAsia="en-AU"/>
              </w:rPr>
              <w:t xml:space="preserve">Modifiable risk factors associated with faecal incontinence in older community dwelling women. Journal of Gastroenterology and </w:t>
            </w:r>
            <w:proofErr w:type="spellStart"/>
            <w:r w:rsidRPr="005176BD">
              <w:rPr>
                <w:rFonts w:cs="Arial"/>
                <w:sz w:val="20"/>
                <w:szCs w:val="20"/>
                <w:lang w:eastAsia="en-AU"/>
              </w:rPr>
              <w:t>Hepatology</w:t>
            </w:r>
            <w:proofErr w:type="spellEnd"/>
            <w:r w:rsidRPr="005176BD">
              <w:rPr>
                <w:rFonts w:cs="Arial"/>
                <w:sz w:val="20"/>
                <w:szCs w:val="20"/>
                <w:lang w:eastAsia="en-AU"/>
              </w:rPr>
              <w:t xml:space="preserve">, </w:t>
            </w:r>
            <w:r w:rsidR="00EB5432" w:rsidRPr="005176BD">
              <w:rPr>
                <w:rFonts w:cs="Arial"/>
                <w:sz w:val="20"/>
                <w:szCs w:val="20"/>
                <w:lang w:eastAsia="en-AU"/>
              </w:rPr>
              <w:t xml:space="preserve">2011; </w:t>
            </w:r>
            <w:r w:rsidRPr="005176BD">
              <w:rPr>
                <w:rFonts w:cs="Arial"/>
                <w:sz w:val="20"/>
                <w:szCs w:val="20"/>
                <w:lang w:eastAsia="en-AU"/>
              </w:rPr>
              <w:t>26(Supp. 4)</w:t>
            </w:r>
            <w:r w:rsidR="00EB5432" w:rsidRPr="005176BD">
              <w:rPr>
                <w:rFonts w:cs="Arial"/>
                <w:sz w:val="20"/>
                <w:szCs w:val="20"/>
                <w:lang w:eastAsia="en-AU"/>
              </w:rPr>
              <w:t>:</w:t>
            </w:r>
            <w:r w:rsidRPr="005176BD">
              <w:rPr>
                <w:rFonts w:cs="Arial"/>
                <w:sz w:val="20"/>
                <w:szCs w:val="20"/>
                <w:lang w:eastAsia="en-AU"/>
              </w:rPr>
              <w:t xml:space="preserve"> 84-88. </w:t>
            </w:r>
          </w:p>
        </w:tc>
        <w:tc>
          <w:tcPr>
            <w:tcW w:w="4077" w:type="dxa"/>
          </w:tcPr>
          <w:p w14:paraId="6F84654D"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Halland</w:t>
            </w:r>
            <w:proofErr w:type="spellEnd"/>
            <w:r w:rsidRPr="005176BD">
              <w:rPr>
                <w:rFonts w:cs="Arial"/>
                <w:sz w:val="20"/>
                <w:szCs w:val="20"/>
                <w:lang w:eastAsia="en-AU"/>
              </w:rPr>
              <w:t xml:space="preserve"> M, </w:t>
            </w:r>
            <w:proofErr w:type="spellStart"/>
            <w:r w:rsidRPr="005176BD">
              <w:rPr>
                <w:rFonts w:cs="Arial"/>
                <w:sz w:val="20"/>
                <w:szCs w:val="20"/>
                <w:lang w:eastAsia="en-AU"/>
              </w:rPr>
              <w:t>Koloski</w:t>
            </w:r>
            <w:proofErr w:type="spellEnd"/>
            <w:r w:rsidRPr="005176BD">
              <w:rPr>
                <w:rFonts w:cs="Arial"/>
                <w:sz w:val="20"/>
                <w:szCs w:val="20"/>
                <w:lang w:eastAsia="en-AU"/>
              </w:rPr>
              <w:t xml:space="preserve"> N, Jones M, Byles J, </w:t>
            </w:r>
            <w:proofErr w:type="spellStart"/>
            <w:r w:rsidRPr="005176BD">
              <w:rPr>
                <w:rFonts w:cs="Arial"/>
                <w:sz w:val="20"/>
                <w:szCs w:val="20"/>
                <w:lang w:eastAsia="en-AU"/>
              </w:rPr>
              <w:t>Chiarelli</w:t>
            </w:r>
            <w:proofErr w:type="spellEnd"/>
            <w:r w:rsidRPr="005176BD">
              <w:rPr>
                <w:rFonts w:cs="Arial"/>
                <w:sz w:val="20"/>
                <w:szCs w:val="20"/>
                <w:lang w:eastAsia="en-AU"/>
              </w:rPr>
              <w:t xml:space="preserve"> P, Forder P &amp; Talley N.</w:t>
            </w:r>
          </w:p>
        </w:tc>
        <w:tc>
          <w:tcPr>
            <w:tcW w:w="617" w:type="dxa"/>
          </w:tcPr>
          <w:p w14:paraId="452F33E8" w14:textId="77777777" w:rsidR="00084B2B" w:rsidRPr="005176BD" w:rsidRDefault="00084B2B" w:rsidP="003B611A">
            <w:pPr>
              <w:rPr>
                <w:rFonts w:cs="Arial"/>
                <w:sz w:val="20"/>
                <w:szCs w:val="20"/>
                <w:lang w:eastAsia="en-AU"/>
              </w:rPr>
            </w:pPr>
            <w:r w:rsidRPr="005176BD">
              <w:rPr>
                <w:rFonts w:cs="Arial"/>
                <w:sz w:val="20"/>
                <w:szCs w:val="20"/>
                <w:lang w:eastAsia="en-AU"/>
              </w:rPr>
              <w:t>28</w:t>
            </w:r>
          </w:p>
        </w:tc>
      </w:tr>
      <w:tr w:rsidR="00084B2B" w:rsidRPr="00084B2B" w14:paraId="5DA31E7A" w14:textId="77777777" w:rsidTr="0011030B">
        <w:tc>
          <w:tcPr>
            <w:tcW w:w="9161" w:type="dxa"/>
          </w:tcPr>
          <w:p w14:paraId="4584DC8E" w14:textId="3CA69916" w:rsidR="00084B2B" w:rsidRPr="005176BD" w:rsidRDefault="00FB70EC" w:rsidP="003B611A">
            <w:pPr>
              <w:rPr>
                <w:rFonts w:cs="Arial"/>
                <w:sz w:val="20"/>
                <w:szCs w:val="20"/>
                <w:lang w:eastAsia="en-AU"/>
              </w:rPr>
            </w:pPr>
            <w:r w:rsidRPr="005176BD">
              <w:rPr>
                <w:rFonts w:cs="Arial"/>
                <w:sz w:val="20"/>
                <w:szCs w:val="20"/>
                <w:lang w:eastAsia="en-AU"/>
              </w:rPr>
              <w:t>The validity of self-reported cancer diagnoses and factors associated with accurate reporting in a cohort of older Australian women. Cancer Epidemiology, 2011; 35(6): e75-e80.</w:t>
            </w:r>
          </w:p>
        </w:tc>
        <w:tc>
          <w:tcPr>
            <w:tcW w:w="4077" w:type="dxa"/>
          </w:tcPr>
          <w:p w14:paraId="150DFB98"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Stavrou</w:t>
            </w:r>
            <w:proofErr w:type="spellEnd"/>
            <w:r w:rsidRPr="005176BD">
              <w:rPr>
                <w:rFonts w:cs="Arial"/>
                <w:sz w:val="20"/>
                <w:szCs w:val="20"/>
                <w:lang w:eastAsia="en-AU"/>
              </w:rPr>
              <w:t xml:space="preserve"> E, </w:t>
            </w:r>
            <w:proofErr w:type="spellStart"/>
            <w:r w:rsidRPr="005176BD">
              <w:rPr>
                <w:rFonts w:cs="Arial"/>
                <w:sz w:val="20"/>
                <w:szCs w:val="20"/>
                <w:lang w:eastAsia="en-AU"/>
              </w:rPr>
              <w:t>Vajdic</w:t>
            </w:r>
            <w:proofErr w:type="spellEnd"/>
            <w:r w:rsidRPr="005176BD">
              <w:rPr>
                <w:rFonts w:cs="Arial"/>
                <w:sz w:val="20"/>
                <w:szCs w:val="20"/>
                <w:lang w:eastAsia="en-AU"/>
              </w:rPr>
              <w:t xml:space="preserve"> C, Loxton D &amp; Pearson S-A.</w:t>
            </w:r>
          </w:p>
        </w:tc>
        <w:tc>
          <w:tcPr>
            <w:tcW w:w="617" w:type="dxa"/>
          </w:tcPr>
          <w:p w14:paraId="5479BF0C" w14:textId="77777777" w:rsidR="00084B2B" w:rsidRPr="005176BD" w:rsidRDefault="00084B2B" w:rsidP="003B611A">
            <w:pPr>
              <w:rPr>
                <w:rFonts w:cs="Arial"/>
                <w:sz w:val="20"/>
                <w:szCs w:val="20"/>
                <w:lang w:eastAsia="en-AU"/>
              </w:rPr>
            </w:pPr>
            <w:r w:rsidRPr="005176BD">
              <w:rPr>
                <w:rFonts w:cs="Arial"/>
                <w:sz w:val="20"/>
                <w:szCs w:val="20"/>
                <w:lang w:eastAsia="en-AU"/>
              </w:rPr>
              <w:t>22</w:t>
            </w:r>
          </w:p>
        </w:tc>
      </w:tr>
      <w:tr w:rsidR="00084B2B" w:rsidRPr="00084B2B" w14:paraId="0D714322" w14:textId="77777777" w:rsidTr="0011030B">
        <w:tc>
          <w:tcPr>
            <w:tcW w:w="9161" w:type="dxa"/>
          </w:tcPr>
          <w:p w14:paraId="55D51678" w14:textId="4EF2417C" w:rsidR="00084B2B" w:rsidRPr="005176BD" w:rsidRDefault="00FB70EC" w:rsidP="003B611A">
            <w:pPr>
              <w:rPr>
                <w:rFonts w:cs="Arial"/>
                <w:sz w:val="20"/>
                <w:szCs w:val="20"/>
                <w:lang w:eastAsia="en-AU"/>
              </w:rPr>
            </w:pPr>
            <w:r w:rsidRPr="005176BD">
              <w:rPr>
                <w:rFonts w:cs="Arial"/>
                <w:sz w:val="20"/>
                <w:szCs w:val="20"/>
                <w:lang w:eastAsia="en-AU"/>
              </w:rPr>
              <w:t>Women’s uptake of Medicare Benefits Schedule mental health items for general practitioners, psychologists and other allied mental health professionals. Medical Journal of Australia, 2011; 194(4): 175-179.</w:t>
            </w:r>
          </w:p>
        </w:tc>
        <w:tc>
          <w:tcPr>
            <w:tcW w:w="4077" w:type="dxa"/>
          </w:tcPr>
          <w:p w14:paraId="6ACBE5DD" w14:textId="77777777" w:rsidR="00084B2B" w:rsidRPr="005176BD" w:rsidRDefault="00084B2B" w:rsidP="003B611A">
            <w:pPr>
              <w:rPr>
                <w:rFonts w:cs="Arial"/>
                <w:sz w:val="20"/>
                <w:szCs w:val="20"/>
                <w:lang w:eastAsia="en-AU"/>
              </w:rPr>
            </w:pPr>
            <w:r w:rsidRPr="005176BD">
              <w:rPr>
                <w:rFonts w:cs="Arial"/>
                <w:sz w:val="20"/>
                <w:szCs w:val="20"/>
                <w:lang w:eastAsia="en-AU"/>
              </w:rPr>
              <w:t>Byles JE, Dolja-Gore X, Loxton D, Parkinson L &amp; Stewart Williams J.</w:t>
            </w:r>
          </w:p>
        </w:tc>
        <w:tc>
          <w:tcPr>
            <w:tcW w:w="617" w:type="dxa"/>
          </w:tcPr>
          <w:p w14:paraId="2B3E3B2F" w14:textId="77777777" w:rsidR="00084B2B" w:rsidRPr="005176BD" w:rsidRDefault="00084B2B" w:rsidP="003B611A">
            <w:pPr>
              <w:rPr>
                <w:rFonts w:cs="Arial"/>
                <w:sz w:val="20"/>
                <w:szCs w:val="20"/>
                <w:lang w:eastAsia="en-AU"/>
              </w:rPr>
            </w:pPr>
            <w:r w:rsidRPr="005176BD">
              <w:rPr>
                <w:rFonts w:cs="Arial"/>
                <w:sz w:val="20"/>
                <w:szCs w:val="20"/>
                <w:lang w:eastAsia="en-AU"/>
              </w:rPr>
              <w:t>19</w:t>
            </w:r>
          </w:p>
        </w:tc>
      </w:tr>
      <w:tr w:rsidR="00084B2B" w:rsidRPr="00084B2B" w14:paraId="48208415" w14:textId="77777777" w:rsidTr="0011030B">
        <w:tc>
          <w:tcPr>
            <w:tcW w:w="9161" w:type="dxa"/>
          </w:tcPr>
          <w:p w14:paraId="4D2926A6" w14:textId="529AA91A" w:rsidR="00084B2B" w:rsidRPr="005176BD" w:rsidRDefault="00084B2B" w:rsidP="003B611A">
            <w:pPr>
              <w:rPr>
                <w:rFonts w:cs="Arial"/>
                <w:sz w:val="20"/>
                <w:szCs w:val="20"/>
                <w:lang w:eastAsia="en-AU"/>
              </w:rPr>
            </w:pPr>
            <w:r w:rsidRPr="005176BD">
              <w:rPr>
                <w:rFonts w:cs="Arial"/>
                <w:sz w:val="20"/>
                <w:szCs w:val="20"/>
                <w:lang w:eastAsia="en-AU"/>
              </w:rPr>
              <w:t xml:space="preserve">Older women and arthritis: Tracking impact over time. Australasian Journal on Ageing, </w:t>
            </w:r>
            <w:r w:rsidR="00EB5432" w:rsidRPr="005176BD">
              <w:rPr>
                <w:rFonts w:cs="Arial"/>
                <w:sz w:val="20"/>
                <w:szCs w:val="20"/>
                <w:lang w:eastAsia="en-AU"/>
              </w:rPr>
              <w:t>2010;</w:t>
            </w:r>
            <w:r w:rsidR="008F3670" w:rsidRPr="005176BD">
              <w:rPr>
                <w:rFonts w:cs="Arial"/>
                <w:sz w:val="20"/>
                <w:szCs w:val="20"/>
                <w:lang w:eastAsia="en-AU"/>
              </w:rPr>
              <w:t xml:space="preserve"> </w:t>
            </w:r>
            <w:r w:rsidRPr="005176BD">
              <w:rPr>
                <w:rFonts w:cs="Arial"/>
                <w:sz w:val="20"/>
                <w:szCs w:val="20"/>
                <w:lang w:eastAsia="en-AU"/>
              </w:rPr>
              <w:t>29(4)</w:t>
            </w:r>
            <w:r w:rsidR="00EB5432" w:rsidRPr="005176BD">
              <w:rPr>
                <w:rFonts w:cs="Arial"/>
                <w:sz w:val="20"/>
                <w:szCs w:val="20"/>
                <w:lang w:eastAsia="en-AU"/>
              </w:rPr>
              <w:t>:</w:t>
            </w:r>
            <w:r w:rsidRPr="005176BD">
              <w:rPr>
                <w:rFonts w:cs="Arial"/>
                <w:sz w:val="20"/>
                <w:szCs w:val="20"/>
                <w:lang w:eastAsia="en-AU"/>
              </w:rPr>
              <w:t xml:space="preserve"> 155-160.</w:t>
            </w:r>
          </w:p>
        </w:tc>
        <w:tc>
          <w:tcPr>
            <w:tcW w:w="4077" w:type="dxa"/>
          </w:tcPr>
          <w:p w14:paraId="3EBC8A18" w14:textId="77777777" w:rsidR="00084B2B" w:rsidRPr="005176BD" w:rsidRDefault="00084B2B" w:rsidP="003B611A">
            <w:pPr>
              <w:rPr>
                <w:rFonts w:cs="Arial"/>
                <w:sz w:val="20"/>
                <w:szCs w:val="20"/>
                <w:lang w:eastAsia="en-AU"/>
              </w:rPr>
            </w:pPr>
            <w:r w:rsidRPr="005176BD">
              <w:rPr>
                <w:rFonts w:cs="Arial"/>
                <w:sz w:val="20"/>
                <w:szCs w:val="20"/>
                <w:lang w:eastAsia="en-AU"/>
              </w:rPr>
              <w:t>Parkinson L, Gibson R, Robinson I &amp; Byles J.</w:t>
            </w:r>
          </w:p>
        </w:tc>
        <w:tc>
          <w:tcPr>
            <w:tcW w:w="617" w:type="dxa"/>
          </w:tcPr>
          <w:p w14:paraId="620A81C0" w14:textId="77777777" w:rsidR="00084B2B" w:rsidRPr="005176BD" w:rsidRDefault="00084B2B" w:rsidP="003B611A">
            <w:pPr>
              <w:rPr>
                <w:rFonts w:cs="Arial"/>
                <w:sz w:val="20"/>
                <w:szCs w:val="20"/>
                <w:lang w:eastAsia="en-AU"/>
              </w:rPr>
            </w:pPr>
            <w:r w:rsidRPr="005176BD">
              <w:rPr>
                <w:rFonts w:cs="Arial"/>
                <w:sz w:val="20"/>
                <w:szCs w:val="20"/>
                <w:lang w:eastAsia="en-AU"/>
              </w:rPr>
              <w:t>30</w:t>
            </w:r>
          </w:p>
        </w:tc>
      </w:tr>
      <w:tr w:rsidR="00084B2B" w:rsidRPr="00084B2B" w14:paraId="322EE7E0" w14:textId="77777777" w:rsidTr="0011030B">
        <w:tc>
          <w:tcPr>
            <w:tcW w:w="9161" w:type="dxa"/>
          </w:tcPr>
          <w:p w14:paraId="2277F199" w14:textId="501E3D66" w:rsidR="00084B2B" w:rsidRPr="005176BD" w:rsidRDefault="00084B2B" w:rsidP="003B611A">
            <w:pPr>
              <w:rPr>
                <w:rFonts w:cs="Arial"/>
                <w:sz w:val="20"/>
                <w:szCs w:val="20"/>
                <w:lang w:eastAsia="en-AU"/>
              </w:rPr>
            </w:pPr>
            <w:r w:rsidRPr="005176BD">
              <w:rPr>
                <w:rFonts w:cs="Arial"/>
                <w:sz w:val="20"/>
                <w:szCs w:val="20"/>
                <w:lang w:eastAsia="en-AU"/>
              </w:rPr>
              <w:t xml:space="preserve">Gender differences in social network size and satisfaction in adults in their seventies. Journal of Health Psychology, </w:t>
            </w:r>
            <w:r w:rsidR="00EB5432" w:rsidRPr="005176BD">
              <w:rPr>
                <w:rFonts w:cs="Arial"/>
                <w:sz w:val="20"/>
                <w:szCs w:val="20"/>
                <w:lang w:eastAsia="en-AU"/>
              </w:rPr>
              <w:t xml:space="preserve">2010; </w:t>
            </w:r>
            <w:r w:rsidRPr="005176BD">
              <w:rPr>
                <w:rFonts w:cs="Arial"/>
                <w:sz w:val="20"/>
                <w:szCs w:val="20"/>
                <w:lang w:eastAsia="en-AU"/>
              </w:rPr>
              <w:t>15(5)</w:t>
            </w:r>
            <w:r w:rsidR="00EB5432" w:rsidRPr="005176BD">
              <w:rPr>
                <w:rFonts w:cs="Arial"/>
                <w:sz w:val="20"/>
                <w:szCs w:val="20"/>
                <w:lang w:eastAsia="en-AU"/>
              </w:rPr>
              <w:t>:</w:t>
            </w:r>
            <w:r w:rsidRPr="005176BD">
              <w:rPr>
                <w:rFonts w:cs="Arial"/>
                <w:sz w:val="20"/>
                <w:szCs w:val="20"/>
                <w:lang w:eastAsia="en-AU"/>
              </w:rPr>
              <w:t xml:space="preserve"> 671-679. </w:t>
            </w:r>
          </w:p>
        </w:tc>
        <w:tc>
          <w:tcPr>
            <w:tcW w:w="4077" w:type="dxa"/>
          </w:tcPr>
          <w:p w14:paraId="6E7C377F" w14:textId="77777777" w:rsidR="00084B2B" w:rsidRPr="005176BD" w:rsidRDefault="00084B2B" w:rsidP="003B611A">
            <w:pPr>
              <w:rPr>
                <w:rFonts w:cs="Arial"/>
                <w:sz w:val="20"/>
                <w:szCs w:val="20"/>
                <w:lang w:eastAsia="en-AU"/>
              </w:rPr>
            </w:pPr>
            <w:r w:rsidRPr="005176BD">
              <w:rPr>
                <w:rFonts w:cs="Arial"/>
                <w:sz w:val="20"/>
                <w:szCs w:val="20"/>
                <w:lang w:eastAsia="en-AU"/>
              </w:rPr>
              <w:t xml:space="preserve">McLaughlin D, </w:t>
            </w:r>
            <w:proofErr w:type="spellStart"/>
            <w:r w:rsidRPr="005176BD">
              <w:rPr>
                <w:rFonts w:cs="Arial"/>
                <w:sz w:val="20"/>
                <w:szCs w:val="20"/>
                <w:lang w:eastAsia="en-AU"/>
              </w:rPr>
              <w:t>Vagenas</w:t>
            </w:r>
            <w:proofErr w:type="spellEnd"/>
            <w:r w:rsidRPr="005176BD">
              <w:rPr>
                <w:rFonts w:cs="Arial"/>
                <w:sz w:val="20"/>
                <w:szCs w:val="20"/>
                <w:lang w:eastAsia="en-AU"/>
              </w:rPr>
              <w:t xml:space="preserve"> D, Pachana N, Begum N &amp; Dobson A.</w:t>
            </w:r>
          </w:p>
        </w:tc>
        <w:tc>
          <w:tcPr>
            <w:tcW w:w="617" w:type="dxa"/>
          </w:tcPr>
          <w:p w14:paraId="2E69F6D4" w14:textId="77777777" w:rsidR="00084B2B" w:rsidRPr="005176BD" w:rsidRDefault="00084B2B" w:rsidP="003B611A">
            <w:pPr>
              <w:rPr>
                <w:rFonts w:cs="Arial"/>
                <w:sz w:val="20"/>
                <w:szCs w:val="20"/>
                <w:lang w:eastAsia="en-AU"/>
              </w:rPr>
            </w:pPr>
            <w:r w:rsidRPr="005176BD">
              <w:rPr>
                <w:rFonts w:cs="Arial"/>
                <w:sz w:val="20"/>
                <w:szCs w:val="20"/>
                <w:lang w:eastAsia="en-AU"/>
              </w:rPr>
              <w:t>94</w:t>
            </w:r>
          </w:p>
        </w:tc>
      </w:tr>
      <w:tr w:rsidR="00084B2B" w:rsidRPr="00084B2B" w14:paraId="51614B2C" w14:textId="77777777" w:rsidTr="0011030B">
        <w:tc>
          <w:tcPr>
            <w:tcW w:w="9161" w:type="dxa"/>
          </w:tcPr>
          <w:p w14:paraId="4C825371" w14:textId="5F9C1D77" w:rsidR="00084B2B" w:rsidRPr="005176BD" w:rsidRDefault="00084B2B" w:rsidP="003B611A">
            <w:pPr>
              <w:rPr>
                <w:rFonts w:cs="Arial"/>
                <w:sz w:val="20"/>
                <w:szCs w:val="20"/>
                <w:lang w:eastAsia="en-AU"/>
              </w:rPr>
            </w:pPr>
            <w:r w:rsidRPr="005176BD">
              <w:rPr>
                <w:rFonts w:cs="Arial"/>
                <w:sz w:val="20"/>
                <w:szCs w:val="20"/>
                <w:lang w:eastAsia="en-AU"/>
              </w:rPr>
              <w:t xml:space="preserve">Self-rated health and a healthy lifestyle are the most important predictors of survival in elderly women. Age &amp; Ageing, </w:t>
            </w:r>
            <w:r w:rsidR="00EB5432" w:rsidRPr="005176BD">
              <w:rPr>
                <w:rFonts w:cs="Arial"/>
                <w:sz w:val="20"/>
                <w:szCs w:val="20"/>
                <w:lang w:eastAsia="en-AU"/>
              </w:rPr>
              <w:t xml:space="preserve">2008; </w:t>
            </w:r>
            <w:r w:rsidRPr="005176BD">
              <w:rPr>
                <w:rFonts w:cs="Arial"/>
                <w:sz w:val="20"/>
                <w:szCs w:val="20"/>
                <w:lang w:eastAsia="en-AU"/>
              </w:rPr>
              <w:t>37(2)</w:t>
            </w:r>
            <w:r w:rsidR="00EB5432" w:rsidRPr="005176BD">
              <w:rPr>
                <w:rFonts w:cs="Arial"/>
                <w:sz w:val="20"/>
                <w:szCs w:val="20"/>
                <w:lang w:eastAsia="en-AU"/>
              </w:rPr>
              <w:t>:</w:t>
            </w:r>
            <w:r w:rsidRPr="005176BD">
              <w:rPr>
                <w:rFonts w:cs="Arial"/>
                <w:sz w:val="20"/>
                <w:szCs w:val="20"/>
                <w:lang w:eastAsia="en-AU"/>
              </w:rPr>
              <w:t xml:space="preserve"> 194-200.</w:t>
            </w:r>
          </w:p>
        </w:tc>
        <w:tc>
          <w:tcPr>
            <w:tcW w:w="4077" w:type="dxa"/>
          </w:tcPr>
          <w:p w14:paraId="3EC7F27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Ford J, </w:t>
            </w:r>
            <w:proofErr w:type="spellStart"/>
            <w:r w:rsidRPr="005176BD">
              <w:rPr>
                <w:rFonts w:cs="Arial"/>
                <w:sz w:val="20"/>
                <w:szCs w:val="20"/>
                <w:lang w:eastAsia="en-AU"/>
              </w:rPr>
              <w:t>Spallek</w:t>
            </w:r>
            <w:proofErr w:type="spellEnd"/>
            <w:r w:rsidRPr="005176BD">
              <w:rPr>
                <w:rFonts w:cs="Arial"/>
                <w:sz w:val="20"/>
                <w:szCs w:val="20"/>
                <w:lang w:eastAsia="en-AU"/>
              </w:rPr>
              <w:t xml:space="preserve"> M &amp; Dobson A.</w:t>
            </w:r>
          </w:p>
        </w:tc>
        <w:tc>
          <w:tcPr>
            <w:tcW w:w="617" w:type="dxa"/>
          </w:tcPr>
          <w:p w14:paraId="17AC8B1B" w14:textId="77777777" w:rsidR="00084B2B" w:rsidRPr="005176BD" w:rsidRDefault="00084B2B" w:rsidP="003B611A">
            <w:pPr>
              <w:rPr>
                <w:rFonts w:cs="Arial"/>
                <w:sz w:val="20"/>
                <w:szCs w:val="20"/>
                <w:lang w:eastAsia="en-AU"/>
              </w:rPr>
            </w:pPr>
            <w:r w:rsidRPr="005176BD">
              <w:rPr>
                <w:rFonts w:cs="Arial"/>
                <w:sz w:val="20"/>
                <w:szCs w:val="20"/>
                <w:lang w:eastAsia="en-AU"/>
              </w:rPr>
              <w:t>127</w:t>
            </w:r>
          </w:p>
        </w:tc>
      </w:tr>
      <w:tr w:rsidR="00084B2B" w:rsidRPr="00084B2B" w14:paraId="6A783AC3" w14:textId="77777777" w:rsidTr="0011030B">
        <w:tc>
          <w:tcPr>
            <w:tcW w:w="9161" w:type="dxa"/>
          </w:tcPr>
          <w:p w14:paraId="1C8DB1F3" w14:textId="139E0235" w:rsidR="00084B2B" w:rsidRPr="005176BD" w:rsidRDefault="00084B2B" w:rsidP="003B611A">
            <w:pPr>
              <w:rPr>
                <w:rFonts w:cs="Arial"/>
                <w:sz w:val="20"/>
                <w:szCs w:val="20"/>
                <w:lang w:eastAsia="en-AU"/>
              </w:rPr>
            </w:pPr>
            <w:r w:rsidRPr="005176BD">
              <w:rPr>
                <w:rFonts w:cs="Arial"/>
                <w:sz w:val="20"/>
                <w:szCs w:val="20"/>
                <w:lang w:eastAsia="en-AU"/>
              </w:rPr>
              <w:t xml:space="preserve">Responsiveness of the Duke Social Support Sub-scales in older women. Age and Ageing, </w:t>
            </w:r>
            <w:r w:rsidR="00EB5432" w:rsidRPr="005176BD">
              <w:rPr>
                <w:rFonts w:cs="Arial"/>
                <w:sz w:val="20"/>
                <w:szCs w:val="20"/>
                <w:lang w:eastAsia="en-AU"/>
              </w:rPr>
              <w:t xml:space="preserve">2008; </w:t>
            </w:r>
            <w:r w:rsidRPr="005176BD">
              <w:rPr>
                <w:rFonts w:cs="Arial"/>
                <w:sz w:val="20"/>
                <w:szCs w:val="20"/>
                <w:lang w:eastAsia="en-AU"/>
              </w:rPr>
              <w:t>37(6)</w:t>
            </w:r>
            <w:r w:rsidR="00EB5432" w:rsidRPr="005176BD">
              <w:rPr>
                <w:rFonts w:cs="Arial"/>
                <w:sz w:val="20"/>
                <w:szCs w:val="20"/>
                <w:lang w:eastAsia="en-AU"/>
              </w:rPr>
              <w:t>:</w:t>
            </w:r>
            <w:r w:rsidRPr="005176BD">
              <w:rPr>
                <w:rFonts w:cs="Arial"/>
                <w:sz w:val="20"/>
                <w:szCs w:val="20"/>
                <w:lang w:eastAsia="en-AU"/>
              </w:rPr>
              <w:t xml:space="preserve"> 666-672.</w:t>
            </w:r>
          </w:p>
        </w:tc>
        <w:tc>
          <w:tcPr>
            <w:tcW w:w="4077" w:type="dxa"/>
          </w:tcPr>
          <w:p w14:paraId="02F07E63" w14:textId="77777777" w:rsidR="00084B2B" w:rsidRPr="005176BD" w:rsidRDefault="00084B2B" w:rsidP="003B611A">
            <w:pPr>
              <w:rPr>
                <w:rFonts w:cs="Arial"/>
                <w:sz w:val="20"/>
                <w:szCs w:val="20"/>
                <w:lang w:eastAsia="en-AU"/>
              </w:rPr>
            </w:pPr>
            <w:r w:rsidRPr="005176BD">
              <w:rPr>
                <w:rFonts w:cs="Arial"/>
                <w:sz w:val="20"/>
                <w:szCs w:val="20"/>
                <w:lang w:eastAsia="en-AU"/>
              </w:rPr>
              <w:t>Pachana NA, Smith N, Watson M, McLaughlin D &amp; Dobson A.</w:t>
            </w:r>
          </w:p>
        </w:tc>
        <w:tc>
          <w:tcPr>
            <w:tcW w:w="617" w:type="dxa"/>
          </w:tcPr>
          <w:p w14:paraId="5F2D5DE6" w14:textId="77777777" w:rsidR="00084B2B" w:rsidRPr="005176BD" w:rsidRDefault="00084B2B" w:rsidP="003B611A">
            <w:pPr>
              <w:rPr>
                <w:rFonts w:cs="Arial"/>
                <w:sz w:val="20"/>
                <w:szCs w:val="20"/>
                <w:lang w:eastAsia="en-AU"/>
              </w:rPr>
            </w:pPr>
            <w:r w:rsidRPr="005176BD">
              <w:rPr>
                <w:rFonts w:cs="Arial"/>
                <w:sz w:val="20"/>
                <w:szCs w:val="20"/>
                <w:lang w:eastAsia="en-AU"/>
              </w:rPr>
              <w:t>30</w:t>
            </w:r>
          </w:p>
        </w:tc>
      </w:tr>
      <w:tr w:rsidR="0060036C" w:rsidRPr="0060036C" w14:paraId="36973DFF" w14:textId="77777777" w:rsidTr="0011030B">
        <w:tc>
          <w:tcPr>
            <w:tcW w:w="9161" w:type="dxa"/>
          </w:tcPr>
          <w:p w14:paraId="2E6862B1" w14:textId="00305BCC" w:rsidR="0060036C" w:rsidRPr="005176BD" w:rsidRDefault="0060036C" w:rsidP="003B611A">
            <w:pPr>
              <w:rPr>
                <w:rFonts w:cs="Arial"/>
                <w:sz w:val="20"/>
                <w:szCs w:val="20"/>
                <w:lang w:eastAsia="en-AU"/>
              </w:rPr>
            </w:pPr>
            <w:r w:rsidRPr="005176BD">
              <w:rPr>
                <w:rFonts w:cs="Arial"/>
                <w:sz w:val="20"/>
                <w:szCs w:val="20"/>
                <w:lang w:eastAsia="en-AU"/>
              </w:rPr>
              <w:t>Performance of the Goldberg Anxiety and Depression Scale in older women. Age &amp; Ageing, 2008; 37(4): 464-467.</w:t>
            </w:r>
          </w:p>
        </w:tc>
        <w:tc>
          <w:tcPr>
            <w:tcW w:w="4077" w:type="dxa"/>
          </w:tcPr>
          <w:p w14:paraId="759EDE30" w14:textId="482B4711" w:rsidR="0060036C" w:rsidRPr="005176BD" w:rsidRDefault="0060036C" w:rsidP="003B611A">
            <w:pPr>
              <w:rPr>
                <w:rFonts w:cs="Arial"/>
                <w:sz w:val="20"/>
                <w:szCs w:val="20"/>
                <w:lang w:eastAsia="en-AU"/>
              </w:rPr>
            </w:pPr>
            <w:proofErr w:type="spellStart"/>
            <w:r w:rsidRPr="005176BD">
              <w:rPr>
                <w:rFonts w:cs="Arial"/>
                <w:sz w:val="20"/>
                <w:szCs w:val="20"/>
                <w:lang w:eastAsia="en-AU"/>
              </w:rPr>
              <w:t>Koloski</w:t>
            </w:r>
            <w:proofErr w:type="spellEnd"/>
            <w:r w:rsidRPr="005176BD">
              <w:rPr>
                <w:rFonts w:cs="Arial"/>
                <w:sz w:val="20"/>
                <w:szCs w:val="20"/>
                <w:lang w:eastAsia="en-AU"/>
              </w:rPr>
              <w:t xml:space="preserve"> N, Smith N, Pachana N &amp; Dobson A.</w:t>
            </w:r>
          </w:p>
        </w:tc>
        <w:tc>
          <w:tcPr>
            <w:tcW w:w="617" w:type="dxa"/>
          </w:tcPr>
          <w:p w14:paraId="6ABED8FC" w14:textId="34AC1170" w:rsidR="0060036C" w:rsidRPr="005176BD" w:rsidRDefault="0060036C" w:rsidP="003B611A">
            <w:pPr>
              <w:rPr>
                <w:rFonts w:cs="Arial"/>
                <w:sz w:val="20"/>
                <w:szCs w:val="20"/>
                <w:lang w:eastAsia="en-AU"/>
              </w:rPr>
            </w:pPr>
            <w:r w:rsidRPr="005176BD">
              <w:rPr>
                <w:rFonts w:cs="Arial"/>
                <w:sz w:val="20"/>
                <w:szCs w:val="20"/>
                <w:lang w:eastAsia="en-AU"/>
              </w:rPr>
              <w:t>16</w:t>
            </w:r>
          </w:p>
        </w:tc>
      </w:tr>
      <w:tr w:rsidR="00084B2B" w:rsidRPr="00084B2B" w14:paraId="7A101BCF" w14:textId="77777777" w:rsidTr="0011030B">
        <w:tc>
          <w:tcPr>
            <w:tcW w:w="9161" w:type="dxa"/>
          </w:tcPr>
          <w:p w14:paraId="21734580" w14:textId="33860603" w:rsidR="00084B2B" w:rsidRPr="005176BD" w:rsidRDefault="00084B2B" w:rsidP="003B611A">
            <w:pPr>
              <w:rPr>
                <w:rFonts w:cs="Arial"/>
                <w:sz w:val="20"/>
                <w:szCs w:val="20"/>
                <w:lang w:eastAsia="en-AU"/>
              </w:rPr>
            </w:pPr>
            <w:r w:rsidRPr="005176BD">
              <w:rPr>
                <w:rFonts w:cs="Arial"/>
                <w:sz w:val="20"/>
                <w:szCs w:val="20"/>
                <w:lang w:eastAsia="en-AU"/>
              </w:rPr>
              <w:t xml:space="preserve">The 5 item mental health index predicts the initial diagnosis of stroke in older women. Journal of Women's Health, </w:t>
            </w:r>
            <w:r w:rsidR="00EB5432" w:rsidRPr="005176BD">
              <w:rPr>
                <w:rFonts w:cs="Arial"/>
                <w:sz w:val="20"/>
                <w:szCs w:val="20"/>
                <w:lang w:eastAsia="en-AU"/>
              </w:rPr>
              <w:t xml:space="preserve">2008; </w:t>
            </w:r>
            <w:r w:rsidRPr="005176BD">
              <w:rPr>
                <w:rFonts w:cs="Arial"/>
                <w:sz w:val="20"/>
                <w:szCs w:val="20"/>
                <w:lang w:eastAsia="en-AU"/>
              </w:rPr>
              <w:t>17(6)</w:t>
            </w:r>
            <w:r w:rsidR="00EB5432" w:rsidRPr="005176BD">
              <w:rPr>
                <w:rFonts w:cs="Arial"/>
                <w:sz w:val="20"/>
                <w:szCs w:val="20"/>
                <w:lang w:eastAsia="en-AU"/>
              </w:rPr>
              <w:t>:</w:t>
            </w:r>
            <w:r w:rsidRPr="005176BD">
              <w:rPr>
                <w:rFonts w:cs="Arial"/>
                <w:sz w:val="20"/>
                <w:szCs w:val="20"/>
                <w:lang w:eastAsia="en-AU"/>
              </w:rPr>
              <w:t xml:space="preserve"> 979-986.</w:t>
            </w:r>
          </w:p>
        </w:tc>
        <w:tc>
          <w:tcPr>
            <w:tcW w:w="4077" w:type="dxa"/>
          </w:tcPr>
          <w:p w14:paraId="5E3E003D"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Strodl</w:t>
            </w:r>
            <w:proofErr w:type="spellEnd"/>
            <w:r w:rsidRPr="005176BD">
              <w:rPr>
                <w:rFonts w:cs="Arial"/>
                <w:sz w:val="20"/>
                <w:szCs w:val="20"/>
                <w:lang w:eastAsia="en-AU"/>
              </w:rPr>
              <w:t xml:space="preserve"> E &amp; </w:t>
            </w:r>
            <w:proofErr w:type="spellStart"/>
            <w:r w:rsidRPr="005176BD">
              <w:rPr>
                <w:rFonts w:cs="Arial"/>
                <w:sz w:val="20"/>
                <w:szCs w:val="20"/>
                <w:lang w:eastAsia="en-AU"/>
              </w:rPr>
              <w:t>Kenardy</w:t>
            </w:r>
            <w:proofErr w:type="spellEnd"/>
            <w:r w:rsidRPr="005176BD">
              <w:rPr>
                <w:rFonts w:cs="Arial"/>
                <w:sz w:val="20"/>
                <w:szCs w:val="20"/>
                <w:lang w:eastAsia="en-AU"/>
              </w:rPr>
              <w:t xml:space="preserve"> J.</w:t>
            </w:r>
          </w:p>
        </w:tc>
        <w:tc>
          <w:tcPr>
            <w:tcW w:w="617" w:type="dxa"/>
          </w:tcPr>
          <w:p w14:paraId="0B9BFB9B" w14:textId="77777777" w:rsidR="00084B2B" w:rsidRPr="005176BD" w:rsidRDefault="00084B2B" w:rsidP="003B611A">
            <w:pPr>
              <w:rPr>
                <w:rFonts w:cs="Arial"/>
                <w:sz w:val="20"/>
                <w:szCs w:val="20"/>
                <w:lang w:eastAsia="en-AU"/>
              </w:rPr>
            </w:pPr>
            <w:r w:rsidRPr="005176BD">
              <w:rPr>
                <w:rFonts w:cs="Arial"/>
                <w:sz w:val="20"/>
                <w:szCs w:val="20"/>
                <w:lang w:eastAsia="en-AU"/>
              </w:rPr>
              <w:t>26</w:t>
            </w:r>
          </w:p>
        </w:tc>
      </w:tr>
      <w:tr w:rsidR="00084B2B" w:rsidRPr="00084B2B" w14:paraId="30CC27E4" w14:textId="77777777" w:rsidTr="0011030B">
        <w:tc>
          <w:tcPr>
            <w:tcW w:w="9161" w:type="dxa"/>
          </w:tcPr>
          <w:p w14:paraId="5707BE5F" w14:textId="37A16AD2" w:rsidR="00084B2B" w:rsidRPr="005176BD" w:rsidRDefault="00084B2B" w:rsidP="003B611A">
            <w:pPr>
              <w:rPr>
                <w:rFonts w:cs="Arial"/>
                <w:sz w:val="20"/>
                <w:szCs w:val="20"/>
                <w:lang w:eastAsia="en-AU"/>
              </w:rPr>
            </w:pPr>
            <w:r w:rsidRPr="005176BD">
              <w:rPr>
                <w:rFonts w:cs="Arial"/>
                <w:sz w:val="20"/>
                <w:szCs w:val="20"/>
                <w:lang w:eastAsia="en-AU"/>
              </w:rPr>
              <w:t xml:space="preserve">Never-married childless women: Health and social circumstances in older age. Social Science and Medicine, </w:t>
            </w:r>
            <w:r w:rsidR="00EB5432" w:rsidRPr="005176BD">
              <w:rPr>
                <w:rFonts w:cs="Arial"/>
                <w:sz w:val="20"/>
                <w:szCs w:val="20"/>
                <w:lang w:eastAsia="en-AU"/>
              </w:rPr>
              <w:t xml:space="preserve">2006; </w:t>
            </w:r>
            <w:r w:rsidRPr="005176BD">
              <w:rPr>
                <w:rFonts w:cs="Arial"/>
                <w:sz w:val="20"/>
                <w:szCs w:val="20"/>
                <w:lang w:eastAsia="en-AU"/>
              </w:rPr>
              <w:t xml:space="preserve">62(8); 1991-2001. </w:t>
            </w:r>
          </w:p>
        </w:tc>
        <w:tc>
          <w:tcPr>
            <w:tcW w:w="4077" w:type="dxa"/>
          </w:tcPr>
          <w:p w14:paraId="5F1F2B2F"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Cwikel</w:t>
            </w:r>
            <w:proofErr w:type="spellEnd"/>
            <w:r w:rsidRPr="005176BD">
              <w:rPr>
                <w:rFonts w:cs="Arial"/>
                <w:sz w:val="20"/>
                <w:szCs w:val="20"/>
                <w:lang w:eastAsia="en-AU"/>
              </w:rPr>
              <w:t xml:space="preserve"> J, </w:t>
            </w:r>
            <w:proofErr w:type="spellStart"/>
            <w:r w:rsidRPr="005176BD">
              <w:rPr>
                <w:rFonts w:cs="Arial"/>
                <w:sz w:val="20"/>
                <w:szCs w:val="20"/>
                <w:lang w:eastAsia="en-AU"/>
              </w:rPr>
              <w:t>Gramotnev</w:t>
            </w:r>
            <w:proofErr w:type="spellEnd"/>
            <w:r w:rsidRPr="005176BD">
              <w:rPr>
                <w:rFonts w:cs="Arial"/>
                <w:sz w:val="20"/>
                <w:szCs w:val="20"/>
                <w:lang w:eastAsia="en-AU"/>
              </w:rPr>
              <w:t xml:space="preserve"> H &amp; Lee C.</w:t>
            </w:r>
          </w:p>
        </w:tc>
        <w:tc>
          <w:tcPr>
            <w:tcW w:w="617" w:type="dxa"/>
          </w:tcPr>
          <w:p w14:paraId="49C8A0C3" w14:textId="77777777" w:rsidR="00084B2B" w:rsidRPr="005176BD" w:rsidRDefault="00084B2B" w:rsidP="003B611A">
            <w:pPr>
              <w:rPr>
                <w:rFonts w:cs="Arial"/>
                <w:sz w:val="20"/>
                <w:szCs w:val="20"/>
                <w:lang w:eastAsia="en-AU"/>
              </w:rPr>
            </w:pPr>
            <w:r w:rsidRPr="005176BD">
              <w:rPr>
                <w:rFonts w:cs="Arial"/>
                <w:sz w:val="20"/>
                <w:szCs w:val="20"/>
                <w:lang w:eastAsia="en-AU"/>
              </w:rPr>
              <w:t>60</w:t>
            </w:r>
          </w:p>
        </w:tc>
      </w:tr>
      <w:tr w:rsidR="00084B2B" w:rsidRPr="00084B2B" w14:paraId="61B48B9E" w14:textId="77777777" w:rsidTr="0011030B">
        <w:tc>
          <w:tcPr>
            <w:tcW w:w="9161" w:type="dxa"/>
          </w:tcPr>
          <w:p w14:paraId="23232182" w14:textId="7BCED93F" w:rsidR="00084B2B" w:rsidRPr="005176BD" w:rsidRDefault="00084B2B" w:rsidP="003B611A">
            <w:pPr>
              <w:rPr>
                <w:rFonts w:cs="Arial"/>
                <w:sz w:val="20"/>
                <w:szCs w:val="20"/>
                <w:lang w:eastAsia="en-AU"/>
              </w:rPr>
            </w:pPr>
            <w:r w:rsidRPr="005176BD">
              <w:rPr>
                <w:rFonts w:cs="Arial"/>
                <w:sz w:val="20"/>
                <w:szCs w:val="20"/>
                <w:lang w:eastAsia="en-AU"/>
              </w:rPr>
              <w:t xml:space="preserve">The lives of older widowed women. Just Policy, </w:t>
            </w:r>
            <w:r w:rsidR="00BC3825" w:rsidRPr="005176BD">
              <w:rPr>
                <w:rFonts w:cs="Arial"/>
                <w:sz w:val="20"/>
                <w:szCs w:val="20"/>
                <w:lang w:eastAsia="en-AU"/>
              </w:rPr>
              <w:t xml:space="preserve">2006; </w:t>
            </w:r>
            <w:r w:rsidRPr="005176BD">
              <w:rPr>
                <w:rFonts w:cs="Arial"/>
                <w:sz w:val="20"/>
                <w:szCs w:val="20"/>
                <w:lang w:eastAsia="en-AU"/>
              </w:rPr>
              <w:t>39</w:t>
            </w:r>
            <w:r w:rsidR="00BC3825" w:rsidRPr="005176BD">
              <w:rPr>
                <w:rFonts w:cs="Arial"/>
                <w:sz w:val="20"/>
                <w:szCs w:val="20"/>
                <w:lang w:eastAsia="en-AU"/>
              </w:rPr>
              <w:t>:</w:t>
            </w:r>
            <w:r w:rsidRPr="005176BD">
              <w:rPr>
                <w:rFonts w:cs="Arial"/>
                <w:sz w:val="20"/>
                <w:szCs w:val="20"/>
                <w:lang w:eastAsia="en-AU"/>
              </w:rPr>
              <w:t xml:space="preserve"> 23-28.</w:t>
            </w:r>
          </w:p>
        </w:tc>
        <w:tc>
          <w:tcPr>
            <w:tcW w:w="4077" w:type="dxa"/>
          </w:tcPr>
          <w:p w14:paraId="15C93D3D" w14:textId="77777777" w:rsidR="00084B2B" w:rsidRPr="005176BD" w:rsidRDefault="00084B2B" w:rsidP="003B611A">
            <w:pPr>
              <w:rPr>
                <w:rFonts w:cs="Arial"/>
                <w:sz w:val="20"/>
                <w:szCs w:val="20"/>
                <w:lang w:eastAsia="en-AU"/>
              </w:rPr>
            </w:pPr>
            <w:r w:rsidRPr="005176BD">
              <w:rPr>
                <w:rFonts w:cs="Arial"/>
                <w:sz w:val="20"/>
                <w:szCs w:val="20"/>
                <w:lang w:eastAsia="en-AU"/>
              </w:rPr>
              <w:t>Byles J &amp; Feldman S.</w:t>
            </w:r>
          </w:p>
        </w:tc>
        <w:tc>
          <w:tcPr>
            <w:tcW w:w="617" w:type="dxa"/>
          </w:tcPr>
          <w:p w14:paraId="643F0BCC" w14:textId="77777777" w:rsidR="00084B2B" w:rsidRPr="005176BD" w:rsidRDefault="00084B2B" w:rsidP="003B611A">
            <w:pPr>
              <w:rPr>
                <w:rFonts w:cs="Arial"/>
                <w:sz w:val="20"/>
                <w:szCs w:val="20"/>
                <w:lang w:eastAsia="en-AU"/>
              </w:rPr>
            </w:pPr>
            <w:r w:rsidRPr="005176BD">
              <w:rPr>
                <w:rFonts w:cs="Arial"/>
                <w:sz w:val="20"/>
                <w:szCs w:val="20"/>
                <w:lang w:eastAsia="en-AU"/>
              </w:rPr>
              <w:t>4</w:t>
            </w:r>
          </w:p>
        </w:tc>
      </w:tr>
      <w:tr w:rsidR="00084B2B" w:rsidRPr="00084B2B" w14:paraId="657630F7" w14:textId="77777777" w:rsidTr="0011030B">
        <w:tc>
          <w:tcPr>
            <w:tcW w:w="9161" w:type="dxa"/>
          </w:tcPr>
          <w:p w14:paraId="665D0590" w14:textId="22063A54" w:rsidR="00084B2B" w:rsidRPr="005176BD" w:rsidRDefault="00084B2B" w:rsidP="003B611A">
            <w:pPr>
              <w:rPr>
                <w:rFonts w:cs="Arial"/>
                <w:sz w:val="20"/>
                <w:szCs w:val="20"/>
                <w:lang w:eastAsia="en-AU"/>
              </w:rPr>
            </w:pPr>
            <w:r w:rsidRPr="005176BD">
              <w:rPr>
                <w:rFonts w:cs="Arial"/>
                <w:sz w:val="20"/>
                <w:szCs w:val="20"/>
                <w:lang w:eastAsia="en-AU"/>
              </w:rPr>
              <w:t xml:space="preserve">'There's more to life than just walking': Older women's ways of staying healthy and happy. Journal of Aging and Physical Activity, </w:t>
            </w:r>
            <w:r w:rsidR="00BC3825" w:rsidRPr="005176BD">
              <w:rPr>
                <w:rFonts w:cs="Arial"/>
                <w:sz w:val="20"/>
                <w:szCs w:val="20"/>
                <w:lang w:eastAsia="en-AU"/>
              </w:rPr>
              <w:t xml:space="preserve">2006; </w:t>
            </w:r>
            <w:r w:rsidRPr="005176BD">
              <w:rPr>
                <w:rFonts w:cs="Arial"/>
                <w:sz w:val="20"/>
                <w:szCs w:val="20"/>
                <w:lang w:eastAsia="en-AU"/>
              </w:rPr>
              <w:t>14(4)</w:t>
            </w:r>
            <w:r w:rsidR="00BC3825" w:rsidRPr="005176BD">
              <w:rPr>
                <w:rFonts w:cs="Arial"/>
                <w:sz w:val="20"/>
                <w:szCs w:val="20"/>
                <w:lang w:eastAsia="en-AU"/>
              </w:rPr>
              <w:t>:</w:t>
            </w:r>
            <w:r w:rsidRPr="005176BD">
              <w:rPr>
                <w:rFonts w:cs="Arial"/>
                <w:sz w:val="20"/>
                <w:szCs w:val="20"/>
                <w:lang w:eastAsia="en-AU"/>
              </w:rPr>
              <w:t xml:space="preserve"> 380-391. </w:t>
            </w:r>
          </w:p>
        </w:tc>
        <w:tc>
          <w:tcPr>
            <w:tcW w:w="4077" w:type="dxa"/>
          </w:tcPr>
          <w:p w14:paraId="19AB4500" w14:textId="77777777" w:rsidR="00084B2B" w:rsidRPr="005176BD" w:rsidRDefault="00084B2B" w:rsidP="003B611A">
            <w:pPr>
              <w:rPr>
                <w:rFonts w:cs="Arial"/>
                <w:sz w:val="20"/>
                <w:szCs w:val="20"/>
                <w:lang w:eastAsia="en-AU"/>
              </w:rPr>
            </w:pPr>
            <w:r w:rsidRPr="005176BD">
              <w:rPr>
                <w:rFonts w:cs="Arial"/>
                <w:sz w:val="20"/>
                <w:szCs w:val="20"/>
                <w:lang w:eastAsia="en-AU"/>
              </w:rPr>
              <w:t>Adamson L &amp; Parker G.</w:t>
            </w:r>
          </w:p>
        </w:tc>
        <w:tc>
          <w:tcPr>
            <w:tcW w:w="617" w:type="dxa"/>
          </w:tcPr>
          <w:p w14:paraId="5A82C2C0" w14:textId="77777777" w:rsidR="00084B2B" w:rsidRPr="005176BD" w:rsidRDefault="00084B2B" w:rsidP="003B611A">
            <w:pPr>
              <w:rPr>
                <w:rFonts w:cs="Arial"/>
                <w:sz w:val="20"/>
                <w:szCs w:val="20"/>
                <w:lang w:eastAsia="en-AU"/>
              </w:rPr>
            </w:pPr>
            <w:r w:rsidRPr="005176BD">
              <w:rPr>
                <w:rFonts w:cs="Arial"/>
                <w:sz w:val="20"/>
                <w:szCs w:val="20"/>
                <w:lang w:eastAsia="en-AU"/>
              </w:rPr>
              <w:t>27</w:t>
            </w:r>
          </w:p>
        </w:tc>
      </w:tr>
      <w:tr w:rsidR="00084B2B" w:rsidRPr="00084B2B" w14:paraId="3471861B" w14:textId="77777777" w:rsidTr="0011030B">
        <w:tc>
          <w:tcPr>
            <w:tcW w:w="9161" w:type="dxa"/>
          </w:tcPr>
          <w:p w14:paraId="02415F2F" w14:textId="4D40CAAA" w:rsidR="00084B2B" w:rsidRPr="005176BD" w:rsidRDefault="00084B2B" w:rsidP="003B611A">
            <w:pPr>
              <w:rPr>
                <w:rFonts w:cs="Arial"/>
                <w:sz w:val="20"/>
                <w:szCs w:val="20"/>
                <w:lang w:eastAsia="en-AU"/>
              </w:rPr>
            </w:pPr>
            <w:r w:rsidRPr="005176BD">
              <w:rPr>
                <w:rFonts w:cs="Arial"/>
                <w:sz w:val="20"/>
                <w:szCs w:val="20"/>
                <w:lang w:eastAsia="en-AU"/>
              </w:rPr>
              <w:t xml:space="preserve">Relations between companion animals and self-reported health in older women: Cause, effect or artefact? International Journal of </w:t>
            </w:r>
            <w:proofErr w:type="spellStart"/>
            <w:r w:rsidRPr="005176BD">
              <w:rPr>
                <w:rFonts w:cs="Arial"/>
                <w:sz w:val="20"/>
                <w:szCs w:val="20"/>
                <w:lang w:eastAsia="en-AU"/>
              </w:rPr>
              <w:t>Behavioral</w:t>
            </w:r>
            <w:proofErr w:type="spellEnd"/>
            <w:r w:rsidRPr="005176BD">
              <w:rPr>
                <w:rFonts w:cs="Arial"/>
                <w:sz w:val="20"/>
                <w:szCs w:val="20"/>
                <w:lang w:eastAsia="en-AU"/>
              </w:rPr>
              <w:t xml:space="preserve"> Medicine, </w:t>
            </w:r>
            <w:r w:rsidR="00BC3825" w:rsidRPr="005176BD">
              <w:rPr>
                <w:rFonts w:cs="Arial"/>
                <w:sz w:val="20"/>
                <w:szCs w:val="20"/>
                <w:lang w:eastAsia="en-AU"/>
              </w:rPr>
              <w:t xml:space="preserve">2005; </w:t>
            </w:r>
            <w:r w:rsidRPr="005176BD">
              <w:rPr>
                <w:rFonts w:cs="Arial"/>
                <w:sz w:val="20"/>
                <w:szCs w:val="20"/>
                <w:lang w:eastAsia="en-AU"/>
              </w:rPr>
              <w:t>12(2)</w:t>
            </w:r>
            <w:r w:rsidR="00BC3825" w:rsidRPr="005176BD">
              <w:rPr>
                <w:rFonts w:cs="Arial"/>
                <w:sz w:val="20"/>
                <w:szCs w:val="20"/>
                <w:lang w:eastAsia="en-AU"/>
              </w:rPr>
              <w:t>:</w:t>
            </w:r>
            <w:r w:rsidRPr="005176BD">
              <w:rPr>
                <w:rFonts w:cs="Arial"/>
                <w:sz w:val="20"/>
                <w:szCs w:val="20"/>
                <w:lang w:eastAsia="en-AU"/>
              </w:rPr>
              <w:t xml:space="preserve"> 103-110.</w:t>
            </w:r>
          </w:p>
        </w:tc>
        <w:tc>
          <w:tcPr>
            <w:tcW w:w="4077" w:type="dxa"/>
          </w:tcPr>
          <w:p w14:paraId="20ED2D52" w14:textId="77777777" w:rsidR="00084B2B" w:rsidRPr="005176BD" w:rsidRDefault="00084B2B" w:rsidP="003B611A">
            <w:pPr>
              <w:rPr>
                <w:rFonts w:cs="Arial"/>
                <w:sz w:val="20"/>
                <w:szCs w:val="20"/>
                <w:lang w:eastAsia="en-AU"/>
              </w:rPr>
            </w:pPr>
            <w:r w:rsidRPr="005176BD">
              <w:rPr>
                <w:rFonts w:cs="Arial"/>
                <w:sz w:val="20"/>
                <w:szCs w:val="20"/>
                <w:lang w:eastAsia="en-AU"/>
              </w:rPr>
              <w:t>Pachana NA, Ford J, Andrew B &amp; Dobson A.</w:t>
            </w:r>
          </w:p>
        </w:tc>
        <w:tc>
          <w:tcPr>
            <w:tcW w:w="617" w:type="dxa"/>
          </w:tcPr>
          <w:p w14:paraId="45F072D1" w14:textId="77777777" w:rsidR="00084B2B" w:rsidRPr="005176BD" w:rsidRDefault="00084B2B" w:rsidP="003B611A">
            <w:pPr>
              <w:rPr>
                <w:rFonts w:cs="Arial"/>
                <w:sz w:val="20"/>
                <w:szCs w:val="20"/>
                <w:lang w:eastAsia="en-AU"/>
              </w:rPr>
            </w:pPr>
            <w:r w:rsidRPr="005176BD">
              <w:rPr>
                <w:rFonts w:cs="Arial"/>
                <w:sz w:val="20"/>
                <w:szCs w:val="20"/>
                <w:lang w:eastAsia="en-AU"/>
              </w:rPr>
              <w:t>66</w:t>
            </w:r>
          </w:p>
        </w:tc>
      </w:tr>
      <w:tr w:rsidR="00084B2B" w:rsidRPr="00084B2B" w14:paraId="3581B299" w14:textId="77777777" w:rsidTr="0011030B">
        <w:tc>
          <w:tcPr>
            <w:tcW w:w="9161" w:type="dxa"/>
          </w:tcPr>
          <w:p w14:paraId="02328CE8" w14:textId="5C7C3394" w:rsidR="00084B2B" w:rsidRPr="005176BD" w:rsidRDefault="00084B2B" w:rsidP="003B611A">
            <w:pPr>
              <w:rPr>
                <w:rFonts w:cs="Arial"/>
                <w:sz w:val="20"/>
                <w:szCs w:val="20"/>
                <w:lang w:eastAsia="en-AU"/>
              </w:rPr>
            </w:pPr>
            <w:r w:rsidRPr="005176BD">
              <w:rPr>
                <w:rFonts w:cs="Arial"/>
                <w:sz w:val="20"/>
                <w:szCs w:val="20"/>
                <w:lang w:eastAsia="en-AU"/>
              </w:rPr>
              <w:t xml:space="preserve">The experience of insomnia among older women. Sleep, </w:t>
            </w:r>
            <w:r w:rsidR="00BC3825" w:rsidRPr="005176BD">
              <w:rPr>
                <w:rFonts w:cs="Arial"/>
                <w:sz w:val="20"/>
                <w:szCs w:val="20"/>
                <w:lang w:eastAsia="en-AU"/>
              </w:rPr>
              <w:t xml:space="preserve">2005; </w:t>
            </w:r>
            <w:r w:rsidRPr="005176BD">
              <w:rPr>
                <w:rFonts w:cs="Arial"/>
                <w:sz w:val="20"/>
                <w:szCs w:val="20"/>
                <w:lang w:eastAsia="en-AU"/>
              </w:rPr>
              <w:t>28(8)</w:t>
            </w:r>
            <w:r w:rsidR="00BC3825" w:rsidRPr="005176BD">
              <w:rPr>
                <w:rFonts w:cs="Arial"/>
                <w:sz w:val="20"/>
                <w:szCs w:val="20"/>
                <w:lang w:eastAsia="en-AU"/>
              </w:rPr>
              <w:t>:</w:t>
            </w:r>
            <w:r w:rsidRPr="005176BD">
              <w:rPr>
                <w:rFonts w:cs="Arial"/>
                <w:sz w:val="20"/>
                <w:szCs w:val="20"/>
                <w:lang w:eastAsia="en-AU"/>
              </w:rPr>
              <w:t xml:space="preserve"> 972-979.</w:t>
            </w:r>
          </w:p>
        </w:tc>
        <w:tc>
          <w:tcPr>
            <w:tcW w:w="4077" w:type="dxa"/>
          </w:tcPr>
          <w:p w14:paraId="6854649D" w14:textId="77777777" w:rsidR="00084B2B" w:rsidRPr="005176BD" w:rsidRDefault="00084B2B" w:rsidP="003B611A">
            <w:pPr>
              <w:rPr>
                <w:rFonts w:cs="Arial"/>
                <w:sz w:val="20"/>
                <w:szCs w:val="20"/>
                <w:lang w:eastAsia="en-AU"/>
              </w:rPr>
            </w:pPr>
            <w:r w:rsidRPr="005176BD">
              <w:rPr>
                <w:rFonts w:cs="Arial"/>
                <w:sz w:val="20"/>
                <w:szCs w:val="20"/>
                <w:lang w:eastAsia="en-AU"/>
              </w:rPr>
              <w:t>Byles J, Mishra G &amp; Harris M.</w:t>
            </w:r>
          </w:p>
        </w:tc>
        <w:tc>
          <w:tcPr>
            <w:tcW w:w="617" w:type="dxa"/>
          </w:tcPr>
          <w:p w14:paraId="08A4CE0E" w14:textId="77777777" w:rsidR="00084B2B" w:rsidRPr="005176BD" w:rsidRDefault="00084B2B" w:rsidP="003B611A">
            <w:pPr>
              <w:rPr>
                <w:rFonts w:cs="Arial"/>
                <w:sz w:val="20"/>
                <w:szCs w:val="20"/>
                <w:lang w:eastAsia="en-AU"/>
              </w:rPr>
            </w:pPr>
            <w:r w:rsidRPr="005176BD">
              <w:rPr>
                <w:rFonts w:cs="Arial"/>
                <w:sz w:val="20"/>
                <w:szCs w:val="20"/>
                <w:lang w:eastAsia="en-AU"/>
              </w:rPr>
              <w:t>48</w:t>
            </w:r>
          </w:p>
        </w:tc>
      </w:tr>
      <w:tr w:rsidR="00084B2B" w:rsidRPr="00084B2B" w14:paraId="1C05FF3A" w14:textId="77777777" w:rsidTr="0011030B">
        <w:tc>
          <w:tcPr>
            <w:tcW w:w="9161" w:type="dxa"/>
          </w:tcPr>
          <w:p w14:paraId="4BAD644F" w14:textId="3CC691C5" w:rsidR="00084B2B" w:rsidRPr="005176BD" w:rsidRDefault="00084B2B" w:rsidP="003B611A">
            <w:pPr>
              <w:rPr>
                <w:rFonts w:cs="Arial"/>
                <w:sz w:val="20"/>
                <w:szCs w:val="20"/>
                <w:lang w:eastAsia="en-AU"/>
              </w:rPr>
            </w:pPr>
            <w:r w:rsidRPr="005176BD">
              <w:rPr>
                <w:rFonts w:cs="Arial"/>
                <w:sz w:val="20"/>
                <w:szCs w:val="20"/>
                <w:lang w:eastAsia="en-AU"/>
              </w:rPr>
              <w:t xml:space="preserve">Optimism, health-related hardiness and well-being among older Australian women. Journal of Health Psychology, </w:t>
            </w:r>
            <w:r w:rsidR="00BC3825" w:rsidRPr="005176BD">
              <w:rPr>
                <w:rFonts w:cs="Arial"/>
                <w:sz w:val="20"/>
                <w:szCs w:val="20"/>
                <w:lang w:eastAsia="en-AU"/>
              </w:rPr>
              <w:t xml:space="preserve">2004; </w:t>
            </w:r>
            <w:r w:rsidRPr="005176BD">
              <w:rPr>
                <w:rFonts w:cs="Arial"/>
                <w:sz w:val="20"/>
                <w:szCs w:val="20"/>
                <w:lang w:eastAsia="en-AU"/>
              </w:rPr>
              <w:t>9(6)</w:t>
            </w:r>
            <w:r w:rsidR="00BC3825" w:rsidRPr="005176BD">
              <w:rPr>
                <w:rFonts w:cs="Arial"/>
                <w:sz w:val="20"/>
                <w:szCs w:val="20"/>
                <w:lang w:eastAsia="en-AU"/>
              </w:rPr>
              <w:t>:</w:t>
            </w:r>
            <w:r w:rsidRPr="005176BD">
              <w:rPr>
                <w:rFonts w:cs="Arial"/>
                <w:sz w:val="20"/>
                <w:szCs w:val="20"/>
                <w:lang w:eastAsia="en-AU"/>
              </w:rPr>
              <w:t xml:space="preserve"> 741-752. </w:t>
            </w:r>
          </w:p>
        </w:tc>
        <w:tc>
          <w:tcPr>
            <w:tcW w:w="4077" w:type="dxa"/>
          </w:tcPr>
          <w:p w14:paraId="55EE048A" w14:textId="77777777" w:rsidR="00084B2B" w:rsidRPr="005176BD" w:rsidRDefault="00084B2B" w:rsidP="003B611A">
            <w:pPr>
              <w:rPr>
                <w:rFonts w:cs="Arial"/>
                <w:sz w:val="20"/>
                <w:szCs w:val="20"/>
                <w:lang w:eastAsia="en-AU"/>
              </w:rPr>
            </w:pPr>
            <w:r w:rsidRPr="005176BD">
              <w:rPr>
                <w:rFonts w:cs="Arial"/>
                <w:sz w:val="20"/>
                <w:szCs w:val="20"/>
                <w:lang w:eastAsia="en-AU"/>
              </w:rPr>
              <w:t>Smith N, Young A &amp; Lee C.</w:t>
            </w:r>
          </w:p>
        </w:tc>
        <w:tc>
          <w:tcPr>
            <w:tcW w:w="617" w:type="dxa"/>
          </w:tcPr>
          <w:p w14:paraId="2730F3CE" w14:textId="77777777" w:rsidR="00084B2B" w:rsidRPr="005176BD" w:rsidRDefault="00084B2B" w:rsidP="003B611A">
            <w:pPr>
              <w:rPr>
                <w:rFonts w:cs="Arial"/>
                <w:sz w:val="20"/>
                <w:szCs w:val="20"/>
                <w:lang w:eastAsia="en-AU"/>
              </w:rPr>
            </w:pPr>
            <w:r w:rsidRPr="005176BD">
              <w:rPr>
                <w:rFonts w:cs="Arial"/>
                <w:sz w:val="20"/>
                <w:szCs w:val="20"/>
                <w:lang w:eastAsia="en-AU"/>
              </w:rPr>
              <w:t>83</w:t>
            </w:r>
          </w:p>
        </w:tc>
      </w:tr>
      <w:tr w:rsidR="00084B2B" w:rsidRPr="00084B2B" w14:paraId="477399B9" w14:textId="77777777" w:rsidTr="0011030B">
        <w:tc>
          <w:tcPr>
            <w:tcW w:w="9161" w:type="dxa"/>
          </w:tcPr>
          <w:p w14:paraId="2D1D224C" w14:textId="4392A353" w:rsidR="00084B2B" w:rsidRPr="005176BD" w:rsidRDefault="00084B2B" w:rsidP="003B611A">
            <w:pPr>
              <w:rPr>
                <w:rFonts w:cs="Arial"/>
                <w:sz w:val="20"/>
                <w:szCs w:val="20"/>
                <w:lang w:eastAsia="en-AU"/>
              </w:rPr>
            </w:pPr>
            <w:r w:rsidRPr="005176BD">
              <w:rPr>
                <w:rFonts w:cs="Arial"/>
                <w:sz w:val="20"/>
                <w:szCs w:val="20"/>
                <w:lang w:eastAsia="en-AU"/>
              </w:rPr>
              <w:t xml:space="preserve">Three year health outcomes among older women at risk of elder abuse: Women's Health Australia. Quality of Life Research, </w:t>
            </w:r>
            <w:r w:rsidR="00BC3825" w:rsidRPr="005176BD">
              <w:rPr>
                <w:rFonts w:cs="Arial"/>
                <w:sz w:val="20"/>
                <w:szCs w:val="20"/>
                <w:lang w:eastAsia="en-AU"/>
              </w:rPr>
              <w:t xml:space="preserve">2004; </w:t>
            </w:r>
            <w:r w:rsidRPr="005176BD">
              <w:rPr>
                <w:rFonts w:cs="Arial"/>
                <w:sz w:val="20"/>
                <w:szCs w:val="20"/>
                <w:lang w:eastAsia="en-AU"/>
              </w:rPr>
              <w:t>13(6)</w:t>
            </w:r>
            <w:r w:rsidR="00BC3825" w:rsidRPr="005176BD">
              <w:rPr>
                <w:rFonts w:cs="Arial"/>
                <w:sz w:val="20"/>
                <w:szCs w:val="20"/>
                <w:lang w:eastAsia="en-AU"/>
              </w:rPr>
              <w:t>:</w:t>
            </w:r>
            <w:r w:rsidRPr="005176BD">
              <w:rPr>
                <w:rFonts w:cs="Arial"/>
                <w:sz w:val="20"/>
                <w:szCs w:val="20"/>
                <w:lang w:eastAsia="en-AU"/>
              </w:rPr>
              <w:t xml:space="preserve"> 1043-1052.</w:t>
            </w:r>
          </w:p>
        </w:tc>
        <w:tc>
          <w:tcPr>
            <w:tcW w:w="4077" w:type="dxa"/>
          </w:tcPr>
          <w:p w14:paraId="51B9895C" w14:textId="77777777" w:rsidR="00084B2B" w:rsidRPr="005176BD" w:rsidRDefault="00084B2B" w:rsidP="003B611A">
            <w:pPr>
              <w:rPr>
                <w:rFonts w:cs="Arial"/>
                <w:sz w:val="20"/>
                <w:szCs w:val="20"/>
                <w:lang w:eastAsia="en-AU"/>
              </w:rPr>
            </w:pPr>
            <w:r w:rsidRPr="005176BD">
              <w:rPr>
                <w:rFonts w:cs="Arial"/>
                <w:sz w:val="20"/>
                <w:szCs w:val="20"/>
                <w:lang w:eastAsia="en-AU"/>
              </w:rPr>
              <w:t>Schofield MJ &amp; Mishra G.</w:t>
            </w:r>
          </w:p>
        </w:tc>
        <w:tc>
          <w:tcPr>
            <w:tcW w:w="617" w:type="dxa"/>
          </w:tcPr>
          <w:p w14:paraId="55D780C3" w14:textId="77777777" w:rsidR="00084B2B" w:rsidRPr="005176BD" w:rsidRDefault="00084B2B" w:rsidP="003B611A">
            <w:pPr>
              <w:rPr>
                <w:rFonts w:cs="Arial"/>
                <w:sz w:val="20"/>
                <w:szCs w:val="20"/>
                <w:lang w:eastAsia="en-AU"/>
              </w:rPr>
            </w:pPr>
            <w:r w:rsidRPr="005176BD">
              <w:rPr>
                <w:rFonts w:cs="Arial"/>
                <w:sz w:val="20"/>
                <w:szCs w:val="20"/>
                <w:lang w:eastAsia="en-AU"/>
              </w:rPr>
              <w:t>40</w:t>
            </w:r>
          </w:p>
        </w:tc>
      </w:tr>
      <w:tr w:rsidR="00084B2B" w:rsidRPr="00084B2B" w14:paraId="61822570" w14:textId="77777777" w:rsidTr="0011030B">
        <w:tc>
          <w:tcPr>
            <w:tcW w:w="9161" w:type="dxa"/>
          </w:tcPr>
          <w:p w14:paraId="38DD22BA" w14:textId="210209D6" w:rsidR="00084B2B" w:rsidRPr="005176BD" w:rsidRDefault="00084B2B" w:rsidP="003B611A">
            <w:pPr>
              <w:rPr>
                <w:rFonts w:cs="Arial"/>
                <w:sz w:val="20"/>
                <w:szCs w:val="20"/>
                <w:lang w:eastAsia="en-AU"/>
              </w:rPr>
            </w:pPr>
            <w:r w:rsidRPr="005176BD">
              <w:rPr>
                <w:rFonts w:cs="Arial"/>
                <w:sz w:val="20"/>
                <w:szCs w:val="20"/>
                <w:lang w:eastAsia="en-AU"/>
              </w:rPr>
              <w:t xml:space="preserve">The problems of sleep for older women: Changes in health outcomes. Age and Ageing, </w:t>
            </w:r>
            <w:r w:rsidR="00BC3825" w:rsidRPr="005176BD">
              <w:rPr>
                <w:rFonts w:cs="Arial"/>
                <w:sz w:val="20"/>
                <w:szCs w:val="20"/>
                <w:lang w:eastAsia="en-AU"/>
              </w:rPr>
              <w:t xml:space="preserve">2003; </w:t>
            </w:r>
            <w:r w:rsidRPr="005176BD">
              <w:rPr>
                <w:rFonts w:cs="Arial"/>
                <w:sz w:val="20"/>
                <w:szCs w:val="20"/>
                <w:lang w:eastAsia="en-AU"/>
              </w:rPr>
              <w:t>32(2)</w:t>
            </w:r>
            <w:r w:rsidR="00BC3825" w:rsidRPr="005176BD">
              <w:rPr>
                <w:rFonts w:cs="Arial"/>
                <w:sz w:val="20"/>
                <w:szCs w:val="20"/>
                <w:lang w:eastAsia="en-AU"/>
              </w:rPr>
              <w:t>:</w:t>
            </w:r>
            <w:r w:rsidRPr="005176BD">
              <w:rPr>
                <w:rFonts w:cs="Arial"/>
                <w:sz w:val="20"/>
                <w:szCs w:val="20"/>
                <w:lang w:eastAsia="en-AU"/>
              </w:rPr>
              <w:t xml:space="preserve"> 154-163.</w:t>
            </w:r>
          </w:p>
        </w:tc>
        <w:tc>
          <w:tcPr>
            <w:tcW w:w="4077" w:type="dxa"/>
          </w:tcPr>
          <w:p w14:paraId="168A0F37" w14:textId="77777777" w:rsidR="00084B2B" w:rsidRPr="005176BD" w:rsidRDefault="00084B2B" w:rsidP="003B611A">
            <w:pPr>
              <w:rPr>
                <w:rFonts w:cs="Arial"/>
                <w:sz w:val="20"/>
                <w:szCs w:val="20"/>
                <w:lang w:eastAsia="en-AU"/>
              </w:rPr>
            </w:pPr>
            <w:r w:rsidRPr="005176BD">
              <w:rPr>
                <w:rFonts w:cs="Arial"/>
                <w:sz w:val="20"/>
                <w:szCs w:val="20"/>
                <w:lang w:eastAsia="en-AU"/>
              </w:rPr>
              <w:t>Byles J, Mishra G, Harris M &amp; Nair K.</w:t>
            </w:r>
          </w:p>
        </w:tc>
        <w:tc>
          <w:tcPr>
            <w:tcW w:w="617" w:type="dxa"/>
          </w:tcPr>
          <w:p w14:paraId="49767C0F" w14:textId="77777777" w:rsidR="00084B2B" w:rsidRPr="005176BD" w:rsidRDefault="00084B2B" w:rsidP="003B611A">
            <w:pPr>
              <w:rPr>
                <w:rFonts w:cs="Arial"/>
                <w:sz w:val="20"/>
                <w:szCs w:val="20"/>
                <w:lang w:eastAsia="en-AU"/>
              </w:rPr>
            </w:pPr>
            <w:r w:rsidRPr="005176BD">
              <w:rPr>
                <w:rFonts w:cs="Arial"/>
                <w:sz w:val="20"/>
                <w:szCs w:val="20"/>
                <w:lang w:eastAsia="en-AU"/>
              </w:rPr>
              <w:t>79</w:t>
            </w:r>
          </w:p>
        </w:tc>
      </w:tr>
      <w:tr w:rsidR="00084B2B" w:rsidRPr="00084B2B" w14:paraId="641734D9" w14:textId="77777777" w:rsidTr="0011030B">
        <w:tc>
          <w:tcPr>
            <w:tcW w:w="9161" w:type="dxa"/>
          </w:tcPr>
          <w:p w14:paraId="58E3194B" w14:textId="44F3F410"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Perceived stress as a predictor of the self-reported new diagnosis of symptomatic CHD in older women. International Journal of </w:t>
            </w:r>
            <w:proofErr w:type="spellStart"/>
            <w:r w:rsidRPr="005176BD">
              <w:rPr>
                <w:rFonts w:cs="Arial"/>
                <w:sz w:val="20"/>
                <w:szCs w:val="20"/>
                <w:lang w:eastAsia="en-AU"/>
              </w:rPr>
              <w:t>Behavioral</w:t>
            </w:r>
            <w:proofErr w:type="spellEnd"/>
            <w:r w:rsidRPr="005176BD">
              <w:rPr>
                <w:rFonts w:cs="Arial"/>
                <w:sz w:val="20"/>
                <w:szCs w:val="20"/>
                <w:lang w:eastAsia="en-AU"/>
              </w:rPr>
              <w:t xml:space="preserve"> Medicine, </w:t>
            </w:r>
            <w:r w:rsidR="00BC3825" w:rsidRPr="005176BD">
              <w:rPr>
                <w:rFonts w:cs="Arial"/>
                <w:sz w:val="20"/>
                <w:szCs w:val="20"/>
                <w:lang w:eastAsia="en-AU"/>
              </w:rPr>
              <w:t xml:space="preserve">2003; </w:t>
            </w:r>
            <w:r w:rsidRPr="005176BD">
              <w:rPr>
                <w:rFonts w:cs="Arial"/>
                <w:sz w:val="20"/>
                <w:szCs w:val="20"/>
                <w:lang w:eastAsia="en-AU"/>
              </w:rPr>
              <w:t>10(3)</w:t>
            </w:r>
            <w:r w:rsidR="00BC3825" w:rsidRPr="005176BD">
              <w:rPr>
                <w:rFonts w:cs="Arial"/>
                <w:sz w:val="20"/>
                <w:szCs w:val="20"/>
                <w:lang w:eastAsia="en-AU"/>
              </w:rPr>
              <w:t>:</w:t>
            </w:r>
            <w:r w:rsidRPr="005176BD">
              <w:rPr>
                <w:rFonts w:cs="Arial"/>
                <w:sz w:val="20"/>
                <w:szCs w:val="20"/>
                <w:lang w:eastAsia="en-AU"/>
              </w:rPr>
              <w:t xml:space="preserve"> 205-220.</w:t>
            </w:r>
          </w:p>
        </w:tc>
        <w:tc>
          <w:tcPr>
            <w:tcW w:w="4077" w:type="dxa"/>
          </w:tcPr>
          <w:p w14:paraId="1B4E49C2"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Strodl</w:t>
            </w:r>
            <w:proofErr w:type="spellEnd"/>
            <w:r w:rsidRPr="005176BD">
              <w:rPr>
                <w:rFonts w:cs="Arial"/>
                <w:sz w:val="20"/>
                <w:szCs w:val="20"/>
                <w:lang w:eastAsia="en-AU"/>
              </w:rPr>
              <w:t xml:space="preserve"> E, </w:t>
            </w:r>
            <w:proofErr w:type="spellStart"/>
            <w:r w:rsidRPr="005176BD">
              <w:rPr>
                <w:rFonts w:cs="Arial"/>
                <w:sz w:val="20"/>
                <w:szCs w:val="20"/>
                <w:lang w:eastAsia="en-AU"/>
              </w:rPr>
              <w:t>Kenardy</w:t>
            </w:r>
            <w:proofErr w:type="spellEnd"/>
            <w:r w:rsidRPr="005176BD">
              <w:rPr>
                <w:rFonts w:cs="Arial"/>
                <w:sz w:val="20"/>
                <w:szCs w:val="20"/>
                <w:lang w:eastAsia="en-AU"/>
              </w:rPr>
              <w:t xml:space="preserve"> J &amp; </w:t>
            </w:r>
            <w:proofErr w:type="spellStart"/>
            <w:r w:rsidRPr="005176BD">
              <w:rPr>
                <w:rFonts w:cs="Arial"/>
                <w:sz w:val="20"/>
                <w:szCs w:val="20"/>
                <w:lang w:eastAsia="en-AU"/>
              </w:rPr>
              <w:t>Aroney</w:t>
            </w:r>
            <w:proofErr w:type="spellEnd"/>
            <w:r w:rsidRPr="005176BD">
              <w:rPr>
                <w:rFonts w:cs="Arial"/>
                <w:sz w:val="20"/>
                <w:szCs w:val="20"/>
                <w:lang w:eastAsia="en-AU"/>
              </w:rPr>
              <w:t xml:space="preserve"> C.</w:t>
            </w:r>
          </w:p>
        </w:tc>
        <w:tc>
          <w:tcPr>
            <w:tcW w:w="617" w:type="dxa"/>
          </w:tcPr>
          <w:p w14:paraId="25706674" w14:textId="77777777" w:rsidR="00084B2B" w:rsidRPr="005176BD" w:rsidRDefault="00084B2B" w:rsidP="003B611A">
            <w:pPr>
              <w:rPr>
                <w:rFonts w:cs="Arial"/>
                <w:sz w:val="20"/>
                <w:szCs w:val="20"/>
                <w:lang w:eastAsia="en-AU"/>
              </w:rPr>
            </w:pPr>
            <w:r w:rsidRPr="005176BD">
              <w:rPr>
                <w:rFonts w:cs="Arial"/>
                <w:sz w:val="20"/>
                <w:szCs w:val="20"/>
                <w:lang w:eastAsia="en-AU"/>
              </w:rPr>
              <w:t>50</w:t>
            </w:r>
          </w:p>
        </w:tc>
      </w:tr>
      <w:tr w:rsidR="00084B2B" w:rsidRPr="00084B2B" w14:paraId="2DCE738F" w14:textId="77777777" w:rsidTr="0011030B">
        <w:tc>
          <w:tcPr>
            <w:tcW w:w="9161" w:type="dxa"/>
          </w:tcPr>
          <w:p w14:paraId="69535853" w14:textId="34630F00" w:rsidR="00084B2B" w:rsidRPr="005176BD" w:rsidRDefault="00084B2B" w:rsidP="003B611A">
            <w:pPr>
              <w:rPr>
                <w:rFonts w:cs="Arial"/>
                <w:sz w:val="20"/>
                <w:szCs w:val="20"/>
                <w:lang w:eastAsia="en-AU"/>
              </w:rPr>
            </w:pPr>
            <w:r w:rsidRPr="005176BD">
              <w:rPr>
                <w:rFonts w:cs="Arial"/>
                <w:sz w:val="20"/>
                <w:szCs w:val="20"/>
                <w:lang w:eastAsia="en-AU"/>
              </w:rPr>
              <w:t xml:space="preserve">The health and social needs of recently widowed older women in Australia. Australasian Journal on Ageing, </w:t>
            </w:r>
            <w:r w:rsidR="00BC3825" w:rsidRPr="005176BD">
              <w:rPr>
                <w:rFonts w:cs="Arial"/>
                <w:sz w:val="20"/>
                <w:szCs w:val="20"/>
                <w:lang w:eastAsia="en-AU"/>
              </w:rPr>
              <w:t xml:space="preserve">2002; </w:t>
            </w:r>
            <w:r w:rsidRPr="005176BD">
              <w:rPr>
                <w:rFonts w:cs="Arial"/>
                <w:sz w:val="20"/>
                <w:szCs w:val="20"/>
                <w:lang w:eastAsia="en-AU"/>
              </w:rPr>
              <w:t>21(3)</w:t>
            </w:r>
            <w:r w:rsidR="00BC3825" w:rsidRPr="005176BD">
              <w:rPr>
                <w:rFonts w:cs="Arial"/>
                <w:sz w:val="20"/>
                <w:szCs w:val="20"/>
                <w:lang w:eastAsia="en-AU"/>
              </w:rPr>
              <w:t>:</w:t>
            </w:r>
            <w:r w:rsidRPr="005176BD">
              <w:rPr>
                <w:rFonts w:cs="Arial"/>
                <w:sz w:val="20"/>
                <w:szCs w:val="20"/>
                <w:lang w:eastAsia="en-AU"/>
              </w:rPr>
              <w:t xml:space="preserve"> 135-140.</w:t>
            </w:r>
          </w:p>
        </w:tc>
        <w:tc>
          <w:tcPr>
            <w:tcW w:w="4077" w:type="dxa"/>
          </w:tcPr>
          <w:p w14:paraId="3D704CC8" w14:textId="50378079" w:rsidR="00084B2B" w:rsidRPr="005176BD" w:rsidRDefault="00084B2B" w:rsidP="003B611A">
            <w:pPr>
              <w:rPr>
                <w:rFonts w:cs="Arial"/>
                <w:sz w:val="20"/>
                <w:szCs w:val="20"/>
                <w:lang w:eastAsia="en-AU"/>
              </w:rPr>
            </w:pPr>
            <w:r w:rsidRPr="005176BD">
              <w:rPr>
                <w:rFonts w:cs="Arial"/>
                <w:sz w:val="20"/>
                <w:szCs w:val="20"/>
                <w:lang w:eastAsia="en-AU"/>
              </w:rPr>
              <w:t>Feldman S, Byles J, Mishra G</w:t>
            </w:r>
            <w:r w:rsidR="00012F17" w:rsidRPr="005176BD">
              <w:rPr>
                <w:rFonts w:cs="Arial"/>
                <w:sz w:val="20"/>
                <w:szCs w:val="20"/>
                <w:lang w:eastAsia="en-AU"/>
              </w:rPr>
              <w:t xml:space="preserve"> </w:t>
            </w:r>
            <w:r w:rsidRPr="005176BD">
              <w:rPr>
                <w:rFonts w:cs="Arial"/>
                <w:sz w:val="20"/>
                <w:szCs w:val="20"/>
                <w:lang w:eastAsia="en-AU"/>
              </w:rPr>
              <w:t>&amp; Powers J.</w:t>
            </w:r>
          </w:p>
        </w:tc>
        <w:tc>
          <w:tcPr>
            <w:tcW w:w="617" w:type="dxa"/>
          </w:tcPr>
          <w:p w14:paraId="183E6C53" w14:textId="77777777" w:rsidR="00084B2B" w:rsidRPr="005176BD" w:rsidRDefault="00084B2B" w:rsidP="003B611A">
            <w:pPr>
              <w:rPr>
                <w:rFonts w:cs="Arial"/>
                <w:sz w:val="20"/>
                <w:szCs w:val="20"/>
                <w:lang w:eastAsia="en-AU"/>
              </w:rPr>
            </w:pPr>
            <w:r w:rsidRPr="005176BD">
              <w:rPr>
                <w:rFonts w:cs="Arial"/>
                <w:sz w:val="20"/>
                <w:szCs w:val="20"/>
                <w:lang w:eastAsia="en-AU"/>
              </w:rPr>
              <w:t>11</w:t>
            </w:r>
          </w:p>
        </w:tc>
      </w:tr>
      <w:tr w:rsidR="00084B2B" w:rsidRPr="00084B2B" w14:paraId="4E09F04B" w14:textId="77777777" w:rsidTr="0011030B">
        <w:tc>
          <w:tcPr>
            <w:tcW w:w="9161" w:type="dxa"/>
          </w:tcPr>
          <w:p w14:paraId="643412C2" w14:textId="1B16B3B6" w:rsidR="00084B2B" w:rsidRPr="005176BD" w:rsidRDefault="00084B2B" w:rsidP="003B611A">
            <w:pPr>
              <w:rPr>
                <w:rFonts w:cs="Arial"/>
                <w:sz w:val="20"/>
                <w:szCs w:val="20"/>
                <w:lang w:eastAsia="en-AU"/>
              </w:rPr>
            </w:pPr>
            <w:r w:rsidRPr="005176BD">
              <w:rPr>
                <w:rFonts w:cs="Arial"/>
                <w:sz w:val="20"/>
                <w:szCs w:val="20"/>
                <w:lang w:eastAsia="en-AU"/>
              </w:rPr>
              <w:t>Is anybody listening?</w:t>
            </w:r>
            <w:r w:rsidR="008B7D9E" w:rsidRPr="005176BD">
              <w:rPr>
                <w:rFonts w:cs="Arial"/>
                <w:sz w:val="20"/>
                <w:szCs w:val="20"/>
                <w:lang w:eastAsia="en-AU"/>
              </w:rPr>
              <w:t xml:space="preserve"> </w:t>
            </w:r>
            <w:r w:rsidRPr="005176BD">
              <w:rPr>
                <w:rFonts w:cs="Arial"/>
                <w:sz w:val="20"/>
                <w:szCs w:val="20"/>
                <w:lang w:eastAsia="en-AU"/>
              </w:rPr>
              <w:t xml:space="preserve">The experiences of widowhood for older Australian women. Journal of Women and Ageing, </w:t>
            </w:r>
            <w:r w:rsidR="00BC3825" w:rsidRPr="005176BD">
              <w:rPr>
                <w:rFonts w:cs="Arial"/>
                <w:sz w:val="20"/>
                <w:szCs w:val="20"/>
                <w:lang w:eastAsia="en-AU"/>
              </w:rPr>
              <w:t xml:space="preserve">2000; </w:t>
            </w:r>
            <w:r w:rsidRPr="005176BD">
              <w:rPr>
                <w:rFonts w:cs="Arial"/>
                <w:sz w:val="20"/>
                <w:szCs w:val="20"/>
                <w:lang w:eastAsia="en-AU"/>
              </w:rPr>
              <w:t>12(3</w:t>
            </w:r>
            <w:r w:rsidR="00BC3825" w:rsidRPr="005176BD">
              <w:rPr>
                <w:rFonts w:cs="Arial"/>
                <w:sz w:val="20"/>
                <w:szCs w:val="20"/>
                <w:lang w:eastAsia="en-AU"/>
              </w:rPr>
              <w:t>):</w:t>
            </w:r>
            <w:r w:rsidRPr="005176BD">
              <w:rPr>
                <w:rFonts w:cs="Arial"/>
                <w:sz w:val="20"/>
                <w:szCs w:val="20"/>
                <w:lang w:eastAsia="en-AU"/>
              </w:rPr>
              <w:t xml:space="preserve"> 155-176.</w:t>
            </w:r>
          </w:p>
        </w:tc>
        <w:tc>
          <w:tcPr>
            <w:tcW w:w="4077" w:type="dxa"/>
          </w:tcPr>
          <w:p w14:paraId="3CC08633" w14:textId="77777777" w:rsidR="00084B2B" w:rsidRPr="005176BD" w:rsidRDefault="00084B2B" w:rsidP="003B611A">
            <w:pPr>
              <w:rPr>
                <w:rFonts w:cs="Arial"/>
                <w:sz w:val="20"/>
                <w:szCs w:val="20"/>
                <w:lang w:eastAsia="en-AU"/>
              </w:rPr>
            </w:pPr>
            <w:r w:rsidRPr="005176BD">
              <w:rPr>
                <w:rFonts w:cs="Arial"/>
                <w:sz w:val="20"/>
                <w:szCs w:val="20"/>
                <w:lang w:eastAsia="en-AU"/>
              </w:rPr>
              <w:t>Feldman S, Byles J &amp; Beaumont R.</w:t>
            </w:r>
          </w:p>
        </w:tc>
        <w:tc>
          <w:tcPr>
            <w:tcW w:w="617" w:type="dxa"/>
          </w:tcPr>
          <w:p w14:paraId="40E937AE" w14:textId="77777777" w:rsidR="00084B2B" w:rsidRPr="005176BD" w:rsidRDefault="00084B2B" w:rsidP="003B611A">
            <w:pPr>
              <w:rPr>
                <w:rFonts w:cs="Arial"/>
                <w:sz w:val="20"/>
                <w:szCs w:val="20"/>
                <w:lang w:eastAsia="en-AU"/>
              </w:rPr>
            </w:pPr>
            <w:r w:rsidRPr="005176BD">
              <w:rPr>
                <w:rFonts w:cs="Arial"/>
                <w:sz w:val="20"/>
                <w:szCs w:val="20"/>
                <w:lang w:eastAsia="en-AU"/>
              </w:rPr>
              <w:t>38</w:t>
            </w:r>
          </w:p>
        </w:tc>
      </w:tr>
      <w:tr w:rsidR="00084B2B" w:rsidRPr="00084B2B" w14:paraId="6C0766C5" w14:textId="77777777" w:rsidTr="0011030B">
        <w:tc>
          <w:tcPr>
            <w:tcW w:w="9161" w:type="dxa"/>
          </w:tcPr>
          <w:p w14:paraId="6E543E2B" w14:textId="457B83CD" w:rsidR="00084B2B" w:rsidRPr="005176BD" w:rsidRDefault="00084B2B" w:rsidP="003B611A">
            <w:pPr>
              <w:rPr>
                <w:rFonts w:cs="Arial"/>
                <w:sz w:val="20"/>
                <w:szCs w:val="20"/>
                <w:lang w:eastAsia="en-AU"/>
              </w:rPr>
            </w:pPr>
            <w:r w:rsidRPr="005176BD">
              <w:rPr>
                <w:rFonts w:cs="Arial"/>
                <w:sz w:val="20"/>
                <w:szCs w:val="20"/>
                <w:lang w:eastAsia="en-AU"/>
              </w:rPr>
              <w:t xml:space="preserve">For richer, for poorer, in sickness and in health: Older widowed women’s health, relationships and financial security. Women and Health, </w:t>
            </w:r>
            <w:r w:rsidR="00BC3825" w:rsidRPr="005176BD">
              <w:rPr>
                <w:rFonts w:cs="Arial"/>
                <w:sz w:val="20"/>
                <w:szCs w:val="20"/>
                <w:lang w:eastAsia="en-AU"/>
              </w:rPr>
              <w:t xml:space="preserve">1999; </w:t>
            </w:r>
            <w:r w:rsidRPr="005176BD">
              <w:rPr>
                <w:rFonts w:cs="Arial"/>
                <w:sz w:val="20"/>
                <w:szCs w:val="20"/>
                <w:lang w:eastAsia="en-AU"/>
              </w:rPr>
              <w:t>29(1)</w:t>
            </w:r>
            <w:r w:rsidR="00BC3825" w:rsidRPr="005176BD">
              <w:rPr>
                <w:rFonts w:cs="Arial"/>
                <w:sz w:val="20"/>
                <w:szCs w:val="20"/>
                <w:lang w:eastAsia="en-AU"/>
              </w:rPr>
              <w:t>:</w:t>
            </w:r>
            <w:r w:rsidRPr="005176BD">
              <w:rPr>
                <w:rFonts w:cs="Arial"/>
                <w:sz w:val="20"/>
                <w:szCs w:val="20"/>
                <w:lang w:eastAsia="en-AU"/>
              </w:rPr>
              <w:t xml:space="preserve"> 15-30.</w:t>
            </w:r>
          </w:p>
        </w:tc>
        <w:tc>
          <w:tcPr>
            <w:tcW w:w="4077" w:type="dxa"/>
          </w:tcPr>
          <w:p w14:paraId="30E1D80E" w14:textId="77777777" w:rsidR="00084B2B" w:rsidRPr="005176BD" w:rsidRDefault="00084B2B" w:rsidP="003B611A">
            <w:pPr>
              <w:rPr>
                <w:rFonts w:cs="Arial"/>
                <w:sz w:val="20"/>
                <w:szCs w:val="20"/>
                <w:lang w:eastAsia="en-AU"/>
              </w:rPr>
            </w:pPr>
            <w:r w:rsidRPr="005176BD">
              <w:rPr>
                <w:rFonts w:cs="Arial"/>
                <w:sz w:val="20"/>
                <w:szCs w:val="20"/>
                <w:lang w:eastAsia="en-AU"/>
              </w:rPr>
              <w:t>Byles JE, Feldman S &amp; Mishra G.</w:t>
            </w:r>
          </w:p>
        </w:tc>
        <w:tc>
          <w:tcPr>
            <w:tcW w:w="617" w:type="dxa"/>
          </w:tcPr>
          <w:p w14:paraId="632A623B" w14:textId="77777777" w:rsidR="00084B2B" w:rsidRPr="005176BD" w:rsidRDefault="00084B2B" w:rsidP="003B611A">
            <w:pPr>
              <w:rPr>
                <w:rFonts w:cs="Arial"/>
                <w:sz w:val="20"/>
                <w:szCs w:val="20"/>
                <w:lang w:eastAsia="en-AU"/>
              </w:rPr>
            </w:pPr>
            <w:r w:rsidRPr="005176BD">
              <w:rPr>
                <w:rFonts w:cs="Arial"/>
                <w:sz w:val="20"/>
                <w:szCs w:val="20"/>
                <w:lang w:eastAsia="en-AU"/>
              </w:rPr>
              <w:t>41</w:t>
            </w:r>
          </w:p>
        </w:tc>
      </w:tr>
    </w:tbl>
    <w:p w14:paraId="284D22C9" w14:textId="7BC01C4E" w:rsidR="00084B2B" w:rsidRPr="00084B2B" w:rsidRDefault="00084B2B" w:rsidP="003B611A">
      <w:pPr>
        <w:pStyle w:val="Heading2"/>
        <w:ind w:left="578" w:hanging="578"/>
      </w:pPr>
      <w:bookmarkStart w:id="80" w:name="_Toc530561289"/>
      <w:r w:rsidRPr="00084B2B">
        <w:t>Methods</w:t>
      </w:r>
      <w:bookmarkEnd w:id="80"/>
    </w:p>
    <w:tbl>
      <w:tblPr>
        <w:tblStyle w:val="TableGrid1"/>
        <w:tblW w:w="13855" w:type="dxa"/>
        <w:tblLook w:val="04A0" w:firstRow="1" w:lastRow="0" w:firstColumn="1" w:lastColumn="0" w:noHBand="0" w:noVBand="1"/>
        <w:tblCaption w:val="Category: Methods"/>
      </w:tblPr>
      <w:tblGrid>
        <w:gridCol w:w="8482"/>
        <w:gridCol w:w="4036"/>
        <w:gridCol w:w="1337"/>
      </w:tblGrid>
      <w:tr w:rsidR="00084B2B" w:rsidRPr="00084B2B" w14:paraId="05BCE258" w14:textId="77777777" w:rsidTr="0011030B">
        <w:trPr>
          <w:tblHeader/>
        </w:trPr>
        <w:tc>
          <w:tcPr>
            <w:tcW w:w="9008" w:type="dxa"/>
            <w:shd w:val="clear" w:color="auto" w:fill="F1E9F3"/>
          </w:tcPr>
          <w:p w14:paraId="323C3E54"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230" w:type="dxa"/>
            <w:shd w:val="clear" w:color="auto" w:fill="F1E9F3"/>
          </w:tcPr>
          <w:p w14:paraId="4C2FF707"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617" w:type="dxa"/>
            <w:shd w:val="clear" w:color="auto" w:fill="F1E9F3"/>
          </w:tcPr>
          <w:p w14:paraId="6724B190" w14:textId="5B0B2322"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084B2B" w14:paraId="69ADC885" w14:textId="77777777" w:rsidTr="0011030B">
        <w:tc>
          <w:tcPr>
            <w:tcW w:w="9008" w:type="dxa"/>
          </w:tcPr>
          <w:p w14:paraId="3A43F534" w14:textId="49031BB6" w:rsidR="00084B2B" w:rsidRPr="005176BD" w:rsidRDefault="00084B2B" w:rsidP="003B611A">
            <w:pPr>
              <w:rPr>
                <w:rFonts w:cs="Arial"/>
                <w:sz w:val="20"/>
                <w:szCs w:val="20"/>
                <w:lang w:eastAsia="en-AU"/>
              </w:rPr>
            </w:pPr>
            <w:r w:rsidRPr="005176BD">
              <w:rPr>
                <w:rFonts w:cs="Arial"/>
                <w:sz w:val="20"/>
                <w:szCs w:val="20"/>
                <w:lang w:eastAsia="en-AU"/>
              </w:rPr>
              <w:t>Estimating the prevalence of dementia using multiple linked administrative health records and capture–recapture methodology. Emerging Themes in Epidemiology, 2017</w:t>
            </w:r>
            <w:r w:rsidR="00BC3825" w:rsidRPr="005176BD">
              <w:rPr>
                <w:rFonts w:cs="Arial"/>
                <w:sz w:val="20"/>
                <w:szCs w:val="20"/>
                <w:lang w:eastAsia="en-AU"/>
              </w:rPr>
              <w:t>;</w:t>
            </w:r>
            <w:r w:rsidRPr="005176BD">
              <w:rPr>
                <w:rFonts w:cs="Arial"/>
                <w:sz w:val="20"/>
                <w:szCs w:val="20"/>
                <w:lang w:eastAsia="en-AU"/>
              </w:rPr>
              <w:t xml:space="preserve"> 14(1)</w:t>
            </w:r>
            <w:r w:rsidR="00BC3825" w:rsidRPr="005176BD">
              <w:rPr>
                <w:rFonts w:cs="Arial"/>
                <w:sz w:val="20"/>
                <w:szCs w:val="20"/>
                <w:lang w:eastAsia="en-AU"/>
              </w:rPr>
              <w:t xml:space="preserve">: </w:t>
            </w:r>
            <w:r w:rsidRPr="005176BD">
              <w:rPr>
                <w:rFonts w:cs="Arial"/>
                <w:sz w:val="20"/>
                <w:szCs w:val="20"/>
                <w:lang w:eastAsia="en-AU"/>
              </w:rPr>
              <w:t>1-9</w:t>
            </w:r>
            <w:r w:rsidR="00BC3825" w:rsidRPr="005176BD">
              <w:rPr>
                <w:rFonts w:cs="Arial"/>
                <w:sz w:val="20"/>
                <w:szCs w:val="20"/>
                <w:lang w:eastAsia="en-AU"/>
              </w:rPr>
              <w:t>.</w:t>
            </w:r>
          </w:p>
        </w:tc>
        <w:tc>
          <w:tcPr>
            <w:tcW w:w="4230" w:type="dxa"/>
          </w:tcPr>
          <w:p w14:paraId="5C229E4F" w14:textId="77777777" w:rsidR="00084B2B" w:rsidRPr="005176BD" w:rsidRDefault="00084B2B" w:rsidP="003B611A">
            <w:pPr>
              <w:rPr>
                <w:rFonts w:cs="Arial"/>
                <w:sz w:val="20"/>
                <w:szCs w:val="20"/>
                <w:lang w:eastAsia="en-AU"/>
              </w:rPr>
            </w:pPr>
            <w:r w:rsidRPr="005176BD">
              <w:rPr>
                <w:rFonts w:cs="Arial"/>
                <w:sz w:val="20"/>
                <w:szCs w:val="20"/>
                <w:lang w:eastAsia="en-AU"/>
              </w:rPr>
              <w:t>Waller M, Mishra G &amp; Dobson A.</w:t>
            </w:r>
          </w:p>
        </w:tc>
        <w:tc>
          <w:tcPr>
            <w:tcW w:w="617" w:type="dxa"/>
          </w:tcPr>
          <w:p w14:paraId="37203569"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56FDD837" w14:textId="77777777" w:rsidTr="0011030B">
        <w:tc>
          <w:tcPr>
            <w:tcW w:w="9008" w:type="dxa"/>
          </w:tcPr>
          <w:p w14:paraId="4AF28C2E" w14:textId="69707B5A" w:rsidR="00084B2B" w:rsidRPr="005176BD" w:rsidRDefault="00EB5432" w:rsidP="003B611A">
            <w:pPr>
              <w:rPr>
                <w:rFonts w:cs="Arial"/>
                <w:sz w:val="20"/>
                <w:szCs w:val="20"/>
                <w:lang w:eastAsia="en-AU"/>
              </w:rPr>
            </w:pPr>
            <w:r w:rsidRPr="005176BD">
              <w:rPr>
                <w:rFonts w:cs="Arial"/>
                <w:sz w:val="20"/>
                <w:szCs w:val="20"/>
                <w:lang w:eastAsia="en-AU"/>
              </w:rPr>
              <w:t>Generating qualitative data by design: The Australian Longitudinal Study on Women’s Health qualitative data collection. Public Health Research &amp; Practice, 2016; 23(3): e2631631.</w:t>
            </w:r>
          </w:p>
        </w:tc>
        <w:tc>
          <w:tcPr>
            <w:tcW w:w="4230" w:type="dxa"/>
          </w:tcPr>
          <w:p w14:paraId="55F88FD6" w14:textId="77777777" w:rsidR="00084B2B" w:rsidRPr="005176BD" w:rsidRDefault="00084B2B" w:rsidP="003B611A">
            <w:pPr>
              <w:rPr>
                <w:rFonts w:cs="Arial"/>
                <w:sz w:val="20"/>
                <w:szCs w:val="20"/>
                <w:lang w:eastAsia="en-AU"/>
              </w:rPr>
            </w:pPr>
            <w:r w:rsidRPr="005176BD">
              <w:rPr>
                <w:rFonts w:cs="Arial"/>
                <w:sz w:val="20"/>
                <w:szCs w:val="20"/>
                <w:lang w:eastAsia="en-AU"/>
              </w:rPr>
              <w:t>Tavener M, Chojenta C &amp; Loxton D.</w:t>
            </w:r>
          </w:p>
        </w:tc>
        <w:tc>
          <w:tcPr>
            <w:tcW w:w="617" w:type="dxa"/>
          </w:tcPr>
          <w:p w14:paraId="3BB2D764" w14:textId="77777777" w:rsidR="00084B2B" w:rsidRPr="005176BD" w:rsidRDefault="00084B2B" w:rsidP="003B611A">
            <w:pPr>
              <w:rPr>
                <w:rFonts w:cs="Arial"/>
                <w:sz w:val="20"/>
                <w:szCs w:val="20"/>
                <w:lang w:eastAsia="en-AU"/>
              </w:rPr>
            </w:pPr>
            <w:r w:rsidRPr="005176BD">
              <w:rPr>
                <w:rFonts w:cs="Arial"/>
                <w:sz w:val="20"/>
                <w:szCs w:val="20"/>
                <w:lang w:eastAsia="en-AU"/>
              </w:rPr>
              <w:t>5</w:t>
            </w:r>
          </w:p>
        </w:tc>
      </w:tr>
      <w:tr w:rsidR="00084B2B" w:rsidRPr="00084B2B" w14:paraId="75565A00" w14:textId="77777777" w:rsidTr="0011030B">
        <w:tc>
          <w:tcPr>
            <w:tcW w:w="9008" w:type="dxa"/>
          </w:tcPr>
          <w:p w14:paraId="635C9B5B" w14:textId="6F33A81A" w:rsidR="00084B2B" w:rsidRPr="005176BD" w:rsidRDefault="00084B2B" w:rsidP="003B611A">
            <w:pPr>
              <w:rPr>
                <w:rFonts w:cs="Arial"/>
                <w:sz w:val="20"/>
                <w:szCs w:val="20"/>
                <w:lang w:eastAsia="en-AU"/>
              </w:rPr>
            </w:pPr>
            <w:r w:rsidRPr="005176BD">
              <w:rPr>
                <w:rFonts w:cs="Arial"/>
                <w:sz w:val="20"/>
                <w:szCs w:val="20"/>
                <w:lang w:eastAsia="en-AU"/>
              </w:rPr>
              <w:t>Discordance between self-reported arthritis and musculoskeletal signs and symptoms in older women. BMC Musculoskeletal Disorders Journal, 2016</w:t>
            </w:r>
            <w:r w:rsidR="00BC3825" w:rsidRPr="005176BD">
              <w:rPr>
                <w:rFonts w:cs="Arial"/>
                <w:sz w:val="20"/>
                <w:szCs w:val="20"/>
                <w:lang w:eastAsia="en-AU"/>
              </w:rPr>
              <w:t>;</w:t>
            </w:r>
            <w:r w:rsidRPr="005176BD">
              <w:rPr>
                <w:rFonts w:cs="Arial"/>
                <w:sz w:val="20"/>
                <w:szCs w:val="20"/>
                <w:lang w:eastAsia="en-AU"/>
              </w:rPr>
              <w:t xml:space="preserve"> 17(494)</w:t>
            </w:r>
            <w:r w:rsidR="00BC3825" w:rsidRPr="005176BD">
              <w:rPr>
                <w:rFonts w:cs="Arial"/>
                <w:sz w:val="20"/>
                <w:szCs w:val="20"/>
                <w:lang w:eastAsia="en-AU"/>
              </w:rPr>
              <w:t xml:space="preserve">: </w:t>
            </w:r>
            <w:r w:rsidRPr="005176BD">
              <w:rPr>
                <w:rFonts w:cs="Arial"/>
                <w:sz w:val="20"/>
                <w:szCs w:val="20"/>
                <w:lang w:eastAsia="en-AU"/>
              </w:rPr>
              <w:t>1-9</w:t>
            </w:r>
            <w:r w:rsidR="007750D8" w:rsidRPr="005176BD">
              <w:rPr>
                <w:rFonts w:cs="Arial"/>
                <w:sz w:val="20"/>
                <w:szCs w:val="20"/>
                <w:lang w:eastAsia="en-AU"/>
              </w:rPr>
              <w:t>.</w:t>
            </w:r>
          </w:p>
        </w:tc>
        <w:tc>
          <w:tcPr>
            <w:tcW w:w="4230" w:type="dxa"/>
          </w:tcPr>
          <w:p w14:paraId="72C0E90B" w14:textId="77777777" w:rsidR="00084B2B" w:rsidRPr="005176BD" w:rsidRDefault="00084B2B" w:rsidP="003B611A">
            <w:pPr>
              <w:rPr>
                <w:rFonts w:cs="Arial"/>
                <w:sz w:val="20"/>
                <w:szCs w:val="20"/>
                <w:lang w:eastAsia="en-AU"/>
              </w:rPr>
            </w:pPr>
            <w:r w:rsidRPr="005176BD">
              <w:rPr>
                <w:rFonts w:cs="Arial"/>
                <w:sz w:val="20"/>
                <w:szCs w:val="20"/>
                <w:lang w:eastAsia="en-AU"/>
              </w:rPr>
              <w:t>Lo TKT, Parkinson L, Cunich M &amp; Byles J.</w:t>
            </w:r>
          </w:p>
        </w:tc>
        <w:tc>
          <w:tcPr>
            <w:tcW w:w="617" w:type="dxa"/>
          </w:tcPr>
          <w:p w14:paraId="6DB935EB"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595CB04E" w14:textId="77777777" w:rsidTr="0011030B">
        <w:tc>
          <w:tcPr>
            <w:tcW w:w="9008" w:type="dxa"/>
          </w:tcPr>
          <w:p w14:paraId="6CD20ED6" w14:textId="5510AFAB" w:rsidR="00084B2B" w:rsidRPr="005176BD" w:rsidRDefault="00084B2B" w:rsidP="003B611A">
            <w:pPr>
              <w:rPr>
                <w:rFonts w:cs="Arial"/>
                <w:sz w:val="20"/>
                <w:szCs w:val="20"/>
                <w:lang w:eastAsia="en-AU"/>
              </w:rPr>
            </w:pPr>
            <w:r w:rsidRPr="005176BD">
              <w:rPr>
                <w:rFonts w:cs="Arial"/>
                <w:sz w:val="20"/>
                <w:szCs w:val="20"/>
                <w:lang w:eastAsia="en-AU"/>
              </w:rPr>
              <w:t xml:space="preserve">The metabolic syndrome and cancer: </w:t>
            </w:r>
            <w:r w:rsidR="00BC3825" w:rsidRPr="005176BD">
              <w:rPr>
                <w:rFonts w:cs="Arial"/>
                <w:sz w:val="20"/>
                <w:szCs w:val="20"/>
                <w:lang w:eastAsia="en-AU"/>
              </w:rPr>
              <w:t>I</w:t>
            </w:r>
            <w:r w:rsidRPr="005176BD">
              <w:rPr>
                <w:rFonts w:cs="Arial"/>
                <w:sz w:val="20"/>
                <w:szCs w:val="20"/>
                <w:lang w:eastAsia="en-AU"/>
              </w:rPr>
              <w:t>s the metabolic syndrome useful for predicting cancer risk above and beyond its individual components? Diabetes and Metabolism, 2015</w:t>
            </w:r>
            <w:r w:rsidR="00BC3825" w:rsidRPr="005176BD">
              <w:rPr>
                <w:rFonts w:cs="Arial"/>
                <w:sz w:val="20"/>
                <w:szCs w:val="20"/>
                <w:lang w:eastAsia="en-AU"/>
              </w:rPr>
              <w:t>;</w:t>
            </w:r>
            <w:r w:rsidRPr="005176BD">
              <w:rPr>
                <w:rFonts w:cs="Arial"/>
                <w:sz w:val="20"/>
                <w:szCs w:val="20"/>
                <w:lang w:eastAsia="en-AU"/>
              </w:rPr>
              <w:t xml:space="preserve"> 41(6)</w:t>
            </w:r>
            <w:r w:rsidR="00BC3825" w:rsidRPr="005176BD">
              <w:rPr>
                <w:rFonts w:cs="Arial"/>
                <w:sz w:val="20"/>
                <w:szCs w:val="20"/>
                <w:lang w:eastAsia="en-AU"/>
              </w:rPr>
              <w:t xml:space="preserve">: </w:t>
            </w:r>
            <w:r w:rsidRPr="005176BD">
              <w:rPr>
                <w:rFonts w:cs="Arial"/>
                <w:sz w:val="20"/>
                <w:szCs w:val="20"/>
                <w:lang w:eastAsia="en-AU"/>
              </w:rPr>
              <w:t>463-469</w:t>
            </w:r>
            <w:r w:rsidR="00BC3825" w:rsidRPr="005176BD">
              <w:rPr>
                <w:rFonts w:cs="Arial"/>
                <w:sz w:val="20"/>
                <w:szCs w:val="20"/>
                <w:lang w:eastAsia="en-AU"/>
              </w:rPr>
              <w:t>.</w:t>
            </w:r>
          </w:p>
        </w:tc>
        <w:tc>
          <w:tcPr>
            <w:tcW w:w="4230" w:type="dxa"/>
          </w:tcPr>
          <w:p w14:paraId="519019D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Harding JL, </w:t>
            </w:r>
            <w:proofErr w:type="spellStart"/>
            <w:r w:rsidRPr="005176BD">
              <w:rPr>
                <w:rFonts w:cs="Arial"/>
                <w:sz w:val="20"/>
                <w:szCs w:val="20"/>
                <w:lang w:eastAsia="en-AU"/>
              </w:rPr>
              <w:t>Sooriyakumaran</w:t>
            </w:r>
            <w:proofErr w:type="spellEnd"/>
            <w:r w:rsidRPr="005176BD">
              <w:rPr>
                <w:rFonts w:cs="Arial"/>
                <w:sz w:val="20"/>
                <w:szCs w:val="20"/>
                <w:lang w:eastAsia="en-AU"/>
              </w:rPr>
              <w:t xml:space="preserve"> M, Anstey K, Adams R, </w:t>
            </w:r>
            <w:proofErr w:type="spellStart"/>
            <w:r w:rsidRPr="005176BD">
              <w:rPr>
                <w:rFonts w:cs="Arial"/>
                <w:sz w:val="20"/>
                <w:szCs w:val="20"/>
                <w:lang w:eastAsia="en-AU"/>
              </w:rPr>
              <w:t>Balkau</w:t>
            </w:r>
            <w:proofErr w:type="spellEnd"/>
            <w:r w:rsidRPr="005176BD">
              <w:rPr>
                <w:rFonts w:cs="Arial"/>
                <w:sz w:val="20"/>
                <w:szCs w:val="20"/>
                <w:lang w:eastAsia="en-AU"/>
              </w:rPr>
              <w:t xml:space="preserve"> B, Brennan-Olsen SL, et al.</w:t>
            </w:r>
          </w:p>
        </w:tc>
        <w:tc>
          <w:tcPr>
            <w:tcW w:w="617" w:type="dxa"/>
          </w:tcPr>
          <w:p w14:paraId="203CD8FA" w14:textId="77777777" w:rsidR="00084B2B" w:rsidRPr="005176BD" w:rsidRDefault="00084B2B" w:rsidP="003B611A">
            <w:pPr>
              <w:rPr>
                <w:rFonts w:cs="Arial"/>
                <w:sz w:val="20"/>
                <w:szCs w:val="20"/>
                <w:lang w:eastAsia="en-AU"/>
              </w:rPr>
            </w:pPr>
            <w:r w:rsidRPr="005176BD">
              <w:rPr>
                <w:rFonts w:cs="Arial"/>
                <w:sz w:val="20"/>
                <w:szCs w:val="20"/>
                <w:lang w:eastAsia="en-AU"/>
              </w:rPr>
              <w:t>14</w:t>
            </w:r>
          </w:p>
        </w:tc>
      </w:tr>
      <w:tr w:rsidR="00BC3825" w:rsidRPr="00084B2B" w14:paraId="3684D27E" w14:textId="77777777" w:rsidTr="0011030B">
        <w:tc>
          <w:tcPr>
            <w:tcW w:w="9008" w:type="dxa"/>
            <w:tcBorders>
              <w:top w:val="single" w:sz="4" w:space="0" w:color="auto"/>
              <w:left w:val="single" w:sz="4" w:space="0" w:color="C0C0C0"/>
              <w:bottom w:val="single" w:sz="4" w:space="0" w:color="auto"/>
              <w:right w:val="single" w:sz="4" w:space="0" w:color="C0C0C0"/>
            </w:tcBorders>
            <w:shd w:val="clear" w:color="auto" w:fill="auto"/>
          </w:tcPr>
          <w:p w14:paraId="1DA8E4DF" w14:textId="5CAEA2D8" w:rsidR="00BC3825" w:rsidRPr="005176BD" w:rsidRDefault="00BC3825" w:rsidP="003B611A">
            <w:pPr>
              <w:rPr>
                <w:rFonts w:cs="Arial"/>
                <w:sz w:val="20"/>
                <w:szCs w:val="20"/>
                <w:lang w:eastAsia="en-AU"/>
              </w:rPr>
            </w:pPr>
            <w:r w:rsidRPr="005176BD">
              <w:rPr>
                <w:rFonts w:cs="Arial"/>
                <w:sz w:val="20"/>
                <w:szCs w:val="20"/>
                <w:lang w:eastAsia="en-AU"/>
              </w:rPr>
              <w:t>Moderate agreement between self-reported stroke and hospital-recorded stroke in two cohorts of Australian women: A validation study. BMC Medical Methodology Research, 2015; 15(7): 1-10.</w:t>
            </w:r>
          </w:p>
        </w:tc>
        <w:tc>
          <w:tcPr>
            <w:tcW w:w="4230" w:type="dxa"/>
          </w:tcPr>
          <w:p w14:paraId="7360FE8C" w14:textId="77777777" w:rsidR="00BC3825" w:rsidRPr="005176BD" w:rsidRDefault="00BC3825" w:rsidP="003B611A">
            <w:pPr>
              <w:rPr>
                <w:rFonts w:cs="Arial"/>
                <w:sz w:val="20"/>
                <w:szCs w:val="20"/>
                <w:lang w:eastAsia="en-AU"/>
              </w:rPr>
            </w:pPr>
            <w:r w:rsidRPr="005176BD">
              <w:rPr>
                <w:rFonts w:cs="Arial"/>
                <w:sz w:val="20"/>
                <w:szCs w:val="20"/>
                <w:lang w:eastAsia="en-AU"/>
              </w:rPr>
              <w:t>Jackson CA, Mishra G, Byles J, Tooth L, Dobson A.</w:t>
            </w:r>
          </w:p>
        </w:tc>
        <w:tc>
          <w:tcPr>
            <w:tcW w:w="617" w:type="dxa"/>
          </w:tcPr>
          <w:p w14:paraId="6B124242" w14:textId="77777777" w:rsidR="00BC3825" w:rsidRPr="005176BD" w:rsidRDefault="00BC3825" w:rsidP="003B611A">
            <w:pPr>
              <w:rPr>
                <w:rFonts w:cs="Arial"/>
                <w:sz w:val="20"/>
                <w:szCs w:val="20"/>
                <w:lang w:eastAsia="en-AU"/>
              </w:rPr>
            </w:pPr>
            <w:r w:rsidRPr="005176BD">
              <w:rPr>
                <w:rFonts w:cs="Arial"/>
                <w:sz w:val="20"/>
                <w:szCs w:val="20"/>
                <w:lang w:eastAsia="en-AU"/>
              </w:rPr>
              <w:t>3</w:t>
            </w:r>
          </w:p>
        </w:tc>
      </w:tr>
      <w:tr w:rsidR="00BC3825" w:rsidRPr="00084B2B" w14:paraId="3E3B46E4" w14:textId="77777777" w:rsidTr="0011030B">
        <w:tc>
          <w:tcPr>
            <w:tcW w:w="9008" w:type="dxa"/>
            <w:tcBorders>
              <w:top w:val="single" w:sz="4" w:space="0" w:color="auto"/>
              <w:left w:val="single" w:sz="4" w:space="0" w:color="C0C0C0"/>
              <w:bottom w:val="single" w:sz="4" w:space="0" w:color="auto"/>
              <w:right w:val="single" w:sz="4" w:space="0" w:color="C0C0C0"/>
            </w:tcBorders>
            <w:shd w:val="clear" w:color="auto" w:fill="auto"/>
          </w:tcPr>
          <w:p w14:paraId="208BF0A3" w14:textId="435FCB17" w:rsidR="00BC3825" w:rsidRPr="005176BD" w:rsidRDefault="00BC3825" w:rsidP="003B611A">
            <w:pPr>
              <w:rPr>
                <w:rFonts w:cs="Arial"/>
                <w:sz w:val="20"/>
                <w:szCs w:val="20"/>
                <w:lang w:eastAsia="en-AU"/>
              </w:rPr>
            </w:pPr>
            <w:r w:rsidRPr="005176BD">
              <w:rPr>
                <w:rFonts w:cs="Arial"/>
                <w:sz w:val="20"/>
                <w:szCs w:val="20"/>
                <w:lang w:eastAsia="en-AU"/>
              </w:rPr>
              <w:t>Visualising and modelling changes in categorical variables in longitudinal studies. BMC Medical Research Methodology, 2014; 14: 32.</w:t>
            </w:r>
          </w:p>
        </w:tc>
        <w:tc>
          <w:tcPr>
            <w:tcW w:w="4230" w:type="dxa"/>
          </w:tcPr>
          <w:p w14:paraId="339B4DEB" w14:textId="77777777" w:rsidR="00BC3825" w:rsidRPr="005176BD" w:rsidRDefault="00BC3825" w:rsidP="003B611A">
            <w:pPr>
              <w:rPr>
                <w:rFonts w:cs="Arial"/>
                <w:sz w:val="20"/>
                <w:szCs w:val="20"/>
                <w:lang w:eastAsia="en-AU"/>
              </w:rPr>
            </w:pPr>
            <w:r w:rsidRPr="005176BD">
              <w:rPr>
                <w:rFonts w:cs="Arial"/>
                <w:sz w:val="20"/>
                <w:szCs w:val="20"/>
                <w:lang w:eastAsia="en-AU"/>
              </w:rPr>
              <w:t>Jones M, Hockey R, Mishra D &amp; Dobson A.</w:t>
            </w:r>
          </w:p>
        </w:tc>
        <w:tc>
          <w:tcPr>
            <w:tcW w:w="617" w:type="dxa"/>
          </w:tcPr>
          <w:p w14:paraId="68090CC1" w14:textId="77777777" w:rsidR="00BC3825" w:rsidRPr="005176BD" w:rsidRDefault="00BC3825" w:rsidP="003B611A">
            <w:pPr>
              <w:rPr>
                <w:rFonts w:cs="Arial"/>
                <w:sz w:val="20"/>
                <w:szCs w:val="20"/>
                <w:lang w:eastAsia="en-AU"/>
              </w:rPr>
            </w:pPr>
            <w:r w:rsidRPr="005176BD">
              <w:rPr>
                <w:rFonts w:cs="Arial"/>
                <w:sz w:val="20"/>
                <w:szCs w:val="20"/>
                <w:lang w:eastAsia="en-AU"/>
              </w:rPr>
              <w:t>11</w:t>
            </w:r>
          </w:p>
        </w:tc>
      </w:tr>
      <w:tr w:rsidR="00BC3825" w:rsidRPr="00084B2B" w14:paraId="15830AD2" w14:textId="77777777" w:rsidTr="0011030B">
        <w:tc>
          <w:tcPr>
            <w:tcW w:w="9008" w:type="dxa"/>
          </w:tcPr>
          <w:p w14:paraId="031B7F8F" w14:textId="13E201A0" w:rsidR="00BC3825" w:rsidRPr="005176BD" w:rsidRDefault="00BC3825" w:rsidP="003B611A">
            <w:pPr>
              <w:rPr>
                <w:rFonts w:cs="Arial"/>
                <w:sz w:val="20"/>
                <w:szCs w:val="20"/>
                <w:lang w:eastAsia="en-AU"/>
              </w:rPr>
            </w:pPr>
            <w:r w:rsidRPr="005176BD">
              <w:rPr>
                <w:rFonts w:cs="Arial"/>
                <w:sz w:val="20"/>
                <w:szCs w:val="20"/>
                <w:lang w:eastAsia="en-AU"/>
              </w:rPr>
              <w:t>Factors associated with healthcare cost in older Au</w:t>
            </w:r>
            <w:r w:rsidR="00C75859" w:rsidRPr="005176BD">
              <w:rPr>
                <w:rFonts w:cs="Arial"/>
                <w:sz w:val="20"/>
                <w:szCs w:val="20"/>
                <w:lang w:eastAsia="en-AU"/>
              </w:rPr>
              <w:t>stralian women with arthritis: A</w:t>
            </w:r>
            <w:r w:rsidRPr="005176BD">
              <w:rPr>
                <w:rFonts w:cs="Arial"/>
                <w:sz w:val="20"/>
                <w:szCs w:val="20"/>
                <w:lang w:eastAsia="en-AU"/>
              </w:rPr>
              <w:t>n application of the Andersen's Behavioural Model of Health Services Use. Public Health, 2016</w:t>
            </w:r>
            <w:r w:rsidR="00C75859" w:rsidRPr="005176BD">
              <w:rPr>
                <w:rFonts w:cs="Arial"/>
                <w:sz w:val="20"/>
                <w:szCs w:val="20"/>
                <w:lang w:eastAsia="en-AU"/>
              </w:rPr>
              <w:t>;</w:t>
            </w:r>
            <w:r w:rsidRPr="005176BD">
              <w:rPr>
                <w:rFonts w:cs="Arial"/>
                <w:sz w:val="20"/>
                <w:szCs w:val="20"/>
                <w:lang w:eastAsia="en-AU"/>
              </w:rPr>
              <w:t xml:space="preserve"> 134</w:t>
            </w:r>
            <w:r w:rsidR="00C75859" w:rsidRPr="005176BD">
              <w:rPr>
                <w:rFonts w:cs="Arial"/>
                <w:sz w:val="20"/>
                <w:szCs w:val="20"/>
                <w:lang w:eastAsia="en-AU"/>
              </w:rPr>
              <w:t xml:space="preserve">: </w:t>
            </w:r>
            <w:r w:rsidRPr="005176BD">
              <w:rPr>
                <w:rFonts w:cs="Arial"/>
                <w:sz w:val="20"/>
                <w:szCs w:val="20"/>
                <w:lang w:eastAsia="en-AU"/>
              </w:rPr>
              <w:t>64-71</w:t>
            </w:r>
            <w:r w:rsidR="00C75859" w:rsidRPr="005176BD">
              <w:rPr>
                <w:rFonts w:cs="Arial"/>
                <w:sz w:val="20"/>
                <w:szCs w:val="20"/>
                <w:lang w:eastAsia="en-AU"/>
              </w:rPr>
              <w:t>.</w:t>
            </w:r>
          </w:p>
        </w:tc>
        <w:tc>
          <w:tcPr>
            <w:tcW w:w="4230" w:type="dxa"/>
          </w:tcPr>
          <w:p w14:paraId="50F9458C" w14:textId="77777777" w:rsidR="00BC3825" w:rsidRPr="005176BD" w:rsidRDefault="00BC3825" w:rsidP="003B611A">
            <w:pPr>
              <w:rPr>
                <w:rFonts w:cs="Arial"/>
                <w:sz w:val="20"/>
                <w:szCs w:val="20"/>
                <w:lang w:eastAsia="en-AU"/>
              </w:rPr>
            </w:pPr>
            <w:r w:rsidRPr="005176BD">
              <w:rPr>
                <w:rFonts w:cs="Arial"/>
                <w:sz w:val="20"/>
                <w:szCs w:val="20"/>
                <w:lang w:eastAsia="en-AU"/>
              </w:rPr>
              <w:t>Lo TKT, Parkinson L, Cunich M &amp; Byles J.</w:t>
            </w:r>
          </w:p>
        </w:tc>
        <w:tc>
          <w:tcPr>
            <w:tcW w:w="617" w:type="dxa"/>
          </w:tcPr>
          <w:p w14:paraId="05EDF956" w14:textId="77777777" w:rsidR="00BC3825" w:rsidRPr="005176BD" w:rsidRDefault="00BC3825" w:rsidP="003B611A">
            <w:pPr>
              <w:rPr>
                <w:rFonts w:cs="Arial"/>
                <w:sz w:val="20"/>
                <w:szCs w:val="20"/>
                <w:lang w:eastAsia="en-AU"/>
              </w:rPr>
            </w:pPr>
            <w:r w:rsidRPr="005176BD">
              <w:rPr>
                <w:rFonts w:cs="Arial"/>
                <w:sz w:val="20"/>
                <w:szCs w:val="20"/>
                <w:lang w:eastAsia="en-AU"/>
              </w:rPr>
              <w:t>2</w:t>
            </w:r>
          </w:p>
        </w:tc>
      </w:tr>
      <w:tr w:rsidR="00BC3825" w:rsidRPr="00084B2B" w14:paraId="2D7DCF7D" w14:textId="77777777" w:rsidTr="0011030B">
        <w:tc>
          <w:tcPr>
            <w:tcW w:w="9008" w:type="dxa"/>
          </w:tcPr>
          <w:p w14:paraId="5F42E511" w14:textId="26EFB357" w:rsidR="00BC3825" w:rsidRPr="005176BD" w:rsidRDefault="00BC3825" w:rsidP="003B611A">
            <w:pPr>
              <w:rPr>
                <w:rFonts w:cs="Arial"/>
                <w:sz w:val="20"/>
                <w:szCs w:val="20"/>
                <w:lang w:eastAsia="en-AU"/>
              </w:rPr>
            </w:pPr>
            <w:r w:rsidRPr="005176BD">
              <w:rPr>
                <w:rFonts w:cs="Arial"/>
                <w:sz w:val="20"/>
                <w:szCs w:val="20"/>
                <w:lang w:eastAsia="en-AU"/>
              </w:rPr>
              <w:t>Do factors that predict attrition change across waves in a longitudinal study of older women? Journal of the American Geriatrics Society, 2015</w:t>
            </w:r>
            <w:r w:rsidR="00C75859" w:rsidRPr="005176BD">
              <w:rPr>
                <w:rFonts w:cs="Arial"/>
                <w:sz w:val="20"/>
                <w:szCs w:val="20"/>
                <w:lang w:eastAsia="en-AU"/>
              </w:rPr>
              <w:t>;</w:t>
            </w:r>
            <w:r w:rsidRPr="005176BD">
              <w:rPr>
                <w:rFonts w:cs="Arial"/>
                <w:sz w:val="20"/>
                <w:szCs w:val="20"/>
                <w:lang w:eastAsia="en-AU"/>
              </w:rPr>
              <w:t xml:space="preserve"> 63(12</w:t>
            </w:r>
            <w:r w:rsidR="00C75859" w:rsidRPr="005176BD">
              <w:rPr>
                <w:rFonts w:cs="Arial"/>
                <w:sz w:val="20"/>
                <w:szCs w:val="20"/>
                <w:lang w:eastAsia="en-AU"/>
              </w:rPr>
              <w:t xml:space="preserve">: </w:t>
            </w:r>
            <w:r w:rsidRPr="005176BD">
              <w:rPr>
                <w:rFonts w:cs="Arial"/>
                <w:sz w:val="20"/>
                <w:szCs w:val="20"/>
                <w:lang w:eastAsia="en-AU"/>
              </w:rPr>
              <w:t>2627-2629</w:t>
            </w:r>
            <w:r w:rsidR="00C75859" w:rsidRPr="005176BD">
              <w:rPr>
                <w:rFonts w:cs="Arial"/>
                <w:sz w:val="20"/>
                <w:szCs w:val="20"/>
                <w:lang w:eastAsia="en-AU"/>
              </w:rPr>
              <w:t>.</w:t>
            </w:r>
          </w:p>
        </w:tc>
        <w:tc>
          <w:tcPr>
            <w:tcW w:w="4230" w:type="dxa"/>
          </w:tcPr>
          <w:p w14:paraId="245AA1A8" w14:textId="77777777" w:rsidR="00BC3825" w:rsidRPr="005176BD" w:rsidRDefault="00BC3825" w:rsidP="003B611A">
            <w:pPr>
              <w:rPr>
                <w:rFonts w:cs="Arial"/>
                <w:sz w:val="20"/>
                <w:szCs w:val="20"/>
                <w:lang w:eastAsia="en-AU"/>
              </w:rPr>
            </w:pPr>
            <w:r w:rsidRPr="005176BD">
              <w:rPr>
                <w:rFonts w:cs="Arial"/>
                <w:sz w:val="20"/>
                <w:szCs w:val="20"/>
                <w:lang w:eastAsia="en-AU"/>
              </w:rPr>
              <w:t>Gardiner PA, Pachana NA, Mishra GD, Jones M, Byles JE &amp; Dobson AJ.</w:t>
            </w:r>
          </w:p>
        </w:tc>
        <w:tc>
          <w:tcPr>
            <w:tcW w:w="617" w:type="dxa"/>
          </w:tcPr>
          <w:p w14:paraId="43F873C3" w14:textId="77777777" w:rsidR="00BC3825" w:rsidRPr="005176BD" w:rsidRDefault="00BC3825" w:rsidP="003B611A">
            <w:pPr>
              <w:rPr>
                <w:rFonts w:cs="Arial"/>
                <w:sz w:val="20"/>
                <w:szCs w:val="20"/>
                <w:lang w:eastAsia="en-AU"/>
              </w:rPr>
            </w:pPr>
            <w:r w:rsidRPr="005176BD">
              <w:rPr>
                <w:rFonts w:cs="Arial"/>
                <w:sz w:val="20"/>
                <w:szCs w:val="20"/>
                <w:lang w:eastAsia="en-AU"/>
              </w:rPr>
              <w:t>0</w:t>
            </w:r>
          </w:p>
        </w:tc>
      </w:tr>
      <w:tr w:rsidR="00BC3825" w:rsidRPr="00084B2B" w14:paraId="590BCD1D" w14:textId="77777777" w:rsidTr="0011030B">
        <w:tc>
          <w:tcPr>
            <w:tcW w:w="9008" w:type="dxa"/>
          </w:tcPr>
          <w:p w14:paraId="6C064DFB" w14:textId="21196785" w:rsidR="00BC3825" w:rsidRPr="005176BD" w:rsidRDefault="00BC3825" w:rsidP="003B611A">
            <w:pPr>
              <w:rPr>
                <w:rFonts w:cs="Arial"/>
                <w:sz w:val="20"/>
                <w:szCs w:val="20"/>
                <w:lang w:eastAsia="en-AU"/>
              </w:rPr>
            </w:pPr>
            <w:r w:rsidRPr="005176BD">
              <w:rPr>
                <w:rFonts w:cs="Arial"/>
                <w:sz w:val="20"/>
                <w:szCs w:val="20"/>
                <w:lang w:eastAsia="en-AU"/>
              </w:rPr>
              <w:t>Validity and responsiveness of the FRAIL scale in a longitudinal cohort study of older Australian women. Journal of the American Medical Directors Association, 2015</w:t>
            </w:r>
            <w:r w:rsidR="00C75859" w:rsidRPr="005176BD">
              <w:rPr>
                <w:rFonts w:cs="Arial"/>
                <w:sz w:val="20"/>
                <w:szCs w:val="20"/>
                <w:lang w:eastAsia="en-AU"/>
              </w:rPr>
              <w:t xml:space="preserve">; </w:t>
            </w:r>
            <w:r w:rsidRPr="005176BD">
              <w:rPr>
                <w:rFonts w:cs="Arial"/>
                <w:sz w:val="20"/>
                <w:szCs w:val="20"/>
                <w:lang w:eastAsia="en-AU"/>
              </w:rPr>
              <w:t>16(9)</w:t>
            </w:r>
            <w:r w:rsidR="00C75859" w:rsidRPr="005176BD">
              <w:rPr>
                <w:rFonts w:cs="Arial"/>
                <w:sz w:val="20"/>
                <w:szCs w:val="20"/>
                <w:lang w:eastAsia="en-AU"/>
              </w:rPr>
              <w:t xml:space="preserve">: </w:t>
            </w:r>
            <w:r w:rsidRPr="005176BD">
              <w:rPr>
                <w:rFonts w:cs="Arial"/>
                <w:sz w:val="20"/>
                <w:szCs w:val="20"/>
                <w:lang w:eastAsia="en-AU"/>
              </w:rPr>
              <w:t xml:space="preserve">781-783. </w:t>
            </w:r>
          </w:p>
        </w:tc>
        <w:tc>
          <w:tcPr>
            <w:tcW w:w="4230" w:type="dxa"/>
          </w:tcPr>
          <w:p w14:paraId="48EA745E" w14:textId="77777777" w:rsidR="00BC3825" w:rsidRPr="005176BD" w:rsidRDefault="00BC3825" w:rsidP="003B611A">
            <w:pPr>
              <w:rPr>
                <w:rFonts w:cs="Arial"/>
                <w:sz w:val="20"/>
                <w:szCs w:val="20"/>
                <w:lang w:eastAsia="en-AU"/>
              </w:rPr>
            </w:pPr>
            <w:r w:rsidRPr="005176BD">
              <w:rPr>
                <w:rFonts w:cs="Arial"/>
                <w:sz w:val="20"/>
                <w:szCs w:val="20"/>
                <w:lang w:eastAsia="en-AU"/>
              </w:rPr>
              <w:t>Gardiner PA, Mishra GD &amp; Dobson AJ.</w:t>
            </w:r>
          </w:p>
        </w:tc>
        <w:tc>
          <w:tcPr>
            <w:tcW w:w="617" w:type="dxa"/>
          </w:tcPr>
          <w:p w14:paraId="657F206C" w14:textId="77777777" w:rsidR="00BC3825" w:rsidRPr="005176BD" w:rsidRDefault="00BC3825" w:rsidP="003B611A">
            <w:pPr>
              <w:rPr>
                <w:rFonts w:cs="Arial"/>
                <w:sz w:val="20"/>
                <w:szCs w:val="20"/>
                <w:lang w:eastAsia="en-AU"/>
              </w:rPr>
            </w:pPr>
            <w:r w:rsidRPr="005176BD">
              <w:rPr>
                <w:rFonts w:cs="Arial"/>
                <w:sz w:val="20"/>
                <w:szCs w:val="20"/>
                <w:lang w:eastAsia="en-AU"/>
              </w:rPr>
              <w:t>33</w:t>
            </w:r>
          </w:p>
        </w:tc>
      </w:tr>
      <w:tr w:rsidR="00BC3825" w:rsidRPr="00084B2B" w14:paraId="6BF4A4B2" w14:textId="77777777" w:rsidTr="0011030B">
        <w:tc>
          <w:tcPr>
            <w:tcW w:w="9008" w:type="dxa"/>
          </w:tcPr>
          <w:p w14:paraId="34C8B15F" w14:textId="7BB25625" w:rsidR="00BC3825" w:rsidRPr="005176BD" w:rsidRDefault="00BC3825" w:rsidP="003B611A">
            <w:pPr>
              <w:rPr>
                <w:rFonts w:cs="Arial"/>
                <w:sz w:val="20"/>
                <w:szCs w:val="20"/>
                <w:lang w:eastAsia="en-AU"/>
              </w:rPr>
            </w:pPr>
            <w:r w:rsidRPr="005176BD">
              <w:rPr>
                <w:rFonts w:cs="Arial"/>
                <w:sz w:val="20"/>
                <w:szCs w:val="20"/>
                <w:lang w:eastAsia="en-AU"/>
              </w:rPr>
              <w:lastRenderedPageBreak/>
              <w:t>Factors associated with higher healthcare cost in indi</w:t>
            </w:r>
            <w:r w:rsidR="00C75859" w:rsidRPr="005176BD">
              <w:rPr>
                <w:rFonts w:cs="Arial"/>
                <w:sz w:val="20"/>
                <w:szCs w:val="20"/>
                <w:lang w:eastAsia="en-AU"/>
              </w:rPr>
              <w:t>viduals living with arthritis: E</w:t>
            </w:r>
            <w:r w:rsidRPr="005176BD">
              <w:rPr>
                <w:rFonts w:cs="Arial"/>
                <w:sz w:val="20"/>
                <w:szCs w:val="20"/>
                <w:lang w:eastAsia="en-AU"/>
              </w:rPr>
              <w:t xml:space="preserve">vidence from the quantile regression approach. Expert Review of </w:t>
            </w:r>
            <w:proofErr w:type="spellStart"/>
            <w:r w:rsidRPr="005176BD">
              <w:rPr>
                <w:rFonts w:cs="Arial"/>
                <w:sz w:val="20"/>
                <w:szCs w:val="20"/>
                <w:lang w:eastAsia="en-AU"/>
              </w:rPr>
              <w:t>Pharmacoeconomics</w:t>
            </w:r>
            <w:proofErr w:type="spellEnd"/>
            <w:r w:rsidRPr="005176BD">
              <w:rPr>
                <w:rFonts w:cs="Arial"/>
                <w:sz w:val="20"/>
                <w:szCs w:val="20"/>
                <w:lang w:eastAsia="en-AU"/>
              </w:rPr>
              <w:t xml:space="preserve"> &amp; Outcomes Research Journal 2015; 15(5): 833-841.</w:t>
            </w:r>
          </w:p>
        </w:tc>
        <w:tc>
          <w:tcPr>
            <w:tcW w:w="4230" w:type="dxa"/>
          </w:tcPr>
          <w:p w14:paraId="12494934" w14:textId="77777777" w:rsidR="00BC3825" w:rsidRPr="005176BD" w:rsidRDefault="00BC3825" w:rsidP="003B611A">
            <w:pPr>
              <w:rPr>
                <w:rFonts w:cs="Arial"/>
                <w:sz w:val="20"/>
                <w:szCs w:val="20"/>
                <w:lang w:eastAsia="en-AU"/>
              </w:rPr>
            </w:pPr>
            <w:r w:rsidRPr="005176BD">
              <w:rPr>
                <w:rFonts w:cs="Arial"/>
                <w:sz w:val="20"/>
                <w:szCs w:val="20"/>
                <w:lang w:eastAsia="en-AU"/>
              </w:rPr>
              <w:t>Lo TKT, Parkinson L, Cunich M &amp; Byles J.</w:t>
            </w:r>
          </w:p>
        </w:tc>
        <w:tc>
          <w:tcPr>
            <w:tcW w:w="617" w:type="dxa"/>
          </w:tcPr>
          <w:p w14:paraId="208A1281" w14:textId="77777777" w:rsidR="00BC3825" w:rsidRPr="005176BD" w:rsidRDefault="00BC3825" w:rsidP="003B611A">
            <w:pPr>
              <w:rPr>
                <w:rFonts w:cs="Arial"/>
                <w:sz w:val="20"/>
                <w:szCs w:val="20"/>
                <w:lang w:eastAsia="en-AU"/>
              </w:rPr>
            </w:pPr>
            <w:r w:rsidRPr="005176BD">
              <w:rPr>
                <w:rFonts w:cs="Arial"/>
                <w:sz w:val="20"/>
                <w:szCs w:val="20"/>
                <w:lang w:eastAsia="en-AU"/>
              </w:rPr>
              <w:t>7</w:t>
            </w:r>
          </w:p>
        </w:tc>
      </w:tr>
      <w:tr w:rsidR="00BC3825" w:rsidRPr="00084B2B" w14:paraId="0E755006" w14:textId="77777777" w:rsidTr="0011030B">
        <w:tc>
          <w:tcPr>
            <w:tcW w:w="9008" w:type="dxa"/>
          </w:tcPr>
          <w:p w14:paraId="235F2598" w14:textId="2E6DED63" w:rsidR="00BC3825" w:rsidRPr="005176BD" w:rsidRDefault="00BC3825" w:rsidP="003B611A">
            <w:pPr>
              <w:rPr>
                <w:rFonts w:cs="Arial"/>
                <w:sz w:val="20"/>
                <w:szCs w:val="20"/>
                <w:lang w:eastAsia="en-AU"/>
              </w:rPr>
            </w:pPr>
            <w:r w:rsidRPr="005176BD">
              <w:rPr>
                <w:rFonts w:cs="Arial"/>
                <w:sz w:val="20"/>
                <w:szCs w:val="20"/>
                <w:lang w:eastAsia="en-AU"/>
              </w:rPr>
              <w:t>Analytical results in longitudinal studies depended on target of inference and assumed mechanism of attrition. Journal of Clinical Epidemiology, 2015</w:t>
            </w:r>
            <w:r w:rsidR="00C75859" w:rsidRPr="005176BD">
              <w:rPr>
                <w:rFonts w:cs="Arial"/>
                <w:sz w:val="20"/>
                <w:szCs w:val="20"/>
                <w:lang w:eastAsia="en-AU"/>
              </w:rPr>
              <w:t>;</w:t>
            </w:r>
            <w:r w:rsidRPr="005176BD">
              <w:rPr>
                <w:rFonts w:cs="Arial"/>
                <w:sz w:val="20"/>
                <w:szCs w:val="20"/>
                <w:lang w:eastAsia="en-AU"/>
              </w:rPr>
              <w:t xml:space="preserve"> 68(10)</w:t>
            </w:r>
            <w:r w:rsidR="00C75859" w:rsidRPr="005176BD">
              <w:rPr>
                <w:rFonts w:cs="Arial"/>
                <w:sz w:val="20"/>
                <w:szCs w:val="20"/>
                <w:lang w:eastAsia="en-AU"/>
              </w:rPr>
              <w:t xml:space="preserve">: </w:t>
            </w:r>
            <w:r w:rsidRPr="005176BD">
              <w:rPr>
                <w:rFonts w:cs="Arial"/>
                <w:sz w:val="20"/>
                <w:szCs w:val="20"/>
                <w:lang w:eastAsia="en-AU"/>
              </w:rPr>
              <w:t>1165-1175</w:t>
            </w:r>
            <w:r w:rsidR="00C75859" w:rsidRPr="005176BD">
              <w:rPr>
                <w:rFonts w:cs="Arial"/>
                <w:sz w:val="20"/>
                <w:szCs w:val="20"/>
                <w:lang w:eastAsia="en-AU"/>
              </w:rPr>
              <w:t>.</w:t>
            </w:r>
          </w:p>
        </w:tc>
        <w:tc>
          <w:tcPr>
            <w:tcW w:w="4230" w:type="dxa"/>
          </w:tcPr>
          <w:p w14:paraId="14320579" w14:textId="77777777" w:rsidR="00BC3825" w:rsidRPr="005176BD" w:rsidRDefault="00BC3825" w:rsidP="003B611A">
            <w:pPr>
              <w:rPr>
                <w:rFonts w:cs="Arial"/>
                <w:sz w:val="20"/>
                <w:szCs w:val="20"/>
                <w:lang w:eastAsia="en-AU"/>
              </w:rPr>
            </w:pPr>
            <w:r w:rsidRPr="005176BD">
              <w:rPr>
                <w:rFonts w:cs="Arial"/>
                <w:sz w:val="20"/>
                <w:szCs w:val="20"/>
                <w:lang w:eastAsia="en-AU"/>
              </w:rPr>
              <w:t>Jones M, Mishra G &amp; Dobson A.</w:t>
            </w:r>
          </w:p>
        </w:tc>
        <w:tc>
          <w:tcPr>
            <w:tcW w:w="617" w:type="dxa"/>
          </w:tcPr>
          <w:p w14:paraId="5E08B0D9" w14:textId="77777777" w:rsidR="00BC3825" w:rsidRPr="005176BD" w:rsidRDefault="00BC3825" w:rsidP="003B611A">
            <w:pPr>
              <w:rPr>
                <w:rFonts w:cs="Arial"/>
                <w:sz w:val="20"/>
                <w:szCs w:val="20"/>
                <w:lang w:eastAsia="en-AU"/>
              </w:rPr>
            </w:pPr>
            <w:r w:rsidRPr="005176BD">
              <w:rPr>
                <w:rFonts w:cs="Arial"/>
                <w:sz w:val="20"/>
                <w:szCs w:val="20"/>
                <w:lang w:eastAsia="en-AU"/>
              </w:rPr>
              <w:t>11</w:t>
            </w:r>
          </w:p>
        </w:tc>
      </w:tr>
      <w:tr w:rsidR="00BC3825" w:rsidRPr="00084B2B" w14:paraId="638FE1C3" w14:textId="77777777" w:rsidTr="0011030B">
        <w:tc>
          <w:tcPr>
            <w:tcW w:w="9008" w:type="dxa"/>
          </w:tcPr>
          <w:p w14:paraId="458BABD4" w14:textId="51FFABE7" w:rsidR="00BC3825" w:rsidRPr="005176BD" w:rsidRDefault="00BC3825" w:rsidP="003B611A">
            <w:pPr>
              <w:rPr>
                <w:rFonts w:cs="Arial"/>
                <w:sz w:val="20"/>
                <w:szCs w:val="20"/>
                <w:lang w:eastAsia="en-AU"/>
              </w:rPr>
            </w:pPr>
            <w:r w:rsidRPr="005176BD">
              <w:rPr>
                <w:rFonts w:cs="Arial"/>
                <w:sz w:val="20"/>
                <w:szCs w:val="20"/>
                <w:lang w:eastAsia="en-AU"/>
              </w:rPr>
              <w:t>Cohort Profile Update: Australian Longitudinal Study on Women’s Health. International Journal of Epidemiology, 2015</w:t>
            </w:r>
            <w:r w:rsidR="00C75859" w:rsidRPr="005176BD">
              <w:rPr>
                <w:rFonts w:cs="Arial"/>
                <w:sz w:val="20"/>
                <w:szCs w:val="20"/>
                <w:lang w:eastAsia="en-AU"/>
              </w:rPr>
              <w:t xml:space="preserve">; </w:t>
            </w:r>
            <w:r w:rsidRPr="005176BD">
              <w:rPr>
                <w:rFonts w:cs="Arial"/>
                <w:sz w:val="20"/>
                <w:szCs w:val="20"/>
                <w:lang w:eastAsia="en-AU"/>
              </w:rPr>
              <w:t>44(5)</w:t>
            </w:r>
            <w:r w:rsidR="00C75859" w:rsidRPr="005176BD">
              <w:rPr>
                <w:rFonts w:cs="Arial"/>
                <w:sz w:val="20"/>
                <w:szCs w:val="20"/>
                <w:lang w:eastAsia="en-AU"/>
              </w:rPr>
              <w:t xml:space="preserve">: </w:t>
            </w:r>
            <w:r w:rsidRPr="005176BD">
              <w:rPr>
                <w:rFonts w:cs="Arial"/>
                <w:sz w:val="20"/>
                <w:szCs w:val="20"/>
                <w:lang w:eastAsia="en-AU"/>
              </w:rPr>
              <w:t>1547a-1547f</w:t>
            </w:r>
            <w:r w:rsidR="00C75859" w:rsidRPr="005176BD">
              <w:rPr>
                <w:rFonts w:cs="Arial"/>
                <w:sz w:val="20"/>
                <w:szCs w:val="20"/>
                <w:lang w:eastAsia="en-AU"/>
              </w:rPr>
              <w:t>.</w:t>
            </w:r>
          </w:p>
        </w:tc>
        <w:tc>
          <w:tcPr>
            <w:tcW w:w="4230" w:type="dxa"/>
          </w:tcPr>
          <w:p w14:paraId="1A4BBFF5" w14:textId="77777777" w:rsidR="00BC3825" w:rsidRPr="005176BD" w:rsidRDefault="00BC3825" w:rsidP="003B611A">
            <w:pPr>
              <w:rPr>
                <w:rFonts w:cs="Arial"/>
                <w:sz w:val="20"/>
                <w:szCs w:val="20"/>
                <w:lang w:eastAsia="en-AU"/>
              </w:rPr>
            </w:pPr>
            <w:r w:rsidRPr="005176BD">
              <w:rPr>
                <w:rFonts w:cs="Arial"/>
                <w:sz w:val="20"/>
                <w:szCs w:val="20"/>
                <w:lang w:eastAsia="en-AU"/>
              </w:rPr>
              <w:t>Dobson A, Hockey R, Brown W, Byles J, Loxton D, McLaughlin D, Tooth L &amp; Mishra G</w:t>
            </w:r>
          </w:p>
        </w:tc>
        <w:tc>
          <w:tcPr>
            <w:tcW w:w="617" w:type="dxa"/>
          </w:tcPr>
          <w:p w14:paraId="670FC89B" w14:textId="77777777" w:rsidR="00BC3825" w:rsidRPr="005176BD" w:rsidRDefault="00BC3825" w:rsidP="003B611A">
            <w:pPr>
              <w:rPr>
                <w:rFonts w:cs="Arial"/>
                <w:sz w:val="20"/>
                <w:szCs w:val="20"/>
                <w:lang w:eastAsia="en-AU"/>
              </w:rPr>
            </w:pPr>
            <w:r w:rsidRPr="005176BD">
              <w:rPr>
                <w:rFonts w:cs="Arial"/>
                <w:sz w:val="20"/>
                <w:szCs w:val="20"/>
                <w:lang w:eastAsia="en-AU"/>
              </w:rPr>
              <w:t>59</w:t>
            </w:r>
          </w:p>
        </w:tc>
      </w:tr>
      <w:tr w:rsidR="00BC3825" w:rsidRPr="00084B2B" w14:paraId="28D27593" w14:textId="77777777" w:rsidTr="0011030B">
        <w:tc>
          <w:tcPr>
            <w:tcW w:w="9008" w:type="dxa"/>
          </w:tcPr>
          <w:p w14:paraId="17F9FEF6" w14:textId="731654EB" w:rsidR="00BC3825" w:rsidRPr="005176BD" w:rsidRDefault="00BC3825" w:rsidP="003B611A">
            <w:pPr>
              <w:rPr>
                <w:rFonts w:cs="Arial"/>
                <w:sz w:val="20"/>
                <w:szCs w:val="20"/>
                <w:lang w:eastAsia="en-AU"/>
              </w:rPr>
            </w:pPr>
            <w:r w:rsidRPr="005176BD">
              <w:rPr>
                <w:rFonts w:cs="Arial"/>
                <w:sz w:val="20"/>
                <w:szCs w:val="20"/>
                <w:lang w:eastAsia="en-AU"/>
              </w:rPr>
              <w:t>The identification of diabetes, heart disease, hypertension and stroke</w:t>
            </w:r>
            <w:r w:rsidR="00C75859" w:rsidRPr="005176BD">
              <w:rPr>
                <w:rFonts w:cs="Arial"/>
                <w:sz w:val="20"/>
                <w:szCs w:val="20"/>
                <w:lang w:eastAsia="en-AU"/>
              </w:rPr>
              <w:t xml:space="preserve"> in mid- and older-aged women: C</w:t>
            </w:r>
            <w:r w:rsidRPr="005176BD">
              <w:rPr>
                <w:rFonts w:cs="Arial"/>
                <w:sz w:val="20"/>
                <w:szCs w:val="20"/>
                <w:lang w:eastAsia="en-AU"/>
              </w:rPr>
              <w:t>omparing self-report and administrative hospital data records. Geriatrics &amp; Gerontology International, 2016</w:t>
            </w:r>
            <w:r w:rsidR="00C75859" w:rsidRPr="005176BD">
              <w:rPr>
                <w:rFonts w:cs="Arial"/>
                <w:sz w:val="20"/>
                <w:szCs w:val="20"/>
                <w:lang w:eastAsia="en-AU"/>
              </w:rPr>
              <w:t xml:space="preserve">; </w:t>
            </w:r>
            <w:r w:rsidRPr="005176BD">
              <w:rPr>
                <w:rFonts w:cs="Arial"/>
                <w:sz w:val="20"/>
                <w:szCs w:val="20"/>
                <w:lang w:eastAsia="en-AU"/>
              </w:rPr>
              <w:t>16(1)</w:t>
            </w:r>
            <w:r w:rsidR="00C75859" w:rsidRPr="005176BD">
              <w:rPr>
                <w:rFonts w:cs="Arial"/>
                <w:sz w:val="20"/>
                <w:szCs w:val="20"/>
                <w:lang w:eastAsia="en-AU"/>
              </w:rPr>
              <w:t xml:space="preserve">: </w:t>
            </w:r>
            <w:r w:rsidRPr="005176BD">
              <w:rPr>
                <w:rFonts w:cs="Arial"/>
                <w:sz w:val="20"/>
                <w:szCs w:val="20"/>
                <w:lang w:eastAsia="en-AU"/>
              </w:rPr>
              <w:t>95-102</w:t>
            </w:r>
            <w:r w:rsidR="00C75859" w:rsidRPr="005176BD">
              <w:rPr>
                <w:rFonts w:cs="Arial"/>
                <w:sz w:val="20"/>
                <w:szCs w:val="20"/>
                <w:lang w:eastAsia="en-AU"/>
              </w:rPr>
              <w:t>.</w:t>
            </w:r>
          </w:p>
        </w:tc>
        <w:tc>
          <w:tcPr>
            <w:tcW w:w="4230" w:type="dxa"/>
          </w:tcPr>
          <w:p w14:paraId="6CB6E946" w14:textId="77777777" w:rsidR="00BC3825" w:rsidRPr="005176BD" w:rsidRDefault="00BC3825" w:rsidP="003B611A">
            <w:pPr>
              <w:rPr>
                <w:rFonts w:cs="Arial"/>
                <w:sz w:val="20"/>
                <w:szCs w:val="20"/>
                <w:lang w:eastAsia="en-AU"/>
              </w:rPr>
            </w:pPr>
            <w:proofErr w:type="spellStart"/>
            <w:r w:rsidRPr="005176BD">
              <w:rPr>
                <w:rFonts w:cs="Arial"/>
                <w:sz w:val="20"/>
                <w:szCs w:val="20"/>
                <w:lang w:eastAsia="en-AU"/>
              </w:rPr>
              <w:t>Navin</w:t>
            </w:r>
            <w:proofErr w:type="spellEnd"/>
            <w:r w:rsidRPr="005176BD">
              <w:rPr>
                <w:rFonts w:cs="Arial"/>
                <w:sz w:val="20"/>
                <w:szCs w:val="20"/>
                <w:lang w:eastAsia="en-AU"/>
              </w:rPr>
              <w:t xml:space="preserve"> TJ, Stewart-Williams J, Parkinson L, Sibbritt D &amp; Byles JE.</w:t>
            </w:r>
          </w:p>
        </w:tc>
        <w:tc>
          <w:tcPr>
            <w:tcW w:w="617" w:type="dxa"/>
          </w:tcPr>
          <w:p w14:paraId="40200E54" w14:textId="77777777" w:rsidR="00BC3825" w:rsidRPr="005176BD" w:rsidRDefault="00BC3825" w:rsidP="003B611A">
            <w:pPr>
              <w:rPr>
                <w:rFonts w:cs="Arial"/>
                <w:sz w:val="20"/>
                <w:szCs w:val="20"/>
                <w:lang w:eastAsia="en-AU"/>
              </w:rPr>
            </w:pPr>
            <w:r w:rsidRPr="005176BD">
              <w:rPr>
                <w:rFonts w:cs="Arial"/>
                <w:sz w:val="20"/>
                <w:szCs w:val="20"/>
                <w:lang w:eastAsia="en-AU"/>
              </w:rPr>
              <w:t>18</w:t>
            </w:r>
          </w:p>
        </w:tc>
      </w:tr>
      <w:tr w:rsidR="00BC3825" w:rsidRPr="00084B2B" w14:paraId="2527F8F1" w14:textId="77777777" w:rsidTr="0011030B">
        <w:tc>
          <w:tcPr>
            <w:tcW w:w="9008" w:type="dxa"/>
          </w:tcPr>
          <w:p w14:paraId="564CA035" w14:textId="0EC0BCBD" w:rsidR="00BC3825" w:rsidRPr="005176BD" w:rsidRDefault="00BC3825" w:rsidP="003B611A">
            <w:pPr>
              <w:rPr>
                <w:rFonts w:cs="Arial"/>
                <w:sz w:val="20"/>
                <w:szCs w:val="20"/>
                <w:lang w:eastAsia="en-AU"/>
              </w:rPr>
            </w:pPr>
            <w:r w:rsidRPr="005176BD">
              <w:rPr>
                <w:rFonts w:cs="Arial"/>
                <w:sz w:val="20"/>
                <w:szCs w:val="20"/>
                <w:lang w:eastAsia="en-AU"/>
              </w:rPr>
              <w:t>A study protocol for the profile of pain in older women: Assessing the multi-dimensional nature of the experience of pain in arthritis. Chiropractic &amp; Manual Therapies, 2014</w:t>
            </w:r>
            <w:r w:rsidR="00C75859" w:rsidRPr="005176BD">
              <w:rPr>
                <w:rFonts w:cs="Arial"/>
                <w:sz w:val="20"/>
                <w:szCs w:val="20"/>
                <w:lang w:eastAsia="en-AU"/>
              </w:rPr>
              <w:t>;</w:t>
            </w:r>
            <w:r w:rsidRPr="005176BD">
              <w:rPr>
                <w:rFonts w:cs="Arial"/>
                <w:sz w:val="20"/>
                <w:szCs w:val="20"/>
                <w:lang w:eastAsia="en-AU"/>
              </w:rPr>
              <w:t xml:space="preserve"> 22</w:t>
            </w:r>
            <w:r w:rsidR="00C75859" w:rsidRPr="005176BD">
              <w:rPr>
                <w:rFonts w:cs="Arial"/>
                <w:sz w:val="20"/>
                <w:szCs w:val="20"/>
                <w:lang w:eastAsia="en-AU"/>
              </w:rPr>
              <w:t xml:space="preserve">: </w:t>
            </w:r>
            <w:r w:rsidRPr="005176BD">
              <w:rPr>
                <w:rFonts w:cs="Arial"/>
                <w:sz w:val="20"/>
                <w:szCs w:val="20"/>
                <w:lang w:eastAsia="en-AU"/>
              </w:rPr>
              <w:t>28</w:t>
            </w:r>
            <w:r w:rsidR="00C75859" w:rsidRPr="005176BD">
              <w:rPr>
                <w:rFonts w:cs="Arial"/>
                <w:sz w:val="20"/>
                <w:szCs w:val="20"/>
                <w:lang w:eastAsia="en-AU"/>
              </w:rPr>
              <w:t>.</w:t>
            </w:r>
          </w:p>
        </w:tc>
        <w:tc>
          <w:tcPr>
            <w:tcW w:w="4230" w:type="dxa"/>
          </w:tcPr>
          <w:p w14:paraId="54AAF488" w14:textId="77777777" w:rsidR="00BC3825" w:rsidRPr="005176BD" w:rsidRDefault="00BC3825" w:rsidP="003B611A">
            <w:pPr>
              <w:rPr>
                <w:rFonts w:cs="Arial"/>
                <w:sz w:val="20"/>
                <w:szCs w:val="20"/>
                <w:lang w:eastAsia="en-AU"/>
              </w:rPr>
            </w:pPr>
            <w:r w:rsidRPr="005176BD">
              <w:rPr>
                <w:rFonts w:cs="Arial"/>
                <w:sz w:val="20"/>
                <w:szCs w:val="20"/>
                <w:lang w:eastAsia="en-AU"/>
              </w:rPr>
              <w:t>de Luca K, Parkinson L &amp; Byles J.</w:t>
            </w:r>
          </w:p>
        </w:tc>
        <w:tc>
          <w:tcPr>
            <w:tcW w:w="617" w:type="dxa"/>
          </w:tcPr>
          <w:p w14:paraId="3D73F919" w14:textId="77777777" w:rsidR="00BC3825" w:rsidRPr="005176BD" w:rsidRDefault="00BC3825" w:rsidP="003B611A">
            <w:pPr>
              <w:rPr>
                <w:rFonts w:cs="Arial"/>
                <w:sz w:val="20"/>
                <w:szCs w:val="20"/>
                <w:lang w:eastAsia="en-AU"/>
              </w:rPr>
            </w:pPr>
            <w:r w:rsidRPr="005176BD">
              <w:rPr>
                <w:rFonts w:cs="Arial"/>
                <w:sz w:val="20"/>
                <w:szCs w:val="20"/>
                <w:lang w:eastAsia="en-AU"/>
              </w:rPr>
              <w:t>1</w:t>
            </w:r>
          </w:p>
        </w:tc>
      </w:tr>
      <w:tr w:rsidR="00BC3825" w:rsidRPr="00084B2B" w14:paraId="2736110E" w14:textId="77777777" w:rsidTr="0011030B">
        <w:tc>
          <w:tcPr>
            <w:tcW w:w="9008" w:type="dxa"/>
          </w:tcPr>
          <w:p w14:paraId="09860C9F" w14:textId="14112B36" w:rsidR="00BC3825" w:rsidRPr="005176BD" w:rsidRDefault="00BC3825" w:rsidP="003B611A">
            <w:pPr>
              <w:rPr>
                <w:rFonts w:cs="Arial"/>
                <w:sz w:val="20"/>
                <w:szCs w:val="20"/>
                <w:lang w:eastAsia="en-AU"/>
              </w:rPr>
            </w:pPr>
            <w:r w:rsidRPr="005176BD">
              <w:rPr>
                <w:rFonts w:cs="Arial"/>
                <w:sz w:val="20"/>
                <w:szCs w:val="20"/>
                <w:lang w:eastAsia="en-AU"/>
              </w:rPr>
              <w:t>Environmental correlates of mental health measures for women in Western Australia. Eco Health, 2014</w:t>
            </w:r>
            <w:r w:rsidR="00C75859" w:rsidRPr="005176BD">
              <w:rPr>
                <w:rFonts w:cs="Arial"/>
                <w:sz w:val="20"/>
                <w:szCs w:val="20"/>
                <w:lang w:eastAsia="en-AU"/>
              </w:rPr>
              <w:t>;</w:t>
            </w:r>
            <w:r w:rsidRPr="005176BD">
              <w:rPr>
                <w:rFonts w:cs="Arial"/>
                <w:sz w:val="20"/>
                <w:szCs w:val="20"/>
                <w:lang w:eastAsia="en-AU"/>
              </w:rPr>
              <w:t xml:space="preserve"> 11(4)</w:t>
            </w:r>
            <w:r w:rsidR="00C75859" w:rsidRPr="005176BD">
              <w:rPr>
                <w:rFonts w:cs="Arial"/>
                <w:sz w:val="20"/>
                <w:szCs w:val="20"/>
                <w:lang w:eastAsia="en-AU"/>
              </w:rPr>
              <w:t xml:space="preserve">: </w:t>
            </w:r>
            <w:r w:rsidRPr="005176BD">
              <w:rPr>
                <w:rFonts w:cs="Arial"/>
                <w:sz w:val="20"/>
                <w:szCs w:val="20"/>
                <w:lang w:eastAsia="en-AU"/>
              </w:rPr>
              <w:t>502-511</w:t>
            </w:r>
            <w:r w:rsidR="00C75859" w:rsidRPr="005176BD">
              <w:rPr>
                <w:rFonts w:cs="Arial"/>
                <w:sz w:val="20"/>
                <w:szCs w:val="20"/>
                <w:lang w:eastAsia="en-AU"/>
              </w:rPr>
              <w:t>.</w:t>
            </w:r>
          </w:p>
        </w:tc>
        <w:tc>
          <w:tcPr>
            <w:tcW w:w="4230" w:type="dxa"/>
          </w:tcPr>
          <w:p w14:paraId="769EE5C8" w14:textId="77777777" w:rsidR="00BC3825" w:rsidRPr="005176BD" w:rsidRDefault="00BC3825" w:rsidP="003B611A">
            <w:pPr>
              <w:rPr>
                <w:rFonts w:cs="Arial"/>
                <w:sz w:val="20"/>
                <w:szCs w:val="20"/>
                <w:lang w:eastAsia="en-AU"/>
              </w:rPr>
            </w:pPr>
            <w:proofErr w:type="spellStart"/>
            <w:r w:rsidRPr="005176BD">
              <w:rPr>
                <w:rFonts w:cs="Arial"/>
                <w:sz w:val="20"/>
                <w:szCs w:val="20"/>
                <w:lang w:eastAsia="en-AU"/>
              </w:rPr>
              <w:t>Fearnley</w:t>
            </w:r>
            <w:proofErr w:type="spellEnd"/>
            <w:r w:rsidRPr="005176BD">
              <w:rPr>
                <w:rFonts w:cs="Arial"/>
                <w:sz w:val="20"/>
                <w:szCs w:val="20"/>
                <w:lang w:eastAsia="en-AU"/>
              </w:rPr>
              <w:t xml:space="preserve"> E, </w:t>
            </w:r>
            <w:proofErr w:type="spellStart"/>
            <w:r w:rsidRPr="005176BD">
              <w:rPr>
                <w:rFonts w:cs="Arial"/>
                <w:sz w:val="20"/>
                <w:szCs w:val="20"/>
                <w:lang w:eastAsia="en-AU"/>
              </w:rPr>
              <w:t>Soares</w:t>
            </w:r>
            <w:proofErr w:type="spellEnd"/>
            <w:r w:rsidRPr="005176BD">
              <w:rPr>
                <w:rFonts w:cs="Arial"/>
                <w:sz w:val="20"/>
                <w:szCs w:val="20"/>
                <w:lang w:eastAsia="en-AU"/>
              </w:rPr>
              <w:t xml:space="preserve"> </w:t>
            </w:r>
            <w:proofErr w:type="spellStart"/>
            <w:r w:rsidRPr="005176BD">
              <w:rPr>
                <w:rFonts w:cs="Arial"/>
                <w:sz w:val="20"/>
                <w:szCs w:val="20"/>
                <w:lang w:eastAsia="en-AU"/>
              </w:rPr>
              <w:t>Magalhaes</w:t>
            </w:r>
            <w:proofErr w:type="spellEnd"/>
            <w:r w:rsidRPr="005176BD">
              <w:rPr>
                <w:rFonts w:cs="Arial"/>
                <w:sz w:val="20"/>
                <w:szCs w:val="20"/>
                <w:lang w:eastAsia="en-AU"/>
              </w:rPr>
              <w:t xml:space="preserve"> R, </w:t>
            </w:r>
            <w:proofErr w:type="spellStart"/>
            <w:r w:rsidRPr="005176BD">
              <w:rPr>
                <w:rFonts w:cs="Arial"/>
                <w:sz w:val="20"/>
                <w:szCs w:val="20"/>
                <w:lang w:eastAsia="en-AU"/>
              </w:rPr>
              <w:t>Speldewinde</w:t>
            </w:r>
            <w:proofErr w:type="spellEnd"/>
            <w:r w:rsidRPr="005176BD">
              <w:rPr>
                <w:rFonts w:cs="Arial"/>
                <w:sz w:val="20"/>
                <w:szCs w:val="20"/>
                <w:lang w:eastAsia="en-AU"/>
              </w:rPr>
              <w:t xml:space="preserve"> P, Weinstein P &amp; Dobson A.</w:t>
            </w:r>
          </w:p>
        </w:tc>
        <w:tc>
          <w:tcPr>
            <w:tcW w:w="617" w:type="dxa"/>
          </w:tcPr>
          <w:p w14:paraId="48E2286F" w14:textId="77777777" w:rsidR="00BC3825" w:rsidRPr="005176BD" w:rsidRDefault="00BC3825" w:rsidP="003B611A">
            <w:pPr>
              <w:rPr>
                <w:rFonts w:cs="Arial"/>
                <w:sz w:val="20"/>
                <w:szCs w:val="20"/>
                <w:lang w:eastAsia="en-AU"/>
              </w:rPr>
            </w:pPr>
            <w:r w:rsidRPr="005176BD">
              <w:rPr>
                <w:rFonts w:cs="Arial"/>
                <w:sz w:val="20"/>
                <w:szCs w:val="20"/>
                <w:lang w:eastAsia="en-AU"/>
              </w:rPr>
              <w:t>3</w:t>
            </w:r>
          </w:p>
        </w:tc>
      </w:tr>
      <w:tr w:rsidR="00BC3825" w:rsidRPr="00084B2B" w14:paraId="5D6B4E74" w14:textId="77777777" w:rsidTr="0011030B">
        <w:tc>
          <w:tcPr>
            <w:tcW w:w="9008" w:type="dxa"/>
          </w:tcPr>
          <w:p w14:paraId="6038FAAF" w14:textId="0C40D2C7" w:rsidR="00BC3825" w:rsidRPr="005176BD" w:rsidRDefault="00BC3825" w:rsidP="003B611A">
            <w:pPr>
              <w:rPr>
                <w:rFonts w:cs="Arial"/>
                <w:sz w:val="20"/>
                <w:szCs w:val="20"/>
                <w:lang w:eastAsia="en-AU"/>
              </w:rPr>
            </w:pPr>
            <w:r w:rsidRPr="005176BD">
              <w:rPr>
                <w:rFonts w:cs="Arial"/>
                <w:sz w:val="20"/>
                <w:szCs w:val="20"/>
                <w:lang w:eastAsia="en-AU"/>
              </w:rPr>
              <w:t>Visualising and modelling changes in categorical variables in longitudinal studies. BMC Medical Research Methodology, 2014</w:t>
            </w:r>
            <w:r w:rsidR="00C75859" w:rsidRPr="005176BD">
              <w:rPr>
                <w:rFonts w:cs="Arial"/>
                <w:sz w:val="20"/>
                <w:szCs w:val="20"/>
                <w:lang w:eastAsia="en-AU"/>
              </w:rPr>
              <w:t>;</w:t>
            </w:r>
            <w:r w:rsidRPr="005176BD">
              <w:rPr>
                <w:rFonts w:cs="Arial"/>
                <w:sz w:val="20"/>
                <w:szCs w:val="20"/>
                <w:lang w:eastAsia="en-AU"/>
              </w:rPr>
              <w:t xml:space="preserve"> 14</w:t>
            </w:r>
            <w:r w:rsidR="00C75859" w:rsidRPr="005176BD">
              <w:rPr>
                <w:rFonts w:cs="Arial"/>
                <w:sz w:val="20"/>
                <w:szCs w:val="20"/>
                <w:lang w:eastAsia="en-AU"/>
              </w:rPr>
              <w:t xml:space="preserve">: </w:t>
            </w:r>
            <w:r w:rsidRPr="005176BD">
              <w:rPr>
                <w:rFonts w:cs="Arial"/>
                <w:sz w:val="20"/>
                <w:szCs w:val="20"/>
                <w:lang w:eastAsia="en-AU"/>
              </w:rPr>
              <w:t>32</w:t>
            </w:r>
            <w:r w:rsidR="00C75859" w:rsidRPr="005176BD">
              <w:rPr>
                <w:rFonts w:cs="Arial"/>
                <w:sz w:val="20"/>
                <w:szCs w:val="20"/>
                <w:lang w:eastAsia="en-AU"/>
              </w:rPr>
              <w:t>.</w:t>
            </w:r>
          </w:p>
        </w:tc>
        <w:tc>
          <w:tcPr>
            <w:tcW w:w="4230" w:type="dxa"/>
          </w:tcPr>
          <w:p w14:paraId="04F5F90C" w14:textId="77777777" w:rsidR="00BC3825" w:rsidRPr="005176BD" w:rsidRDefault="00BC3825" w:rsidP="003B611A">
            <w:pPr>
              <w:rPr>
                <w:rFonts w:cs="Arial"/>
                <w:sz w:val="20"/>
                <w:szCs w:val="20"/>
                <w:lang w:eastAsia="en-AU"/>
              </w:rPr>
            </w:pPr>
            <w:r w:rsidRPr="005176BD">
              <w:rPr>
                <w:rFonts w:cs="Arial"/>
                <w:sz w:val="20"/>
                <w:szCs w:val="20"/>
                <w:lang w:eastAsia="en-AU"/>
              </w:rPr>
              <w:t>Jones M, Hockey R, Mishra D &amp; Dobson A.</w:t>
            </w:r>
          </w:p>
        </w:tc>
        <w:tc>
          <w:tcPr>
            <w:tcW w:w="617" w:type="dxa"/>
          </w:tcPr>
          <w:p w14:paraId="6B60034B" w14:textId="77777777" w:rsidR="00BC3825" w:rsidRPr="005176BD" w:rsidRDefault="00BC3825" w:rsidP="003B611A">
            <w:pPr>
              <w:rPr>
                <w:rFonts w:cs="Arial"/>
                <w:sz w:val="20"/>
                <w:szCs w:val="20"/>
                <w:lang w:eastAsia="en-AU"/>
              </w:rPr>
            </w:pPr>
            <w:r w:rsidRPr="005176BD">
              <w:rPr>
                <w:rFonts w:cs="Arial"/>
                <w:sz w:val="20"/>
                <w:szCs w:val="20"/>
                <w:lang w:eastAsia="en-AU"/>
              </w:rPr>
              <w:t>11</w:t>
            </w:r>
          </w:p>
        </w:tc>
      </w:tr>
      <w:tr w:rsidR="00BC3825" w:rsidRPr="00084B2B" w14:paraId="459B4BA8" w14:textId="77777777" w:rsidTr="0011030B">
        <w:tc>
          <w:tcPr>
            <w:tcW w:w="9008" w:type="dxa"/>
          </w:tcPr>
          <w:p w14:paraId="08205A1C" w14:textId="2F63310A" w:rsidR="00BC3825" w:rsidRPr="005176BD" w:rsidRDefault="00BC3825" w:rsidP="003B611A">
            <w:pPr>
              <w:rPr>
                <w:rFonts w:cs="Arial"/>
                <w:sz w:val="20"/>
                <w:szCs w:val="20"/>
                <w:lang w:eastAsia="en-AU"/>
              </w:rPr>
            </w:pPr>
            <w:r w:rsidRPr="005176BD">
              <w:rPr>
                <w:rFonts w:cs="Arial"/>
                <w:sz w:val="20"/>
                <w:szCs w:val="20"/>
                <w:lang w:eastAsia="en-AU"/>
              </w:rPr>
              <w:t>A comparison of SF-36 summary measures of physical and mental health for women across the life course. Quality of Life Research</w:t>
            </w:r>
            <w:r w:rsidR="00C75859" w:rsidRPr="005176BD">
              <w:rPr>
                <w:rFonts w:cs="Arial"/>
                <w:sz w:val="20"/>
                <w:szCs w:val="20"/>
                <w:lang w:eastAsia="en-AU"/>
              </w:rPr>
              <w:t>, 2014;</w:t>
            </w:r>
            <w:r w:rsidRPr="005176BD">
              <w:rPr>
                <w:rFonts w:cs="Arial"/>
                <w:sz w:val="20"/>
                <w:szCs w:val="20"/>
                <w:lang w:eastAsia="en-AU"/>
              </w:rPr>
              <w:t xml:space="preserve"> 23(5)</w:t>
            </w:r>
            <w:r w:rsidR="00C75859" w:rsidRPr="005176BD">
              <w:rPr>
                <w:rFonts w:cs="Arial"/>
                <w:sz w:val="20"/>
                <w:szCs w:val="20"/>
                <w:lang w:eastAsia="en-AU"/>
              </w:rPr>
              <w:t>: 1515-1521.</w:t>
            </w:r>
          </w:p>
        </w:tc>
        <w:tc>
          <w:tcPr>
            <w:tcW w:w="4230" w:type="dxa"/>
          </w:tcPr>
          <w:p w14:paraId="5C2D8E6E" w14:textId="77777777" w:rsidR="00BC3825" w:rsidRPr="005176BD" w:rsidRDefault="00BC3825" w:rsidP="003B611A">
            <w:pPr>
              <w:rPr>
                <w:rFonts w:cs="Arial"/>
                <w:sz w:val="20"/>
                <w:szCs w:val="20"/>
                <w:lang w:eastAsia="en-AU"/>
              </w:rPr>
            </w:pPr>
            <w:r w:rsidRPr="005176BD">
              <w:rPr>
                <w:rFonts w:cs="Arial"/>
                <w:sz w:val="20"/>
                <w:szCs w:val="20"/>
                <w:lang w:eastAsia="en-AU"/>
              </w:rPr>
              <w:t>Mishra G, Hockey R &amp; Dobson A.</w:t>
            </w:r>
          </w:p>
        </w:tc>
        <w:tc>
          <w:tcPr>
            <w:tcW w:w="617" w:type="dxa"/>
          </w:tcPr>
          <w:p w14:paraId="5ABDFCE2" w14:textId="77777777" w:rsidR="00BC3825" w:rsidRPr="005176BD" w:rsidRDefault="00BC3825" w:rsidP="003B611A">
            <w:pPr>
              <w:rPr>
                <w:rFonts w:cs="Arial"/>
                <w:sz w:val="20"/>
                <w:szCs w:val="20"/>
                <w:lang w:eastAsia="en-AU"/>
              </w:rPr>
            </w:pPr>
            <w:r w:rsidRPr="005176BD">
              <w:rPr>
                <w:rFonts w:cs="Arial"/>
                <w:sz w:val="20"/>
                <w:szCs w:val="20"/>
                <w:lang w:eastAsia="en-AU"/>
              </w:rPr>
              <w:t>21</w:t>
            </w:r>
          </w:p>
        </w:tc>
      </w:tr>
      <w:tr w:rsidR="00BC3825" w:rsidRPr="00084B2B" w14:paraId="25C36476" w14:textId="77777777" w:rsidTr="0011030B">
        <w:tc>
          <w:tcPr>
            <w:tcW w:w="9008" w:type="dxa"/>
          </w:tcPr>
          <w:p w14:paraId="71B258E6" w14:textId="62E732FB" w:rsidR="00BC3825" w:rsidRPr="005176BD" w:rsidRDefault="00BC3825" w:rsidP="003B611A">
            <w:pPr>
              <w:rPr>
                <w:rFonts w:cs="Arial"/>
                <w:sz w:val="20"/>
                <w:szCs w:val="20"/>
                <w:lang w:eastAsia="en-AU"/>
              </w:rPr>
            </w:pPr>
            <w:r w:rsidRPr="005176BD">
              <w:rPr>
                <w:rFonts w:cs="Arial"/>
                <w:sz w:val="20"/>
                <w:szCs w:val="20"/>
                <w:lang w:eastAsia="en-AU"/>
              </w:rPr>
              <w:t xml:space="preserve">Propositional Idea Density in women's written language over the lifespan: Computerized analysis. Cortex, </w:t>
            </w:r>
            <w:r w:rsidR="00C75859" w:rsidRPr="005176BD">
              <w:rPr>
                <w:rFonts w:cs="Arial"/>
                <w:sz w:val="20"/>
                <w:szCs w:val="20"/>
                <w:lang w:eastAsia="en-AU"/>
              </w:rPr>
              <w:t xml:space="preserve">2014; </w:t>
            </w:r>
            <w:r w:rsidRPr="005176BD">
              <w:rPr>
                <w:rFonts w:cs="Arial"/>
                <w:sz w:val="20"/>
                <w:szCs w:val="20"/>
                <w:lang w:eastAsia="en-AU"/>
              </w:rPr>
              <w:t>55(1)</w:t>
            </w:r>
            <w:r w:rsidR="00C75859" w:rsidRPr="005176BD">
              <w:rPr>
                <w:rFonts w:cs="Arial"/>
                <w:sz w:val="20"/>
                <w:szCs w:val="20"/>
                <w:lang w:eastAsia="en-AU"/>
              </w:rPr>
              <w:t>:</w:t>
            </w:r>
            <w:r w:rsidRPr="005176BD">
              <w:rPr>
                <w:rFonts w:cs="Arial"/>
                <w:sz w:val="20"/>
                <w:szCs w:val="20"/>
                <w:lang w:eastAsia="en-AU"/>
              </w:rPr>
              <w:t xml:space="preserve"> 107-121. </w:t>
            </w:r>
            <w:r w:rsidRPr="005176BD">
              <w:rPr>
                <w:rFonts w:cs="Arial"/>
                <w:sz w:val="20"/>
                <w:szCs w:val="20"/>
                <w:lang w:eastAsia="en-AU"/>
              </w:rPr>
              <w:br w:type="page"/>
            </w:r>
          </w:p>
        </w:tc>
        <w:tc>
          <w:tcPr>
            <w:tcW w:w="4230" w:type="dxa"/>
          </w:tcPr>
          <w:p w14:paraId="62096CD5" w14:textId="77777777" w:rsidR="00BC3825" w:rsidRPr="005176BD" w:rsidRDefault="00BC3825" w:rsidP="003B611A">
            <w:pPr>
              <w:rPr>
                <w:rFonts w:cs="Arial"/>
                <w:sz w:val="20"/>
                <w:szCs w:val="20"/>
                <w:lang w:eastAsia="en-AU"/>
              </w:rPr>
            </w:pPr>
            <w:r w:rsidRPr="005176BD">
              <w:rPr>
                <w:rFonts w:cs="Arial"/>
                <w:sz w:val="20"/>
                <w:szCs w:val="20"/>
                <w:lang w:eastAsia="en-AU"/>
              </w:rPr>
              <w:t>Ferguson A, Spencer E, Craig H &amp; Colyvas K.</w:t>
            </w:r>
          </w:p>
        </w:tc>
        <w:tc>
          <w:tcPr>
            <w:tcW w:w="617" w:type="dxa"/>
          </w:tcPr>
          <w:p w14:paraId="1EA11C32" w14:textId="77777777" w:rsidR="00BC3825" w:rsidRPr="005176BD" w:rsidRDefault="00BC3825" w:rsidP="003B611A">
            <w:pPr>
              <w:rPr>
                <w:rFonts w:cs="Arial"/>
                <w:sz w:val="20"/>
                <w:szCs w:val="20"/>
                <w:lang w:eastAsia="en-AU"/>
              </w:rPr>
            </w:pPr>
            <w:r w:rsidRPr="005176BD">
              <w:rPr>
                <w:rFonts w:cs="Arial"/>
                <w:sz w:val="20"/>
                <w:szCs w:val="20"/>
                <w:lang w:eastAsia="en-AU"/>
              </w:rPr>
              <w:t>14</w:t>
            </w:r>
          </w:p>
        </w:tc>
      </w:tr>
      <w:tr w:rsidR="00BC3825" w:rsidRPr="00084B2B" w14:paraId="512D4C3E" w14:textId="77777777" w:rsidTr="0011030B">
        <w:tc>
          <w:tcPr>
            <w:tcW w:w="9008" w:type="dxa"/>
          </w:tcPr>
          <w:p w14:paraId="53F1C27B" w14:textId="256FB59A" w:rsidR="00BC3825" w:rsidRPr="005176BD" w:rsidRDefault="00BC3825" w:rsidP="003B611A">
            <w:pPr>
              <w:rPr>
                <w:rFonts w:cs="Arial"/>
                <w:sz w:val="20"/>
                <w:szCs w:val="20"/>
                <w:lang w:eastAsia="en-AU"/>
              </w:rPr>
            </w:pPr>
            <w:r w:rsidRPr="005176BD">
              <w:rPr>
                <w:rFonts w:cs="Arial"/>
                <w:sz w:val="20"/>
                <w:szCs w:val="20"/>
                <w:lang w:eastAsia="en-AU"/>
              </w:rPr>
              <w:t xml:space="preserve">Quality, rigour and usefulness of free-text comments collected by a large population based longitudinal study - ALSWH. </w:t>
            </w:r>
            <w:proofErr w:type="spellStart"/>
            <w:r w:rsidRPr="005176BD">
              <w:rPr>
                <w:rFonts w:cs="Arial"/>
                <w:sz w:val="20"/>
                <w:szCs w:val="20"/>
                <w:lang w:eastAsia="en-AU"/>
              </w:rPr>
              <w:t>PLoS</w:t>
            </w:r>
            <w:proofErr w:type="spellEnd"/>
            <w:r w:rsidRPr="005176BD">
              <w:rPr>
                <w:rFonts w:cs="Arial"/>
                <w:sz w:val="20"/>
                <w:szCs w:val="20"/>
                <w:lang w:eastAsia="en-AU"/>
              </w:rPr>
              <w:t xml:space="preserve"> ONE, </w:t>
            </w:r>
            <w:r w:rsidR="00C75859" w:rsidRPr="005176BD">
              <w:rPr>
                <w:rFonts w:cs="Arial"/>
                <w:sz w:val="20"/>
                <w:szCs w:val="20"/>
                <w:lang w:eastAsia="en-AU"/>
              </w:rPr>
              <w:t xml:space="preserve">2013; </w:t>
            </w:r>
            <w:r w:rsidRPr="005176BD">
              <w:rPr>
                <w:rFonts w:cs="Arial"/>
                <w:sz w:val="20"/>
                <w:szCs w:val="20"/>
                <w:lang w:eastAsia="en-AU"/>
              </w:rPr>
              <w:t>8</w:t>
            </w:r>
            <w:r w:rsidR="00C75859" w:rsidRPr="005176BD">
              <w:rPr>
                <w:rFonts w:cs="Arial"/>
                <w:sz w:val="20"/>
                <w:szCs w:val="20"/>
                <w:lang w:eastAsia="en-AU"/>
              </w:rPr>
              <w:t xml:space="preserve">: </w:t>
            </w:r>
            <w:r w:rsidRPr="005176BD">
              <w:rPr>
                <w:rFonts w:cs="Arial"/>
                <w:sz w:val="20"/>
                <w:szCs w:val="20"/>
                <w:lang w:eastAsia="en-AU"/>
              </w:rPr>
              <w:t xml:space="preserve">Art. No e68832. </w:t>
            </w:r>
          </w:p>
        </w:tc>
        <w:tc>
          <w:tcPr>
            <w:tcW w:w="4230" w:type="dxa"/>
          </w:tcPr>
          <w:p w14:paraId="7CBECAB0" w14:textId="77777777" w:rsidR="00BC3825" w:rsidRPr="005176BD" w:rsidRDefault="00BC3825" w:rsidP="003B611A">
            <w:pPr>
              <w:rPr>
                <w:rFonts w:cs="Arial"/>
                <w:sz w:val="20"/>
                <w:szCs w:val="20"/>
                <w:lang w:eastAsia="en-AU"/>
              </w:rPr>
            </w:pPr>
            <w:r w:rsidRPr="005176BD">
              <w:rPr>
                <w:rFonts w:cs="Arial"/>
                <w:sz w:val="20"/>
                <w:szCs w:val="20"/>
                <w:lang w:eastAsia="en-AU"/>
              </w:rPr>
              <w:t>Rich J, Chojenta C &amp; Loxton D.</w:t>
            </w:r>
          </w:p>
        </w:tc>
        <w:tc>
          <w:tcPr>
            <w:tcW w:w="617" w:type="dxa"/>
          </w:tcPr>
          <w:p w14:paraId="3E72B241" w14:textId="77777777" w:rsidR="00BC3825" w:rsidRPr="005176BD" w:rsidRDefault="00BC3825" w:rsidP="003B611A">
            <w:pPr>
              <w:rPr>
                <w:rFonts w:cs="Arial"/>
                <w:sz w:val="20"/>
                <w:szCs w:val="20"/>
                <w:lang w:eastAsia="en-AU"/>
              </w:rPr>
            </w:pPr>
            <w:r w:rsidRPr="005176BD">
              <w:rPr>
                <w:rFonts w:cs="Arial"/>
                <w:sz w:val="20"/>
                <w:szCs w:val="20"/>
                <w:lang w:eastAsia="en-AU"/>
              </w:rPr>
              <w:t>34</w:t>
            </w:r>
          </w:p>
        </w:tc>
      </w:tr>
      <w:tr w:rsidR="00BC3825" w:rsidRPr="00A04D4E" w14:paraId="6B72A59F" w14:textId="77777777" w:rsidTr="0011030B">
        <w:trPr>
          <w:trHeight w:val="441"/>
        </w:trPr>
        <w:tc>
          <w:tcPr>
            <w:tcW w:w="9008" w:type="dxa"/>
          </w:tcPr>
          <w:p w14:paraId="0ED9D997" w14:textId="039E5419" w:rsidR="00BC3825" w:rsidRPr="005176BD" w:rsidRDefault="00BC3825" w:rsidP="003B611A">
            <w:pPr>
              <w:rPr>
                <w:rFonts w:cs="Arial"/>
                <w:sz w:val="20"/>
                <w:szCs w:val="20"/>
                <w:lang w:eastAsia="en-AU"/>
              </w:rPr>
            </w:pPr>
            <w:r w:rsidRPr="005176BD">
              <w:rPr>
                <w:rFonts w:cs="Arial"/>
                <w:sz w:val="20"/>
                <w:szCs w:val="20"/>
                <w:lang w:eastAsia="en-AU"/>
              </w:rPr>
              <w:t>Utility and acceptability of the Modified Telephone Interview for Cognitive Status (TICS-M) in a longitudinal study of Australian women aged 85-90 years. Journal of the American Geriatric Society (JAGS</w:t>
            </w:r>
            <w:r w:rsidR="008B7D9E" w:rsidRPr="005176BD">
              <w:rPr>
                <w:rFonts w:cs="Arial"/>
                <w:sz w:val="20"/>
                <w:szCs w:val="20"/>
                <w:lang w:eastAsia="en-AU"/>
              </w:rPr>
              <w:t>)</w:t>
            </w:r>
            <w:r w:rsidR="00C75859" w:rsidRPr="005176BD">
              <w:rPr>
                <w:rFonts w:cs="Arial"/>
                <w:sz w:val="20"/>
                <w:szCs w:val="20"/>
                <w:lang w:eastAsia="en-AU"/>
              </w:rPr>
              <w:t xml:space="preserve">, </w:t>
            </w:r>
            <w:r w:rsidRPr="005176BD">
              <w:rPr>
                <w:rFonts w:cs="Arial"/>
                <w:sz w:val="20"/>
                <w:szCs w:val="20"/>
                <w:lang w:eastAsia="en-AU"/>
              </w:rPr>
              <w:t>2013</w:t>
            </w:r>
            <w:r w:rsidR="00C75859" w:rsidRPr="005176BD">
              <w:rPr>
                <w:rFonts w:cs="Arial"/>
                <w:sz w:val="20"/>
                <w:szCs w:val="20"/>
                <w:lang w:eastAsia="en-AU"/>
              </w:rPr>
              <w:t>;</w:t>
            </w:r>
            <w:r w:rsidRPr="005176BD">
              <w:rPr>
                <w:rFonts w:cs="Arial"/>
                <w:sz w:val="20"/>
                <w:szCs w:val="20"/>
                <w:lang w:eastAsia="en-AU"/>
              </w:rPr>
              <w:t xml:space="preserve"> 61(7)</w:t>
            </w:r>
            <w:r w:rsidR="00C75859" w:rsidRPr="005176BD">
              <w:rPr>
                <w:rFonts w:cs="Arial"/>
                <w:sz w:val="20"/>
                <w:szCs w:val="20"/>
                <w:lang w:eastAsia="en-AU"/>
              </w:rPr>
              <w:t xml:space="preserve">: </w:t>
            </w:r>
            <w:r w:rsidRPr="005176BD">
              <w:rPr>
                <w:rFonts w:cs="Arial"/>
                <w:sz w:val="20"/>
                <w:szCs w:val="20"/>
                <w:lang w:eastAsia="en-AU"/>
              </w:rPr>
              <w:t>1217-1249. (Letter to the editor)</w:t>
            </w:r>
          </w:p>
        </w:tc>
        <w:tc>
          <w:tcPr>
            <w:tcW w:w="4230" w:type="dxa"/>
          </w:tcPr>
          <w:p w14:paraId="567D3C83" w14:textId="77777777" w:rsidR="00BC3825" w:rsidRPr="005176BD" w:rsidRDefault="00BC3825" w:rsidP="003B611A">
            <w:pPr>
              <w:rPr>
                <w:rFonts w:cs="Arial"/>
                <w:sz w:val="20"/>
                <w:szCs w:val="20"/>
                <w:lang w:eastAsia="en-AU"/>
              </w:rPr>
            </w:pPr>
            <w:r w:rsidRPr="005176BD">
              <w:rPr>
                <w:rFonts w:cs="Arial"/>
                <w:sz w:val="20"/>
                <w:szCs w:val="20"/>
                <w:lang w:eastAsia="en-AU"/>
              </w:rPr>
              <w:t>Baker A, Byles J, Loxton D, McLaughlin D, Graves D &amp; Dobson A.</w:t>
            </w:r>
          </w:p>
        </w:tc>
        <w:tc>
          <w:tcPr>
            <w:tcW w:w="617" w:type="dxa"/>
          </w:tcPr>
          <w:p w14:paraId="1D875272" w14:textId="77777777" w:rsidR="00BC3825" w:rsidRPr="005176BD" w:rsidRDefault="00BC3825" w:rsidP="003B611A">
            <w:pPr>
              <w:rPr>
                <w:rFonts w:cs="Arial"/>
                <w:sz w:val="20"/>
                <w:szCs w:val="20"/>
                <w:lang w:eastAsia="en-AU"/>
              </w:rPr>
            </w:pPr>
            <w:r w:rsidRPr="005176BD">
              <w:rPr>
                <w:rFonts w:cs="Arial"/>
                <w:sz w:val="20"/>
                <w:szCs w:val="20"/>
                <w:lang w:eastAsia="en-AU"/>
              </w:rPr>
              <w:t>3</w:t>
            </w:r>
          </w:p>
        </w:tc>
      </w:tr>
      <w:tr w:rsidR="00BC3825" w:rsidRPr="00084B2B" w14:paraId="1E958F8A" w14:textId="77777777" w:rsidTr="0011030B">
        <w:tc>
          <w:tcPr>
            <w:tcW w:w="9008" w:type="dxa"/>
          </w:tcPr>
          <w:p w14:paraId="51D2BE30" w14:textId="182CFD0B" w:rsidR="00BC3825" w:rsidRPr="005176BD" w:rsidRDefault="00BC3825" w:rsidP="003B611A">
            <w:pPr>
              <w:rPr>
                <w:rFonts w:cs="Arial"/>
                <w:sz w:val="20"/>
                <w:szCs w:val="20"/>
                <w:lang w:eastAsia="en-AU"/>
              </w:rPr>
            </w:pPr>
            <w:r w:rsidRPr="005176BD">
              <w:rPr>
                <w:rFonts w:cs="Arial"/>
                <w:sz w:val="20"/>
                <w:szCs w:val="20"/>
                <w:lang w:eastAsia="en-AU"/>
              </w:rPr>
              <w:t xml:space="preserve">Good agreement between self-report and centralised hospitalisations data for arthritis related surgeries. Journal of Clinical Epidemiology, </w:t>
            </w:r>
            <w:r w:rsidR="00C75859" w:rsidRPr="005176BD">
              <w:rPr>
                <w:rFonts w:cs="Arial"/>
                <w:sz w:val="20"/>
                <w:szCs w:val="20"/>
                <w:lang w:eastAsia="en-AU"/>
              </w:rPr>
              <w:t xml:space="preserve">2013; </w:t>
            </w:r>
            <w:r w:rsidRPr="005176BD">
              <w:rPr>
                <w:rFonts w:cs="Arial"/>
                <w:sz w:val="20"/>
                <w:szCs w:val="20"/>
                <w:lang w:eastAsia="en-AU"/>
              </w:rPr>
              <w:t>66(10)</w:t>
            </w:r>
            <w:r w:rsidR="00C75859" w:rsidRPr="005176BD">
              <w:rPr>
                <w:rFonts w:cs="Arial"/>
                <w:sz w:val="20"/>
                <w:szCs w:val="20"/>
                <w:lang w:eastAsia="en-AU"/>
              </w:rPr>
              <w:t>:</w:t>
            </w:r>
            <w:r w:rsidRPr="005176BD">
              <w:rPr>
                <w:rFonts w:cs="Arial"/>
                <w:sz w:val="20"/>
                <w:szCs w:val="20"/>
                <w:lang w:eastAsia="en-AU"/>
              </w:rPr>
              <w:t xml:space="preserve"> 1128-1134.</w:t>
            </w:r>
          </w:p>
        </w:tc>
        <w:tc>
          <w:tcPr>
            <w:tcW w:w="4230" w:type="dxa"/>
          </w:tcPr>
          <w:p w14:paraId="1CD72536" w14:textId="77777777" w:rsidR="00BC3825" w:rsidRPr="005176BD" w:rsidRDefault="00BC3825" w:rsidP="003B611A">
            <w:pPr>
              <w:rPr>
                <w:rFonts w:cs="Arial"/>
                <w:sz w:val="20"/>
                <w:szCs w:val="20"/>
                <w:lang w:eastAsia="en-AU"/>
              </w:rPr>
            </w:pPr>
            <w:r w:rsidRPr="005176BD">
              <w:rPr>
                <w:rFonts w:cs="Arial"/>
                <w:sz w:val="20"/>
                <w:szCs w:val="20"/>
                <w:lang w:eastAsia="en-AU"/>
              </w:rPr>
              <w:t xml:space="preserve">Parkinson L, </w:t>
            </w:r>
            <w:proofErr w:type="spellStart"/>
            <w:r w:rsidRPr="005176BD">
              <w:rPr>
                <w:rFonts w:cs="Arial"/>
                <w:sz w:val="20"/>
                <w:szCs w:val="20"/>
                <w:lang w:eastAsia="en-AU"/>
              </w:rPr>
              <w:t>Curryer</w:t>
            </w:r>
            <w:proofErr w:type="spellEnd"/>
            <w:r w:rsidRPr="005176BD">
              <w:rPr>
                <w:rFonts w:cs="Arial"/>
                <w:sz w:val="20"/>
                <w:szCs w:val="20"/>
                <w:lang w:eastAsia="en-AU"/>
              </w:rPr>
              <w:t xml:space="preserve"> C, </w:t>
            </w:r>
            <w:proofErr w:type="spellStart"/>
            <w:r w:rsidRPr="005176BD">
              <w:rPr>
                <w:rFonts w:cs="Arial"/>
                <w:sz w:val="20"/>
                <w:szCs w:val="20"/>
                <w:lang w:eastAsia="en-AU"/>
              </w:rPr>
              <w:t>Gibberd</w:t>
            </w:r>
            <w:proofErr w:type="spellEnd"/>
            <w:r w:rsidRPr="005176BD">
              <w:rPr>
                <w:rFonts w:cs="Arial"/>
                <w:sz w:val="20"/>
                <w:szCs w:val="20"/>
                <w:lang w:eastAsia="en-AU"/>
              </w:rPr>
              <w:t xml:space="preserve"> A, Cunich M &amp; Byles JE</w:t>
            </w:r>
          </w:p>
        </w:tc>
        <w:tc>
          <w:tcPr>
            <w:tcW w:w="617" w:type="dxa"/>
          </w:tcPr>
          <w:p w14:paraId="04BB4011" w14:textId="77777777" w:rsidR="00BC3825" w:rsidRPr="005176BD" w:rsidRDefault="00BC3825" w:rsidP="003B611A">
            <w:pPr>
              <w:rPr>
                <w:rFonts w:cs="Arial"/>
                <w:sz w:val="20"/>
                <w:szCs w:val="20"/>
                <w:lang w:eastAsia="en-AU"/>
              </w:rPr>
            </w:pPr>
            <w:r w:rsidRPr="005176BD">
              <w:rPr>
                <w:rFonts w:cs="Arial"/>
                <w:sz w:val="20"/>
                <w:szCs w:val="20"/>
                <w:lang w:eastAsia="en-AU"/>
              </w:rPr>
              <w:t>11</w:t>
            </w:r>
          </w:p>
        </w:tc>
      </w:tr>
      <w:tr w:rsidR="00BC3825" w:rsidRPr="00084B2B" w14:paraId="2C501144" w14:textId="77777777" w:rsidTr="0011030B">
        <w:tc>
          <w:tcPr>
            <w:tcW w:w="9008" w:type="dxa"/>
          </w:tcPr>
          <w:p w14:paraId="6AB05FEC" w14:textId="52508FE9" w:rsidR="00BC3825" w:rsidRPr="005176BD" w:rsidRDefault="00BC3825" w:rsidP="003B611A">
            <w:pPr>
              <w:rPr>
                <w:rFonts w:cs="Arial"/>
                <w:sz w:val="20"/>
                <w:szCs w:val="20"/>
                <w:lang w:eastAsia="en-AU"/>
              </w:rPr>
            </w:pPr>
            <w:r w:rsidRPr="005176BD">
              <w:rPr>
                <w:rFonts w:cs="Arial"/>
                <w:sz w:val="20"/>
                <w:szCs w:val="20"/>
                <w:lang w:eastAsia="en-AU"/>
              </w:rPr>
              <w:t>Validity of self-reported osteoporosis in mid-age and older women. Osteoporosis International</w:t>
            </w:r>
            <w:r w:rsidR="00C75859" w:rsidRPr="005176BD">
              <w:rPr>
                <w:rFonts w:cs="Arial"/>
                <w:sz w:val="20"/>
                <w:szCs w:val="20"/>
                <w:lang w:eastAsia="en-AU"/>
              </w:rPr>
              <w:t>, 2013;</w:t>
            </w:r>
            <w:r w:rsidRPr="005176BD">
              <w:rPr>
                <w:rFonts w:cs="Arial"/>
                <w:sz w:val="20"/>
                <w:szCs w:val="20"/>
                <w:lang w:eastAsia="en-AU"/>
              </w:rPr>
              <w:t xml:space="preserve"> 24(3)</w:t>
            </w:r>
            <w:r w:rsidR="00C75859" w:rsidRPr="005176BD">
              <w:rPr>
                <w:rFonts w:cs="Arial"/>
                <w:sz w:val="20"/>
                <w:szCs w:val="20"/>
                <w:lang w:eastAsia="en-AU"/>
              </w:rPr>
              <w:t>:</w:t>
            </w:r>
            <w:r w:rsidRPr="005176BD">
              <w:rPr>
                <w:rFonts w:cs="Arial"/>
                <w:sz w:val="20"/>
                <w:szCs w:val="20"/>
                <w:lang w:eastAsia="en-AU"/>
              </w:rPr>
              <w:t xml:space="preserve"> 917-927.</w:t>
            </w:r>
          </w:p>
        </w:tc>
        <w:tc>
          <w:tcPr>
            <w:tcW w:w="4230" w:type="dxa"/>
          </w:tcPr>
          <w:p w14:paraId="0B5CC2D2" w14:textId="77777777" w:rsidR="00BC3825" w:rsidRPr="005176BD" w:rsidRDefault="00BC3825"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Dobson A &amp; Mishra G.</w:t>
            </w:r>
          </w:p>
        </w:tc>
        <w:tc>
          <w:tcPr>
            <w:tcW w:w="617" w:type="dxa"/>
          </w:tcPr>
          <w:p w14:paraId="00AA9CDA" w14:textId="77777777" w:rsidR="00BC3825" w:rsidRPr="005176BD" w:rsidRDefault="00BC3825" w:rsidP="003B611A">
            <w:pPr>
              <w:rPr>
                <w:rFonts w:cs="Arial"/>
                <w:sz w:val="20"/>
                <w:szCs w:val="20"/>
                <w:lang w:eastAsia="en-AU"/>
              </w:rPr>
            </w:pPr>
            <w:r w:rsidRPr="005176BD">
              <w:rPr>
                <w:rFonts w:cs="Arial"/>
                <w:sz w:val="20"/>
                <w:szCs w:val="20"/>
                <w:lang w:eastAsia="en-AU"/>
              </w:rPr>
              <w:t>11</w:t>
            </w:r>
          </w:p>
        </w:tc>
      </w:tr>
      <w:tr w:rsidR="00BC3825" w:rsidRPr="00084B2B" w14:paraId="33FABFD9" w14:textId="77777777" w:rsidTr="0011030B">
        <w:tc>
          <w:tcPr>
            <w:tcW w:w="9008" w:type="dxa"/>
          </w:tcPr>
          <w:p w14:paraId="16B32EC8" w14:textId="5F187251" w:rsidR="00BC3825" w:rsidRPr="005176BD" w:rsidRDefault="00BC3825" w:rsidP="003B611A">
            <w:pPr>
              <w:rPr>
                <w:rFonts w:cs="Arial"/>
                <w:sz w:val="20"/>
                <w:szCs w:val="20"/>
                <w:lang w:eastAsia="en-AU"/>
              </w:rPr>
            </w:pPr>
            <w:r w:rsidRPr="005176BD">
              <w:rPr>
                <w:rFonts w:cs="Arial"/>
                <w:sz w:val="20"/>
                <w:szCs w:val="20"/>
                <w:lang w:eastAsia="en-AU"/>
              </w:rPr>
              <w:t xml:space="preserve">Reporting of life events over time: Methodological issues in a longitudinal sample of women. Psychological Assessment, </w:t>
            </w:r>
            <w:r w:rsidR="00C75859" w:rsidRPr="005176BD">
              <w:rPr>
                <w:rFonts w:cs="Arial"/>
                <w:sz w:val="20"/>
                <w:szCs w:val="20"/>
                <w:lang w:eastAsia="en-AU"/>
              </w:rPr>
              <w:t xml:space="preserve">2011; </w:t>
            </w:r>
            <w:r w:rsidRPr="005176BD">
              <w:rPr>
                <w:rFonts w:cs="Arial"/>
                <w:sz w:val="20"/>
                <w:szCs w:val="20"/>
                <w:lang w:eastAsia="en-AU"/>
              </w:rPr>
              <w:t>23(1)</w:t>
            </w:r>
            <w:r w:rsidR="00C75859" w:rsidRPr="005176BD">
              <w:rPr>
                <w:rFonts w:cs="Arial"/>
                <w:sz w:val="20"/>
                <w:szCs w:val="20"/>
                <w:lang w:eastAsia="en-AU"/>
              </w:rPr>
              <w:t>:</w:t>
            </w:r>
            <w:r w:rsidRPr="005176BD">
              <w:rPr>
                <w:rFonts w:cs="Arial"/>
                <w:sz w:val="20"/>
                <w:szCs w:val="20"/>
                <w:lang w:eastAsia="en-AU"/>
              </w:rPr>
              <w:t xml:space="preserve"> 277-281.</w:t>
            </w:r>
          </w:p>
        </w:tc>
        <w:tc>
          <w:tcPr>
            <w:tcW w:w="4230" w:type="dxa"/>
          </w:tcPr>
          <w:p w14:paraId="73165BCC" w14:textId="77777777" w:rsidR="00BC3825" w:rsidRPr="005176BD" w:rsidRDefault="00BC3825" w:rsidP="003B611A">
            <w:pPr>
              <w:rPr>
                <w:rFonts w:cs="Arial"/>
                <w:sz w:val="20"/>
                <w:szCs w:val="20"/>
                <w:lang w:eastAsia="en-AU"/>
              </w:rPr>
            </w:pPr>
            <w:r w:rsidRPr="005176BD">
              <w:rPr>
                <w:rFonts w:cs="Arial"/>
                <w:sz w:val="20"/>
                <w:szCs w:val="20"/>
                <w:lang w:eastAsia="en-AU"/>
              </w:rPr>
              <w:t>Pachana N, Brilleman S &amp; Dobson A.</w:t>
            </w:r>
          </w:p>
        </w:tc>
        <w:tc>
          <w:tcPr>
            <w:tcW w:w="617" w:type="dxa"/>
          </w:tcPr>
          <w:p w14:paraId="3BCC9EF4" w14:textId="77777777" w:rsidR="00BC3825" w:rsidRPr="005176BD" w:rsidRDefault="00BC3825" w:rsidP="003B611A">
            <w:pPr>
              <w:rPr>
                <w:rFonts w:cs="Arial"/>
                <w:sz w:val="20"/>
                <w:szCs w:val="20"/>
                <w:lang w:eastAsia="en-AU"/>
              </w:rPr>
            </w:pPr>
            <w:r w:rsidRPr="005176BD">
              <w:rPr>
                <w:rFonts w:cs="Arial"/>
                <w:sz w:val="20"/>
                <w:szCs w:val="20"/>
                <w:lang w:eastAsia="en-AU"/>
              </w:rPr>
              <w:t>12</w:t>
            </w:r>
          </w:p>
        </w:tc>
      </w:tr>
      <w:tr w:rsidR="003A6BE6" w:rsidRPr="003A6BE6" w14:paraId="7389B16B" w14:textId="77777777" w:rsidTr="0011030B">
        <w:tc>
          <w:tcPr>
            <w:tcW w:w="9008" w:type="dxa"/>
          </w:tcPr>
          <w:p w14:paraId="2CF60E78" w14:textId="7EC50FEE" w:rsidR="003A6BE6" w:rsidRPr="005176BD" w:rsidRDefault="003A6BE6" w:rsidP="003B611A">
            <w:pPr>
              <w:rPr>
                <w:rFonts w:cs="Arial"/>
                <w:sz w:val="20"/>
                <w:szCs w:val="20"/>
                <w:lang w:eastAsia="en-AU"/>
              </w:rPr>
            </w:pPr>
            <w:r w:rsidRPr="005176BD">
              <w:rPr>
                <w:rFonts w:cs="Arial"/>
                <w:sz w:val="20"/>
                <w:szCs w:val="20"/>
                <w:lang w:eastAsia="en-AU"/>
              </w:rPr>
              <w:t>A self-report home environment screening tool identified older women at risk of falls. Journal of Clinical Epidemiology; 2011, 64(2), 191-199.</w:t>
            </w:r>
          </w:p>
        </w:tc>
        <w:tc>
          <w:tcPr>
            <w:tcW w:w="4230" w:type="dxa"/>
          </w:tcPr>
          <w:p w14:paraId="7695DCD2" w14:textId="22250472" w:rsidR="003A6BE6" w:rsidRPr="005176BD" w:rsidRDefault="003A6BE6" w:rsidP="003B611A">
            <w:pPr>
              <w:rPr>
                <w:rFonts w:cs="Arial"/>
                <w:sz w:val="20"/>
                <w:szCs w:val="20"/>
                <w:lang w:eastAsia="en-AU"/>
              </w:rPr>
            </w:pPr>
            <w:proofErr w:type="spellStart"/>
            <w:r w:rsidRPr="005176BD">
              <w:rPr>
                <w:rFonts w:cs="Arial"/>
                <w:sz w:val="20"/>
                <w:szCs w:val="20"/>
                <w:lang w:eastAsia="en-AU"/>
              </w:rPr>
              <w:t>Mehranban</w:t>
            </w:r>
            <w:proofErr w:type="spellEnd"/>
            <w:r w:rsidRPr="005176BD">
              <w:rPr>
                <w:rFonts w:cs="Arial"/>
                <w:sz w:val="20"/>
                <w:szCs w:val="20"/>
                <w:lang w:eastAsia="en-AU"/>
              </w:rPr>
              <w:t xml:space="preserve"> A H, </w:t>
            </w:r>
            <w:proofErr w:type="spellStart"/>
            <w:r w:rsidRPr="005176BD">
              <w:rPr>
                <w:rFonts w:cs="Arial"/>
                <w:sz w:val="20"/>
                <w:szCs w:val="20"/>
                <w:lang w:eastAsia="en-AU"/>
              </w:rPr>
              <w:t>MacKenzie</w:t>
            </w:r>
            <w:proofErr w:type="spellEnd"/>
            <w:r w:rsidRPr="005176BD">
              <w:rPr>
                <w:rFonts w:cs="Arial"/>
                <w:sz w:val="20"/>
                <w:szCs w:val="20"/>
                <w:lang w:eastAsia="en-AU"/>
              </w:rPr>
              <w:t xml:space="preserve"> L &amp; Byles J.</w:t>
            </w:r>
          </w:p>
        </w:tc>
        <w:tc>
          <w:tcPr>
            <w:tcW w:w="617" w:type="dxa"/>
          </w:tcPr>
          <w:p w14:paraId="6E454C36" w14:textId="5FBB0F87" w:rsidR="003A6BE6" w:rsidRPr="005176BD" w:rsidRDefault="003A6BE6" w:rsidP="003B611A">
            <w:pPr>
              <w:rPr>
                <w:rFonts w:cs="Arial"/>
                <w:sz w:val="20"/>
                <w:szCs w:val="20"/>
                <w:lang w:eastAsia="en-AU"/>
              </w:rPr>
            </w:pPr>
            <w:r w:rsidRPr="005176BD">
              <w:rPr>
                <w:rFonts w:cs="Arial"/>
                <w:sz w:val="20"/>
                <w:szCs w:val="20"/>
                <w:lang w:eastAsia="en-AU"/>
              </w:rPr>
              <w:t>25</w:t>
            </w:r>
          </w:p>
        </w:tc>
      </w:tr>
      <w:tr w:rsidR="00BC3825" w:rsidRPr="00084B2B" w14:paraId="0F5F3C34" w14:textId="77777777" w:rsidTr="0011030B">
        <w:tc>
          <w:tcPr>
            <w:tcW w:w="9008" w:type="dxa"/>
          </w:tcPr>
          <w:p w14:paraId="359EAD11" w14:textId="622B887C" w:rsidR="00BC3825" w:rsidRPr="005176BD" w:rsidRDefault="00BC3825" w:rsidP="003B611A">
            <w:pPr>
              <w:rPr>
                <w:rFonts w:cs="Arial"/>
                <w:sz w:val="20"/>
                <w:szCs w:val="20"/>
                <w:lang w:eastAsia="en-AU"/>
              </w:rPr>
            </w:pPr>
            <w:r w:rsidRPr="005176BD">
              <w:rPr>
                <w:rFonts w:cs="Arial"/>
                <w:sz w:val="20"/>
                <w:szCs w:val="20"/>
                <w:lang w:eastAsia="en-AU"/>
              </w:rPr>
              <w:t xml:space="preserve">Relative survival: </w:t>
            </w:r>
            <w:r w:rsidR="00C75859" w:rsidRPr="005176BD">
              <w:rPr>
                <w:rFonts w:cs="Arial"/>
                <w:sz w:val="20"/>
                <w:szCs w:val="20"/>
                <w:lang w:eastAsia="en-AU"/>
              </w:rPr>
              <w:t>A</w:t>
            </w:r>
            <w:r w:rsidRPr="005176BD">
              <w:rPr>
                <w:rFonts w:cs="Arial"/>
                <w:sz w:val="20"/>
                <w:szCs w:val="20"/>
                <w:lang w:eastAsia="en-AU"/>
              </w:rPr>
              <w:t xml:space="preserve"> useful tool to assess generalisability in longitudinal studies of health in older persons. Emerging Trends in Epidemiology, </w:t>
            </w:r>
            <w:r w:rsidR="00C75859" w:rsidRPr="005176BD">
              <w:rPr>
                <w:rFonts w:cs="Arial"/>
                <w:sz w:val="20"/>
                <w:szCs w:val="20"/>
                <w:lang w:eastAsia="en-AU"/>
              </w:rPr>
              <w:t xml:space="preserve">2011; </w:t>
            </w:r>
            <w:r w:rsidRPr="005176BD">
              <w:rPr>
                <w:rFonts w:cs="Arial"/>
                <w:sz w:val="20"/>
                <w:szCs w:val="20"/>
                <w:lang w:eastAsia="en-AU"/>
              </w:rPr>
              <w:t>8</w:t>
            </w:r>
            <w:r w:rsidR="00C75859" w:rsidRPr="005176BD">
              <w:rPr>
                <w:rFonts w:cs="Arial"/>
                <w:sz w:val="20"/>
                <w:szCs w:val="20"/>
                <w:lang w:eastAsia="en-AU"/>
              </w:rPr>
              <w:t>:</w:t>
            </w:r>
            <w:r w:rsidRPr="005176BD">
              <w:rPr>
                <w:rFonts w:cs="Arial"/>
                <w:sz w:val="20"/>
                <w:szCs w:val="20"/>
                <w:lang w:eastAsia="en-AU"/>
              </w:rPr>
              <w:t xml:space="preserve"> </w:t>
            </w:r>
            <w:r w:rsidR="00C75859" w:rsidRPr="005176BD">
              <w:rPr>
                <w:rFonts w:cs="Arial"/>
                <w:sz w:val="20"/>
                <w:szCs w:val="20"/>
                <w:lang w:eastAsia="en-AU"/>
              </w:rPr>
              <w:t xml:space="preserve">art. </w:t>
            </w:r>
            <w:proofErr w:type="gramStart"/>
            <w:r w:rsidR="00C75859" w:rsidRPr="005176BD">
              <w:rPr>
                <w:rFonts w:cs="Arial"/>
                <w:sz w:val="20"/>
                <w:szCs w:val="20"/>
                <w:lang w:eastAsia="en-AU"/>
              </w:rPr>
              <w:t>n</w:t>
            </w:r>
            <w:r w:rsidRPr="005176BD">
              <w:rPr>
                <w:rFonts w:cs="Arial"/>
                <w:sz w:val="20"/>
                <w:szCs w:val="20"/>
                <w:lang w:eastAsia="en-AU"/>
              </w:rPr>
              <w:t>o</w:t>
            </w:r>
            <w:proofErr w:type="gramEnd"/>
            <w:r w:rsidRPr="005176BD">
              <w:rPr>
                <w:rFonts w:cs="Arial"/>
                <w:sz w:val="20"/>
                <w:szCs w:val="20"/>
                <w:lang w:eastAsia="en-AU"/>
              </w:rPr>
              <w:t xml:space="preserve">. 3. </w:t>
            </w:r>
          </w:p>
        </w:tc>
        <w:tc>
          <w:tcPr>
            <w:tcW w:w="4230" w:type="dxa"/>
          </w:tcPr>
          <w:p w14:paraId="236238B9" w14:textId="77777777" w:rsidR="00BC3825" w:rsidRPr="005176BD" w:rsidRDefault="00BC3825" w:rsidP="003B611A">
            <w:pPr>
              <w:rPr>
                <w:rFonts w:cs="Arial"/>
                <w:sz w:val="20"/>
                <w:szCs w:val="20"/>
                <w:lang w:eastAsia="en-AU"/>
              </w:rPr>
            </w:pPr>
            <w:r w:rsidRPr="005176BD">
              <w:rPr>
                <w:rFonts w:cs="Arial"/>
                <w:sz w:val="20"/>
                <w:szCs w:val="20"/>
                <w:lang w:eastAsia="en-AU"/>
              </w:rPr>
              <w:t>Hockey R, Tooth L &amp; Dobson A.</w:t>
            </w:r>
          </w:p>
        </w:tc>
        <w:tc>
          <w:tcPr>
            <w:tcW w:w="617" w:type="dxa"/>
          </w:tcPr>
          <w:p w14:paraId="0A26D8FE" w14:textId="77777777" w:rsidR="00BC3825" w:rsidRPr="005176BD" w:rsidRDefault="00BC3825" w:rsidP="003B611A">
            <w:pPr>
              <w:rPr>
                <w:rFonts w:cs="Arial"/>
                <w:sz w:val="20"/>
                <w:szCs w:val="20"/>
                <w:lang w:eastAsia="en-AU"/>
              </w:rPr>
            </w:pPr>
            <w:r w:rsidRPr="005176BD">
              <w:rPr>
                <w:rFonts w:cs="Arial"/>
                <w:sz w:val="20"/>
                <w:szCs w:val="20"/>
                <w:lang w:eastAsia="en-AU"/>
              </w:rPr>
              <w:t>15</w:t>
            </w:r>
          </w:p>
        </w:tc>
      </w:tr>
      <w:tr w:rsidR="00BC3825" w:rsidRPr="00084B2B" w14:paraId="7DE362A9" w14:textId="77777777" w:rsidTr="0011030B">
        <w:tc>
          <w:tcPr>
            <w:tcW w:w="9008" w:type="dxa"/>
          </w:tcPr>
          <w:p w14:paraId="539545A5" w14:textId="13B87A64" w:rsidR="00BC3825" w:rsidRPr="005176BD" w:rsidRDefault="00BC3825" w:rsidP="003B611A">
            <w:pPr>
              <w:rPr>
                <w:rFonts w:cs="Arial"/>
                <w:sz w:val="20"/>
                <w:szCs w:val="20"/>
                <w:lang w:eastAsia="en-AU"/>
              </w:rPr>
            </w:pPr>
            <w:r w:rsidRPr="005176BD">
              <w:rPr>
                <w:rFonts w:cs="Arial"/>
                <w:sz w:val="20"/>
                <w:szCs w:val="20"/>
                <w:lang w:eastAsia="en-AU"/>
              </w:rPr>
              <w:lastRenderedPageBreak/>
              <w:t xml:space="preserve">The impact of attrition on the representativeness of cohort studies of older people. </w:t>
            </w:r>
            <w:proofErr w:type="spellStart"/>
            <w:r w:rsidRPr="005176BD">
              <w:rPr>
                <w:rFonts w:cs="Arial"/>
                <w:sz w:val="20"/>
                <w:szCs w:val="20"/>
                <w:lang w:eastAsia="en-AU"/>
              </w:rPr>
              <w:t>BioMed</w:t>
            </w:r>
            <w:proofErr w:type="spellEnd"/>
            <w:r w:rsidRPr="005176BD">
              <w:rPr>
                <w:rFonts w:cs="Arial"/>
                <w:sz w:val="20"/>
                <w:szCs w:val="20"/>
                <w:lang w:eastAsia="en-AU"/>
              </w:rPr>
              <w:t xml:space="preserve"> Central Medical Research Methodology, </w:t>
            </w:r>
            <w:r w:rsidR="00C75859" w:rsidRPr="005176BD">
              <w:rPr>
                <w:rFonts w:cs="Arial"/>
                <w:sz w:val="20"/>
                <w:szCs w:val="20"/>
                <w:lang w:eastAsia="en-AU"/>
              </w:rPr>
              <w:t xml:space="preserve">2010; </w:t>
            </w:r>
            <w:r w:rsidRPr="005176BD">
              <w:rPr>
                <w:rFonts w:cs="Arial"/>
                <w:sz w:val="20"/>
                <w:szCs w:val="20"/>
                <w:lang w:eastAsia="en-AU"/>
              </w:rPr>
              <w:t>10</w:t>
            </w:r>
            <w:r w:rsidR="00C75859" w:rsidRPr="005176BD">
              <w:rPr>
                <w:rFonts w:cs="Arial"/>
                <w:sz w:val="20"/>
                <w:szCs w:val="20"/>
                <w:lang w:eastAsia="en-AU"/>
              </w:rPr>
              <w:t>:</w:t>
            </w:r>
            <w:r w:rsidRPr="005176BD">
              <w:rPr>
                <w:rFonts w:cs="Arial"/>
                <w:sz w:val="20"/>
                <w:szCs w:val="20"/>
                <w:lang w:eastAsia="en-AU"/>
              </w:rPr>
              <w:t xml:space="preserve"> article 71. </w:t>
            </w:r>
          </w:p>
        </w:tc>
        <w:tc>
          <w:tcPr>
            <w:tcW w:w="4230" w:type="dxa"/>
          </w:tcPr>
          <w:p w14:paraId="209DB1F8" w14:textId="77777777" w:rsidR="00BC3825" w:rsidRPr="005176BD" w:rsidRDefault="00BC3825" w:rsidP="003B611A">
            <w:pPr>
              <w:rPr>
                <w:rFonts w:cs="Arial"/>
                <w:sz w:val="20"/>
                <w:szCs w:val="20"/>
                <w:lang w:eastAsia="en-AU"/>
              </w:rPr>
            </w:pPr>
            <w:r w:rsidRPr="005176BD">
              <w:rPr>
                <w:rFonts w:cs="Arial"/>
                <w:sz w:val="20"/>
                <w:szCs w:val="20"/>
                <w:lang w:eastAsia="en-AU"/>
              </w:rPr>
              <w:t>Brilleman S, Pachana N &amp; Dobson A.</w:t>
            </w:r>
          </w:p>
        </w:tc>
        <w:tc>
          <w:tcPr>
            <w:tcW w:w="617" w:type="dxa"/>
          </w:tcPr>
          <w:p w14:paraId="5CC14791" w14:textId="77777777" w:rsidR="00BC3825" w:rsidRPr="005176BD" w:rsidRDefault="00BC3825" w:rsidP="003B611A">
            <w:pPr>
              <w:rPr>
                <w:rFonts w:cs="Arial"/>
                <w:sz w:val="20"/>
                <w:szCs w:val="20"/>
                <w:lang w:eastAsia="en-AU"/>
              </w:rPr>
            </w:pPr>
            <w:r w:rsidRPr="005176BD">
              <w:rPr>
                <w:rFonts w:cs="Arial"/>
                <w:sz w:val="20"/>
                <w:szCs w:val="20"/>
                <w:lang w:eastAsia="en-AU"/>
              </w:rPr>
              <w:t>47</w:t>
            </w:r>
          </w:p>
        </w:tc>
      </w:tr>
      <w:tr w:rsidR="003A6BE6" w:rsidRPr="003A6BE6" w14:paraId="5D7865A3" w14:textId="77777777" w:rsidTr="0011030B">
        <w:tc>
          <w:tcPr>
            <w:tcW w:w="9008" w:type="dxa"/>
          </w:tcPr>
          <w:p w14:paraId="4CBE50D1" w14:textId="10479DD7" w:rsidR="003A6BE6" w:rsidRPr="005176BD" w:rsidRDefault="003A6BE6" w:rsidP="003B611A">
            <w:pPr>
              <w:rPr>
                <w:rFonts w:cs="Arial"/>
                <w:sz w:val="20"/>
                <w:szCs w:val="20"/>
                <w:lang w:eastAsia="en-AU"/>
              </w:rPr>
            </w:pPr>
            <w:r w:rsidRPr="005176BD">
              <w:rPr>
                <w:rFonts w:cs="Arial"/>
                <w:sz w:val="20"/>
                <w:szCs w:val="20"/>
                <w:lang w:eastAsia="en-AU"/>
              </w:rPr>
              <w:t>Estimates of probable dementia prevalence from population-based surveys compared with dementia prevalence estimates based on meta-analyses. BMC Neurology, 2010; 10(62): 1-12.</w:t>
            </w:r>
          </w:p>
        </w:tc>
        <w:tc>
          <w:tcPr>
            <w:tcW w:w="4230" w:type="dxa"/>
          </w:tcPr>
          <w:p w14:paraId="3C2F365F" w14:textId="3D3C1249" w:rsidR="003A6BE6" w:rsidRPr="005176BD" w:rsidRDefault="003A6BE6" w:rsidP="003B611A">
            <w:pPr>
              <w:rPr>
                <w:rFonts w:cs="Arial"/>
                <w:sz w:val="20"/>
                <w:szCs w:val="20"/>
                <w:lang w:eastAsia="en-AU"/>
              </w:rPr>
            </w:pPr>
            <w:r w:rsidRPr="005176BD">
              <w:rPr>
                <w:rFonts w:cs="Arial"/>
                <w:sz w:val="20"/>
                <w:szCs w:val="20"/>
                <w:lang w:eastAsia="en-AU"/>
              </w:rPr>
              <w:t xml:space="preserve">Anstey K, Burns R, </w:t>
            </w:r>
            <w:proofErr w:type="spellStart"/>
            <w:r w:rsidRPr="005176BD">
              <w:rPr>
                <w:rFonts w:cs="Arial"/>
                <w:sz w:val="20"/>
                <w:szCs w:val="20"/>
                <w:lang w:eastAsia="en-AU"/>
              </w:rPr>
              <w:t>Birrell</w:t>
            </w:r>
            <w:proofErr w:type="spellEnd"/>
            <w:r w:rsidRPr="005176BD">
              <w:rPr>
                <w:rFonts w:cs="Arial"/>
                <w:sz w:val="20"/>
                <w:szCs w:val="20"/>
                <w:lang w:eastAsia="en-AU"/>
              </w:rPr>
              <w:t xml:space="preserve"> C, Steel D, Kiely K &amp; </w:t>
            </w:r>
            <w:proofErr w:type="spellStart"/>
            <w:r w:rsidRPr="005176BD">
              <w:rPr>
                <w:rFonts w:cs="Arial"/>
                <w:sz w:val="20"/>
                <w:szCs w:val="20"/>
                <w:lang w:eastAsia="en-AU"/>
              </w:rPr>
              <w:t>Luszcz</w:t>
            </w:r>
            <w:proofErr w:type="spellEnd"/>
            <w:r w:rsidRPr="005176BD">
              <w:rPr>
                <w:rFonts w:cs="Arial"/>
                <w:sz w:val="20"/>
                <w:szCs w:val="20"/>
                <w:lang w:eastAsia="en-AU"/>
              </w:rPr>
              <w:t xml:space="preserve"> M.</w:t>
            </w:r>
          </w:p>
        </w:tc>
        <w:tc>
          <w:tcPr>
            <w:tcW w:w="617" w:type="dxa"/>
          </w:tcPr>
          <w:p w14:paraId="7A45A92F" w14:textId="7D836043" w:rsidR="003A6BE6" w:rsidRPr="005176BD" w:rsidRDefault="003A6BE6" w:rsidP="003B611A">
            <w:pPr>
              <w:rPr>
                <w:rFonts w:cs="Arial"/>
                <w:sz w:val="20"/>
                <w:szCs w:val="20"/>
                <w:lang w:eastAsia="en-AU"/>
              </w:rPr>
            </w:pPr>
            <w:r w:rsidRPr="005176BD">
              <w:rPr>
                <w:rFonts w:cs="Arial"/>
                <w:sz w:val="20"/>
                <w:szCs w:val="20"/>
                <w:lang w:eastAsia="en-AU"/>
              </w:rPr>
              <w:t>56</w:t>
            </w:r>
          </w:p>
        </w:tc>
      </w:tr>
      <w:tr w:rsidR="00640D50" w:rsidRPr="00640D50" w14:paraId="4FCB9B25" w14:textId="77777777" w:rsidTr="0011030B">
        <w:tc>
          <w:tcPr>
            <w:tcW w:w="9008" w:type="dxa"/>
          </w:tcPr>
          <w:p w14:paraId="1637CD81" w14:textId="4A651D2B" w:rsidR="00640D50" w:rsidRPr="005176BD" w:rsidRDefault="00640D50" w:rsidP="003B611A">
            <w:pPr>
              <w:rPr>
                <w:rFonts w:cs="Arial"/>
                <w:sz w:val="20"/>
                <w:szCs w:val="20"/>
                <w:lang w:eastAsia="en-AU"/>
              </w:rPr>
            </w:pPr>
            <w:r w:rsidRPr="005176BD">
              <w:rPr>
                <w:rFonts w:cs="Arial"/>
                <w:sz w:val="20"/>
                <w:szCs w:val="20"/>
                <w:lang w:eastAsia="en-AU"/>
              </w:rPr>
              <w:t>Cohort profile: The Dynamic Analyses to Optimize Ageing (DYNOPTA) project. International Journal of Epidemiology, 2010: 39(1): 44-51.</w:t>
            </w:r>
          </w:p>
        </w:tc>
        <w:tc>
          <w:tcPr>
            <w:tcW w:w="4230" w:type="dxa"/>
          </w:tcPr>
          <w:p w14:paraId="75D382D6" w14:textId="5E46D956" w:rsidR="00640D50" w:rsidRPr="005176BD" w:rsidRDefault="00640D50" w:rsidP="003B611A">
            <w:pPr>
              <w:rPr>
                <w:rFonts w:cs="Arial"/>
                <w:sz w:val="20"/>
                <w:szCs w:val="20"/>
                <w:lang w:eastAsia="en-AU"/>
              </w:rPr>
            </w:pPr>
            <w:r w:rsidRPr="005176BD">
              <w:rPr>
                <w:rFonts w:cs="Arial"/>
                <w:sz w:val="20"/>
                <w:szCs w:val="20"/>
                <w:lang w:eastAsia="en-AU"/>
              </w:rPr>
              <w:t xml:space="preserve">Anstey K, Byles J, </w:t>
            </w:r>
            <w:proofErr w:type="spellStart"/>
            <w:r w:rsidRPr="005176BD">
              <w:rPr>
                <w:rFonts w:cs="Arial"/>
                <w:sz w:val="20"/>
                <w:szCs w:val="20"/>
                <w:lang w:eastAsia="en-AU"/>
              </w:rPr>
              <w:t>Luszcz</w:t>
            </w:r>
            <w:proofErr w:type="spellEnd"/>
            <w:r w:rsidRPr="005176BD">
              <w:rPr>
                <w:rFonts w:cs="Arial"/>
                <w:sz w:val="20"/>
                <w:szCs w:val="20"/>
                <w:lang w:eastAsia="en-AU"/>
              </w:rPr>
              <w:t xml:space="preserve"> M, Mitchell P, Steel D, Booth H, Browning C, Butterworth P, Cumming R, Healy J, Windsor T, Ross L, </w:t>
            </w:r>
            <w:proofErr w:type="spellStart"/>
            <w:r w:rsidRPr="005176BD">
              <w:rPr>
                <w:rFonts w:cs="Arial"/>
                <w:sz w:val="20"/>
                <w:szCs w:val="20"/>
                <w:lang w:eastAsia="en-AU"/>
              </w:rPr>
              <w:t>Bartsch</w:t>
            </w:r>
            <w:proofErr w:type="spellEnd"/>
            <w:r w:rsidRPr="005176BD">
              <w:rPr>
                <w:rFonts w:cs="Arial"/>
                <w:sz w:val="20"/>
                <w:szCs w:val="20"/>
                <w:lang w:eastAsia="en-AU"/>
              </w:rPr>
              <w:t xml:space="preserve"> L, Burns R, Kiely K, </w:t>
            </w:r>
            <w:proofErr w:type="spellStart"/>
            <w:r w:rsidRPr="005176BD">
              <w:rPr>
                <w:rFonts w:cs="Arial"/>
                <w:sz w:val="20"/>
                <w:szCs w:val="20"/>
                <w:lang w:eastAsia="en-AU"/>
              </w:rPr>
              <w:t>Birrell</w:t>
            </w:r>
            <w:proofErr w:type="spellEnd"/>
            <w:r w:rsidRPr="005176BD">
              <w:rPr>
                <w:rFonts w:cs="Arial"/>
                <w:sz w:val="20"/>
                <w:szCs w:val="20"/>
                <w:lang w:eastAsia="en-AU"/>
              </w:rPr>
              <w:t xml:space="preserve"> C, </w:t>
            </w:r>
            <w:proofErr w:type="spellStart"/>
            <w:r w:rsidRPr="005176BD">
              <w:rPr>
                <w:rFonts w:cs="Arial"/>
                <w:sz w:val="20"/>
                <w:szCs w:val="20"/>
                <w:lang w:eastAsia="en-AU"/>
              </w:rPr>
              <w:t>Broe</w:t>
            </w:r>
            <w:proofErr w:type="spellEnd"/>
            <w:r w:rsidRPr="005176BD">
              <w:rPr>
                <w:rFonts w:cs="Arial"/>
                <w:sz w:val="20"/>
                <w:szCs w:val="20"/>
                <w:lang w:eastAsia="en-AU"/>
              </w:rPr>
              <w:t xml:space="preserve"> G, Shaw J &amp; </w:t>
            </w:r>
            <w:proofErr w:type="spellStart"/>
            <w:r w:rsidRPr="005176BD">
              <w:rPr>
                <w:rFonts w:cs="Arial"/>
                <w:sz w:val="20"/>
                <w:szCs w:val="20"/>
                <w:lang w:eastAsia="en-AU"/>
              </w:rPr>
              <w:t>Kendig</w:t>
            </w:r>
            <w:proofErr w:type="spellEnd"/>
            <w:r w:rsidRPr="005176BD">
              <w:rPr>
                <w:rFonts w:cs="Arial"/>
                <w:sz w:val="20"/>
                <w:szCs w:val="20"/>
                <w:lang w:eastAsia="en-AU"/>
              </w:rPr>
              <w:t xml:space="preserve"> H.</w:t>
            </w:r>
          </w:p>
        </w:tc>
        <w:tc>
          <w:tcPr>
            <w:tcW w:w="617" w:type="dxa"/>
          </w:tcPr>
          <w:p w14:paraId="1E97FEFE" w14:textId="245B2CA9" w:rsidR="00640D50" w:rsidRPr="005176BD" w:rsidRDefault="00640D50" w:rsidP="003B611A">
            <w:pPr>
              <w:rPr>
                <w:rFonts w:cs="Arial"/>
                <w:sz w:val="20"/>
                <w:szCs w:val="20"/>
                <w:lang w:eastAsia="en-AU"/>
              </w:rPr>
            </w:pPr>
            <w:r w:rsidRPr="005176BD">
              <w:rPr>
                <w:rFonts w:cs="Arial"/>
                <w:sz w:val="20"/>
                <w:szCs w:val="20"/>
                <w:lang w:eastAsia="en-AU"/>
              </w:rPr>
              <w:t>57</w:t>
            </w:r>
          </w:p>
        </w:tc>
      </w:tr>
      <w:tr w:rsidR="0060036C" w:rsidRPr="0060036C" w14:paraId="346D9E46" w14:textId="77777777" w:rsidTr="0011030B">
        <w:tc>
          <w:tcPr>
            <w:tcW w:w="9008" w:type="dxa"/>
          </w:tcPr>
          <w:p w14:paraId="0E13FC95" w14:textId="77777777" w:rsidR="0060036C" w:rsidRPr="005176BD" w:rsidRDefault="0060036C" w:rsidP="003B611A">
            <w:pPr>
              <w:rPr>
                <w:rFonts w:cs="Arial"/>
                <w:sz w:val="20"/>
                <w:szCs w:val="20"/>
                <w:lang w:eastAsia="en-AU"/>
              </w:rPr>
            </w:pPr>
            <w:r w:rsidRPr="005176BD">
              <w:rPr>
                <w:rFonts w:cs="Arial"/>
                <w:sz w:val="20"/>
                <w:szCs w:val="20"/>
                <w:lang w:eastAsia="en-AU"/>
              </w:rPr>
              <w:t>Performance of the Goldberg Anxiety and Depression Scale in older women. Age &amp; Ageing, 2008; 37(4): 464-467.</w:t>
            </w:r>
          </w:p>
        </w:tc>
        <w:tc>
          <w:tcPr>
            <w:tcW w:w="4230" w:type="dxa"/>
          </w:tcPr>
          <w:p w14:paraId="2FCD8B97" w14:textId="77777777" w:rsidR="0060036C" w:rsidRPr="005176BD" w:rsidRDefault="0060036C" w:rsidP="003B611A">
            <w:pPr>
              <w:rPr>
                <w:rFonts w:cs="Arial"/>
                <w:sz w:val="20"/>
                <w:szCs w:val="20"/>
                <w:lang w:eastAsia="en-AU"/>
              </w:rPr>
            </w:pPr>
            <w:proofErr w:type="spellStart"/>
            <w:r w:rsidRPr="005176BD">
              <w:rPr>
                <w:rFonts w:cs="Arial"/>
                <w:sz w:val="20"/>
                <w:szCs w:val="20"/>
                <w:lang w:eastAsia="en-AU"/>
              </w:rPr>
              <w:t>Koloski</w:t>
            </w:r>
            <w:proofErr w:type="spellEnd"/>
            <w:r w:rsidRPr="005176BD">
              <w:rPr>
                <w:rFonts w:cs="Arial"/>
                <w:sz w:val="20"/>
                <w:szCs w:val="20"/>
                <w:lang w:eastAsia="en-AU"/>
              </w:rPr>
              <w:t xml:space="preserve"> N, Smith N, Pachana N &amp; Dobson A.</w:t>
            </w:r>
          </w:p>
        </w:tc>
        <w:tc>
          <w:tcPr>
            <w:tcW w:w="617" w:type="dxa"/>
          </w:tcPr>
          <w:p w14:paraId="7B70E0D1" w14:textId="77777777" w:rsidR="0060036C" w:rsidRPr="005176BD" w:rsidRDefault="0060036C" w:rsidP="003B611A">
            <w:pPr>
              <w:rPr>
                <w:rFonts w:cs="Arial"/>
                <w:sz w:val="20"/>
                <w:szCs w:val="20"/>
                <w:lang w:eastAsia="en-AU"/>
              </w:rPr>
            </w:pPr>
            <w:r w:rsidRPr="005176BD">
              <w:rPr>
                <w:rFonts w:cs="Arial"/>
                <w:sz w:val="20"/>
                <w:szCs w:val="20"/>
                <w:lang w:eastAsia="en-AU"/>
              </w:rPr>
              <w:t>16</w:t>
            </w:r>
          </w:p>
        </w:tc>
      </w:tr>
      <w:tr w:rsidR="00BC3825" w:rsidRPr="00084B2B" w14:paraId="0B46BB1D" w14:textId="77777777" w:rsidTr="0011030B">
        <w:tc>
          <w:tcPr>
            <w:tcW w:w="9008" w:type="dxa"/>
          </w:tcPr>
          <w:p w14:paraId="174CD732" w14:textId="63F4CB5C" w:rsidR="00BC3825" w:rsidRPr="005176BD" w:rsidRDefault="00BC3825" w:rsidP="003B611A">
            <w:pPr>
              <w:rPr>
                <w:rFonts w:cs="Arial"/>
                <w:sz w:val="20"/>
                <w:szCs w:val="20"/>
                <w:lang w:eastAsia="en-AU"/>
              </w:rPr>
            </w:pPr>
            <w:r w:rsidRPr="005176BD">
              <w:rPr>
                <w:rFonts w:cs="Arial"/>
                <w:sz w:val="20"/>
                <w:szCs w:val="20"/>
                <w:lang w:eastAsia="en-AU"/>
              </w:rPr>
              <w:t xml:space="preserve">Weighted multi-morbidity indexes predict mortality, health service use and health-related quality of life in older women. Journal of Clinical Epidemiology, </w:t>
            </w:r>
            <w:r w:rsidR="00C75859" w:rsidRPr="005176BD">
              <w:rPr>
                <w:rFonts w:cs="Arial"/>
                <w:sz w:val="20"/>
                <w:szCs w:val="20"/>
                <w:lang w:eastAsia="en-AU"/>
              </w:rPr>
              <w:t xml:space="preserve">2008; </w:t>
            </w:r>
            <w:r w:rsidRPr="005176BD">
              <w:rPr>
                <w:rFonts w:cs="Arial"/>
                <w:sz w:val="20"/>
                <w:szCs w:val="20"/>
                <w:lang w:eastAsia="en-AU"/>
              </w:rPr>
              <w:t>61</w:t>
            </w:r>
            <w:r w:rsidR="00C75859" w:rsidRPr="005176BD">
              <w:rPr>
                <w:rFonts w:cs="Arial"/>
                <w:sz w:val="20"/>
                <w:szCs w:val="20"/>
                <w:lang w:eastAsia="en-AU"/>
              </w:rPr>
              <w:t>(2):</w:t>
            </w:r>
            <w:r w:rsidRPr="005176BD">
              <w:rPr>
                <w:rFonts w:cs="Arial"/>
                <w:sz w:val="20"/>
                <w:szCs w:val="20"/>
                <w:lang w:eastAsia="en-AU"/>
              </w:rPr>
              <w:t xml:space="preserve"> 151-159. </w:t>
            </w:r>
          </w:p>
        </w:tc>
        <w:tc>
          <w:tcPr>
            <w:tcW w:w="4230" w:type="dxa"/>
          </w:tcPr>
          <w:p w14:paraId="79E85EEB" w14:textId="77777777" w:rsidR="00BC3825" w:rsidRPr="005176BD" w:rsidRDefault="00BC3825" w:rsidP="003B611A">
            <w:pPr>
              <w:rPr>
                <w:rFonts w:cs="Arial"/>
                <w:sz w:val="20"/>
                <w:szCs w:val="20"/>
                <w:lang w:eastAsia="en-AU"/>
              </w:rPr>
            </w:pPr>
            <w:r w:rsidRPr="005176BD">
              <w:rPr>
                <w:rFonts w:cs="Arial"/>
                <w:sz w:val="20"/>
                <w:szCs w:val="20"/>
                <w:lang w:eastAsia="en-AU"/>
              </w:rPr>
              <w:t>Tooth L, Hockey R, Byles J &amp; Dobson A.</w:t>
            </w:r>
          </w:p>
        </w:tc>
        <w:tc>
          <w:tcPr>
            <w:tcW w:w="617" w:type="dxa"/>
          </w:tcPr>
          <w:p w14:paraId="628E61B1" w14:textId="77777777" w:rsidR="00BC3825" w:rsidRPr="005176BD" w:rsidRDefault="00BC3825" w:rsidP="003B611A">
            <w:pPr>
              <w:rPr>
                <w:rFonts w:cs="Arial"/>
                <w:sz w:val="20"/>
                <w:szCs w:val="20"/>
                <w:lang w:eastAsia="en-AU"/>
              </w:rPr>
            </w:pPr>
            <w:r w:rsidRPr="005176BD">
              <w:rPr>
                <w:rFonts w:cs="Arial"/>
                <w:sz w:val="20"/>
                <w:szCs w:val="20"/>
                <w:lang w:eastAsia="en-AU"/>
              </w:rPr>
              <w:t>80</w:t>
            </w:r>
          </w:p>
        </w:tc>
      </w:tr>
      <w:tr w:rsidR="00BC3825" w:rsidRPr="00084B2B" w14:paraId="300498B0" w14:textId="77777777" w:rsidTr="0011030B">
        <w:tc>
          <w:tcPr>
            <w:tcW w:w="9008" w:type="dxa"/>
          </w:tcPr>
          <w:p w14:paraId="33850C05" w14:textId="540F7547" w:rsidR="00BC3825" w:rsidRPr="005176BD" w:rsidRDefault="00BC3825" w:rsidP="003B611A">
            <w:pPr>
              <w:rPr>
                <w:rFonts w:cs="Arial"/>
                <w:sz w:val="20"/>
                <w:szCs w:val="20"/>
                <w:lang w:eastAsia="en-AU"/>
              </w:rPr>
            </w:pPr>
            <w:r w:rsidRPr="005176BD">
              <w:rPr>
                <w:rFonts w:cs="Arial"/>
                <w:sz w:val="20"/>
                <w:szCs w:val="20"/>
                <w:lang w:eastAsia="en-AU"/>
              </w:rPr>
              <w:t xml:space="preserve">Self-rated health and a healthy lifestyle are the most important predictors of survival in elderly women. Age &amp; Ageing, </w:t>
            </w:r>
            <w:r w:rsidR="00C75859" w:rsidRPr="005176BD">
              <w:rPr>
                <w:rFonts w:cs="Arial"/>
                <w:sz w:val="20"/>
                <w:szCs w:val="20"/>
                <w:lang w:eastAsia="en-AU"/>
              </w:rPr>
              <w:t xml:space="preserve">2008. </w:t>
            </w:r>
            <w:r w:rsidRPr="005176BD">
              <w:rPr>
                <w:rFonts w:cs="Arial"/>
                <w:sz w:val="20"/>
                <w:szCs w:val="20"/>
                <w:lang w:eastAsia="en-AU"/>
              </w:rPr>
              <w:t>37(2); 194-200.</w:t>
            </w:r>
          </w:p>
        </w:tc>
        <w:tc>
          <w:tcPr>
            <w:tcW w:w="4230" w:type="dxa"/>
          </w:tcPr>
          <w:p w14:paraId="122AF668" w14:textId="77777777" w:rsidR="00BC3825" w:rsidRPr="005176BD" w:rsidRDefault="00BC3825" w:rsidP="003B611A">
            <w:pPr>
              <w:rPr>
                <w:rFonts w:cs="Arial"/>
                <w:sz w:val="20"/>
                <w:szCs w:val="20"/>
                <w:lang w:eastAsia="en-AU"/>
              </w:rPr>
            </w:pPr>
            <w:r w:rsidRPr="005176BD">
              <w:rPr>
                <w:rFonts w:cs="Arial"/>
                <w:sz w:val="20"/>
                <w:szCs w:val="20"/>
                <w:lang w:eastAsia="en-AU"/>
              </w:rPr>
              <w:t xml:space="preserve">Ford J, </w:t>
            </w:r>
            <w:proofErr w:type="spellStart"/>
            <w:r w:rsidRPr="005176BD">
              <w:rPr>
                <w:rFonts w:cs="Arial"/>
                <w:sz w:val="20"/>
                <w:szCs w:val="20"/>
                <w:lang w:eastAsia="en-AU"/>
              </w:rPr>
              <w:t>Spallek</w:t>
            </w:r>
            <w:proofErr w:type="spellEnd"/>
            <w:r w:rsidRPr="005176BD">
              <w:rPr>
                <w:rFonts w:cs="Arial"/>
                <w:sz w:val="20"/>
                <w:szCs w:val="20"/>
                <w:lang w:eastAsia="en-AU"/>
              </w:rPr>
              <w:t xml:space="preserve"> M &amp; Dobson A.</w:t>
            </w:r>
          </w:p>
        </w:tc>
        <w:tc>
          <w:tcPr>
            <w:tcW w:w="617" w:type="dxa"/>
          </w:tcPr>
          <w:p w14:paraId="153BBE6A" w14:textId="77777777" w:rsidR="00BC3825" w:rsidRPr="005176BD" w:rsidRDefault="00BC3825" w:rsidP="003B611A">
            <w:pPr>
              <w:rPr>
                <w:rFonts w:cs="Arial"/>
                <w:sz w:val="20"/>
                <w:szCs w:val="20"/>
                <w:lang w:eastAsia="en-AU"/>
              </w:rPr>
            </w:pPr>
            <w:r w:rsidRPr="005176BD">
              <w:rPr>
                <w:rFonts w:cs="Arial"/>
                <w:sz w:val="20"/>
                <w:szCs w:val="20"/>
                <w:lang w:eastAsia="en-AU"/>
              </w:rPr>
              <w:t>127</w:t>
            </w:r>
          </w:p>
        </w:tc>
      </w:tr>
      <w:tr w:rsidR="00BC3825" w:rsidRPr="00084B2B" w14:paraId="28B50733" w14:textId="77777777" w:rsidTr="0011030B">
        <w:tc>
          <w:tcPr>
            <w:tcW w:w="9008" w:type="dxa"/>
          </w:tcPr>
          <w:p w14:paraId="3B6269E9" w14:textId="4EA0D4B8" w:rsidR="00BC3825" w:rsidRPr="005176BD" w:rsidRDefault="00BC3825" w:rsidP="003B611A">
            <w:pPr>
              <w:rPr>
                <w:rFonts w:cs="Arial"/>
                <w:sz w:val="20"/>
                <w:szCs w:val="20"/>
                <w:lang w:eastAsia="en-AU"/>
              </w:rPr>
            </w:pPr>
            <w:r w:rsidRPr="005176BD">
              <w:rPr>
                <w:rFonts w:cs="Arial"/>
                <w:sz w:val="20"/>
                <w:szCs w:val="20"/>
                <w:lang w:eastAsia="en-AU"/>
              </w:rPr>
              <w:t xml:space="preserve">Transforming the SF-36 to account for death in longitudinal studies with three year follow-up. Medical Care, </w:t>
            </w:r>
            <w:r w:rsidR="00C75859" w:rsidRPr="005176BD">
              <w:rPr>
                <w:rFonts w:cs="Arial"/>
                <w:sz w:val="20"/>
                <w:szCs w:val="20"/>
                <w:lang w:eastAsia="en-AU"/>
              </w:rPr>
              <w:t xml:space="preserve">2006. </w:t>
            </w:r>
            <w:r w:rsidRPr="005176BD">
              <w:rPr>
                <w:rFonts w:cs="Arial"/>
                <w:sz w:val="20"/>
                <w:szCs w:val="20"/>
                <w:lang w:eastAsia="en-AU"/>
              </w:rPr>
              <w:t>44(10); 956-959.</w:t>
            </w:r>
          </w:p>
        </w:tc>
        <w:tc>
          <w:tcPr>
            <w:tcW w:w="4230" w:type="dxa"/>
          </w:tcPr>
          <w:p w14:paraId="4985DE8B" w14:textId="77777777" w:rsidR="00BC3825" w:rsidRPr="005176BD" w:rsidRDefault="00BC3825" w:rsidP="003B611A">
            <w:pPr>
              <w:rPr>
                <w:rFonts w:cs="Arial"/>
                <w:sz w:val="20"/>
                <w:szCs w:val="20"/>
                <w:lang w:eastAsia="en-AU"/>
              </w:rPr>
            </w:pPr>
            <w:r w:rsidRPr="005176BD">
              <w:rPr>
                <w:rFonts w:cs="Arial"/>
                <w:sz w:val="20"/>
                <w:szCs w:val="20"/>
                <w:lang w:eastAsia="en-AU"/>
              </w:rPr>
              <w:t xml:space="preserve">Bowe SJ, Young A, Sibbritt D &amp; </w:t>
            </w:r>
            <w:proofErr w:type="spellStart"/>
            <w:r w:rsidRPr="005176BD">
              <w:rPr>
                <w:rFonts w:cs="Arial"/>
                <w:sz w:val="20"/>
                <w:szCs w:val="20"/>
                <w:lang w:eastAsia="en-AU"/>
              </w:rPr>
              <w:t>Furuya</w:t>
            </w:r>
            <w:proofErr w:type="spellEnd"/>
            <w:r w:rsidRPr="005176BD">
              <w:rPr>
                <w:rFonts w:cs="Arial"/>
                <w:sz w:val="20"/>
                <w:szCs w:val="20"/>
                <w:lang w:eastAsia="en-AU"/>
              </w:rPr>
              <w:t xml:space="preserve"> H.</w:t>
            </w:r>
          </w:p>
        </w:tc>
        <w:tc>
          <w:tcPr>
            <w:tcW w:w="617" w:type="dxa"/>
          </w:tcPr>
          <w:p w14:paraId="2FB75E9A" w14:textId="77777777" w:rsidR="00BC3825" w:rsidRPr="005176BD" w:rsidRDefault="00BC3825" w:rsidP="003B611A">
            <w:pPr>
              <w:rPr>
                <w:rFonts w:cs="Arial"/>
                <w:sz w:val="20"/>
                <w:szCs w:val="20"/>
                <w:lang w:eastAsia="en-AU"/>
              </w:rPr>
            </w:pPr>
            <w:r w:rsidRPr="005176BD">
              <w:rPr>
                <w:rFonts w:cs="Arial"/>
                <w:sz w:val="20"/>
                <w:szCs w:val="20"/>
                <w:lang w:eastAsia="en-AU"/>
              </w:rPr>
              <w:t>9</w:t>
            </w:r>
          </w:p>
        </w:tc>
      </w:tr>
      <w:tr w:rsidR="00BC3825" w:rsidRPr="00084B2B" w14:paraId="1331FECF" w14:textId="77777777" w:rsidTr="0011030B">
        <w:tc>
          <w:tcPr>
            <w:tcW w:w="9008" w:type="dxa"/>
          </w:tcPr>
          <w:p w14:paraId="43E1ED6B" w14:textId="7064E2D2" w:rsidR="00BC3825" w:rsidRPr="005176BD" w:rsidRDefault="00BC3825" w:rsidP="003B611A">
            <w:pPr>
              <w:rPr>
                <w:rFonts w:cs="Arial"/>
                <w:sz w:val="20"/>
                <w:szCs w:val="20"/>
                <w:lang w:eastAsia="en-AU"/>
              </w:rPr>
            </w:pPr>
            <w:r w:rsidRPr="005176BD">
              <w:rPr>
                <w:rFonts w:cs="Arial"/>
                <w:sz w:val="20"/>
                <w:szCs w:val="20"/>
                <w:lang w:eastAsia="en-AU"/>
              </w:rPr>
              <w:t xml:space="preserve">Attrition in longitudinal studies: Who do you lose? Australian and New Zealand Journal of Public Health, </w:t>
            </w:r>
            <w:r w:rsidR="00C75859" w:rsidRPr="005176BD">
              <w:rPr>
                <w:rFonts w:cs="Arial"/>
                <w:sz w:val="20"/>
                <w:szCs w:val="20"/>
                <w:lang w:eastAsia="en-AU"/>
              </w:rPr>
              <w:t xml:space="preserve">2006. </w:t>
            </w:r>
            <w:r w:rsidRPr="005176BD">
              <w:rPr>
                <w:rFonts w:cs="Arial"/>
                <w:sz w:val="20"/>
                <w:szCs w:val="20"/>
                <w:lang w:eastAsia="en-AU"/>
              </w:rPr>
              <w:t>30(4); 353-361.</w:t>
            </w:r>
          </w:p>
        </w:tc>
        <w:tc>
          <w:tcPr>
            <w:tcW w:w="4230" w:type="dxa"/>
          </w:tcPr>
          <w:p w14:paraId="4D5DFD0F" w14:textId="77777777" w:rsidR="00BC3825" w:rsidRPr="005176BD" w:rsidRDefault="00BC3825" w:rsidP="003B611A">
            <w:pPr>
              <w:rPr>
                <w:rFonts w:cs="Arial"/>
                <w:sz w:val="20"/>
                <w:szCs w:val="20"/>
                <w:lang w:eastAsia="en-AU"/>
              </w:rPr>
            </w:pPr>
            <w:r w:rsidRPr="005176BD">
              <w:rPr>
                <w:rFonts w:cs="Arial"/>
                <w:sz w:val="20"/>
                <w:szCs w:val="20"/>
                <w:lang w:eastAsia="en-AU"/>
              </w:rPr>
              <w:t>Young AF, Powers J &amp; Bell S.</w:t>
            </w:r>
          </w:p>
        </w:tc>
        <w:tc>
          <w:tcPr>
            <w:tcW w:w="617" w:type="dxa"/>
          </w:tcPr>
          <w:p w14:paraId="29C20476" w14:textId="77777777" w:rsidR="00BC3825" w:rsidRPr="005176BD" w:rsidRDefault="00BC3825" w:rsidP="003B611A">
            <w:pPr>
              <w:rPr>
                <w:rFonts w:cs="Arial"/>
                <w:sz w:val="20"/>
                <w:szCs w:val="20"/>
                <w:lang w:eastAsia="en-AU"/>
              </w:rPr>
            </w:pPr>
            <w:r w:rsidRPr="005176BD">
              <w:rPr>
                <w:rFonts w:cs="Arial"/>
                <w:sz w:val="20"/>
                <w:szCs w:val="20"/>
                <w:lang w:eastAsia="en-AU"/>
              </w:rPr>
              <w:t>182</w:t>
            </w:r>
          </w:p>
        </w:tc>
      </w:tr>
      <w:tr w:rsidR="00BC3825" w:rsidRPr="00084B2B" w14:paraId="0B880D97" w14:textId="77777777" w:rsidTr="0011030B">
        <w:tc>
          <w:tcPr>
            <w:tcW w:w="9008" w:type="dxa"/>
          </w:tcPr>
          <w:p w14:paraId="0008F9CF" w14:textId="2FC6F94B" w:rsidR="00BC3825" w:rsidRPr="005176BD" w:rsidRDefault="00BC3825" w:rsidP="003B611A">
            <w:pPr>
              <w:rPr>
                <w:rFonts w:cs="Arial"/>
                <w:sz w:val="20"/>
                <w:szCs w:val="20"/>
                <w:lang w:eastAsia="en-AU"/>
              </w:rPr>
            </w:pPr>
            <w:r w:rsidRPr="005176BD">
              <w:rPr>
                <w:rFonts w:cs="Arial"/>
                <w:sz w:val="20"/>
                <w:szCs w:val="20"/>
                <w:lang w:eastAsia="en-AU"/>
              </w:rPr>
              <w:t xml:space="preserve">Three year health outcomes among older women at risk of elder abuse: Women's Health Australia. Quality of Life Research, </w:t>
            </w:r>
            <w:r w:rsidR="00C75859" w:rsidRPr="005176BD">
              <w:rPr>
                <w:rFonts w:cs="Arial"/>
                <w:sz w:val="20"/>
                <w:szCs w:val="20"/>
                <w:lang w:eastAsia="en-AU"/>
              </w:rPr>
              <w:t xml:space="preserve">2004. </w:t>
            </w:r>
            <w:r w:rsidRPr="005176BD">
              <w:rPr>
                <w:rFonts w:cs="Arial"/>
                <w:sz w:val="20"/>
                <w:szCs w:val="20"/>
                <w:lang w:eastAsia="en-AU"/>
              </w:rPr>
              <w:t>13(6); 1043-1052.</w:t>
            </w:r>
          </w:p>
        </w:tc>
        <w:tc>
          <w:tcPr>
            <w:tcW w:w="4230" w:type="dxa"/>
          </w:tcPr>
          <w:p w14:paraId="73642CEC" w14:textId="77777777" w:rsidR="00BC3825" w:rsidRPr="005176BD" w:rsidRDefault="00BC3825" w:rsidP="003B611A">
            <w:pPr>
              <w:rPr>
                <w:rFonts w:cs="Arial"/>
                <w:sz w:val="20"/>
                <w:szCs w:val="20"/>
                <w:lang w:eastAsia="en-AU"/>
              </w:rPr>
            </w:pPr>
            <w:r w:rsidRPr="005176BD">
              <w:rPr>
                <w:rFonts w:cs="Arial"/>
                <w:sz w:val="20"/>
                <w:szCs w:val="20"/>
                <w:lang w:eastAsia="en-AU"/>
              </w:rPr>
              <w:t>Schofield MJ &amp; Mishra G.</w:t>
            </w:r>
          </w:p>
        </w:tc>
        <w:tc>
          <w:tcPr>
            <w:tcW w:w="617" w:type="dxa"/>
          </w:tcPr>
          <w:p w14:paraId="651C58D0" w14:textId="77777777" w:rsidR="00BC3825" w:rsidRPr="005176BD" w:rsidRDefault="00BC3825" w:rsidP="003B611A">
            <w:pPr>
              <w:rPr>
                <w:rFonts w:cs="Arial"/>
                <w:sz w:val="20"/>
                <w:szCs w:val="20"/>
                <w:lang w:eastAsia="en-AU"/>
              </w:rPr>
            </w:pPr>
            <w:r w:rsidRPr="005176BD">
              <w:rPr>
                <w:rFonts w:cs="Arial"/>
                <w:sz w:val="20"/>
                <w:szCs w:val="20"/>
                <w:lang w:eastAsia="en-AU"/>
              </w:rPr>
              <w:t>40</w:t>
            </w:r>
          </w:p>
        </w:tc>
      </w:tr>
      <w:tr w:rsidR="00BC3825" w:rsidRPr="00BE49A1" w14:paraId="7CDFD26B" w14:textId="77777777" w:rsidTr="0011030B">
        <w:trPr>
          <w:trHeight w:val="441"/>
        </w:trPr>
        <w:tc>
          <w:tcPr>
            <w:tcW w:w="9008" w:type="dxa"/>
          </w:tcPr>
          <w:p w14:paraId="30A21BAA" w14:textId="14D5A7F1" w:rsidR="00BC3825" w:rsidRPr="005176BD" w:rsidRDefault="00BC3825" w:rsidP="003B611A">
            <w:pPr>
              <w:rPr>
                <w:rFonts w:cs="Arial"/>
                <w:sz w:val="20"/>
                <w:szCs w:val="20"/>
                <w:lang w:eastAsia="en-AU"/>
              </w:rPr>
            </w:pPr>
            <w:r w:rsidRPr="005176BD">
              <w:rPr>
                <w:rFonts w:cs="Arial"/>
                <w:sz w:val="20"/>
                <w:szCs w:val="20"/>
                <w:lang w:eastAsia="en-AU"/>
              </w:rPr>
              <w:t>Effectiveness of the National Death Index for establishing the vital statistics of older women in the Australian Longitudinal Study on Women's Health. Australian and New Zealand Journal of Public Health, 2001</w:t>
            </w:r>
            <w:r w:rsidR="00C75859" w:rsidRPr="005176BD">
              <w:rPr>
                <w:rFonts w:cs="Arial"/>
                <w:sz w:val="20"/>
                <w:szCs w:val="20"/>
                <w:lang w:eastAsia="en-AU"/>
              </w:rPr>
              <w:t>;</w:t>
            </w:r>
            <w:r w:rsidRPr="005176BD">
              <w:rPr>
                <w:rFonts w:cs="Arial"/>
                <w:sz w:val="20"/>
                <w:szCs w:val="20"/>
                <w:lang w:eastAsia="en-AU"/>
              </w:rPr>
              <w:t xml:space="preserve"> 24(5)</w:t>
            </w:r>
            <w:r w:rsidR="00C75859" w:rsidRPr="005176BD">
              <w:rPr>
                <w:rFonts w:cs="Arial"/>
                <w:sz w:val="20"/>
                <w:szCs w:val="20"/>
                <w:lang w:eastAsia="en-AU"/>
              </w:rPr>
              <w:t>:</w:t>
            </w:r>
            <w:r w:rsidRPr="005176BD">
              <w:rPr>
                <w:rFonts w:cs="Arial"/>
                <w:sz w:val="20"/>
                <w:szCs w:val="20"/>
                <w:lang w:eastAsia="en-AU"/>
              </w:rPr>
              <w:t xml:space="preserve"> 526-528</w:t>
            </w:r>
            <w:r w:rsidR="00C75859" w:rsidRPr="005176BD">
              <w:rPr>
                <w:rFonts w:cs="Arial"/>
                <w:sz w:val="20"/>
                <w:szCs w:val="20"/>
                <w:lang w:eastAsia="en-AU"/>
              </w:rPr>
              <w:t>.</w:t>
            </w:r>
            <w:r w:rsidR="00012F17" w:rsidRPr="005176BD">
              <w:rPr>
                <w:rFonts w:cs="Arial"/>
                <w:sz w:val="20"/>
                <w:szCs w:val="20"/>
                <w:lang w:eastAsia="en-AU"/>
              </w:rPr>
              <w:t xml:space="preserve"> </w:t>
            </w:r>
          </w:p>
        </w:tc>
        <w:tc>
          <w:tcPr>
            <w:tcW w:w="4230" w:type="dxa"/>
          </w:tcPr>
          <w:p w14:paraId="560C1CD4" w14:textId="77777777" w:rsidR="00BC3825" w:rsidRPr="005176BD" w:rsidRDefault="00BC3825" w:rsidP="003B611A">
            <w:pPr>
              <w:rPr>
                <w:rFonts w:cs="Arial"/>
                <w:sz w:val="20"/>
                <w:szCs w:val="20"/>
                <w:lang w:eastAsia="en-AU"/>
              </w:rPr>
            </w:pPr>
            <w:r w:rsidRPr="005176BD">
              <w:rPr>
                <w:rFonts w:cs="Arial"/>
                <w:sz w:val="20"/>
                <w:szCs w:val="20"/>
                <w:lang w:eastAsia="en-AU"/>
              </w:rPr>
              <w:t>Powers J, Ball J, Adamson L &amp; Dobson A.</w:t>
            </w:r>
          </w:p>
        </w:tc>
        <w:tc>
          <w:tcPr>
            <w:tcW w:w="617" w:type="dxa"/>
          </w:tcPr>
          <w:p w14:paraId="29BAC337" w14:textId="77777777" w:rsidR="00BC3825" w:rsidRPr="005176BD" w:rsidRDefault="00BC3825" w:rsidP="003B611A">
            <w:pPr>
              <w:rPr>
                <w:rFonts w:cs="Arial"/>
                <w:sz w:val="20"/>
                <w:szCs w:val="20"/>
                <w:lang w:eastAsia="en-AU"/>
              </w:rPr>
            </w:pPr>
            <w:r w:rsidRPr="005176BD">
              <w:rPr>
                <w:rFonts w:cs="Arial"/>
                <w:sz w:val="20"/>
                <w:szCs w:val="20"/>
                <w:lang w:eastAsia="en-AU"/>
              </w:rPr>
              <w:t>83</w:t>
            </w:r>
          </w:p>
        </w:tc>
      </w:tr>
    </w:tbl>
    <w:p w14:paraId="67F1E620" w14:textId="00FDE41F" w:rsidR="00084B2B" w:rsidRPr="00084B2B" w:rsidRDefault="00084B2B" w:rsidP="003B611A">
      <w:pPr>
        <w:pStyle w:val="Heading2"/>
        <w:ind w:left="578" w:hanging="578"/>
      </w:pPr>
      <w:bookmarkStart w:id="81" w:name="_Toc530561290"/>
      <w:r w:rsidRPr="00084B2B">
        <w:t xml:space="preserve">Non </w:t>
      </w:r>
      <w:r w:rsidR="005B689E">
        <w:t>c</w:t>
      </w:r>
      <w:r w:rsidRPr="00084B2B">
        <w:t>ommunicable diseases (previously chronic disease)</w:t>
      </w:r>
      <w:bookmarkEnd w:id="81"/>
    </w:p>
    <w:tbl>
      <w:tblPr>
        <w:tblStyle w:val="TableGrid1"/>
        <w:tblW w:w="13855" w:type="dxa"/>
        <w:tblLook w:val="04A0" w:firstRow="1" w:lastRow="0" w:firstColumn="1" w:lastColumn="0" w:noHBand="0" w:noVBand="1"/>
        <w:tblCaption w:val="Category: Non communicable diseases (previously chronic disease)"/>
      </w:tblPr>
      <w:tblGrid>
        <w:gridCol w:w="7907"/>
        <w:gridCol w:w="4611"/>
        <w:gridCol w:w="1337"/>
      </w:tblGrid>
      <w:tr w:rsidR="00084B2B" w:rsidRPr="00084B2B" w14:paraId="614FE8DE" w14:textId="77777777" w:rsidTr="0011030B">
        <w:trPr>
          <w:tblHeader/>
        </w:trPr>
        <w:tc>
          <w:tcPr>
            <w:tcW w:w="8337" w:type="dxa"/>
            <w:shd w:val="clear" w:color="auto" w:fill="F1E9F3"/>
          </w:tcPr>
          <w:p w14:paraId="4616527C"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901" w:type="dxa"/>
            <w:shd w:val="clear" w:color="auto" w:fill="F1E9F3"/>
          </w:tcPr>
          <w:p w14:paraId="6167385C"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617" w:type="dxa"/>
            <w:shd w:val="clear" w:color="auto" w:fill="F1E9F3"/>
          </w:tcPr>
          <w:p w14:paraId="4FEA0F0B" w14:textId="3C9FA4D7"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084B2B" w14:paraId="217DC556" w14:textId="77777777" w:rsidTr="0011030B">
        <w:tc>
          <w:tcPr>
            <w:tcW w:w="8337" w:type="dxa"/>
          </w:tcPr>
          <w:p w14:paraId="51A57E9D" w14:textId="5C2CE5A2" w:rsidR="00084B2B" w:rsidRPr="005176BD" w:rsidRDefault="007750D8" w:rsidP="003B611A">
            <w:pPr>
              <w:rPr>
                <w:rFonts w:cs="Arial"/>
                <w:sz w:val="20"/>
                <w:szCs w:val="20"/>
                <w:lang w:eastAsia="en-AU"/>
              </w:rPr>
            </w:pPr>
            <w:r w:rsidRPr="005176BD">
              <w:rPr>
                <w:rFonts w:cs="Arial"/>
                <w:sz w:val="20"/>
                <w:szCs w:val="20"/>
                <w:lang w:eastAsia="en-AU"/>
              </w:rPr>
              <w:t>Asthma Cycle of Care uptake among Australian older women with asthma. International Medicine Journal, 2016; 46(8): 990-991.</w:t>
            </w:r>
          </w:p>
        </w:tc>
        <w:tc>
          <w:tcPr>
            <w:tcW w:w="4901" w:type="dxa"/>
          </w:tcPr>
          <w:p w14:paraId="54F73170"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Eftekhari</w:t>
            </w:r>
            <w:proofErr w:type="spellEnd"/>
            <w:r w:rsidRPr="005176BD">
              <w:rPr>
                <w:rFonts w:cs="Arial"/>
                <w:sz w:val="20"/>
                <w:szCs w:val="20"/>
                <w:lang w:eastAsia="en-AU"/>
              </w:rPr>
              <w:t xml:space="preserve"> P, Forder P &amp; Byles J.</w:t>
            </w:r>
          </w:p>
        </w:tc>
        <w:tc>
          <w:tcPr>
            <w:tcW w:w="617" w:type="dxa"/>
          </w:tcPr>
          <w:p w14:paraId="2A307ED0"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4459A9E6" w14:textId="77777777" w:rsidTr="0011030B">
        <w:tc>
          <w:tcPr>
            <w:tcW w:w="8337" w:type="dxa"/>
            <w:tcBorders>
              <w:top w:val="single" w:sz="4" w:space="0" w:color="auto"/>
              <w:left w:val="single" w:sz="4" w:space="0" w:color="C0C0C0"/>
              <w:bottom w:val="single" w:sz="4" w:space="0" w:color="auto"/>
              <w:right w:val="single" w:sz="4" w:space="0" w:color="C0C0C0"/>
            </w:tcBorders>
            <w:shd w:val="clear" w:color="auto" w:fill="auto"/>
          </w:tcPr>
          <w:p w14:paraId="71082A90" w14:textId="5CE0BA61" w:rsidR="00084B2B" w:rsidRPr="005176BD" w:rsidRDefault="007750D8" w:rsidP="003B611A">
            <w:pPr>
              <w:rPr>
                <w:rFonts w:cs="Arial"/>
                <w:sz w:val="20"/>
                <w:szCs w:val="20"/>
                <w:lang w:eastAsia="en-AU"/>
              </w:rPr>
            </w:pPr>
            <w:r w:rsidRPr="005176BD">
              <w:rPr>
                <w:rFonts w:cs="Arial"/>
                <w:sz w:val="20"/>
                <w:szCs w:val="20"/>
                <w:lang w:eastAsia="en-AU"/>
              </w:rPr>
              <w:t>New-onset diabetes after statin exposure in elderly women: The Australian Longitudinal Study on Women’s Health. Drugs and Ageing, 2017; 34(3): 203-209.</w:t>
            </w:r>
          </w:p>
        </w:tc>
        <w:tc>
          <w:tcPr>
            <w:tcW w:w="4901" w:type="dxa"/>
          </w:tcPr>
          <w:p w14:paraId="6155CA9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Jones M, </w:t>
            </w:r>
            <w:proofErr w:type="spellStart"/>
            <w:r w:rsidRPr="005176BD">
              <w:rPr>
                <w:rFonts w:cs="Arial"/>
                <w:sz w:val="20"/>
                <w:szCs w:val="20"/>
                <w:lang w:eastAsia="en-AU"/>
              </w:rPr>
              <w:t>Tett</w:t>
            </w:r>
            <w:proofErr w:type="spellEnd"/>
            <w:r w:rsidRPr="005176BD">
              <w:rPr>
                <w:rFonts w:cs="Arial"/>
                <w:sz w:val="20"/>
                <w:szCs w:val="20"/>
                <w:lang w:eastAsia="en-AU"/>
              </w:rPr>
              <w:t xml:space="preserve"> S, Peeters GMEE, Mishra G &amp; Dobson A.</w:t>
            </w:r>
          </w:p>
        </w:tc>
        <w:tc>
          <w:tcPr>
            <w:tcW w:w="617" w:type="dxa"/>
          </w:tcPr>
          <w:p w14:paraId="334A4C30" w14:textId="77777777" w:rsidR="00084B2B" w:rsidRPr="005176BD" w:rsidRDefault="00084B2B" w:rsidP="003B611A">
            <w:pPr>
              <w:rPr>
                <w:rFonts w:cs="Arial"/>
                <w:sz w:val="20"/>
                <w:szCs w:val="20"/>
                <w:lang w:eastAsia="en-AU"/>
              </w:rPr>
            </w:pPr>
            <w:r w:rsidRPr="005176BD">
              <w:rPr>
                <w:rFonts w:cs="Arial"/>
                <w:sz w:val="20"/>
                <w:szCs w:val="20"/>
                <w:lang w:eastAsia="en-AU"/>
              </w:rPr>
              <w:t>13</w:t>
            </w:r>
          </w:p>
        </w:tc>
      </w:tr>
      <w:tr w:rsidR="00084B2B" w:rsidRPr="00084B2B" w14:paraId="1C30E2A8" w14:textId="77777777" w:rsidTr="0011030B">
        <w:tc>
          <w:tcPr>
            <w:tcW w:w="8337" w:type="dxa"/>
            <w:tcBorders>
              <w:top w:val="single" w:sz="4" w:space="0" w:color="auto"/>
              <w:left w:val="single" w:sz="4" w:space="0" w:color="C0C0C0"/>
              <w:bottom w:val="single" w:sz="4" w:space="0" w:color="auto"/>
              <w:right w:val="single" w:sz="4" w:space="0" w:color="C0C0C0"/>
            </w:tcBorders>
            <w:shd w:val="clear" w:color="auto" w:fill="auto"/>
          </w:tcPr>
          <w:p w14:paraId="3ED7BBF0" w14:textId="74936903" w:rsidR="00084B2B" w:rsidRPr="005176BD" w:rsidRDefault="007750D8" w:rsidP="003B611A">
            <w:pPr>
              <w:rPr>
                <w:rFonts w:cs="Arial"/>
                <w:sz w:val="20"/>
                <w:szCs w:val="20"/>
                <w:lang w:eastAsia="en-AU"/>
              </w:rPr>
            </w:pPr>
            <w:r w:rsidRPr="005176BD">
              <w:rPr>
                <w:rFonts w:cs="Arial"/>
                <w:sz w:val="20"/>
                <w:szCs w:val="20"/>
                <w:lang w:eastAsia="en-AU"/>
              </w:rPr>
              <w:t>First incident hospitalisation for Australian women aged 70 and beyond: A 10 year examination using competing risks. Archives of Gerontology and Geriatrics, 2016; 64: 29-37.</w:t>
            </w:r>
          </w:p>
        </w:tc>
        <w:tc>
          <w:tcPr>
            <w:tcW w:w="4901" w:type="dxa"/>
          </w:tcPr>
          <w:p w14:paraId="7551C8CA"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Harris ML, Dolja-Gore X, </w:t>
            </w:r>
            <w:proofErr w:type="spellStart"/>
            <w:r w:rsidRPr="005176BD">
              <w:rPr>
                <w:rFonts w:cs="Arial"/>
                <w:sz w:val="20"/>
                <w:szCs w:val="20"/>
                <w:lang w:eastAsia="en-AU"/>
              </w:rPr>
              <w:t>Kendig</w:t>
            </w:r>
            <w:proofErr w:type="spellEnd"/>
            <w:r w:rsidRPr="005176BD">
              <w:rPr>
                <w:rFonts w:cs="Arial"/>
                <w:sz w:val="20"/>
                <w:szCs w:val="20"/>
                <w:lang w:eastAsia="en-AU"/>
              </w:rPr>
              <w:t xml:space="preserve"> H &amp; Byles JE.</w:t>
            </w:r>
          </w:p>
        </w:tc>
        <w:tc>
          <w:tcPr>
            <w:tcW w:w="617" w:type="dxa"/>
          </w:tcPr>
          <w:p w14:paraId="5D90EF15"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2B94225F" w14:textId="77777777" w:rsidTr="0011030B">
        <w:tc>
          <w:tcPr>
            <w:tcW w:w="8337" w:type="dxa"/>
          </w:tcPr>
          <w:p w14:paraId="1A73FB55" w14:textId="357ADDA8" w:rsidR="00084B2B" w:rsidRPr="005176BD" w:rsidRDefault="007750D8" w:rsidP="003B611A">
            <w:pPr>
              <w:rPr>
                <w:rFonts w:cs="Arial"/>
                <w:sz w:val="20"/>
                <w:szCs w:val="20"/>
                <w:lang w:eastAsia="en-AU"/>
              </w:rPr>
            </w:pPr>
            <w:r w:rsidRPr="005176BD">
              <w:rPr>
                <w:rFonts w:cs="Arial"/>
                <w:sz w:val="20"/>
                <w:szCs w:val="20"/>
                <w:lang w:eastAsia="en-AU"/>
              </w:rPr>
              <w:lastRenderedPageBreak/>
              <w:t>Discordance between self-reported arthritis and musculoskeletal signs and symptoms in older women. BMC Musculoskeletal Disorders Journal, 2016; 17(494): 1-9.</w:t>
            </w:r>
          </w:p>
        </w:tc>
        <w:tc>
          <w:tcPr>
            <w:tcW w:w="4901" w:type="dxa"/>
          </w:tcPr>
          <w:p w14:paraId="6E7DBD79" w14:textId="77777777" w:rsidR="00084B2B" w:rsidRPr="005176BD" w:rsidRDefault="00084B2B" w:rsidP="003B611A">
            <w:pPr>
              <w:rPr>
                <w:rFonts w:cs="Arial"/>
                <w:sz w:val="20"/>
                <w:szCs w:val="20"/>
                <w:lang w:eastAsia="en-AU"/>
              </w:rPr>
            </w:pPr>
            <w:r w:rsidRPr="005176BD">
              <w:rPr>
                <w:rFonts w:cs="Arial"/>
                <w:sz w:val="20"/>
                <w:szCs w:val="20"/>
                <w:lang w:eastAsia="en-AU"/>
              </w:rPr>
              <w:t>Lo TKT, Parkinson L, Cunich M &amp; Byles J.</w:t>
            </w:r>
          </w:p>
        </w:tc>
        <w:tc>
          <w:tcPr>
            <w:tcW w:w="617" w:type="dxa"/>
          </w:tcPr>
          <w:p w14:paraId="68DAC3BD"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1C712619" w14:textId="77777777" w:rsidTr="0011030B">
        <w:tc>
          <w:tcPr>
            <w:tcW w:w="8337" w:type="dxa"/>
          </w:tcPr>
          <w:p w14:paraId="6CF761E3" w14:textId="64F84684" w:rsidR="00084B2B" w:rsidRPr="005176BD" w:rsidRDefault="007750D8" w:rsidP="003B611A">
            <w:pPr>
              <w:rPr>
                <w:rFonts w:cs="Arial"/>
                <w:sz w:val="20"/>
                <w:szCs w:val="20"/>
                <w:lang w:eastAsia="en-AU"/>
              </w:rPr>
            </w:pPr>
            <w:r w:rsidRPr="005176BD">
              <w:rPr>
                <w:rFonts w:cs="Arial"/>
                <w:sz w:val="20"/>
                <w:szCs w:val="20"/>
                <w:lang w:eastAsia="en-AU"/>
              </w:rPr>
              <w:t>Urinary incontinence and social function in older Australian women. Journal of the American Geriatrics Society, 2016; 64(8): 1646-1650.</w:t>
            </w:r>
          </w:p>
        </w:tc>
        <w:tc>
          <w:tcPr>
            <w:tcW w:w="4901" w:type="dxa"/>
          </w:tcPr>
          <w:p w14:paraId="69733753" w14:textId="77777777" w:rsidR="00084B2B" w:rsidRPr="005176BD" w:rsidRDefault="00084B2B" w:rsidP="003B611A">
            <w:pPr>
              <w:rPr>
                <w:rFonts w:cs="Arial"/>
                <w:sz w:val="20"/>
                <w:szCs w:val="20"/>
                <w:lang w:eastAsia="en-AU"/>
              </w:rPr>
            </w:pPr>
            <w:r w:rsidRPr="005176BD">
              <w:rPr>
                <w:rFonts w:cs="Arial"/>
                <w:sz w:val="20"/>
                <w:szCs w:val="20"/>
                <w:lang w:eastAsia="en-AU"/>
              </w:rPr>
              <w:t>Vo K, Forder P &amp; Byles J.</w:t>
            </w:r>
          </w:p>
        </w:tc>
        <w:tc>
          <w:tcPr>
            <w:tcW w:w="617" w:type="dxa"/>
          </w:tcPr>
          <w:p w14:paraId="041E60B8" w14:textId="77777777" w:rsidR="00084B2B" w:rsidRPr="005176BD" w:rsidRDefault="00084B2B" w:rsidP="003B611A">
            <w:pPr>
              <w:rPr>
                <w:rFonts w:cs="Arial"/>
                <w:sz w:val="20"/>
                <w:szCs w:val="20"/>
                <w:lang w:eastAsia="en-AU"/>
              </w:rPr>
            </w:pPr>
            <w:r w:rsidRPr="005176BD">
              <w:rPr>
                <w:rFonts w:cs="Arial"/>
                <w:sz w:val="20"/>
                <w:szCs w:val="20"/>
                <w:lang w:eastAsia="en-AU"/>
              </w:rPr>
              <w:t>0</w:t>
            </w:r>
          </w:p>
        </w:tc>
      </w:tr>
      <w:tr w:rsidR="00084B2B" w:rsidRPr="00084B2B" w14:paraId="6E7D0F89" w14:textId="77777777" w:rsidTr="0011030B">
        <w:tc>
          <w:tcPr>
            <w:tcW w:w="8337" w:type="dxa"/>
          </w:tcPr>
          <w:p w14:paraId="3BCF49D9" w14:textId="35BCD9C4" w:rsidR="00084B2B" w:rsidRPr="005176BD" w:rsidRDefault="007750D8" w:rsidP="003B611A">
            <w:pPr>
              <w:rPr>
                <w:rFonts w:cs="Arial"/>
                <w:sz w:val="20"/>
                <w:szCs w:val="20"/>
                <w:lang w:eastAsia="en-AU"/>
              </w:rPr>
            </w:pPr>
            <w:r w:rsidRPr="005176BD">
              <w:rPr>
                <w:rFonts w:cs="Arial"/>
                <w:sz w:val="20"/>
                <w:szCs w:val="20"/>
                <w:lang w:eastAsia="en-AU"/>
              </w:rPr>
              <w:t>Impact of asthma on mortality in older women: An Australian cohort study of 10,413 women. Respiratory Medicine, 2016; 119: 102-108.</w:t>
            </w:r>
          </w:p>
        </w:tc>
        <w:tc>
          <w:tcPr>
            <w:tcW w:w="4901" w:type="dxa"/>
          </w:tcPr>
          <w:p w14:paraId="1A50EF96"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Eftekhari</w:t>
            </w:r>
            <w:proofErr w:type="spellEnd"/>
            <w:r w:rsidRPr="005176BD">
              <w:rPr>
                <w:rFonts w:cs="Arial"/>
                <w:sz w:val="20"/>
                <w:szCs w:val="20"/>
                <w:lang w:eastAsia="en-AU"/>
              </w:rPr>
              <w:t xml:space="preserve"> P, Forder PM, Majeed T&amp; Byles JE.</w:t>
            </w:r>
          </w:p>
        </w:tc>
        <w:tc>
          <w:tcPr>
            <w:tcW w:w="617" w:type="dxa"/>
          </w:tcPr>
          <w:p w14:paraId="2E041A98"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6608D862" w14:textId="77777777" w:rsidTr="0011030B">
        <w:tc>
          <w:tcPr>
            <w:tcW w:w="8337" w:type="dxa"/>
          </w:tcPr>
          <w:p w14:paraId="7CDDA57D" w14:textId="62BC4B41" w:rsidR="00084B2B" w:rsidRPr="005176BD" w:rsidRDefault="00FB70EC" w:rsidP="003B611A">
            <w:pPr>
              <w:rPr>
                <w:rFonts w:cs="Arial"/>
                <w:sz w:val="20"/>
                <w:szCs w:val="20"/>
                <w:lang w:eastAsia="en-AU"/>
              </w:rPr>
            </w:pPr>
            <w:r w:rsidRPr="005176BD">
              <w:rPr>
                <w:rFonts w:cs="Arial"/>
                <w:sz w:val="20"/>
                <w:szCs w:val="20"/>
                <w:lang w:eastAsia="en-AU"/>
              </w:rPr>
              <w:t>Improvements in physical function and pain sustained for up to 10 years after knee or hip arthroplasty irrespective of mental health status before surgery:</w:t>
            </w:r>
            <w:r w:rsidR="00012F17" w:rsidRPr="005176BD">
              <w:rPr>
                <w:rFonts w:cs="Arial"/>
                <w:sz w:val="20"/>
                <w:szCs w:val="20"/>
                <w:lang w:eastAsia="en-AU"/>
              </w:rPr>
              <w:t xml:space="preserve"> </w:t>
            </w:r>
            <w:r w:rsidRPr="005176BD">
              <w:rPr>
                <w:rFonts w:cs="Arial"/>
                <w:sz w:val="20"/>
                <w:szCs w:val="20"/>
                <w:lang w:eastAsia="en-AU"/>
              </w:rPr>
              <w:t xml:space="preserve">9,737 middle-aged and 9,292 older women from the Australian Longitudinal Study on Women’s Health. </w:t>
            </w:r>
            <w:proofErr w:type="spellStart"/>
            <w:r w:rsidRPr="005176BD">
              <w:rPr>
                <w:rFonts w:cs="Arial"/>
                <w:sz w:val="20"/>
                <w:szCs w:val="20"/>
                <w:lang w:eastAsia="en-AU"/>
              </w:rPr>
              <w:t>Acta</w:t>
            </w:r>
            <w:proofErr w:type="spellEnd"/>
            <w:r w:rsidRPr="005176BD">
              <w:rPr>
                <w:rFonts w:cs="Arial"/>
                <w:sz w:val="20"/>
                <w:szCs w:val="20"/>
                <w:lang w:eastAsia="en-AU"/>
              </w:rPr>
              <w:t xml:space="preserve"> </w:t>
            </w:r>
            <w:proofErr w:type="spellStart"/>
            <w:r w:rsidRPr="005176BD">
              <w:rPr>
                <w:rFonts w:cs="Arial"/>
                <w:sz w:val="20"/>
                <w:szCs w:val="20"/>
                <w:lang w:eastAsia="en-AU"/>
              </w:rPr>
              <w:t>Orthopaedica</w:t>
            </w:r>
            <w:proofErr w:type="spellEnd"/>
            <w:r w:rsidRPr="005176BD">
              <w:rPr>
                <w:rFonts w:cs="Arial"/>
                <w:sz w:val="20"/>
                <w:szCs w:val="20"/>
                <w:lang w:eastAsia="en-AU"/>
              </w:rPr>
              <w:t>, 2017; 8(2): 158-165.</w:t>
            </w:r>
          </w:p>
        </w:tc>
        <w:tc>
          <w:tcPr>
            <w:tcW w:w="4901" w:type="dxa"/>
          </w:tcPr>
          <w:p w14:paraId="5E22A4D2" w14:textId="77777777" w:rsidR="00084B2B" w:rsidRPr="005176BD" w:rsidRDefault="00084B2B" w:rsidP="003B611A">
            <w:pPr>
              <w:rPr>
                <w:rFonts w:cs="Arial"/>
                <w:sz w:val="20"/>
                <w:szCs w:val="20"/>
                <w:lang w:eastAsia="en-AU"/>
              </w:rPr>
            </w:pPr>
            <w:r w:rsidRPr="005176BD">
              <w:rPr>
                <w:rFonts w:cs="Arial"/>
                <w:sz w:val="20"/>
                <w:szCs w:val="20"/>
                <w:lang w:eastAsia="en-AU"/>
              </w:rPr>
              <w:t>Peeters G, Rainbird S, Lorimer M, Dobson A, Mishra G &amp; Graves S.</w:t>
            </w:r>
          </w:p>
        </w:tc>
        <w:tc>
          <w:tcPr>
            <w:tcW w:w="617" w:type="dxa"/>
          </w:tcPr>
          <w:p w14:paraId="7219E23B" w14:textId="77777777" w:rsidR="00084B2B" w:rsidRPr="005176BD" w:rsidRDefault="00084B2B" w:rsidP="003B611A">
            <w:pPr>
              <w:rPr>
                <w:rFonts w:cs="Arial"/>
                <w:sz w:val="20"/>
                <w:szCs w:val="20"/>
                <w:lang w:eastAsia="en-AU"/>
              </w:rPr>
            </w:pPr>
            <w:r w:rsidRPr="005176BD">
              <w:rPr>
                <w:rFonts w:cs="Arial"/>
                <w:sz w:val="20"/>
                <w:szCs w:val="20"/>
                <w:lang w:eastAsia="en-AU"/>
              </w:rPr>
              <w:t>5</w:t>
            </w:r>
          </w:p>
        </w:tc>
      </w:tr>
      <w:tr w:rsidR="00084B2B" w:rsidRPr="00084B2B" w14:paraId="219D0692" w14:textId="77777777" w:rsidTr="0011030B">
        <w:tc>
          <w:tcPr>
            <w:tcW w:w="8337" w:type="dxa"/>
          </w:tcPr>
          <w:p w14:paraId="7C62179E" w14:textId="1E25EC48" w:rsidR="00084B2B" w:rsidRPr="005176BD" w:rsidRDefault="007750D8" w:rsidP="003B611A">
            <w:pPr>
              <w:rPr>
                <w:rFonts w:cs="Arial"/>
                <w:sz w:val="20"/>
                <w:szCs w:val="20"/>
                <w:lang w:eastAsia="en-AU"/>
              </w:rPr>
            </w:pPr>
            <w:r w:rsidRPr="005176BD">
              <w:rPr>
                <w:rFonts w:cs="Arial"/>
                <w:sz w:val="20"/>
                <w:szCs w:val="20"/>
                <w:lang w:eastAsia="en-AU"/>
              </w:rPr>
              <w:t>Walking up to one hour per week maintains mobility as older women age: Findings From an Australian Longitudinal Study. Journal of Aging and Physical Activity, 2017; 25(2): 269-276.</w:t>
            </w:r>
          </w:p>
        </w:tc>
        <w:tc>
          <w:tcPr>
            <w:tcW w:w="4901" w:type="dxa"/>
          </w:tcPr>
          <w:p w14:paraId="5A30F771" w14:textId="77777777" w:rsidR="00084B2B" w:rsidRPr="005176BD" w:rsidRDefault="00084B2B" w:rsidP="003B611A">
            <w:pPr>
              <w:rPr>
                <w:rFonts w:cs="Arial"/>
                <w:sz w:val="20"/>
                <w:szCs w:val="20"/>
                <w:lang w:eastAsia="en-AU"/>
              </w:rPr>
            </w:pPr>
            <w:r w:rsidRPr="005176BD">
              <w:rPr>
                <w:rFonts w:cs="Arial"/>
                <w:sz w:val="20"/>
                <w:szCs w:val="20"/>
                <w:lang w:eastAsia="en-AU"/>
              </w:rPr>
              <w:t xml:space="preserve">Field B, Cochrane T, Davey R &amp; </w:t>
            </w:r>
            <w:proofErr w:type="spellStart"/>
            <w:r w:rsidRPr="005176BD">
              <w:rPr>
                <w:rFonts w:cs="Arial"/>
                <w:sz w:val="20"/>
                <w:szCs w:val="20"/>
                <w:lang w:eastAsia="en-AU"/>
              </w:rPr>
              <w:t>Kinfu</w:t>
            </w:r>
            <w:proofErr w:type="spellEnd"/>
            <w:r w:rsidRPr="005176BD">
              <w:rPr>
                <w:rFonts w:cs="Arial"/>
                <w:sz w:val="20"/>
                <w:szCs w:val="20"/>
                <w:lang w:eastAsia="en-AU"/>
              </w:rPr>
              <w:t xml:space="preserve"> Y.</w:t>
            </w:r>
          </w:p>
        </w:tc>
        <w:tc>
          <w:tcPr>
            <w:tcW w:w="617" w:type="dxa"/>
          </w:tcPr>
          <w:p w14:paraId="23918B62" w14:textId="77777777" w:rsidR="00084B2B" w:rsidRPr="005176BD" w:rsidRDefault="00084B2B" w:rsidP="003B611A">
            <w:pPr>
              <w:rPr>
                <w:rFonts w:cs="Arial"/>
                <w:sz w:val="20"/>
                <w:szCs w:val="20"/>
                <w:lang w:eastAsia="en-AU"/>
              </w:rPr>
            </w:pPr>
            <w:r w:rsidRPr="005176BD">
              <w:rPr>
                <w:rFonts w:cs="Arial"/>
                <w:sz w:val="20"/>
                <w:szCs w:val="20"/>
                <w:lang w:eastAsia="en-AU"/>
              </w:rPr>
              <w:t>0</w:t>
            </w:r>
          </w:p>
        </w:tc>
      </w:tr>
      <w:tr w:rsidR="00084B2B" w:rsidRPr="00084B2B" w14:paraId="78D8A1B9" w14:textId="77777777" w:rsidTr="0011030B">
        <w:tc>
          <w:tcPr>
            <w:tcW w:w="8337" w:type="dxa"/>
          </w:tcPr>
          <w:p w14:paraId="2011CBF5" w14:textId="63B1B1C8" w:rsidR="00084B2B" w:rsidRPr="005176BD" w:rsidRDefault="00BC3825" w:rsidP="003B611A">
            <w:pPr>
              <w:rPr>
                <w:rFonts w:cs="Arial"/>
                <w:sz w:val="20"/>
                <w:szCs w:val="20"/>
                <w:lang w:eastAsia="en-AU"/>
              </w:rPr>
            </w:pPr>
            <w:r w:rsidRPr="005176BD">
              <w:rPr>
                <w:rFonts w:cs="Arial"/>
                <w:sz w:val="20"/>
                <w:szCs w:val="20"/>
                <w:lang w:eastAsia="en-AU"/>
              </w:rPr>
              <w:t>The metabolic syndrome and cancer: Is the metabolic syndrome useful for predicting cancer risk above and beyond its individual components? Diabetes and Metabolism, 2015; 41(6): 463-469.</w:t>
            </w:r>
          </w:p>
        </w:tc>
        <w:tc>
          <w:tcPr>
            <w:tcW w:w="4901" w:type="dxa"/>
          </w:tcPr>
          <w:p w14:paraId="65CA4354" w14:textId="77777777" w:rsidR="00084B2B" w:rsidRPr="005176BD" w:rsidRDefault="00084B2B" w:rsidP="003B611A">
            <w:pPr>
              <w:rPr>
                <w:rFonts w:cs="Arial"/>
                <w:sz w:val="20"/>
                <w:szCs w:val="20"/>
                <w:lang w:eastAsia="en-AU"/>
              </w:rPr>
            </w:pPr>
            <w:r w:rsidRPr="005176BD">
              <w:rPr>
                <w:rFonts w:cs="Arial"/>
                <w:sz w:val="20"/>
                <w:szCs w:val="20"/>
                <w:lang w:eastAsia="en-AU"/>
              </w:rPr>
              <w:t xml:space="preserve">Harding JL, </w:t>
            </w:r>
            <w:proofErr w:type="spellStart"/>
            <w:r w:rsidRPr="005176BD">
              <w:rPr>
                <w:rFonts w:cs="Arial"/>
                <w:sz w:val="20"/>
                <w:szCs w:val="20"/>
                <w:lang w:eastAsia="en-AU"/>
              </w:rPr>
              <w:t>Sooriyakumaran</w:t>
            </w:r>
            <w:proofErr w:type="spellEnd"/>
            <w:r w:rsidRPr="005176BD">
              <w:rPr>
                <w:rFonts w:cs="Arial"/>
                <w:sz w:val="20"/>
                <w:szCs w:val="20"/>
                <w:lang w:eastAsia="en-AU"/>
              </w:rPr>
              <w:t xml:space="preserve"> M, Anstey K, Adams R, </w:t>
            </w:r>
            <w:proofErr w:type="spellStart"/>
            <w:r w:rsidRPr="005176BD">
              <w:rPr>
                <w:rFonts w:cs="Arial"/>
                <w:sz w:val="20"/>
                <w:szCs w:val="20"/>
                <w:lang w:eastAsia="en-AU"/>
              </w:rPr>
              <w:t>Balkau</w:t>
            </w:r>
            <w:proofErr w:type="spellEnd"/>
            <w:r w:rsidRPr="005176BD">
              <w:rPr>
                <w:rFonts w:cs="Arial"/>
                <w:sz w:val="20"/>
                <w:szCs w:val="20"/>
                <w:lang w:eastAsia="en-AU"/>
              </w:rPr>
              <w:t xml:space="preserve"> B, Brennan-Olsen SL, et al.</w:t>
            </w:r>
          </w:p>
        </w:tc>
        <w:tc>
          <w:tcPr>
            <w:tcW w:w="617" w:type="dxa"/>
          </w:tcPr>
          <w:p w14:paraId="1B85D8BE" w14:textId="77777777" w:rsidR="00084B2B" w:rsidRPr="005176BD" w:rsidRDefault="00084B2B" w:rsidP="003B611A">
            <w:pPr>
              <w:rPr>
                <w:rFonts w:cs="Arial"/>
                <w:sz w:val="20"/>
                <w:szCs w:val="20"/>
                <w:lang w:eastAsia="en-AU"/>
              </w:rPr>
            </w:pPr>
            <w:r w:rsidRPr="005176BD">
              <w:rPr>
                <w:rFonts w:cs="Arial"/>
                <w:sz w:val="20"/>
                <w:szCs w:val="20"/>
                <w:lang w:eastAsia="en-AU"/>
              </w:rPr>
              <w:t>14</w:t>
            </w:r>
          </w:p>
        </w:tc>
      </w:tr>
      <w:tr w:rsidR="00084B2B" w:rsidRPr="00084B2B" w14:paraId="3C696470" w14:textId="77777777" w:rsidTr="0011030B">
        <w:tc>
          <w:tcPr>
            <w:tcW w:w="8337" w:type="dxa"/>
          </w:tcPr>
          <w:p w14:paraId="29C138F5" w14:textId="70EB19EF" w:rsidR="00084B2B" w:rsidRPr="005176BD" w:rsidRDefault="007750D8" w:rsidP="003B611A">
            <w:pPr>
              <w:rPr>
                <w:rFonts w:cs="Arial"/>
                <w:sz w:val="20"/>
                <w:szCs w:val="20"/>
                <w:lang w:eastAsia="en-AU"/>
              </w:rPr>
            </w:pPr>
            <w:r w:rsidRPr="005176BD">
              <w:rPr>
                <w:rFonts w:cs="Arial"/>
                <w:sz w:val="20"/>
                <w:szCs w:val="20"/>
                <w:lang w:eastAsia="en-AU"/>
              </w:rPr>
              <w:t>Associations of guideline recommended medications for acute coronary syndromes with fall-related hospitalizations and cardiovascular events in older women with ischemic heart disease. Journals of Gerontology Series A: Medical Sciences, 2017; 72(2): 259-265.</w:t>
            </w:r>
          </w:p>
        </w:tc>
        <w:tc>
          <w:tcPr>
            <w:tcW w:w="4901" w:type="dxa"/>
          </w:tcPr>
          <w:p w14:paraId="74B2E77E"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w:t>
            </w:r>
            <w:proofErr w:type="spellStart"/>
            <w:r w:rsidRPr="005176BD">
              <w:rPr>
                <w:rFonts w:cs="Arial"/>
                <w:sz w:val="20"/>
                <w:szCs w:val="20"/>
                <w:lang w:eastAsia="en-AU"/>
              </w:rPr>
              <w:t>Hollingworth</w:t>
            </w:r>
            <w:proofErr w:type="spellEnd"/>
            <w:r w:rsidRPr="005176BD">
              <w:rPr>
                <w:rFonts w:cs="Arial"/>
                <w:sz w:val="20"/>
                <w:szCs w:val="20"/>
                <w:lang w:eastAsia="en-AU"/>
              </w:rPr>
              <w:t xml:space="preserve"> S, </w:t>
            </w:r>
            <w:proofErr w:type="spellStart"/>
            <w:r w:rsidRPr="005176BD">
              <w:rPr>
                <w:rFonts w:cs="Arial"/>
                <w:sz w:val="20"/>
                <w:szCs w:val="20"/>
                <w:lang w:eastAsia="en-AU"/>
              </w:rPr>
              <w:t>Gnjidic</w:t>
            </w:r>
            <w:proofErr w:type="spellEnd"/>
            <w:r w:rsidRPr="005176BD">
              <w:rPr>
                <w:rFonts w:cs="Arial"/>
                <w:sz w:val="20"/>
                <w:szCs w:val="20"/>
                <w:lang w:eastAsia="en-AU"/>
              </w:rPr>
              <w:t xml:space="preserve"> D, </w:t>
            </w:r>
            <w:proofErr w:type="spellStart"/>
            <w:r w:rsidRPr="005176BD">
              <w:rPr>
                <w:rFonts w:cs="Arial"/>
                <w:sz w:val="20"/>
                <w:szCs w:val="20"/>
                <w:lang w:eastAsia="en-AU"/>
              </w:rPr>
              <w:t>Hilmer</w:t>
            </w:r>
            <w:proofErr w:type="spellEnd"/>
            <w:r w:rsidRPr="005176BD">
              <w:rPr>
                <w:rFonts w:cs="Arial"/>
                <w:sz w:val="20"/>
                <w:szCs w:val="20"/>
                <w:lang w:eastAsia="en-AU"/>
              </w:rPr>
              <w:t xml:space="preserve"> S, Dobson A &amp; Hubbard R.</w:t>
            </w:r>
          </w:p>
        </w:tc>
        <w:tc>
          <w:tcPr>
            <w:tcW w:w="617" w:type="dxa"/>
          </w:tcPr>
          <w:p w14:paraId="0E67BA79"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084B2B" w:rsidRPr="00084B2B" w14:paraId="5F3DC28F" w14:textId="77777777" w:rsidTr="0011030B">
        <w:tc>
          <w:tcPr>
            <w:tcW w:w="8337" w:type="dxa"/>
          </w:tcPr>
          <w:p w14:paraId="323EE42C" w14:textId="44BE0637" w:rsidR="00084B2B" w:rsidRPr="005176BD" w:rsidRDefault="00084B2B" w:rsidP="003B611A">
            <w:pPr>
              <w:rPr>
                <w:rFonts w:cs="Arial"/>
                <w:sz w:val="20"/>
                <w:szCs w:val="20"/>
                <w:lang w:eastAsia="en-AU"/>
              </w:rPr>
            </w:pPr>
            <w:r w:rsidRPr="005176BD">
              <w:rPr>
                <w:rFonts w:cs="Arial"/>
                <w:sz w:val="20"/>
                <w:szCs w:val="20"/>
                <w:lang w:eastAsia="en-AU"/>
              </w:rPr>
              <w:t>Stroke, physical function, and death over a 15-year period in older Australian women. Stroke, 2016</w:t>
            </w:r>
            <w:r w:rsidR="007750D8" w:rsidRPr="005176BD">
              <w:rPr>
                <w:rFonts w:cs="Arial"/>
                <w:sz w:val="20"/>
                <w:szCs w:val="20"/>
                <w:lang w:eastAsia="en-AU"/>
              </w:rPr>
              <w:t xml:space="preserve">; </w:t>
            </w:r>
            <w:r w:rsidRPr="005176BD">
              <w:rPr>
                <w:rFonts w:cs="Arial"/>
                <w:sz w:val="20"/>
                <w:szCs w:val="20"/>
                <w:lang w:eastAsia="en-AU"/>
              </w:rPr>
              <w:t>47(4)</w:t>
            </w:r>
            <w:r w:rsidR="007750D8" w:rsidRPr="005176BD">
              <w:rPr>
                <w:rFonts w:cs="Arial"/>
                <w:sz w:val="20"/>
                <w:szCs w:val="20"/>
                <w:lang w:eastAsia="en-AU"/>
              </w:rPr>
              <w:t xml:space="preserve">: </w:t>
            </w:r>
            <w:r w:rsidRPr="005176BD">
              <w:rPr>
                <w:rFonts w:cs="Arial"/>
                <w:sz w:val="20"/>
                <w:szCs w:val="20"/>
                <w:lang w:eastAsia="en-AU"/>
              </w:rPr>
              <w:t xml:space="preserve">1060-1067. </w:t>
            </w:r>
          </w:p>
        </w:tc>
        <w:tc>
          <w:tcPr>
            <w:tcW w:w="4901" w:type="dxa"/>
          </w:tcPr>
          <w:p w14:paraId="31C42A67" w14:textId="77777777" w:rsidR="00084B2B" w:rsidRPr="005176BD" w:rsidRDefault="00084B2B" w:rsidP="003B611A">
            <w:pPr>
              <w:rPr>
                <w:rFonts w:cs="Arial"/>
                <w:sz w:val="20"/>
                <w:szCs w:val="20"/>
                <w:lang w:eastAsia="en-AU"/>
              </w:rPr>
            </w:pPr>
            <w:r w:rsidRPr="005176BD">
              <w:rPr>
                <w:rFonts w:cs="Arial"/>
                <w:sz w:val="20"/>
                <w:szCs w:val="20"/>
                <w:lang w:eastAsia="en-AU"/>
              </w:rPr>
              <w:t>Hubbard I, Vo K, Forder P &amp; Byles J.</w:t>
            </w:r>
          </w:p>
        </w:tc>
        <w:tc>
          <w:tcPr>
            <w:tcW w:w="617" w:type="dxa"/>
          </w:tcPr>
          <w:p w14:paraId="4D9B70A8"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73AD9151" w14:textId="77777777" w:rsidTr="0011030B">
        <w:tc>
          <w:tcPr>
            <w:tcW w:w="8337" w:type="dxa"/>
          </w:tcPr>
          <w:p w14:paraId="5F5DC682" w14:textId="46F36363" w:rsidR="00084B2B" w:rsidRPr="005176BD" w:rsidRDefault="0001154E" w:rsidP="003B611A">
            <w:pPr>
              <w:rPr>
                <w:rFonts w:cs="Arial"/>
                <w:sz w:val="20"/>
                <w:szCs w:val="20"/>
                <w:lang w:eastAsia="en-AU"/>
              </w:rPr>
            </w:pPr>
            <w:r w:rsidRPr="005176BD">
              <w:rPr>
                <w:rFonts w:cs="Arial"/>
                <w:sz w:val="20"/>
                <w:szCs w:val="20"/>
                <w:lang w:eastAsia="en-AU"/>
              </w:rPr>
              <w:t>The prevalence and cross-sectional associations of neuropathic-like pain among older, community-dwelling women with arthritis. Pain Medicine, 2016; 17(7): 1308-1316.</w:t>
            </w:r>
          </w:p>
        </w:tc>
        <w:tc>
          <w:tcPr>
            <w:tcW w:w="4901" w:type="dxa"/>
          </w:tcPr>
          <w:p w14:paraId="2B954BE9" w14:textId="77777777" w:rsidR="00084B2B" w:rsidRPr="005176BD" w:rsidRDefault="00084B2B" w:rsidP="003B611A">
            <w:pPr>
              <w:rPr>
                <w:rFonts w:cs="Arial"/>
                <w:sz w:val="20"/>
                <w:szCs w:val="20"/>
                <w:lang w:eastAsia="en-AU"/>
              </w:rPr>
            </w:pPr>
            <w:r w:rsidRPr="005176BD">
              <w:rPr>
                <w:rFonts w:cs="Arial"/>
                <w:sz w:val="20"/>
                <w:szCs w:val="20"/>
                <w:lang w:eastAsia="en-AU"/>
              </w:rPr>
              <w:t>de Luca K, Parkinson L, Byles J, Lo TKT, Pollard H &amp; Blyth F.</w:t>
            </w:r>
          </w:p>
        </w:tc>
        <w:tc>
          <w:tcPr>
            <w:tcW w:w="617" w:type="dxa"/>
          </w:tcPr>
          <w:p w14:paraId="198DE597"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2FD6CAEA" w14:textId="77777777" w:rsidTr="0011030B">
        <w:tc>
          <w:tcPr>
            <w:tcW w:w="8337" w:type="dxa"/>
          </w:tcPr>
          <w:p w14:paraId="64ACCADB" w14:textId="6BECA333" w:rsidR="00084B2B" w:rsidRPr="005176BD" w:rsidRDefault="0001154E" w:rsidP="003B611A">
            <w:pPr>
              <w:rPr>
                <w:rFonts w:cs="Arial"/>
                <w:sz w:val="20"/>
                <w:szCs w:val="20"/>
                <w:lang w:eastAsia="en-AU"/>
              </w:rPr>
            </w:pPr>
            <w:r w:rsidRPr="005176BD">
              <w:rPr>
                <w:rFonts w:cs="Arial"/>
                <w:sz w:val="20"/>
                <w:szCs w:val="20"/>
                <w:lang w:eastAsia="en-AU"/>
              </w:rPr>
              <w:t>Sleep difficulty and disease in a cohort of very old women. Journal of Aging and Health, 2016; 28(6):</w:t>
            </w:r>
            <w:r w:rsidR="00012F17" w:rsidRPr="005176BD">
              <w:rPr>
                <w:rFonts w:cs="Arial"/>
                <w:sz w:val="20"/>
                <w:szCs w:val="20"/>
                <w:lang w:eastAsia="en-AU"/>
              </w:rPr>
              <w:t xml:space="preserve"> </w:t>
            </w:r>
            <w:r w:rsidRPr="005176BD">
              <w:rPr>
                <w:rFonts w:cs="Arial"/>
                <w:sz w:val="20"/>
                <w:szCs w:val="20"/>
                <w:lang w:eastAsia="en-AU"/>
              </w:rPr>
              <w:t>1090-1104.</w:t>
            </w:r>
          </w:p>
        </w:tc>
        <w:tc>
          <w:tcPr>
            <w:tcW w:w="4901" w:type="dxa"/>
          </w:tcPr>
          <w:p w14:paraId="53EF2C44" w14:textId="77777777" w:rsidR="00084B2B" w:rsidRPr="005176BD" w:rsidRDefault="00084B2B" w:rsidP="003B611A">
            <w:pPr>
              <w:rPr>
                <w:rFonts w:cs="Arial"/>
                <w:sz w:val="20"/>
                <w:szCs w:val="20"/>
                <w:lang w:eastAsia="en-AU"/>
              </w:rPr>
            </w:pPr>
            <w:r w:rsidRPr="005176BD">
              <w:rPr>
                <w:rFonts w:cs="Arial"/>
                <w:sz w:val="20"/>
                <w:szCs w:val="20"/>
                <w:lang w:eastAsia="en-AU"/>
              </w:rPr>
              <w:t>Leigh L, Hudson I &amp; Byles J</w:t>
            </w:r>
          </w:p>
        </w:tc>
        <w:tc>
          <w:tcPr>
            <w:tcW w:w="617" w:type="dxa"/>
          </w:tcPr>
          <w:p w14:paraId="19821E72" w14:textId="77777777" w:rsidR="00084B2B" w:rsidRPr="005176BD" w:rsidRDefault="00084B2B" w:rsidP="003B611A">
            <w:pPr>
              <w:rPr>
                <w:rFonts w:cs="Arial"/>
                <w:sz w:val="20"/>
                <w:szCs w:val="20"/>
                <w:lang w:eastAsia="en-AU"/>
              </w:rPr>
            </w:pPr>
            <w:r w:rsidRPr="005176BD">
              <w:rPr>
                <w:rFonts w:cs="Arial"/>
                <w:sz w:val="20"/>
                <w:szCs w:val="20"/>
                <w:lang w:eastAsia="en-AU"/>
              </w:rPr>
              <w:t>9</w:t>
            </w:r>
          </w:p>
        </w:tc>
      </w:tr>
      <w:tr w:rsidR="00084B2B" w:rsidRPr="00084B2B" w14:paraId="6C7176FE" w14:textId="77777777" w:rsidTr="0011030B">
        <w:tc>
          <w:tcPr>
            <w:tcW w:w="8337" w:type="dxa"/>
          </w:tcPr>
          <w:p w14:paraId="5E334221" w14:textId="29D6163A" w:rsidR="00084B2B" w:rsidRPr="005176BD" w:rsidRDefault="0001154E" w:rsidP="003B611A">
            <w:pPr>
              <w:rPr>
                <w:rFonts w:cs="Arial"/>
                <w:sz w:val="20"/>
                <w:szCs w:val="20"/>
                <w:lang w:eastAsia="en-AU"/>
              </w:rPr>
            </w:pPr>
            <w:r w:rsidRPr="005176BD">
              <w:rPr>
                <w:rFonts w:cs="Arial"/>
                <w:sz w:val="20"/>
                <w:szCs w:val="20"/>
                <w:lang w:eastAsia="en-AU"/>
              </w:rPr>
              <w:t>Factors associated with the healthcare cost in older Australian women with arthritis: An application of the Andersen's Behavioural Model of Health Services Use. Public Health, 2016; 134: 64-71.</w:t>
            </w:r>
          </w:p>
        </w:tc>
        <w:tc>
          <w:tcPr>
            <w:tcW w:w="4901" w:type="dxa"/>
          </w:tcPr>
          <w:p w14:paraId="6F7CE4FF" w14:textId="77777777" w:rsidR="00084B2B" w:rsidRPr="005176BD" w:rsidRDefault="00084B2B" w:rsidP="003B611A">
            <w:pPr>
              <w:rPr>
                <w:rFonts w:cs="Arial"/>
                <w:sz w:val="20"/>
                <w:szCs w:val="20"/>
                <w:lang w:eastAsia="en-AU"/>
              </w:rPr>
            </w:pPr>
            <w:r w:rsidRPr="005176BD">
              <w:rPr>
                <w:rFonts w:cs="Arial"/>
                <w:sz w:val="20"/>
                <w:szCs w:val="20"/>
                <w:lang w:eastAsia="en-AU"/>
              </w:rPr>
              <w:t>Lo TKT, Parkinson L, Cunich M &amp; Byles J.</w:t>
            </w:r>
          </w:p>
        </w:tc>
        <w:tc>
          <w:tcPr>
            <w:tcW w:w="617" w:type="dxa"/>
          </w:tcPr>
          <w:p w14:paraId="2569F1E4"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12695CE0" w14:textId="77777777" w:rsidTr="0011030B">
        <w:tc>
          <w:tcPr>
            <w:tcW w:w="8337" w:type="dxa"/>
          </w:tcPr>
          <w:p w14:paraId="57EECCD5" w14:textId="59FEE506" w:rsidR="00084B2B" w:rsidRPr="005176BD" w:rsidRDefault="0036047B" w:rsidP="003B611A">
            <w:pPr>
              <w:rPr>
                <w:rFonts w:cs="Arial"/>
                <w:sz w:val="20"/>
                <w:szCs w:val="20"/>
                <w:lang w:eastAsia="en-AU"/>
              </w:rPr>
            </w:pPr>
            <w:r w:rsidRPr="005176BD">
              <w:rPr>
                <w:rFonts w:cs="Arial"/>
                <w:sz w:val="20"/>
                <w:szCs w:val="20"/>
                <w:lang w:eastAsia="en-AU"/>
              </w:rPr>
              <w:t xml:space="preserve">A 6-year trend of the healthcare costs of arthritis in a population-based cohort of older women. Expert Review of </w:t>
            </w:r>
            <w:proofErr w:type="spellStart"/>
            <w:r w:rsidRPr="005176BD">
              <w:rPr>
                <w:rFonts w:cs="Arial"/>
                <w:sz w:val="20"/>
                <w:szCs w:val="20"/>
                <w:lang w:eastAsia="en-AU"/>
              </w:rPr>
              <w:t>Pharmacoeconomics</w:t>
            </w:r>
            <w:proofErr w:type="spellEnd"/>
            <w:r w:rsidRPr="005176BD">
              <w:rPr>
                <w:rFonts w:cs="Arial"/>
                <w:sz w:val="20"/>
                <w:szCs w:val="20"/>
                <w:lang w:eastAsia="en-AU"/>
              </w:rPr>
              <w:t xml:space="preserve"> &amp; Outcomes Research Journal, 2015; 2: 1-9. (letter to the editor)</w:t>
            </w:r>
          </w:p>
        </w:tc>
        <w:tc>
          <w:tcPr>
            <w:tcW w:w="4901" w:type="dxa"/>
          </w:tcPr>
          <w:p w14:paraId="7F34EA35" w14:textId="77777777" w:rsidR="00084B2B" w:rsidRPr="005176BD" w:rsidRDefault="00084B2B" w:rsidP="003B611A">
            <w:pPr>
              <w:rPr>
                <w:rFonts w:cs="Arial"/>
                <w:sz w:val="20"/>
                <w:szCs w:val="20"/>
                <w:lang w:eastAsia="en-AU"/>
              </w:rPr>
            </w:pPr>
            <w:r w:rsidRPr="005176BD">
              <w:rPr>
                <w:rFonts w:cs="Arial"/>
                <w:sz w:val="20"/>
                <w:szCs w:val="20"/>
                <w:lang w:eastAsia="en-AU"/>
              </w:rPr>
              <w:t>Lo T, Parkinson L</w:t>
            </w:r>
          </w:p>
        </w:tc>
        <w:tc>
          <w:tcPr>
            <w:tcW w:w="617" w:type="dxa"/>
          </w:tcPr>
          <w:p w14:paraId="2C09E37F"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701127DB" w14:textId="77777777" w:rsidTr="0011030B">
        <w:tc>
          <w:tcPr>
            <w:tcW w:w="8337" w:type="dxa"/>
          </w:tcPr>
          <w:p w14:paraId="6F1CB9C4" w14:textId="28A9D804" w:rsidR="00084B2B" w:rsidRPr="005176BD" w:rsidRDefault="00BC3825" w:rsidP="003B611A">
            <w:pPr>
              <w:rPr>
                <w:rFonts w:cs="Arial"/>
                <w:sz w:val="20"/>
                <w:szCs w:val="20"/>
                <w:lang w:eastAsia="en-AU"/>
              </w:rPr>
            </w:pPr>
            <w:r w:rsidRPr="005176BD">
              <w:rPr>
                <w:rFonts w:cs="Arial"/>
                <w:sz w:val="20"/>
                <w:szCs w:val="20"/>
                <w:lang w:eastAsia="en-AU"/>
              </w:rPr>
              <w:t xml:space="preserve">Cost of arthritis: A systematic review of methodologies used for direct costs. Expert Review of </w:t>
            </w:r>
            <w:proofErr w:type="spellStart"/>
            <w:r w:rsidRPr="005176BD">
              <w:rPr>
                <w:rFonts w:cs="Arial"/>
                <w:sz w:val="20"/>
                <w:szCs w:val="20"/>
                <w:lang w:eastAsia="en-AU"/>
              </w:rPr>
              <w:t>Pharmacoeconomics</w:t>
            </w:r>
            <w:proofErr w:type="spellEnd"/>
            <w:r w:rsidRPr="005176BD">
              <w:rPr>
                <w:rFonts w:cs="Arial"/>
                <w:sz w:val="20"/>
                <w:szCs w:val="20"/>
                <w:lang w:eastAsia="en-AU"/>
              </w:rPr>
              <w:t xml:space="preserve"> &amp; Outcomes Research Journal, 2015; 22: 1-15.</w:t>
            </w:r>
          </w:p>
        </w:tc>
        <w:tc>
          <w:tcPr>
            <w:tcW w:w="4901" w:type="dxa"/>
          </w:tcPr>
          <w:p w14:paraId="3C0F7D7A" w14:textId="77777777" w:rsidR="00084B2B" w:rsidRPr="005176BD" w:rsidRDefault="00084B2B" w:rsidP="003B611A">
            <w:pPr>
              <w:rPr>
                <w:rFonts w:cs="Arial"/>
                <w:sz w:val="20"/>
                <w:szCs w:val="20"/>
                <w:lang w:eastAsia="en-AU"/>
              </w:rPr>
            </w:pPr>
            <w:r w:rsidRPr="005176BD">
              <w:rPr>
                <w:rFonts w:cs="Arial"/>
                <w:sz w:val="20"/>
                <w:szCs w:val="20"/>
                <w:lang w:eastAsia="en-AU"/>
              </w:rPr>
              <w:t>Lo TKT, Parkinson L, Cunich M &amp; Byles J</w:t>
            </w:r>
          </w:p>
        </w:tc>
        <w:tc>
          <w:tcPr>
            <w:tcW w:w="617" w:type="dxa"/>
          </w:tcPr>
          <w:p w14:paraId="394D931A"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43D403EF" w14:textId="77777777" w:rsidTr="0011030B">
        <w:tc>
          <w:tcPr>
            <w:tcW w:w="8337" w:type="dxa"/>
          </w:tcPr>
          <w:p w14:paraId="5D32ED79" w14:textId="01AC85F7" w:rsidR="00084B2B" w:rsidRPr="005176BD" w:rsidRDefault="0001154E" w:rsidP="003B611A">
            <w:pPr>
              <w:rPr>
                <w:rFonts w:cs="Arial"/>
                <w:sz w:val="20"/>
                <w:szCs w:val="20"/>
                <w:lang w:eastAsia="en-AU"/>
              </w:rPr>
            </w:pPr>
            <w:r w:rsidRPr="005176BD">
              <w:rPr>
                <w:rFonts w:cs="Arial"/>
                <w:sz w:val="20"/>
                <w:szCs w:val="20"/>
                <w:lang w:eastAsia="en-AU"/>
              </w:rPr>
              <w:t>Long-term ambient air pollution exposure and self-reported morbidity in the Australian Longitudinal Study on Women’s Health: A cross-sectional study. BMJ Open, 2015; 5(10): e008714.</w:t>
            </w:r>
          </w:p>
        </w:tc>
        <w:tc>
          <w:tcPr>
            <w:tcW w:w="4901" w:type="dxa"/>
          </w:tcPr>
          <w:p w14:paraId="05CD30F9" w14:textId="77777777" w:rsidR="00084B2B" w:rsidRPr="005176BD" w:rsidRDefault="00084B2B" w:rsidP="003B611A">
            <w:pPr>
              <w:rPr>
                <w:rFonts w:cs="Arial"/>
                <w:sz w:val="20"/>
                <w:szCs w:val="20"/>
                <w:lang w:eastAsia="en-AU"/>
              </w:rPr>
            </w:pPr>
            <w:r w:rsidRPr="005176BD">
              <w:rPr>
                <w:rFonts w:cs="Arial"/>
                <w:sz w:val="20"/>
                <w:szCs w:val="20"/>
                <w:lang w:eastAsia="en-AU"/>
              </w:rPr>
              <w:t>Lazarevic N, Dobson AJ, Barnett AG &amp; Knibbs, LD.</w:t>
            </w:r>
          </w:p>
        </w:tc>
        <w:tc>
          <w:tcPr>
            <w:tcW w:w="617" w:type="dxa"/>
          </w:tcPr>
          <w:p w14:paraId="2BDC7728" w14:textId="77777777" w:rsidR="00084B2B" w:rsidRPr="005176BD" w:rsidRDefault="00084B2B" w:rsidP="003B611A">
            <w:pPr>
              <w:rPr>
                <w:rFonts w:cs="Arial"/>
                <w:sz w:val="20"/>
                <w:szCs w:val="20"/>
                <w:lang w:eastAsia="en-AU"/>
              </w:rPr>
            </w:pPr>
            <w:r w:rsidRPr="005176BD">
              <w:rPr>
                <w:rFonts w:cs="Arial"/>
                <w:sz w:val="20"/>
                <w:szCs w:val="20"/>
                <w:lang w:eastAsia="en-AU"/>
              </w:rPr>
              <w:t>10</w:t>
            </w:r>
          </w:p>
        </w:tc>
      </w:tr>
      <w:tr w:rsidR="0001154E" w:rsidRPr="00084B2B" w14:paraId="02360A3F" w14:textId="77777777" w:rsidTr="0011030B">
        <w:tc>
          <w:tcPr>
            <w:tcW w:w="8337" w:type="dxa"/>
          </w:tcPr>
          <w:p w14:paraId="37A7CFD3" w14:textId="7FA0906F" w:rsidR="0001154E" w:rsidRPr="005176BD" w:rsidRDefault="0001154E" w:rsidP="003B611A">
            <w:pPr>
              <w:rPr>
                <w:rFonts w:cs="Arial"/>
                <w:sz w:val="20"/>
                <w:szCs w:val="20"/>
                <w:lang w:eastAsia="en-AU"/>
              </w:rPr>
            </w:pPr>
            <w:r w:rsidRPr="005176BD">
              <w:rPr>
                <w:rFonts w:cs="Arial"/>
                <w:sz w:val="20"/>
                <w:szCs w:val="20"/>
                <w:lang w:eastAsia="en-AU"/>
              </w:rPr>
              <w:lastRenderedPageBreak/>
              <w:t xml:space="preserve">Multimorbidity patterns are differentially associated with functional ability and decline in a longitudinal cohort of older women. Age and Ageing, 2015; 44(5): 810-816. </w:t>
            </w:r>
          </w:p>
        </w:tc>
        <w:tc>
          <w:tcPr>
            <w:tcW w:w="4901" w:type="dxa"/>
          </w:tcPr>
          <w:p w14:paraId="3BDCAFFD" w14:textId="77777777" w:rsidR="0001154E" w:rsidRPr="005176BD" w:rsidRDefault="0001154E" w:rsidP="003B611A">
            <w:pPr>
              <w:rPr>
                <w:rFonts w:cs="Arial"/>
                <w:sz w:val="20"/>
                <w:szCs w:val="20"/>
                <w:lang w:eastAsia="en-AU"/>
              </w:rPr>
            </w:pPr>
            <w:r w:rsidRPr="005176BD">
              <w:rPr>
                <w:rFonts w:cs="Arial"/>
                <w:sz w:val="20"/>
                <w:szCs w:val="20"/>
                <w:lang w:eastAsia="en-AU"/>
              </w:rPr>
              <w:t>Jackson CA, Jones M, Tooth L, Mishra G, Byles J &amp; Dobson A.</w:t>
            </w:r>
          </w:p>
        </w:tc>
        <w:tc>
          <w:tcPr>
            <w:tcW w:w="617" w:type="dxa"/>
          </w:tcPr>
          <w:p w14:paraId="1C584AB0" w14:textId="77777777" w:rsidR="0001154E" w:rsidRPr="005176BD" w:rsidRDefault="0001154E" w:rsidP="003B611A">
            <w:pPr>
              <w:rPr>
                <w:rFonts w:cs="Arial"/>
                <w:sz w:val="20"/>
                <w:szCs w:val="20"/>
                <w:lang w:eastAsia="en-AU"/>
              </w:rPr>
            </w:pPr>
            <w:r w:rsidRPr="005176BD">
              <w:rPr>
                <w:rFonts w:cs="Arial"/>
                <w:sz w:val="20"/>
                <w:szCs w:val="20"/>
                <w:lang w:eastAsia="en-AU"/>
              </w:rPr>
              <w:t>24</w:t>
            </w:r>
          </w:p>
        </w:tc>
      </w:tr>
      <w:tr w:rsidR="0001154E" w:rsidRPr="00084B2B" w14:paraId="2C7BA91E" w14:textId="77777777" w:rsidTr="0011030B">
        <w:tc>
          <w:tcPr>
            <w:tcW w:w="8337" w:type="dxa"/>
          </w:tcPr>
          <w:p w14:paraId="6E33D139" w14:textId="514CAB11" w:rsidR="0001154E" w:rsidRPr="005176BD" w:rsidRDefault="0001154E" w:rsidP="003B611A">
            <w:pPr>
              <w:rPr>
                <w:rFonts w:cs="Arial"/>
                <w:sz w:val="20"/>
                <w:szCs w:val="20"/>
                <w:lang w:eastAsia="en-AU"/>
              </w:rPr>
            </w:pPr>
            <w:r w:rsidRPr="005176BD">
              <w:rPr>
                <w:rFonts w:cs="Arial"/>
                <w:sz w:val="20"/>
                <w:szCs w:val="20"/>
                <w:lang w:eastAsia="en-AU"/>
              </w:rPr>
              <w:t xml:space="preserve">Factors associated with higher healthcare cost in individuals living with arthritis: Evidence from the quantile regression approach. Expert Review of </w:t>
            </w:r>
            <w:proofErr w:type="spellStart"/>
            <w:r w:rsidRPr="005176BD">
              <w:rPr>
                <w:rFonts w:cs="Arial"/>
                <w:sz w:val="20"/>
                <w:szCs w:val="20"/>
                <w:lang w:eastAsia="en-AU"/>
              </w:rPr>
              <w:t>Pharmacoeconomics</w:t>
            </w:r>
            <w:proofErr w:type="spellEnd"/>
            <w:r w:rsidRPr="005176BD">
              <w:rPr>
                <w:rFonts w:cs="Arial"/>
                <w:sz w:val="20"/>
                <w:szCs w:val="20"/>
                <w:lang w:eastAsia="en-AU"/>
              </w:rPr>
              <w:t xml:space="preserve"> &amp; Outcomes Research Journal 2015; 15(5): 833-841.</w:t>
            </w:r>
          </w:p>
        </w:tc>
        <w:tc>
          <w:tcPr>
            <w:tcW w:w="4901" w:type="dxa"/>
          </w:tcPr>
          <w:p w14:paraId="54EE7CB5" w14:textId="77777777" w:rsidR="0001154E" w:rsidRPr="005176BD" w:rsidRDefault="0001154E" w:rsidP="003B611A">
            <w:pPr>
              <w:rPr>
                <w:rFonts w:cs="Arial"/>
                <w:sz w:val="20"/>
                <w:szCs w:val="20"/>
                <w:lang w:eastAsia="en-AU"/>
              </w:rPr>
            </w:pPr>
            <w:r w:rsidRPr="005176BD">
              <w:rPr>
                <w:rFonts w:cs="Arial"/>
                <w:sz w:val="20"/>
                <w:szCs w:val="20"/>
                <w:lang w:eastAsia="en-AU"/>
              </w:rPr>
              <w:t>Lo TKT, Parkinson L, Cunich M &amp; Byles J.</w:t>
            </w:r>
          </w:p>
        </w:tc>
        <w:tc>
          <w:tcPr>
            <w:tcW w:w="617" w:type="dxa"/>
          </w:tcPr>
          <w:p w14:paraId="5C33060B" w14:textId="77777777" w:rsidR="0001154E" w:rsidRPr="005176BD" w:rsidRDefault="0001154E" w:rsidP="003B611A">
            <w:pPr>
              <w:rPr>
                <w:rFonts w:cs="Arial"/>
                <w:sz w:val="20"/>
                <w:szCs w:val="20"/>
                <w:lang w:eastAsia="en-AU"/>
              </w:rPr>
            </w:pPr>
            <w:r w:rsidRPr="005176BD">
              <w:rPr>
                <w:rFonts w:cs="Arial"/>
                <w:sz w:val="20"/>
                <w:szCs w:val="20"/>
                <w:lang w:eastAsia="en-AU"/>
              </w:rPr>
              <w:t>7</w:t>
            </w:r>
          </w:p>
        </w:tc>
      </w:tr>
      <w:tr w:rsidR="0001154E" w:rsidRPr="00084B2B" w14:paraId="48695429" w14:textId="77777777" w:rsidTr="0011030B">
        <w:tc>
          <w:tcPr>
            <w:tcW w:w="8337" w:type="dxa"/>
          </w:tcPr>
          <w:p w14:paraId="1F13A490" w14:textId="0E4BEEF7" w:rsidR="0001154E" w:rsidRPr="005176BD" w:rsidRDefault="0001154E" w:rsidP="003B611A">
            <w:pPr>
              <w:rPr>
                <w:rFonts w:cs="Arial"/>
                <w:sz w:val="20"/>
                <w:szCs w:val="20"/>
                <w:lang w:eastAsia="en-AU"/>
              </w:rPr>
            </w:pPr>
            <w:r w:rsidRPr="005176BD">
              <w:rPr>
                <w:rFonts w:cs="Arial"/>
                <w:sz w:val="20"/>
                <w:szCs w:val="20"/>
                <w:lang w:eastAsia="en-AU"/>
              </w:rPr>
              <w:t>Late life changes in mental health: A longitudinal study of 9683 women. Aging and Mental Health, 2015, doi:10.1080/13607863.2015.1060943</w:t>
            </w:r>
          </w:p>
        </w:tc>
        <w:tc>
          <w:tcPr>
            <w:tcW w:w="4901" w:type="dxa"/>
          </w:tcPr>
          <w:p w14:paraId="4F9CF8C9" w14:textId="77777777" w:rsidR="0001154E" w:rsidRPr="005176BD" w:rsidRDefault="0001154E" w:rsidP="003B611A">
            <w:pPr>
              <w:rPr>
                <w:rFonts w:cs="Arial"/>
                <w:sz w:val="20"/>
                <w:szCs w:val="20"/>
                <w:lang w:eastAsia="en-AU"/>
              </w:rPr>
            </w:pPr>
            <w:r w:rsidRPr="005176BD">
              <w:rPr>
                <w:rFonts w:cs="Arial"/>
                <w:sz w:val="20"/>
                <w:szCs w:val="20"/>
                <w:lang w:eastAsia="en-AU"/>
              </w:rPr>
              <w:t>Leigh L, Byles J, Chojenta C &amp; Pachana N.</w:t>
            </w:r>
          </w:p>
        </w:tc>
        <w:tc>
          <w:tcPr>
            <w:tcW w:w="617" w:type="dxa"/>
          </w:tcPr>
          <w:p w14:paraId="54011401" w14:textId="77777777" w:rsidR="0001154E" w:rsidRPr="005176BD" w:rsidRDefault="0001154E" w:rsidP="003B611A">
            <w:pPr>
              <w:rPr>
                <w:rFonts w:cs="Arial"/>
                <w:sz w:val="20"/>
                <w:szCs w:val="20"/>
                <w:lang w:eastAsia="en-AU"/>
              </w:rPr>
            </w:pPr>
            <w:r w:rsidRPr="005176BD">
              <w:rPr>
                <w:rFonts w:cs="Arial"/>
                <w:sz w:val="20"/>
                <w:szCs w:val="20"/>
                <w:lang w:eastAsia="en-AU"/>
              </w:rPr>
              <w:t>3</w:t>
            </w:r>
          </w:p>
        </w:tc>
      </w:tr>
      <w:tr w:rsidR="0001154E" w:rsidRPr="00084B2B" w14:paraId="1D091AC0" w14:textId="77777777" w:rsidTr="0011030B">
        <w:tc>
          <w:tcPr>
            <w:tcW w:w="8337" w:type="dxa"/>
          </w:tcPr>
          <w:p w14:paraId="0BCE9505" w14:textId="188A1E9D" w:rsidR="0001154E" w:rsidRPr="005176BD" w:rsidRDefault="0001154E" w:rsidP="003B611A">
            <w:pPr>
              <w:rPr>
                <w:rFonts w:cs="Arial"/>
                <w:sz w:val="20"/>
                <w:szCs w:val="20"/>
                <w:lang w:eastAsia="en-AU"/>
              </w:rPr>
            </w:pPr>
            <w:r w:rsidRPr="005176BD">
              <w:rPr>
                <w:rFonts w:cs="Arial"/>
                <w:sz w:val="20"/>
                <w:szCs w:val="20"/>
                <w:lang w:eastAsia="en-AU"/>
              </w:rPr>
              <w:t>Changes in the relationships between Body Mass Index and health outcomes across middle age and older adulthood. Mayo Clinic Proceedings, 2015; 90(7): 903-910.</w:t>
            </w:r>
          </w:p>
        </w:tc>
        <w:tc>
          <w:tcPr>
            <w:tcW w:w="4901" w:type="dxa"/>
          </w:tcPr>
          <w:p w14:paraId="0F37986B" w14:textId="77777777" w:rsidR="0001154E" w:rsidRPr="005176BD" w:rsidRDefault="0001154E"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Herber</w:t>
            </w:r>
            <w:proofErr w:type="spellEnd"/>
            <w:r w:rsidRPr="005176BD">
              <w:rPr>
                <w:rFonts w:cs="Arial"/>
                <w:sz w:val="20"/>
                <w:szCs w:val="20"/>
                <w:lang w:eastAsia="en-AU"/>
              </w:rPr>
              <w:t>-Gast G, Dobson A &amp; Brown W.</w:t>
            </w:r>
          </w:p>
        </w:tc>
        <w:tc>
          <w:tcPr>
            <w:tcW w:w="617" w:type="dxa"/>
          </w:tcPr>
          <w:p w14:paraId="62DEEBCE" w14:textId="77777777" w:rsidR="0001154E" w:rsidRPr="005176BD" w:rsidRDefault="0001154E" w:rsidP="003B611A">
            <w:pPr>
              <w:rPr>
                <w:rFonts w:cs="Arial"/>
                <w:sz w:val="20"/>
                <w:szCs w:val="20"/>
                <w:lang w:eastAsia="en-AU"/>
              </w:rPr>
            </w:pPr>
            <w:r w:rsidRPr="005176BD">
              <w:rPr>
                <w:rFonts w:cs="Arial"/>
                <w:sz w:val="20"/>
                <w:szCs w:val="20"/>
                <w:lang w:eastAsia="en-AU"/>
              </w:rPr>
              <w:t>2</w:t>
            </w:r>
          </w:p>
        </w:tc>
      </w:tr>
      <w:tr w:rsidR="0001154E" w:rsidRPr="00084B2B" w14:paraId="1129C792" w14:textId="77777777" w:rsidTr="0011030B">
        <w:tc>
          <w:tcPr>
            <w:tcW w:w="8337" w:type="dxa"/>
          </w:tcPr>
          <w:p w14:paraId="0153F439" w14:textId="3D292B06" w:rsidR="0001154E" w:rsidRPr="005176BD" w:rsidRDefault="0001154E" w:rsidP="003B611A">
            <w:pPr>
              <w:rPr>
                <w:rFonts w:cs="Arial"/>
                <w:sz w:val="20"/>
                <w:szCs w:val="20"/>
                <w:lang w:eastAsia="en-AU"/>
              </w:rPr>
            </w:pPr>
            <w:r w:rsidRPr="005176BD">
              <w:rPr>
                <w:rFonts w:cs="Arial"/>
                <w:sz w:val="20"/>
                <w:szCs w:val="20"/>
                <w:lang w:eastAsia="en-AU"/>
              </w:rPr>
              <w:t xml:space="preserve">Acknowledging how older Australian women experience life after stroke: How does the WHO 18-item brief ICF core set for stroke compare? Health Care Women </w:t>
            </w:r>
            <w:proofErr w:type="spellStart"/>
            <w:r w:rsidRPr="005176BD">
              <w:rPr>
                <w:rFonts w:cs="Arial"/>
                <w:sz w:val="20"/>
                <w:szCs w:val="20"/>
                <w:lang w:eastAsia="en-AU"/>
              </w:rPr>
              <w:t>Int</w:t>
            </w:r>
            <w:proofErr w:type="spellEnd"/>
            <w:r w:rsidRPr="005176BD">
              <w:rPr>
                <w:rFonts w:cs="Arial"/>
                <w:sz w:val="20"/>
                <w:szCs w:val="20"/>
                <w:lang w:eastAsia="en-AU"/>
              </w:rPr>
              <w:t>, 2015, 36(12);1311-1326</w:t>
            </w:r>
          </w:p>
        </w:tc>
        <w:tc>
          <w:tcPr>
            <w:tcW w:w="4901" w:type="dxa"/>
          </w:tcPr>
          <w:p w14:paraId="0CCCD23A" w14:textId="77777777" w:rsidR="0001154E" w:rsidRPr="005176BD" w:rsidRDefault="0001154E" w:rsidP="003B611A">
            <w:pPr>
              <w:rPr>
                <w:rFonts w:cs="Arial"/>
                <w:sz w:val="20"/>
                <w:szCs w:val="20"/>
                <w:lang w:eastAsia="en-AU"/>
              </w:rPr>
            </w:pPr>
            <w:r w:rsidRPr="005176BD">
              <w:rPr>
                <w:rFonts w:cs="Arial"/>
                <w:sz w:val="20"/>
                <w:szCs w:val="20"/>
                <w:lang w:eastAsia="en-AU"/>
              </w:rPr>
              <w:t xml:space="preserve">Tavener M, </w:t>
            </w:r>
            <w:proofErr w:type="spellStart"/>
            <w:r w:rsidRPr="005176BD">
              <w:rPr>
                <w:rFonts w:cs="Arial"/>
                <w:sz w:val="20"/>
                <w:szCs w:val="20"/>
                <w:lang w:eastAsia="en-AU"/>
              </w:rPr>
              <w:t>Thijsen</w:t>
            </w:r>
            <w:proofErr w:type="spellEnd"/>
            <w:r w:rsidRPr="005176BD">
              <w:rPr>
                <w:rFonts w:cs="Arial"/>
                <w:sz w:val="20"/>
                <w:szCs w:val="20"/>
                <w:lang w:eastAsia="en-AU"/>
              </w:rPr>
              <w:t xml:space="preserve"> A, Hubbard I, Francis J, </w:t>
            </w:r>
            <w:proofErr w:type="spellStart"/>
            <w:r w:rsidRPr="005176BD">
              <w:rPr>
                <w:rFonts w:cs="Arial"/>
                <w:sz w:val="20"/>
                <w:szCs w:val="20"/>
                <w:lang w:eastAsia="en-AU"/>
              </w:rPr>
              <w:t>Grennall</w:t>
            </w:r>
            <w:proofErr w:type="spellEnd"/>
            <w:r w:rsidRPr="005176BD">
              <w:rPr>
                <w:rFonts w:cs="Arial"/>
                <w:sz w:val="20"/>
                <w:szCs w:val="20"/>
                <w:lang w:eastAsia="en-AU"/>
              </w:rPr>
              <w:t xml:space="preserve"> C, Levi C &amp; Byles J.</w:t>
            </w:r>
          </w:p>
        </w:tc>
        <w:tc>
          <w:tcPr>
            <w:tcW w:w="617" w:type="dxa"/>
          </w:tcPr>
          <w:p w14:paraId="28A9B24C" w14:textId="49D7657B" w:rsidR="0001154E" w:rsidRPr="005176BD" w:rsidRDefault="0001154E" w:rsidP="003B611A">
            <w:pPr>
              <w:rPr>
                <w:rFonts w:cs="Arial"/>
                <w:sz w:val="20"/>
                <w:szCs w:val="20"/>
                <w:lang w:eastAsia="en-AU"/>
              </w:rPr>
            </w:pPr>
            <w:r w:rsidRPr="005176BD">
              <w:rPr>
                <w:rFonts w:cs="Arial"/>
                <w:sz w:val="20"/>
                <w:szCs w:val="20"/>
                <w:lang w:eastAsia="en-AU"/>
              </w:rPr>
              <w:t>3</w:t>
            </w:r>
          </w:p>
        </w:tc>
      </w:tr>
      <w:tr w:rsidR="0001154E" w:rsidRPr="00084B2B" w14:paraId="6BD83E58" w14:textId="77777777" w:rsidTr="0011030B">
        <w:tc>
          <w:tcPr>
            <w:tcW w:w="8337" w:type="dxa"/>
          </w:tcPr>
          <w:p w14:paraId="3452E9B7" w14:textId="77777777" w:rsidR="0001154E" w:rsidRPr="005176BD" w:rsidRDefault="0001154E" w:rsidP="003B611A">
            <w:pPr>
              <w:rPr>
                <w:rFonts w:cs="Arial"/>
                <w:sz w:val="20"/>
                <w:szCs w:val="20"/>
                <w:lang w:eastAsia="en-AU"/>
              </w:rPr>
            </w:pPr>
            <w:r w:rsidRPr="005176BD">
              <w:rPr>
                <w:rFonts w:cs="Arial"/>
                <w:sz w:val="20"/>
                <w:szCs w:val="20"/>
                <w:lang w:eastAsia="en-AU"/>
              </w:rPr>
              <w:t>Sleeping difficulty, disease and mortality in older women: A latent class analysis and distal survival analysis. Journal of Sleep Research, 2015, 24(6);648-657</w:t>
            </w:r>
          </w:p>
        </w:tc>
        <w:tc>
          <w:tcPr>
            <w:tcW w:w="4901" w:type="dxa"/>
          </w:tcPr>
          <w:p w14:paraId="6BDCE5C6" w14:textId="77777777" w:rsidR="0001154E" w:rsidRPr="005176BD" w:rsidRDefault="0001154E" w:rsidP="003B611A">
            <w:pPr>
              <w:rPr>
                <w:rFonts w:cs="Arial"/>
                <w:sz w:val="20"/>
                <w:szCs w:val="20"/>
                <w:lang w:eastAsia="en-AU"/>
              </w:rPr>
            </w:pPr>
            <w:r w:rsidRPr="005176BD">
              <w:rPr>
                <w:rFonts w:cs="Arial"/>
                <w:sz w:val="20"/>
                <w:szCs w:val="20"/>
                <w:lang w:eastAsia="en-AU"/>
              </w:rPr>
              <w:t>Leigh L, Hudson I &amp; Byles J.</w:t>
            </w:r>
          </w:p>
        </w:tc>
        <w:tc>
          <w:tcPr>
            <w:tcW w:w="617" w:type="dxa"/>
          </w:tcPr>
          <w:p w14:paraId="1467C409" w14:textId="77777777" w:rsidR="0001154E" w:rsidRPr="005176BD" w:rsidRDefault="0001154E" w:rsidP="003B611A">
            <w:pPr>
              <w:rPr>
                <w:rFonts w:cs="Arial"/>
                <w:sz w:val="20"/>
                <w:szCs w:val="20"/>
                <w:lang w:eastAsia="en-AU"/>
              </w:rPr>
            </w:pPr>
            <w:r w:rsidRPr="005176BD">
              <w:rPr>
                <w:rFonts w:cs="Arial"/>
                <w:sz w:val="20"/>
                <w:szCs w:val="20"/>
                <w:lang w:eastAsia="en-AU"/>
              </w:rPr>
              <w:t>14</w:t>
            </w:r>
          </w:p>
        </w:tc>
      </w:tr>
      <w:tr w:rsidR="0001154E" w:rsidRPr="00084B2B" w14:paraId="15BFEBC2" w14:textId="77777777" w:rsidTr="0011030B">
        <w:tc>
          <w:tcPr>
            <w:tcW w:w="8337" w:type="dxa"/>
          </w:tcPr>
          <w:p w14:paraId="61DCB532" w14:textId="77777777" w:rsidR="0001154E" w:rsidRPr="005176BD" w:rsidRDefault="0001154E" w:rsidP="003B611A">
            <w:pPr>
              <w:rPr>
                <w:rFonts w:cs="Arial"/>
                <w:sz w:val="20"/>
                <w:szCs w:val="20"/>
                <w:lang w:eastAsia="en-AU"/>
              </w:rPr>
            </w:pPr>
            <w:r w:rsidRPr="005176BD">
              <w:rPr>
                <w:rFonts w:cs="Arial"/>
                <w:sz w:val="20"/>
                <w:szCs w:val="20"/>
                <w:lang w:eastAsia="en-AU"/>
              </w:rPr>
              <w:t>Long-term survival of older Australian women with a history of stroke. Journal of Stroke and Cerebrovascular Disease, 2015, 24(1);53-60</w:t>
            </w:r>
          </w:p>
        </w:tc>
        <w:tc>
          <w:tcPr>
            <w:tcW w:w="4901" w:type="dxa"/>
          </w:tcPr>
          <w:p w14:paraId="6B20297C" w14:textId="77777777" w:rsidR="0001154E" w:rsidRPr="005176BD" w:rsidRDefault="0001154E" w:rsidP="003B611A">
            <w:pPr>
              <w:rPr>
                <w:rFonts w:cs="Arial"/>
                <w:sz w:val="20"/>
                <w:szCs w:val="20"/>
                <w:lang w:eastAsia="en-AU"/>
              </w:rPr>
            </w:pPr>
            <w:r w:rsidRPr="005176BD">
              <w:rPr>
                <w:rFonts w:cs="Arial"/>
                <w:sz w:val="20"/>
                <w:szCs w:val="20"/>
                <w:lang w:eastAsia="en-AU"/>
              </w:rPr>
              <w:t>Byles J, Francis L, Chojenta C &amp; Hubbard I.</w:t>
            </w:r>
          </w:p>
        </w:tc>
        <w:tc>
          <w:tcPr>
            <w:tcW w:w="617" w:type="dxa"/>
          </w:tcPr>
          <w:p w14:paraId="4BE47095" w14:textId="77777777" w:rsidR="0001154E" w:rsidRPr="005176BD" w:rsidRDefault="0001154E" w:rsidP="003B611A">
            <w:pPr>
              <w:rPr>
                <w:rFonts w:cs="Arial"/>
                <w:sz w:val="20"/>
                <w:szCs w:val="20"/>
                <w:lang w:eastAsia="en-AU"/>
              </w:rPr>
            </w:pPr>
            <w:r w:rsidRPr="005176BD">
              <w:rPr>
                <w:rFonts w:cs="Arial"/>
                <w:sz w:val="20"/>
                <w:szCs w:val="20"/>
                <w:lang w:eastAsia="en-AU"/>
              </w:rPr>
              <w:t>8</w:t>
            </w:r>
          </w:p>
        </w:tc>
      </w:tr>
      <w:tr w:rsidR="0001154E" w:rsidRPr="00084B2B" w14:paraId="52E4F9EE" w14:textId="77777777" w:rsidTr="0011030B">
        <w:tc>
          <w:tcPr>
            <w:tcW w:w="8337" w:type="dxa"/>
          </w:tcPr>
          <w:p w14:paraId="7EC42CF7" w14:textId="47D56278" w:rsidR="0001154E" w:rsidRPr="005176BD" w:rsidRDefault="0001154E" w:rsidP="003B611A">
            <w:pPr>
              <w:rPr>
                <w:rFonts w:cs="Arial"/>
                <w:sz w:val="20"/>
                <w:szCs w:val="20"/>
                <w:lang w:eastAsia="en-AU"/>
              </w:rPr>
            </w:pPr>
            <w:r w:rsidRPr="005176BD">
              <w:rPr>
                <w:rFonts w:cs="Arial"/>
                <w:sz w:val="20"/>
                <w:szCs w:val="20"/>
                <w:lang w:eastAsia="en-AU"/>
              </w:rPr>
              <w:t>The identification of diabetes, heart disease, hypertension and stroke in mid- and older-aged women: Comparing self-report and administrative hospital data records. Geriatrics &amp; Gerontology International, 2016; 16(1): 95-102.</w:t>
            </w:r>
          </w:p>
        </w:tc>
        <w:tc>
          <w:tcPr>
            <w:tcW w:w="4901" w:type="dxa"/>
          </w:tcPr>
          <w:p w14:paraId="46FE0879"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Navin</w:t>
            </w:r>
            <w:proofErr w:type="spellEnd"/>
            <w:r w:rsidRPr="005176BD">
              <w:rPr>
                <w:rFonts w:cs="Arial"/>
                <w:sz w:val="20"/>
                <w:szCs w:val="20"/>
                <w:lang w:eastAsia="en-AU"/>
              </w:rPr>
              <w:t xml:space="preserve"> TJ, Stewart-Williams J, Parkinson L, Sibbritt D &amp; Byles JE.</w:t>
            </w:r>
          </w:p>
        </w:tc>
        <w:tc>
          <w:tcPr>
            <w:tcW w:w="617" w:type="dxa"/>
          </w:tcPr>
          <w:p w14:paraId="1A97F6D5" w14:textId="77777777" w:rsidR="0001154E" w:rsidRPr="005176BD" w:rsidRDefault="0001154E" w:rsidP="003B611A">
            <w:pPr>
              <w:rPr>
                <w:rFonts w:cs="Arial"/>
                <w:sz w:val="20"/>
                <w:szCs w:val="20"/>
                <w:lang w:eastAsia="en-AU"/>
              </w:rPr>
            </w:pPr>
            <w:r w:rsidRPr="005176BD">
              <w:rPr>
                <w:rFonts w:cs="Arial"/>
                <w:sz w:val="20"/>
                <w:szCs w:val="20"/>
                <w:lang w:eastAsia="en-AU"/>
              </w:rPr>
              <w:t>18</w:t>
            </w:r>
          </w:p>
        </w:tc>
      </w:tr>
      <w:tr w:rsidR="0001154E" w:rsidRPr="00084B2B" w14:paraId="7D620B19" w14:textId="77777777" w:rsidTr="0011030B">
        <w:tc>
          <w:tcPr>
            <w:tcW w:w="8337" w:type="dxa"/>
          </w:tcPr>
          <w:p w14:paraId="35551446" w14:textId="61F9331E" w:rsidR="0001154E" w:rsidRPr="005176BD" w:rsidRDefault="0001154E" w:rsidP="003B611A">
            <w:pPr>
              <w:rPr>
                <w:rFonts w:cs="Arial"/>
                <w:sz w:val="20"/>
                <w:szCs w:val="20"/>
                <w:lang w:eastAsia="en-AU"/>
              </w:rPr>
            </w:pPr>
            <w:r w:rsidRPr="005176BD">
              <w:rPr>
                <w:rFonts w:cs="Arial"/>
                <w:sz w:val="20"/>
                <w:szCs w:val="20"/>
                <w:lang w:eastAsia="en-AU"/>
              </w:rPr>
              <w:t>Moderate agreement between self-reported stroke and hospital-recorded stroke in two cohorts of Australian women: A validation study. BMC Medical Methodology Research, 2015; 15(7): 1-10.</w:t>
            </w:r>
          </w:p>
        </w:tc>
        <w:tc>
          <w:tcPr>
            <w:tcW w:w="4901" w:type="dxa"/>
          </w:tcPr>
          <w:p w14:paraId="1BF7A217" w14:textId="77777777" w:rsidR="0001154E" w:rsidRPr="005176BD" w:rsidRDefault="0001154E" w:rsidP="003B611A">
            <w:pPr>
              <w:rPr>
                <w:rFonts w:cs="Arial"/>
                <w:sz w:val="20"/>
                <w:szCs w:val="20"/>
                <w:lang w:eastAsia="en-AU"/>
              </w:rPr>
            </w:pPr>
            <w:r w:rsidRPr="005176BD">
              <w:rPr>
                <w:rFonts w:cs="Arial"/>
                <w:sz w:val="20"/>
                <w:szCs w:val="20"/>
                <w:lang w:eastAsia="en-AU"/>
              </w:rPr>
              <w:t>Jackson CA, Mishra G, Byles J, Tooth L, Dobson A.</w:t>
            </w:r>
          </w:p>
        </w:tc>
        <w:tc>
          <w:tcPr>
            <w:tcW w:w="617" w:type="dxa"/>
          </w:tcPr>
          <w:p w14:paraId="06120BF9" w14:textId="77777777" w:rsidR="0001154E" w:rsidRPr="005176BD" w:rsidRDefault="0001154E" w:rsidP="003B611A">
            <w:pPr>
              <w:rPr>
                <w:rFonts w:cs="Arial"/>
                <w:sz w:val="20"/>
                <w:szCs w:val="20"/>
                <w:lang w:eastAsia="en-AU"/>
              </w:rPr>
            </w:pPr>
            <w:r w:rsidRPr="005176BD">
              <w:rPr>
                <w:rFonts w:cs="Arial"/>
                <w:sz w:val="20"/>
                <w:szCs w:val="20"/>
                <w:lang w:eastAsia="en-AU"/>
              </w:rPr>
              <w:t>3</w:t>
            </w:r>
          </w:p>
        </w:tc>
      </w:tr>
      <w:tr w:rsidR="0001154E" w:rsidRPr="00084B2B" w14:paraId="59266B75" w14:textId="77777777" w:rsidTr="0011030B">
        <w:tc>
          <w:tcPr>
            <w:tcW w:w="8337" w:type="dxa"/>
          </w:tcPr>
          <w:p w14:paraId="6F8EBD03" w14:textId="7DA59DA5" w:rsidR="0001154E" w:rsidRPr="005176BD" w:rsidRDefault="0001154E" w:rsidP="003B611A">
            <w:pPr>
              <w:rPr>
                <w:rFonts w:cs="Arial"/>
                <w:sz w:val="20"/>
                <w:szCs w:val="20"/>
                <w:lang w:eastAsia="en-AU"/>
              </w:rPr>
            </w:pPr>
            <w:r w:rsidRPr="005176BD">
              <w:rPr>
                <w:rFonts w:cs="Arial"/>
                <w:sz w:val="20"/>
                <w:szCs w:val="20"/>
                <w:lang w:eastAsia="en-AU"/>
              </w:rPr>
              <w:t xml:space="preserve">Comparison of anthropometric measures as predictors of cancer incidence: A pooled collaborative analysis of 11 Australian cohorts. International Journal of Cancer, 2015; 137(7): 1699-1708. </w:t>
            </w:r>
          </w:p>
        </w:tc>
        <w:tc>
          <w:tcPr>
            <w:tcW w:w="4901" w:type="dxa"/>
          </w:tcPr>
          <w:p w14:paraId="51F5FD92" w14:textId="2076B2A3" w:rsidR="0001154E" w:rsidRPr="005176BD" w:rsidRDefault="0001154E" w:rsidP="003B611A">
            <w:pPr>
              <w:rPr>
                <w:rFonts w:cs="Arial"/>
                <w:sz w:val="20"/>
                <w:szCs w:val="20"/>
                <w:lang w:eastAsia="en-AU"/>
              </w:rPr>
            </w:pPr>
            <w:r w:rsidRPr="005176BD">
              <w:rPr>
                <w:rFonts w:cs="Arial"/>
                <w:sz w:val="20"/>
                <w:szCs w:val="20"/>
                <w:lang w:eastAsia="en-AU"/>
              </w:rPr>
              <w:t xml:space="preserve">Harding J, Shaw, J, Anstey K, Adams R, </w:t>
            </w:r>
            <w:proofErr w:type="spellStart"/>
            <w:r w:rsidRPr="005176BD">
              <w:rPr>
                <w:rFonts w:cs="Arial"/>
                <w:sz w:val="20"/>
                <w:szCs w:val="20"/>
                <w:lang w:eastAsia="en-AU"/>
              </w:rPr>
              <w:t>Balkau</w:t>
            </w:r>
            <w:proofErr w:type="spellEnd"/>
            <w:r w:rsidRPr="005176BD">
              <w:rPr>
                <w:rFonts w:cs="Arial"/>
                <w:sz w:val="20"/>
                <w:szCs w:val="20"/>
                <w:lang w:eastAsia="en-AU"/>
              </w:rPr>
              <w:t xml:space="preserve"> B, Brennan-Olsen, </w:t>
            </w:r>
            <w:proofErr w:type="spellStart"/>
            <w:r w:rsidRPr="005176BD">
              <w:rPr>
                <w:rFonts w:cs="Arial"/>
                <w:sz w:val="20"/>
                <w:szCs w:val="20"/>
                <w:lang w:eastAsia="en-AU"/>
              </w:rPr>
              <w:t>Briffa</w:t>
            </w:r>
            <w:proofErr w:type="spellEnd"/>
            <w:r w:rsidRPr="005176BD">
              <w:rPr>
                <w:rFonts w:cs="Arial"/>
                <w:sz w:val="20"/>
                <w:szCs w:val="20"/>
                <w:lang w:eastAsia="en-AU"/>
              </w:rPr>
              <w:t xml:space="preserve"> T, Davis TM, Davis WA, Dobson A, Flicker L, Giles G, Grant J, Huxley R, </w:t>
            </w:r>
            <w:proofErr w:type="spellStart"/>
            <w:r w:rsidRPr="005176BD">
              <w:rPr>
                <w:rFonts w:cs="Arial"/>
                <w:sz w:val="20"/>
                <w:szCs w:val="20"/>
                <w:lang w:eastAsia="en-AU"/>
              </w:rPr>
              <w:t>Knuiman</w:t>
            </w:r>
            <w:proofErr w:type="spellEnd"/>
            <w:r w:rsidRPr="005176BD">
              <w:rPr>
                <w:rFonts w:cs="Arial"/>
                <w:sz w:val="20"/>
                <w:szCs w:val="20"/>
                <w:lang w:eastAsia="en-AU"/>
              </w:rPr>
              <w:t xml:space="preserve"> M, </w:t>
            </w:r>
            <w:proofErr w:type="spellStart"/>
            <w:r w:rsidRPr="005176BD">
              <w:rPr>
                <w:rFonts w:cs="Arial"/>
                <w:sz w:val="20"/>
                <w:szCs w:val="20"/>
                <w:lang w:eastAsia="en-AU"/>
              </w:rPr>
              <w:t>Luszcz</w:t>
            </w:r>
            <w:proofErr w:type="spellEnd"/>
            <w:r w:rsidRPr="005176BD">
              <w:rPr>
                <w:rFonts w:cs="Arial"/>
                <w:sz w:val="20"/>
                <w:szCs w:val="20"/>
                <w:lang w:eastAsia="en-AU"/>
              </w:rPr>
              <w:t xml:space="preserve"> M, </w:t>
            </w:r>
            <w:proofErr w:type="spellStart"/>
            <w:r w:rsidRPr="005176BD">
              <w:rPr>
                <w:rFonts w:cs="Arial"/>
                <w:sz w:val="20"/>
                <w:szCs w:val="20"/>
                <w:lang w:eastAsia="en-AU"/>
              </w:rPr>
              <w:t>MacInnis</w:t>
            </w:r>
            <w:proofErr w:type="spellEnd"/>
            <w:r w:rsidRPr="005176BD">
              <w:rPr>
                <w:rFonts w:cs="Arial"/>
                <w:sz w:val="20"/>
                <w:szCs w:val="20"/>
                <w:lang w:eastAsia="en-AU"/>
              </w:rPr>
              <w:t xml:space="preserve"> RJ, Mitchell P, Pasco JA, Reid C, Simmons D, Simons L, Tonkin A, Woodward M, Peeters A &amp; </w:t>
            </w:r>
            <w:proofErr w:type="spellStart"/>
            <w:r w:rsidRPr="005176BD">
              <w:rPr>
                <w:rFonts w:cs="Arial"/>
                <w:sz w:val="20"/>
                <w:szCs w:val="20"/>
                <w:lang w:eastAsia="en-AU"/>
              </w:rPr>
              <w:t>Magliano</w:t>
            </w:r>
            <w:proofErr w:type="spellEnd"/>
            <w:r w:rsidRPr="005176BD">
              <w:rPr>
                <w:rFonts w:cs="Arial"/>
                <w:sz w:val="20"/>
                <w:szCs w:val="20"/>
                <w:lang w:eastAsia="en-AU"/>
              </w:rPr>
              <w:t xml:space="preserve"> D.</w:t>
            </w:r>
          </w:p>
        </w:tc>
        <w:tc>
          <w:tcPr>
            <w:tcW w:w="617" w:type="dxa"/>
          </w:tcPr>
          <w:p w14:paraId="650DB004" w14:textId="77777777" w:rsidR="0001154E" w:rsidRPr="005176BD" w:rsidRDefault="0001154E" w:rsidP="003B611A">
            <w:pPr>
              <w:rPr>
                <w:rFonts w:cs="Arial"/>
                <w:sz w:val="20"/>
                <w:szCs w:val="20"/>
                <w:lang w:eastAsia="en-AU"/>
              </w:rPr>
            </w:pPr>
            <w:r w:rsidRPr="005176BD">
              <w:rPr>
                <w:rFonts w:cs="Arial"/>
                <w:sz w:val="20"/>
                <w:szCs w:val="20"/>
                <w:lang w:eastAsia="en-AU"/>
              </w:rPr>
              <w:t>20</w:t>
            </w:r>
          </w:p>
        </w:tc>
      </w:tr>
      <w:tr w:rsidR="0001154E" w:rsidRPr="00084B2B" w14:paraId="43FA3F26" w14:textId="77777777" w:rsidTr="0011030B">
        <w:tc>
          <w:tcPr>
            <w:tcW w:w="8337" w:type="dxa"/>
          </w:tcPr>
          <w:p w14:paraId="31F557D3" w14:textId="190E211C" w:rsidR="0001154E" w:rsidRPr="005176BD" w:rsidRDefault="0001154E" w:rsidP="003B611A">
            <w:pPr>
              <w:rPr>
                <w:rFonts w:cs="Arial"/>
                <w:sz w:val="20"/>
                <w:szCs w:val="20"/>
                <w:lang w:eastAsia="en-AU"/>
              </w:rPr>
            </w:pPr>
            <w:r w:rsidRPr="005176BD">
              <w:rPr>
                <w:rFonts w:cs="Arial"/>
                <w:sz w:val="20"/>
                <w:szCs w:val="20"/>
                <w:lang w:eastAsia="en-AU"/>
              </w:rPr>
              <w:t xml:space="preserve">Osteoporosis medication dispensing for older Australian women from 2002 to 2010: Influences of publications, guidelines, marketing activities and policy. </w:t>
            </w:r>
            <w:proofErr w:type="spellStart"/>
            <w:r w:rsidRPr="005176BD">
              <w:rPr>
                <w:rFonts w:cs="Arial"/>
                <w:sz w:val="20"/>
                <w:szCs w:val="20"/>
                <w:lang w:eastAsia="en-AU"/>
              </w:rPr>
              <w:t>Pharmacoepidemiology</w:t>
            </w:r>
            <w:proofErr w:type="spellEnd"/>
            <w:r w:rsidRPr="005176BD">
              <w:rPr>
                <w:rFonts w:cs="Arial"/>
                <w:sz w:val="20"/>
                <w:szCs w:val="20"/>
                <w:lang w:eastAsia="en-AU"/>
              </w:rPr>
              <w:t xml:space="preserve"> &amp; Drug Safety, 2014; 23(12): 1303-1311.</w:t>
            </w:r>
          </w:p>
        </w:tc>
        <w:tc>
          <w:tcPr>
            <w:tcW w:w="4901" w:type="dxa"/>
          </w:tcPr>
          <w:p w14:paraId="2C36F7D8" w14:textId="77777777" w:rsidR="0001154E" w:rsidRPr="005176BD" w:rsidRDefault="0001154E"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 Duncan E, Mishra G &amp; Dobson A.</w:t>
            </w:r>
          </w:p>
        </w:tc>
        <w:tc>
          <w:tcPr>
            <w:tcW w:w="617" w:type="dxa"/>
          </w:tcPr>
          <w:p w14:paraId="53CEEA2A" w14:textId="77777777" w:rsidR="0001154E" w:rsidRPr="005176BD" w:rsidRDefault="0001154E" w:rsidP="003B611A">
            <w:pPr>
              <w:rPr>
                <w:rFonts w:cs="Arial"/>
                <w:sz w:val="20"/>
                <w:szCs w:val="20"/>
                <w:lang w:eastAsia="en-AU"/>
              </w:rPr>
            </w:pPr>
            <w:r w:rsidRPr="005176BD">
              <w:rPr>
                <w:rFonts w:cs="Arial"/>
                <w:sz w:val="20"/>
                <w:szCs w:val="20"/>
                <w:lang w:eastAsia="en-AU"/>
              </w:rPr>
              <w:t>13</w:t>
            </w:r>
          </w:p>
        </w:tc>
      </w:tr>
      <w:tr w:rsidR="0001154E" w:rsidRPr="00084B2B" w14:paraId="5C9D164C" w14:textId="77777777" w:rsidTr="0011030B">
        <w:tc>
          <w:tcPr>
            <w:tcW w:w="8337" w:type="dxa"/>
          </w:tcPr>
          <w:p w14:paraId="7255723D" w14:textId="55CCE7DF" w:rsidR="0001154E" w:rsidRPr="005176BD" w:rsidRDefault="0001154E" w:rsidP="003B611A">
            <w:pPr>
              <w:rPr>
                <w:rFonts w:cs="Arial"/>
                <w:sz w:val="20"/>
                <w:szCs w:val="20"/>
                <w:lang w:eastAsia="en-AU"/>
              </w:rPr>
            </w:pPr>
            <w:r w:rsidRPr="005176BD">
              <w:rPr>
                <w:rFonts w:cs="Arial"/>
                <w:sz w:val="20"/>
                <w:szCs w:val="20"/>
                <w:lang w:eastAsia="en-AU"/>
              </w:rPr>
              <w:t>A study protocol for the profile of pain in older women: Assessing the multi-dimensional nature of the experience of pain in arthritis. Chiropractic &amp; Manual Therapies, 2014; 22: 28.</w:t>
            </w:r>
          </w:p>
        </w:tc>
        <w:tc>
          <w:tcPr>
            <w:tcW w:w="4901" w:type="dxa"/>
          </w:tcPr>
          <w:p w14:paraId="530C7B68" w14:textId="77777777" w:rsidR="0001154E" w:rsidRPr="005176BD" w:rsidRDefault="0001154E" w:rsidP="003B611A">
            <w:pPr>
              <w:rPr>
                <w:rFonts w:cs="Arial"/>
                <w:sz w:val="20"/>
                <w:szCs w:val="20"/>
                <w:lang w:eastAsia="en-AU"/>
              </w:rPr>
            </w:pPr>
            <w:r w:rsidRPr="005176BD">
              <w:rPr>
                <w:rFonts w:cs="Arial"/>
                <w:sz w:val="20"/>
                <w:szCs w:val="20"/>
                <w:lang w:eastAsia="en-AU"/>
              </w:rPr>
              <w:t>de Luca K, Parkinson L &amp; Byles J.</w:t>
            </w:r>
          </w:p>
        </w:tc>
        <w:tc>
          <w:tcPr>
            <w:tcW w:w="617" w:type="dxa"/>
          </w:tcPr>
          <w:p w14:paraId="20E71854" w14:textId="77777777" w:rsidR="0001154E" w:rsidRPr="005176BD" w:rsidRDefault="0001154E" w:rsidP="003B611A">
            <w:pPr>
              <w:rPr>
                <w:rFonts w:cs="Arial"/>
                <w:sz w:val="20"/>
                <w:szCs w:val="20"/>
                <w:lang w:eastAsia="en-AU"/>
              </w:rPr>
            </w:pPr>
            <w:r w:rsidRPr="005176BD">
              <w:rPr>
                <w:rFonts w:cs="Arial"/>
                <w:sz w:val="20"/>
                <w:szCs w:val="20"/>
                <w:lang w:eastAsia="en-AU"/>
              </w:rPr>
              <w:t>1</w:t>
            </w:r>
          </w:p>
        </w:tc>
      </w:tr>
      <w:tr w:rsidR="0001154E" w:rsidRPr="00084B2B" w14:paraId="7B541E0F" w14:textId="77777777" w:rsidTr="0011030B">
        <w:tc>
          <w:tcPr>
            <w:tcW w:w="8337" w:type="dxa"/>
          </w:tcPr>
          <w:p w14:paraId="116D3BE7" w14:textId="3B5A153D" w:rsidR="0001154E" w:rsidRPr="005176BD" w:rsidRDefault="0001154E" w:rsidP="003B611A">
            <w:pPr>
              <w:rPr>
                <w:rFonts w:cs="Arial"/>
                <w:sz w:val="20"/>
                <w:szCs w:val="20"/>
                <w:lang w:eastAsia="en-AU"/>
              </w:rPr>
            </w:pPr>
            <w:r w:rsidRPr="005176BD">
              <w:rPr>
                <w:rFonts w:cs="Arial"/>
                <w:sz w:val="20"/>
                <w:szCs w:val="20"/>
                <w:lang w:eastAsia="en-AU"/>
              </w:rPr>
              <w:t>Environmental correlates of mental health measures for women in Western Australia. Eco Health, 2014; 11(4): 502-511.</w:t>
            </w:r>
          </w:p>
        </w:tc>
        <w:tc>
          <w:tcPr>
            <w:tcW w:w="4901" w:type="dxa"/>
          </w:tcPr>
          <w:p w14:paraId="269FBBAD"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Fearnley</w:t>
            </w:r>
            <w:proofErr w:type="spellEnd"/>
            <w:r w:rsidRPr="005176BD">
              <w:rPr>
                <w:rFonts w:cs="Arial"/>
                <w:sz w:val="20"/>
                <w:szCs w:val="20"/>
                <w:lang w:eastAsia="en-AU"/>
              </w:rPr>
              <w:t xml:space="preserve"> E, </w:t>
            </w:r>
            <w:proofErr w:type="spellStart"/>
            <w:r w:rsidRPr="005176BD">
              <w:rPr>
                <w:rFonts w:cs="Arial"/>
                <w:sz w:val="20"/>
                <w:szCs w:val="20"/>
                <w:lang w:eastAsia="en-AU"/>
              </w:rPr>
              <w:t>Soares</w:t>
            </w:r>
            <w:proofErr w:type="spellEnd"/>
            <w:r w:rsidRPr="005176BD">
              <w:rPr>
                <w:rFonts w:cs="Arial"/>
                <w:sz w:val="20"/>
                <w:szCs w:val="20"/>
                <w:lang w:eastAsia="en-AU"/>
              </w:rPr>
              <w:t xml:space="preserve"> </w:t>
            </w:r>
            <w:proofErr w:type="spellStart"/>
            <w:r w:rsidRPr="005176BD">
              <w:rPr>
                <w:rFonts w:cs="Arial"/>
                <w:sz w:val="20"/>
                <w:szCs w:val="20"/>
                <w:lang w:eastAsia="en-AU"/>
              </w:rPr>
              <w:t>Magalhaes</w:t>
            </w:r>
            <w:proofErr w:type="spellEnd"/>
            <w:r w:rsidRPr="005176BD">
              <w:rPr>
                <w:rFonts w:cs="Arial"/>
                <w:sz w:val="20"/>
                <w:szCs w:val="20"/>
                <w:lang w:eastAsia="en-AU"/>
              </w:rPr>
              <w:t xml:space="preserve"> R, </w:t>
            </w:r>
            <w:proofErr w:type="spellStart"/>
            <w:r w:rsidRPr="005176BD">
              <w:rPr>
                <w:rFonts w:cs="Arial"/>
                <w:sz w:val="20"/>
                <w:szCs w:val="20"/>
                <w:lang w:eastAsia="en-AU"/>
              </w:rPr>
              <w:t>Speldewinde</w:t>
            </w:r>
            <w:proofErr w:type="spellEnd"/>
            <w:r w:rsidRPr="005176BD">
              <w:rPr>
                <w:rFonts w:cs="Arial"/>
                <w:sz w:val="20"/>
                <w:szCs w:val="20"/>
                <w:lang w:eastAsia="en-AU"/>
              </w:rPr>
              <w:t xml:space="preserve"> P, Weinstein P &amp; Dobson A.</w:t>
            </w:r>
          </w:p>
        </w:tc>
        <w:tc>
          <w:tcPr>
            <w:tcW w:w="617" w:type="dxa"/>
          </w:tcPr>
          <w:p w14:paraId="58EF9C82" w14:textId="77777777" w:rsidR="0001154E" w:rsidRPr="005176BD" w:rsidRDefault="0001154E" w:rsidP="003B611A">
            <w:pPr>
              <w:rPr>
                <w:rFonts w:cs="Arial"/>
                <w:sz w:val="20"/>
                <w:szCs w:val="20"/>
                <w:lang w:eastAsia="en-AU"/>
              </w:rPr>
            </w:pPr>
            <w:r w:rsidRPr="005176BD">
              <w:rPr>
                <w:rFonts w:cs="Arial"/>
                <w:sz w:val="20"/>
                <w:szCs w:val="20"/>
                <w:lang w:eastAsia="en-AU"/>
              </w:rPr>
              <w:t>3</w:t>
            </w:r>
          </w:p>
        </w:tc>
      </w:tr>
      <w:tr w:rsidR="0001154E" w:rsidRPr="00084B2B" w14:paraId="52630245" w14:textId="77777777" w:rsidTr="0011030B">
        <w:tc>
          <w:tcPr>
            <w:tcW w:w="8337" w:type="dxa"/>
          </w:tcPr>
          <w:p w14:paraId="651228CC" w14:textId="52856AF3" w:rsidR="0001154E" w:rsidRPr="005176BD" w:rsidRDefault="0001154E" w:rsidP="003B611A">
            <w:pPr>
              <w:rPr>
                <w:rFonts w:cs="Arial"/>
                <w:sz w:val="20"/>
                <w:szCs w:val="20"/>
                <w:lang w:eastAsia="en-AU"/>
              </w:rPr>
            </w:pPr>
            <w:r w:rsidRPr="005176BD">
              <w:rPr>
                <w:rFonts w:cs="Arial"/>
                <w:sz w:val="20"/>
                <w:szCs w:val="20"/>
                <w:lang w:eastAsia="en-AU"/>
              </w:rPr>
              <w:lastRenderedPageBreak/>
              <w:t>Comparing population attributable risks for heart disease across the adult lifespan in women. British Journal of Sports Medicine, 2015; 49(16): 1069-1076.</w:t>
            </w:r>
          </w:p>
        </w:tc>
        <w:tc>
          <w:tcPr>
            <w:tcW w:w="4901" w:type="dxa"/>
          </w:tcPr>
          <w:p w14:paraId="04B403FD" w14:textId="77777777" w:rsidR="0001154E" w:rsidRPr="005176BD" w:rsidRDefault="0001154E" w:rsidP="003B611A">
            <w:pPr>
              <w:rPr>
                <w:rFonts w:cs="Arial"/>
                <w:sz w:val="20"/>
                <w:szCs w:val="20"/>
                <w:lang w:eastAsia="en-AU"/>
              </w:rPr>
            </w:pPr>
            <w:r w:rsidRPr="005176BD">
              <w:rPr>
                <w:rFonts w:cs="Arial"/>
                <w:sz w:val="20"/>
                <w:szCs w:val="20"/>
                <w:lang w:eastAsia="en-AU"/>
              </w:rPr>
              <w:t xml:space="preserve">Brown W, </w:t>
            </w:r>
            <w:proofErr w:type="spellStart"/>
            <w:r w:rsidRPr="005176BD">
              <w:rPr>
                <w:rFonts w:cs="Arial"/>
                <w:sz w:val="20"/>
                <w:szCs w:val="20"/>
                <w:lang w:eastAsia="en-AU"/>
              </w:rPr>
              <w:t>Pavey</w:t>
            </w:r>
            <w:proofErr w:type="spellEnd"/>
            <w:r w:rsidRPr="005176BD">
              <w:rPr>
                <w:rFonts w:cs="Arial"/>
                <w:sz w:val="20"/>
                <w:szCs w:val="20"/>
                <w:lang w:eastAsia="en-AU"/>
              </w:rPr>
              <w:t xml:space="preserve"> T &amp; Bauman A.</w:t>
            </w:r>
          </w:p>
        </w:tc>
        <w:tc>
          <w:tcPr>
            <w:tcW w:w="617" w:type="dxa"/>
          </w:tcPr>
          <w:p w14:paraId="0909A747" w14:textId="77777777" w:rsidR="0001154E" w:rsidRPr="005176BD" w:rsidRDefault="0001154E" w:rsidP="003B611A">
            <w:pPr>
              <w:rPr>
                <w:rFonts w:cs="Arial"/>
                <w:sz w:val="20"/>
                <w:szCs w:val="20"/>
                <w:lang w:eastAsia="en-AU"/>
              </w:rPr>
            </w:pPr>
            <w:r w:rsidRPr="005176BD">
              <w:rPr>
                <w:rFonts w:cs="Arial"/>
                <w:sz w:val="20"/>
                <w:szCs w:val="20"/>
                <w:lang w:eastAsia="en-AU"/>
              </w:rPr>
              <w:t>33</w:t>
            </w:r>
          </w:p>
        </w:tc>
      </w:tr>
      <w:tr w:rsidR="0001154E" w:rsidRPr="00084B2B" w14:paraId="1C32EC08" w14:textId="77777777" w:rsidTr="0011030B">
        <w:tc>
          <w:tcPr>
            <w:tcW w:w="8337" w:type="dxa"/>
          </w:tcPr>
          <w:p w14:paraId="3B5AE2BD" w14:textId="73D025C9" w:rsidR="0001154E" w:rsidRPr="005176BD" w:rsidRDefault="0001154E" w:rsidP="003B611A">
            <w:pPr>
              <w:rPr>
                <w:rFonts w:cs="Arial"/>
                <w:sz w:val="20"/>
                <w:szCs w:val="20"/>
                <w:lang w:eastAsia="en-AU"/>
              </w:rPr>
            </w:pPr>
            <w:r w:rsidRPr="005176BD">
              <w:rPr>
                <w:rFonts w:cs="Arial"/>
                <w:sz w:val="20"/>
                <w:szCs w:val="20"/>
                <w:lang w:eastAsia="en-AU"/>
              </w:rPr>
              <w:t xml:space="preserve">Changes in physical functioning over 6 years in older women: Effects of sitting time and physical activity. European Journal of Ageing, </w:t>
            </w:r>
            <w:r w:rsidR="00291BE1" w:rsidRPr="005176BD">
              <w:rPr>
                <w:rFonts w:cs="Arial"/>
                <w:sz w:val="20"/>
                <w:szCs w:val="20"/>
                <w:lang w:eastAsia="en-AU"/>
              </w:rPr>
              <w:t xml:space="preserve">2014; </w:t>
            </w:r>
            <w:r w:rsidRPr="005176BD">
              <w:rPr>
                <w:rFonts w:cs="Arial"/>
                <w:sz w:val="20"/>
                <w:szCs w:val="20"/>
                <w:lang w:eastAsia="en-AU"/>
              </w:rPr>
              <w:t xml:space="preserve">11(3): 205-212. </w:t>
            </w:r>
          </w:p>
        </w:tc>
        <w:tc>
          <w:tcPr>
            <w:tcW w:w="4901" w:type="dxa"/>
          </w:tcPr>
          <w:p w14:paraId="28B9460D" w14:textId="77777777" w:rsidR="0001154E" w:rsidRPr="005176BD" w:rsidRDefault="0001154E" w:rsidP="003B611A">
            <w:pPr>
              <w:rPr>
                <w:rFonts w:cs="Arial"/>
                <w:sz w:val="20"/>
                <w:szCs w:val="20"/>
                <w:lang w:eastAsia="en-AU"/>
              </w:rPr>
            </w:pPr>
            <w:r w:rsidRPr="005176BD">
              <w:rPr>
                <w:rFonts w:cs="Arial"/>
                <w:sz w:val="20"/>
                <w:szCs w:val="20"/>
                <w:lang w:eastAsia="en-AU"/>
              </w:rPr>
              <w:t>Peeters G, Lips P &amp; Brown W.</w:t>
            </w:r>
          </w:p>
        </w:tc>
        <w:tc>
          <w:tcPr>
            <w:tcW w:w="617" w:type="dxa"/>
          </w:tcPr>
          <w:p w14:paraId="66C12EF2" w14:textId="77777777" w:rsidR="0001154E" w:rsidRPr="005176BD" w:rsidRDefault="0001154E" w:rsidP="003B611A">
            <w:pPr>
              <w:rPr>
                <w:rFonts w:cs="Arial"/>
                <w:sz w:val="20"/>
                <w:szCs w:val="20"/>
                <w:lang w:eastAsia="en-AU"/>
              </w:rPr>
            </w:pPr>
            <w:r w:rsidRPr="005176BD">
              <w:rPr>
                <w:rFonts w:cs="Arial"/>
                <w:sz w:val="20"/>
                <w:szCs w:val="20"/>
                <w:lang w:eastAsia="en-AU"/>
              </w:rPr>
              <w:t>6</w:t>
            </w:r>
          </w:p>
        </w:tc>
      </w:tr>
      <w:tr w:rsidR="0001154E" w:rsidRPr="00084B2B" w14:paraId="6D3669D1" w14:textId="77777777" w:rsidTr="0011030B">
        <w:tc>
          <w:tcPr>
            <w:tcW w:w="8337" w:type="dxa"/>
          </w:tcPr>
          <w:p w14:paraId="6895BAE2" w14:textId="344978AF" w:rsidR="0001154E" w:rsidRPr="005176BD" w:rsidRDefault="0001154E" w:rsidP="003B611A">
            <w:pPr>
              <w:rPr>
                <w:rFonts w:cs="Arial"/>
                <w:sz w:val="20"/>
                <w:szCs w:val="20"/>
                <w:lang w:eastAsia="en-AU"/>
              </w:rPr>
            </w:pPr>
            <w:r w:rsidRPr="005176BD">
              <w:rPr>
                <w:rFonts w:cs="Arial"/>
                <w:sz w:val="20"/>
                <w:szCs w:val="20"/>
                <w:lang w:eastAsia="en-AU"/>
              </w:rPr>
              <w:t xml:space="preserve">Impact of persistent constipation on health related quality of life and mortality in older community dwelling women. American Journal of Gastroenterology, </w:t>
            </w:r>
            <w:r w:rsidR="0081500B" w:rsidRPr="005176BD">
              <w:rPr>
                <w:rFonts w:cs="Arial"/>
                <w:sz w:val="20"/>
                <w:szCs w:val="20"/>
                <w:lang w:eastAsia="en-AU"/>
              </w:rPr>
              <w:t xml:space="preserve">2013; </w:t>
            </w:r>
            <w:r w:rsidRPr="005176BD">
              <w:rPr>
                <w:rFonts w:cs="Arial"/>
                <w:sz w:val="20"/>
                <w:szCs w:val="20"/>
                <w:lang w:eastAsia="en-AU"/>
              </w:rPr>
              <w:t>108(7)</w:t>
            </w:r>
            <w:r w:rsidR="0081500B" w:rsidRPr="005176BD">
              <w:rPr>
                <w:rFonts w:cs="Arial"/>
                <w:sz w:val="20"/>
                <w:szCs w:val="20"/>
                <w:lang w:eastAsia="en-AU"/>
              </w:rPr>
              <w:t>:</w:t>
            </w:r>
            <w:r w:rsidRPr="005176BD">
              <w:rPr>
                <w:rFonts w:cs="Arial"/>
                <w:sz w:val="20"/>
                <w:szCs w:val="20"/>
                <w:lang w:eastAsia="en-AU"/>
              </w:rPr>
              <w:t xml:space="preserve"> 1152-1158.</w:t>
            </w:r>
          </w:p>
        </w:tc>
        <w:tc>
          <w:tcPr>
            <w:tcW w:w="4901" w:type="dxa"/>
          </w:tcPr>
          <w:p w14:paraId="532F50FC"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Koloski</w:t>
            </w:r>
            <w:proofErr w:type="spellEnd"/>
            <w:r w:rsidRPr="005176BD">
              <w:rPr>
                <w:rFonts w:cs="Arial"/>
                <w:sz w:val="20"/>
                <w:szCs w:val="20"/>
                <w:lang w:eastAsia="en-AU"/>
              </w:rPr>
              <w:t xml:space="preserve"> N, Jones M, </w:t>
            </w:r>
            <w:proofErr w:type="spellStart"/>
            <w:r w:rsidRPr="005176BD">
              <w:rPr>
                <w:rFonts w:cs="Arial"/>
                <w:sz w:val="20"/>
                <w:szCs w:val="20"/>
                <w:lang w:eastAsia="en-AU"/>
              </w:rPr>
              <w:t>Wai</w:t>
            </w:r>
            <w:proofErr w:type="spellEnd"/>
            <w:r w:rsidRPr="005176BD">
              <w:rPr>
                <w:rFonts w:cs="Arial"/>
                <w:sz w:val="20"/>
                <w:szCs w:val="20"/>
                <w:lang w:eastAsia="en-AU"/>
              </w:rPr>
              <w:t xml:space="preserve"> R, Gill R, Byles J &amp; Talley N.</w:t>
            </w:r>
          </w:p>
        </w:tc>
        <w:tc>
          <w:tcPr>
            <w:tcW w:w="617" w:type="dxa"/>
          </w:tcPr>
          <w:p w14:paraId="5942A811" w14:textId="77777777" w:rsidR="0001154E" w:rsidRPr="005176BD" w:rsidRDefault="0001154E" w:rsidP="003B611A">
            <w:pPr>
              <w:rPr>
                <w:rFonts w:cs="Arial"/>
                <w:sz w:val="20"/>
                <w:szCs w:val="20"/>
                <w:lang w:eastAsia="en-AU"/>
              </w:rPr>
            </w:pPr>
            <w:r w:rsidRPr="005176BD">
              <w:rPr>
                <w:rFonts w:cs="Arial"/>
                <w:sz w:val="20"/>
                <w:szCs w:val="20"/>
                <w:lang w:eastAsia="en-AU"/>
              </w:rPr>
              <w:t>52</w:t>
            </w:r>
          </w:p>
        </w:tc>
      </w:tr>
      <w:tr w:rsidR="0001154E" w:rsidRPr="00084B2B" w14:paraId="3BE57315" w14:textId="77777777" w:rsidTr="0011030B">
        <w:tc>
          <w:tcPr>
            <w:tcW w:w="8337" w:type="dxa"/>
          </w:tcPr>
          <w:p w14:paraId="5B86685E" w14:textId="28EB84EE" w:rsidR="0001154E" w:rsidRPr="005176BD" w:rsidRDefault="0001154E" w:rsidP="003B611A">
            <w:pPr>
              <w:rPr>
                <w:rFonts w:cs="Arial"/>
                <w:sz w:val="20"/>
                <w:szCs w:val="20"/>
                <w:lang w:eastAsia="en-AU"/>
              </w:rPr>
            </w:pPr>
            <w:r w:rsidRPr="005176BD">
              <w:rPr>
                <w:rFonts w:cs="Arial"/>
                <w:sz w:val="20"/>
                <w:szCs w:val="20"/>
                <w:lang w:eastAsia="en-AU"/>
              </w:rPr>
              <w:t xml:space="preserve">Prevalence correlates and impact of </w:t>
            </w:r>
            <w:proofErr w:type="spellStart"/>
            <w:r w:rsidRPr="005176BD">
              <w:rPr>
                <w:rFonts w:cs="Arial"/>
                <w:sz w:val="20"/>
                <w:szCs w:val="20"/>
                <w:lang w:eastAsia="en-AU"/>
              </w:rPr>
              <w:t>fecal</w:t>
            </w:r>
            <w:proofErr w:type="spellEnd"/>
            <w:r w:rsidRPr="005176BD">
              <w:rPr>
                <w:rFonts w:cs="Arial"/>
                <w:sz w:val="20"/>
                <w:szCs w:val="20"/>
                <w:lang w:eastAsia="en-AU"/>
              </w:rPr>
              <w:t xml:space="preserve"> incontinence among older women. Diseases of the Colon and Rectum, </w:t>
            </w:r>
            <w:r w:rsidR="0081500B" w:rsidRPr="005176BD">
              <w:rPr>
                <w:rFonts w:cs="Arial"/>
                <w:sz w:val="20"/>
                <w:szCs w:val="20"/>
                <w:lang w:eastAsia="en-AU"/>
              </w:rPr>
              <w:t xml:space="preserve">2013; </w:t>
            </w:r>
            <w:r w:rsidRPr="005176BD">
              <w:rPr>
                <w:rFonts w:cs="Arial"/>
                <w:sz w:val="20"/>
                <w:szCs w:val="20"/>
                <w:lang w:eastAsia="en-AU"/>
              </w:rPr>
              <w:t>56(9)</w:t>
            </w:r>
            <w:r w:rsidR="0081500B" w:rsidRPr="005176BD">
              <w:rPr>
                <w:rFonts w:cs="Arial"/>
                <w:sz w:val="20"/>
                <w:szCs w:val="20"/>
                <w:lang w:eastAsia="en-AU"/>
              </w:rPr>
              <w:t>:</w:t>
            </w:r>
            <w:r w:rsidRPr="005176BD">
              <w:rPr>
                <w:rFonts w:cs="Arial"/>
                <w:sz w:val="20"/>
                <w:szCs w:val="20"/>
                <w:lang w:eastAsia="en-AU"/>
              </w:rPr>
              <w:t xml:space="preserve"> 1080-1086.</w:t>
            </w:r>
          </w:p>
        </w:tc>
        <w:tc>
          <w:tcPr>
            <w:tcW w:w="4901" w:type="dxa"/>
          </w:tcPr>
          <w:p w14:paraId="4E5EB849"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Halland</w:t>
            </w:r>
            <w:proofErr w:type="spellEnd"/>
            <w:r w:rsidRPr="005176BD">
              <w:rPr>
                <w:rFonts w:cs="Arial"/>
                <w:sz w:val="20"/>
                <w:szCs w:val="20"/>
                <w:lang w:eastAsia="en-AU"/>
              </w:rPr>
              <w:t xml:space="preserve"> M, </w:t>
            </w:r>
            <w:proofErr w:type="spellStart"/>
            <w:r w:rsidRPr="005176BD">
              <w:rPr>
                <w:rFonts w:cs="Arial"/>
                <w:sz w:val="20"/>
                <w:szCs w:val="20"/>
                <w:lang w:eastAsia="en-AU"/>
              </w:rPr>
              <w:t>Koloski</w:t>
            </w:r>
            <w:proofErr w:type="spellEnd"/>
            <w:r w:rsidRPr="005176BD">
              <w:rPr>
                <w:rFonts w:cs="Arial"/>
                <w:sz w:val="20"/>
                <w:szCs w:val="20"/>
                <w:lang w:eastAsia="en-AU"/>
              </w:rPr>
              <w:t xml:space="preserve"> N, Jones M, Byles J, </w:t>
            </w:r>
            <w:proofErr w:type="spellStart"/>
            <w:r w:rsidRPr="005176BD">
              <w:rPr>
                <w:rFonts w:cs="Arial"/>
                <w:sz w:val="20"/>
                <w:szCs w:val="20"/>
                <w:lang w:eastAsia="en-AU"/>
              </w:rPr>
              <w:t>Chiarelli</w:t>
            </w:r>
            <w:proofErr w:type="spellEnd"/>
            <w:r w:rsidRPr="005176BD">
              <w:rPr>
                <w:rFonts w:cs="Arial"/>
                <w:sz w:val="20"/>
                <w:szCs w:val="20"/>
                <w:lang w:eastAsia="en-AU"/>
              </w:rPr>
              <w:t xml:space="preserve"> P, Forder P, </w:t>
            </w:r>
            <w:proofErr w:type="spellStart"/>
            <w:r w:rsidRPr="005176BD">
              <w:rPr>
                <w:rFonts w:cs="Arial"/>
                <w:sz w:val="20"/>
                <w:szCs w:val="20"/>
                <w:lang w:eastAsia="en-AU"/>
              </w:rPr>
              <w:t>Biostat</w:t>
            </w:r>
            <w:proofErr w:type="spellEnd"/>
            <w:r w:rsidRPr="005176BD">
              <w:rPr>
                <w:rFonts w:cs="Arial"/>
                <w:sz w:val="20"/>
                <w:szCs w:val="20"/>
                <w:lang w:eastAsia="en-AU"/>
              </w:rPr>
              <w:t xml:space="preserve"> M &amp; Talley N.</w:t>
            </w:r>
          </w:p>
        </w:tc>
        <w:tc>
          <w:tcPr>
            <w:tcW w:w="617" w:type="dxa"/>
          </w:tcPr>
          <w:p w14:paraId="22D0B611" w14:textId="77777777" w:rsidR="0001154E" w:rsidRPr="005176BD" w:rsidRDefault="0001154E" w:rsidP="003B611A">
            <w:pPr>
              <w:rPr>
                <w:rFonts w:cs="Arial"/>
                <w:sz w:val="20"/>
                <w:szCs w:val="20"/>
                <w:lang w:eastAsia="en-AU"/>
              </w:rPr>
            </w:pPr>
            <w:r w:rsidRPr="005176BD">
              <w:rPr>
                <w:rFonts w:cs="Arial"/>
                <w:sz w:val="20"/>
                <w:szCs w:val="20"/>
                <w:lang w:eastAsia="en-AU"/>
              </w:rPr>
              <w:t>28</w:t>
            </w:r>
          </w:p>
        </w:tc>
      </w:tr>
      <w:tr w:rsidR="0001154E" w:rsidRPr="00084B2B" w14:paraId="67577070" w14:textId="77777777" w:rsidTr="0011030B">
        <w:tc>
          <w:tcPr>
            <w:tcW w:w="8337" w:type="dxa"/>
          </w:tcPr>
          <w:p w14:paraId="6C7CBC5A" w14:textId="492A2277" w:rsidR="0001154E" w:rsidRPr="005176BD" w:rsidRDefault="0001154E" w:rsidP="003B611A">
            <w:pPr>
              <w:rPr>
                <w:rFonts w:cs="Arial"/>
                <w:sz w:val="20"/>
                <w:szCs w:val="20"/>
                <w:lang w:eastAsia="en-AU"/>
              </w:rPr>
            </w:pPr>
            <w:r w:rsidRPr="005176BD">
              <w:rPr>
                <w:rFonts w:cs="Arial"/>
                <w:sz w:val="20"/>
                <w:szCs w:val="20"/>
                <w:lang w:eastAsia="en-AU"/>
              </w:rPr>
              <w:t xml:space="preserve">Predictors and persistence of foot problems in women aged 70 years and over: </w:t>
            </w:r>
            <w:r w:rsidR="0081500B" w:rsidRPr="005176BD">
              <w:rPr>
                <w:rFonts w:cs="Arial"/>
                <w:sz w:val="20"/>
                <w:szCs w:val="20"/>
                <w:lang w:eastAsia="en-AU"/>
              </w:rPr>
              <w:t>A</w:t>
            </w:r>
            <w:r w:rsidRPr="005176BD">
              <w:rPr>
                <w:rFonts w:cs="Arial"/>
                <w:sz w:val="20"/>
                <w:szCs w:val="20"/>
                <w:lang w:eastAsia="en-AU"/>
              </w:rPr>
              <w:t xml:space="preserve"> prospective study. Maturitas, </w:t>
            </w:r>
            <w:r w:rsidR="0081500B" w:rsidRPr="005176BD">
              <w:rPr>
                <w:rFonts w:cs="Arial"/>
                <w:sz w:val="20"/>
                <w:szCs w:val="20"/>
                <w:lang w:eastAsia="en-AU"/>
              </w:rPr>
              <w:t xml:space="preserve">2011; </w:t>
            </w:r>
            <w:r w:rsidRPr="005176BD">
              <w:rPr>
                <w:rFonts w:cs="Arial"/>
                <w:sz w:val="20"/>
                <w:szCs w:val="20"/>
                <w:lang w:eastAsia="en-AU"/>
              </w:rPr>
              <w:t>68(1)</w:t>
            </w:r>
            <w:r w:rsidR="0081500B" w:rsidRPr="005176BD">
              <w:rPr>
                <w:rFonts w:cs="Arial"/>
                <w:sz w:val="20"/>
                <w:szCs w:val="20"/>
                <w:lang w:eastAsia="en-AU"/>
              </w:rPr>
              <w:t>:</w:t>
            </w:r>
            <w:r w:rsidRPr="005176BD">
              <w:rPr>
                <w:rFonts w:cs="Arial"/>
                <w:sz w:val="20"/>
                <w:szCs w:val="20"/>
                <w:lang w:eastAsia="en-AU"/>
              </w:rPr>
              <w:t xml:space="preserve"> 83-87.</w:t>
            </w:r>
            <w:r w:rsidRPr="005176BD">
              <w:rPr>
                <w:rFonts w:cs="Arial"/>
                <w:sz w:val="20"/>
                <w:szCs w:val="20"/>
                <w:lang w:eastAsia="en-AU"/>
              </w:rPr>
              <w:br w:type="page"/>
            </w:r>
          </w:p>
        </w:tc>
        <w:tc>
          <w:tcPr>
            <w:tcW w:w="4901" w:type="dxa"/>
          </w:tcPr>
          <w:p w14:paraId="0852ACBA"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Menz</w:t>
            </w:r>
            <w:proofErr w:type="spellEnd"/>
            <w:r w:rsidRPr="005176BD">
              <w:rPr>
                <w:rFonts w:cs="Arial"/>
                <w:sz w:val="20"/>
                <w:szCs w:val="20"/>
                <w:lang w:eastAsia="en-AU"/>
              </w:rPr>
              <w:t xml:space="preserve"> H, Barr E &amp; Brown W.</w:t>
            </w:r>
          </w:p>
        </w:tc>
        <w:tc>
          <w:tcPr>
            <w:tcW w:w="617" w:type="dxa"/>
          </w:tcPr>
          <w:p w14:paraId="66B921ED" w14:textId="77777777" w:rsidR="0001154E" w:rsidRPr="005176BD" w:rsidRDefault="0001154E" w:rsidP="003B611A">
            <w:pPr>
              <w:rPr>
                <w:rFonts w:cs="Arial"/>
                <w:sz w:val="20"/>
                <w:szCs w:val="20"/>
                <w:lang w:eastAsia="en-AU"/>
              </w:rPr>
            </w:pPr>
            <w:r w:rsidRPr="005176BD">
              <w:rPr>
                <w:rFonts w:cs="Arial"/>
                <w:sz w:val="20"/>
                <w:szCs w:val="20"/>
                <w:lang w:eastAsia="en-AU"/>
              </w:rPr>
              <w:t>39</w:t>
            </w:r>
          </w:p>
        </w:tc>
      </w:tr>
      <w:tr w:rsidR="0001154E" w:rsidRPr="00084B2B" w14:paraId="688D8F89" w14:textId="77777777" w:rsidTr="0011030B">
        <w:tc>
          <w:tcPr>
            <w:tcW w:w="8337" w:type="dxa"/>
          </w:tcPr>
          <w:p w14:paraId="208175BF" w14:textId="43172F0E" w:rsidR="0001154E" w:rsidRPr="005176BD" w:rsidRDefault="0001154E" w:rsidP="003B611A">
            <w:pPr>
              <w:rPr>
                <w:rFonts w:cs="Arial"/>
                <w:sz w:val="20"/>
                <w:szCs w:val="20"/>
                <w:lang w:eastAsia="en-AU"/>
              </w:rPr>
            </w:pPr>
            <w:r w:rsidRPr="005176BD">
              <w:rPr>
                <w:rFonts w:cs="Arial"/>
                <w:sz w:val="20"/>
                <w:szCs w:val="20"/>
                <w:lang w:eastAsia="en-AU"/>
              </w:rPr>
              <w:t xml:space="preserve">The management of heart conditions in older rural and urban Australian women. Internal Medicine Journal, </w:t>
            </w:r>
            <w:r w:rsidR="0081500B" w:rsidRPr="005176BD">
              <w:rPr>
                <w:rFonts w:cs="Arial"/>
                <w:sz w:val="20"/>
                <w:szCs w:val="20"/>
                <w:lang w:eastAsia="en-AU"/>
              </w:rPr>
              <w:t xml:space="preserve">2011; </w:t>
            </w:r>
            <w:r w:rsidRPr="005176BD">
              <w:rPr>
                <w:rFonts w:cs="Arial"/>
                <w:sz w:val="20"/>
                <w:szCs w:val="20"/>
                <w:lang w:eastAsia="en-AU"/>
              </w:rPr>
              <w:t>41(10)</w:t>
            </w:r>
            <w:r w:rsidR="0081500B" w:rsidRPr="005176BD">
              <w:rPr>
                <w:rFonts w:cs="Arial"/>
                <w:sz w:val="20"/>
                <w:szCs w:val="20"/>
                <w:lang w:eastAsia="en-AU"/>
              </w:rPr>
              <w:t>:</w:t>
            </w:r>
            <w:r w:rsidRPr="005176BD">
              <w:rPr>
                <w:rFonts w:cs="Arial"/>
                <w:sz w:val="20"/>
                <w:szCs w:val="20"/>
                <w:lang w:eastAsia="en-AU"/>
              </w:rPr>
              <w:t xml:space="preserve"> 722-729.</w:t>
            </w:r>
          </w:p>
        </w:tc>
        <w:tc>
          <w:tcPr>
            <w:tcW w:w="4901" w:type="dxa"/>
          </w:tcPr>
          <w:p w14:paraId="218ED9EF" w14:textId="77777777" w:rsidR="0001154E" w:rsidRPr="005176BD" w:rsidRDefault="0001154E" w:rsidP="003B611A">
            <w:pPr>
              <w:rPr>
                <w:rFonts w:cs="Arial"/>
                <w:sz w:val="20"/>
                <w:szCs w:val="20"/>
                <w:lang w:eastAsia="en-AU"/>
              </w:rPr>
            </w:pPr>
            <w:r w:rsidRPr="005176BD">
              <w:rPr>
                <w:rFonts w:cs="Arial"/>
                <w:sz w:val="20"/>
                <w:szCs w:val="20"/>
                <w:lang w:eastAsia="en-AU"/>
              </w:rPr>
              <w:t>Jordan S, Wilson A &amp; Dobson A.</w:t>
            </w:r>
          </w:p>
        </w:tc>
        <w:tc>
          <w:tcPr>
            <w:tcW w:w="617" w:type="dxa"/>
          </w:tcPr>
          <w:p w14:paraId="004B6C7C" w14:textId="77777777" w:rsidR="0001154E" w:rsidRPr="005176BD" w:rsidRDefault="0001154E" w:rsidP="003B611A">
            <w:pPr>
              <w:rPr>
                <w:rFonts w:cs="Arial"/>
                <w:sz w:val="20"/>
                <w:szCs w:val="20"/>
                <w:lang w:eastAsia="en-AU"/>
              </w:rPr>
            </w:pPr>
            <w:r w:rsidRPr="005176BD">
              <w:rPr>
                <w:rFonts w:cs="Arial"/>
                <w:sz w:val="20"/>
                <w:szCs w:val="20"/>
                <w:lang w:eastAsia="en-AU"/>
              </w:rPr>
              <w:t>22</w:t>
            </w:r>
          </w:p>
        </w:tc>
      </w:tr>
      <w:tr w:rsidR="0001154E" w:rsidRPr="00084B2B" w14:paraId="531A8058" w14:textId="77777777" w:rsidTr="0011030B">
        <w:tc>
          <w:tcPr>
            <w:tcW w:w="8337" w:type="dxa"/>
          </w:tcPr>
          <w:p w14:paraId="19C86758" w14:textId="609E9D51" w:rsidR="0001154E" w:rsidRPr="005176BD" w:rsidRDefault="0001154E" w:rsidP="003B611A">
            <w:pPr>
              <w:rPr>
                <w:rFonts w:cs="Arial"/>
                <w:sz w:val="20"/>
                <w:szCs w:val="20"/>
                <w:lang w:eastAsia="en-AU"/>
              </w:rPr>
            </w:pPr>
            <w:r w:rsidRPr="005176BD">
              <w:rPr>
                <w:rFonts w:cs="Arial"/>
                <w:sz w:val="20"/>
                <w:szCs w:val="20"/>
                <w:lang w:eastAsia="en-AU"/>
              </w:rPr>
              <w:t xml:space="preserve">What is a healthy body mass index for women in their seventies? Results from the Australian Longitudinal Study on Women’s Health. Journals of Gerontology- Series A Biological Sciences and Medical Sciences, </w:t>
            </w:r>
            <w:r w:rsidR="0081500B" w:rsidRPr="005176BD">
              <w:rPr>
                <w:rFonts w:cs="Arial"/>
                <w:sz w:val="20"/>
                <w:szCs w:val="20"/>
                <w:lang w:eastAsia="en-AU"/>
              </w:rPr>
              <w:t xml:space="preserve">2010; </w:t>
            </w:r>
            <w:proofErr w:type="gramStart"/>
            <w:r w:rsidRPr="005176BD">
              <w:rPr>
                <w:rFonts w:cs="Arial"/>
                <w:sz w:val="20"/>
                <w:szCs w:val="20"/>
                <w:lang w:eastAsia="en-AU"/>
              </w:rPr>
              <w:t>65A(</w:t>
            </w:r>
            <w:proofErr w:type="gramEnd"/>
            <w:r w:rsidRPr="005176BD">
              <w:rPr>
                <w:rFonts w:cs="Arial"/>
                <w:sz w:val="20"/>
                <w:szCs w:val="20"/>
                <w:lang w:eastAsia="en-AU"/>
              </w:rPr>
              <w:t>8)</w:t>
            </w:r>
            <w:r w:rsidR="0081500B" w:rsidRPr="005176BD">
              <w:rPr>
                <w:rFonts w:cs="Arial"/>
                <w:sz w:val="20"/>
                <w:szCs w:val="20"/>
                <w:lang w:eastAsia="en-AU"/>
              </w:rPr>
              <w:t>:</w:t>
            </w:r>
            <w:r w:rsidR="00012F17" w:rsidRPr="005176BD">
              <w:rPr>
                <w:rFonts w:cs="Arial"/>
                <w:sz w:val="20"/>
                <w:szCs w:val="20"/>
                <w:lang w:eastAsia="en-AU"/>
              </w:rPr>
              <w:t xml:space="preserve"> </w:t>
            </w:r>
            <w:r w:rsidRPr="005176BD">
              <w:rPr>
                <w:rFonts w:cs="Arial"/>
                <w:sz w:val="20"/>
                <w:szCs w:val="20"/>
                <w:lang w:eastAsia="en-AU"/>
              </w:rPr>
              <w:t xml:space="preserve">847-853. </w:t>
            </w:r>
          </w:p>
        </w:tc>
        <w:tc>
          <w:tcPr>
            <w:tcW w:w="4901" w:type="dxa"/>
          </w:tcPr>
          <w:p w14:paraId="38316466" w14:textId="77777777" w:rsidR="0001154E" w:rsidRPr="005176BD" w:rsidRDefault="0001154E" w:rsidP="003B611A">
            <w:pPr>
              <w:rPr>
                <w:rFonts w:cs="Arial"/>
                <w:sz w:val="20"/>
                <w:szCs w:val="20"/>
                <w:lang w:eastAsia="en-AU"/>
              </w:rPr>
            </w:pPr>
            <w:r w:rsidRPr="005176BD">
              <w:rPr>
                <w:rFonts w:cs="Arial"/>
                <w:sz w:val="20"/>
                <w:szCs w:val="20"/>
                <w:lang w:eastAsia="en-AU"/>
              </w:rPr>
              <w:t xml:space="preserve">van </w:t>
            </w:r>
            <w:proofErr w:type="spellStart"/>
            <w:r w:rsidRPr="005176BD">
              <w:rPr>
                <w:rFonts w:cs="Arial"/>
                <w:sz w:val="20"/>
                <w:szCs w:val="20"/>
                <w:lang w:eastAsia="en-AU"/>
              </w:rPr>
              <w:t>Uffelen</w:t>
            </w:r>
            <w:proofErr w:type="spellEnd"/>
            <w:r w:rsidRPr="005176BD">
              <w:rPr>
                <w:rFonts w:cs="Arial"/>
                <w:sz w:val="20"/>
                <w:szCs w:val="20"/>
                <w:lang w:eastAsia="en-AU"/>
              </w:rPr>
              <w:t xml:space="preserve"> J, Berecki-</w:t>
            </w:r>
            <w:proofErr w:type="spellStart"/>
            <w:r w:rsidRPr="005176BD">
              <w:rPr>
                <w:rFonts w:cs="Arial"/>
                <w:sz w:val="20"/>
                <w:szCs w:val="20"/>
                <w:lang w:eastAsia="en-AU"/>
              </w:rPr>
              <w:t>Gisolf</w:t>
            </w:r>
            <w:proofErr w:type="spellEnd"/>
            <w:r w:rsidRPr="005176BD">
              <w:rPr>
                <w:rFonts w:cs="Arial"/>
                <w:sz w:val="20"/>
                <w:szCs w:val="20"/>
                <w:lang w:eastAsia="en-AU"/>
              </w:rPr>
              <w:t xml:space="preserve"> J, Brown W &amp; Dobson A.</w:t>
            </w:r>
          </w:p>
        </w:tc>
        <w:tc>
          <w:tcPr>
            <w:tcW w:w="617" w:type="dxa"/>
          </w:tcPr>
          <w:p w14:paraId="59E57731" w14:textId="77777777" w:rsidR="0001154E" w:rsidRPr="005176BD" w:rsidRDefault="0001154E" w:rsidP="003B611A">
            <w:pPr>
              <w:rPr>
                <w:rFonts w:cs="Arial"/>
                <w:sz w:val="20"/>
                <w:szCs w:val="20"/>
                <w:lang w:eastAsia="en-AU"/>
              </w:rPr>
            </w:pPr>
            <w:r w:rsidRPr="005176BD">
              <w:rPr>
                <w:rFonts w:cs="Arial"/>
                <w:sz w:val="20"/>
                <w:szCs w:val="20"/>
                <w:lang w:eastAsia="en-AU"/>
              </w:rPr>
              <w:t>25</w:t>
            </w:r>
          </w:p>
        </w:tc>
      </w:tr>
      <w:tr w:rsidR="003A6BE6" w:rsidRPr="003A6BE6" w14:paraId="4CA673D6" w14:textId="77777777" w:rsidTr="0011030B">
        <w:tc>
          <w:tcPr>
            <w:tcW w:w="8337" w:type="dxa"/>
          </w:tcPr>
          <w:p w14:paraId="3CB015EF" w14:textId="77777777" w:rsidR="003A6BE6" w:rsidRPr="005176BD" w:rsidRDefault="003A6BE6" w:rsidP="003B611A">
            <w:pPr>
              <w:rPr>
                <w:rFonts w:cs="Arial"/>
                <w:sz w:val="20"/>
                <w:szCs w:val="20"/>
                <w:lang w:eastAsia="en-AU"/>
              </w:rPr>
            </w:pPr>
            <w:r w:rsidRPr="005176BD">
              <w:rPr>
                <w:rFonts w:cs="Arial"/>
                <w:sz w:val="20"/>
                <w:szCs w:val="20"/>
                <w:lang w:eastAsia="en-AU"/>
              </w:rPr>
              <w:t>Estimates of probable dementia prevalence from population-based surveys compared with dementia prevalence estimates based on meta-analyses. BMC Neurology, 2010; 10(62): 1-12.</w:t>
            </w:r>
          </w:p>
        </w:tc>
        <w:tc>
          <w:tcPr>
            <w:tcW w:w="4901" w:type="dxa"/>
          </w:tcPr>
          <w:p w14:paraId="4A46522F" w14:textId="77777777" w:rsidR="003A6BE6" w:rsidRPr="005176BD" w:rsidRDefault="003A6BE6" w:rsidP="003B611A">
            <w:pPr>
              <w:rPr>
                <w:rFonts w:cs="Arial"/>
                <w:sz w:val="20"/>
                <w:szCs w:val="20"/>
                <w:lang w:eastAsia="en-AU"/>
              </w:rPr>
            </w:pPr>
            <w:r w:rsidRPr="005176BD">
              <w:rPr>
                <w:rFonts w:cs="Arial"/>
                <w:sz w:val="20"/>
                <w:szCs w:val="20"/>
                <w:lang w:eastAsia="en-AU"/>
              </w:rPr>
              <w:t xml:space="preserve">Anstey K, Burns R, </w:t>
            </w:r>
            <w:proofErr w:type="spellStart"/>
            <w:r w:rsidRPr="005176BD">
              <w:rPr>
                <w:rFonts w:cs="Arial"/>
                <w:sz w:val="20"/>
                <w:szCs w:val="20"/>
                <w:lang w:eastAsia="en-AU"/>
              </w:rPr>
              <w:t>Birrell</w:t>
            </w:r>
            <w:proofErr w:type="spellEnd"/>
            <w:r w:rsidRPr="005176BD">
              <w:rPr>
                <w:rFonts w:cs="Arial"/>
                <w:sz w:val="20"/>
                <w:szCs w:val="20"/>
                <w:lang w:eastAsia="en-AU"/>
              </w:rPr>
              <w:t xml:space="preserve"> C, Steel D, Kiely K &amp; </w:t>
            </w:r>
            <w:proofErr w:type="spellStart"/>
            <w:r w:rsidRPr="005176BD">
              <w:rPr>
                <w:rFonts w:cs="Arial"/>
                <w:sz w:val="20"/>
                <w:szCs w:val="20"/>
                <w:lang w:eastAsia="en-AU"/>
              </w:rPr>
              <w:t>Luszcz</w:t>
            </w:r>
            <w:proofErr w:type="spellEnd"/>
            <w:r w:rsidRPr="005176BD">
              <w:rPr>
                <w:rFonts w:cs="Arial"/>
                <w:sz w:val="20"/>
                <w:szCs w:val="20"/>
                <w:lang w:eastAsia="en-AU"/>
              </w:rPr>
              <w:t xml:space="preserve"> M.</w:t>
            </w:r>
          </w:p>
        </w:tc>
        <w:tc>
          <w:tcPr>
            <w:tcW w:w="617" w:type="dxa"/>
          </w:tcPr>
          <w:p w14:paraId="06CB9F2F" w14:textId="77777777" w:rsidR="003A6BE6" w:rsidRPr="005176BD" w:rsidRDefault="003A6BE6" w:rsidP="003B611A">
            <w:pPr>
              <w:rPr>
                <w:rFonts w:cs="Arial"/>
                <w:sz w:val="20"/>
                <w:szCs w:val="20"/>
                <w:lang w:eastAsia="en-AU"/>
              </w:rPr>
            </w:pPr>
            <w:r w:rsidRPr="005176BD">
              <w:rPr>
                <w:rFonts w:cs="Arial"/>
                <w:sz w:val="20"/>
                <w:szCs w:val="20"/>
                <w:lang w:eastAsia="en-AU"/>
              </w:rPr>
              <w:t>56</w:t>
            </w:r>
          </w:p>
        </w:tc>
      </w:tr>
      <w:tr w:rsidR="0001154E" w:rsidRPr="00084B2B" w14:paraId="305A3EA3" w14:textId="77777777" w:rsidTr="0011030B">
        <w:tc>
          <w:tcPr>
            <w:tcW w:w="8337" w:type="dxa"/>
          </w:tcPr>
          <w:p w14:paraId="3ABA9F3D" w14:textId="2CA5F068" w:rsidR="0001154E" w:rsidRPr="005176BD" w:rsidRDefault="0001154E" w:rsidP="003B611A">
            <w:pPr>
              <w:rPr>
                <w:rFonts w:cs="Arial"/>
                <w:sz w:val="20"/>
                <w:szCs w:val="20"/>
                <w:lang w:eastAsia="en-AU"/>
              </w:rPr>
            </w:pPr>
            <w:r w:rsidRPr="005176BD">
              <w:rPr>
                <w:rFonts w:cs="Arial"/>
                <w:sz w:val="20"/>
                <w:szCs w:val="20"/>
                <w:lang w:eastAsia="en-AU"/>
              </w:rPr>
              <w:t xml:space="preserve">Height loss in elderly women is preceded by osteoporosis and is associated with digestive problems and urinary incontinence. Osteoporosis International, </w:t>
            </w:r>
            <w:r w:rsidR="0081500B" w:rsidRPr="005176BD">
              <w:rPr>
                <w:rFonts w:cs="Arial"/>
                <w:sz w:val="20"/>
                <w:szCs w:val="20"/>
                <w:lang w:eastAsia="en-AU"/>
              </w:rPr>
              <w:t xml:space="preserve">2010; </w:t>
            </w:r>
            <w:r w:rsidRPr="005176BD">
              <w:rPr>
                <w:rFonts w:cs="Arial"/>
                <w:sz w:val="20"/>
                <w:szCs w:val="20"/>
                <w:lang w:eastAsia="en-AU"/>
              </w:rPr>
              <w:t>21(3)</w:t>
            </w:r>
            <w:r w:rsidR="0081500B" w:rsidRPr="005176BD">
              <w:rPr>
                <w:rFonts w:cs="Arial"/>
                <w:sz w:val="20"/>
                <w:szCs w:val="20"/>
                <w:lang w:eastAsia="en-AU"/>
              </w:rPr>
              <w:t>:</w:t>
            </w:r>
            <w:r w:rsidRPr="005176BD">
              <w:rPr>
                <w:rFonts w:cs="Arial"/>
                <w:sz w:val="20"/>
                <w:szCs w:val="20"/>
                <w:lang w:eastAsia="en-AU"/>
              </w:rPr>
              <w:t xml:space="preserve"> 479-485.</w:t>
            </w:r>
          </w:p>
        </w:tc>
        <w:tc>
          <w:tcPr>
            <w:tcW w:w="4901" w:type="dxa"/>
          </w:tcPr>
          <w:p w14:paraId="247BB6E3" w14:textId="77777777" w:rsidR="0001154E" w:rsidRPr="005176BD" w:rsidRDefault="0001154E" w:rsidP="003B611A">
            <w:pPr>
              <w:rPr>
                <w:rFonts w:cs="Arial"/>
                <w:sz w:val="20"/>
                <w:szCs w:val="20"/>
                <w:lang w:eastAsia="en-AU"/>
              </w:rPr>
            </w:pPr>
            <w:r w:rsidRPr="005176BD">
              <w:rPr>
                <w:rFonts w:cs="Arial"/>
                <w:sz w:val="20"/>
                <w:szCs w:val="20"/>
                <w:lang w:eastAsia="en-AU"/>
              </w:rPr>
              <w:t>Berecki-</w:t>
            </w:r>
            <w:proofErr w:type="spellStart"/>
            <w:r w:rsidRPr="005176BD">
              <w:rPr>
                <w:rFonts w:cs="Arial"/>
                <w:sz w:val="20"/>
                <w:szCs w:val="20"/>
                <w:lang w:eastAsia="en-AU"/>
              </w:rPr>
              <w:t>Gisolf</w:t>
            </w:r>
            <w:proofErr w:type="spellEnd"/>
            <w:r w:rsidRPr="005176BD">
              <w:rPr>
                <w:rFonts w:cs="Arial"/>
                <w:sz w:val="20"/>
                <w:szCs w:val="20"/>
                <w:lang w:eastAsia="en-AU"/>
              </w:rPr>
              <w:t xml:space="preserve"> J, </w:t>
            </w:r>
            <w:proofErr w:type="spellStart"/>
            <w:r w:rsidRPr="005176BD">
              <w:rPr>
                <w:rFonts w:cs="Arial"/>
                <w:sz w:val="20"/>
                <w:szCs w:val="20"/>
                <w:lang w:eastAsia="en-AU"/>
              </w:rPr>
              <w:t>Spallek</w:t>
            </w:r>
            <w:proofErr w:type="spellEnd"/>
            <w:r w:rsidRPr="005176BD">
              <w:rPr>
                <w:rFonts w:cs="Arial"/>
                <w:sz w:val="20"/>
                <w:szCs w:val="20"/>
                <w:lang w:eastAsia="en-AU"/>
              </w:rPr>
              <w:t xml:space="preserve"> M, Hockey R &amp; Dobson A.</w:t>
            </w:r>
          </w:p>
        </w:tc>
        <w:tc>
          <w:tcPr>
            <w:tcW w:w="617" w:type="dxa"/>
          </w:tcPr>
          <w:p w14:paraId="3923E022" w14:textId="77777777" w:rsidR="0001154E" w:rsidRPr="005176BD" w:rsidRDefault="0001154E" w:rsidP="003B611A">
            <w:pPr>
              <w:rPr>
                <w:rFonts w:cs="Arial"/>
                <w:sz w:val="20"/>
                <w:szCs w:val="20"/>
                <w:lang w:eastAsia="en-AU"/>
              </w:rPr>
            </w:pPr>
            <w:r w:rsidRPr="005176BD">
              <w:rPr>
                <w:rFonts w:cs="Arial"/>
                <w:sz w:val="20"/>
                <w:szCs w:val="20"/>
                <w:lang w:eastAsia="en-AU"/>
              </w:rPr>
              <w:t>27</w:t>
            </w:r>
          </w:p>
        </w:tc>
      </w:tr>
      <w:tr w:rsidR="0001154E" w:rsidRPr="00084B2B" w14:paraId="25C78C65" w14:textId="77777777" w:rsidTr="0011030B">
        <w:tc>
          <w:tcPr>
            <w:tcW w:w="8337" w:type="dxa"/>
          </w:tcPr>
          <w:p w14:paraId="1121B53B" w14:textId="04A8EF3F" w:rsidR="0001154E" w:rsidRPr="005176BD" w:rsidRDefault="0001154E" w:rsidP="003B611A">
            <w:pPr>
              <w:rPr>
                <w:rFonts w:cs="Arial"/>
                <w:sz w:val="20"/>
                <w:szCs w:val="20"/>
                <w:lang w:eastAsia="en-AU"/>
              </w:rPr>
            </w:pPr>
            <w:r w:rsidRPr="005176BD">
              <w:rPr>
                <w:rFonts w:cs="Arial"/>
                <w:sz w:val="20"/>
                <w:szCs w:val="20"/>
                <w:lang w:eastAsia="en-AU"/>
              </w:rPr>
              <w:t xml:space="preserve">Older women and arthritis: Tracking impact over time. Australasian Journal on Ageing, </w:t>
            </w:r>
            <w:r w:rsidR="0081500B" w:rsidRPr="005176BD">
              <w:rPr>
                <w:rFonts w:cs="Arial"/>
                <w:sz w:val="20"/>
                <w:szCs w:val="20"/>
                <w:lang w:eastAsia="en-AU"/>
              </w:rPr>
              <w:t>2010;</w:t>
            </w:r>
            <w:r w:rsidR="00012F17" w:rsidRPr="005176BD">
              <w:rPr>
                <w:rFonts w:cs="Arial"/>
                <w:sz w:val="20"/>
                <w:szCs w:val="20"/>
                <w:lang w:eastAsia="en-AU"/>
              </w:rPr>
              <w:t xml:space="preserve"> </w:t>
            </w:r>
            <w:r w:rsidRPr="005176BD">
              <w:rPr>
                <w:rFonts w:cs="Arial"/>
                <w:sz w:val="20"/>
                <w:szCs w:val="20"/>
                <w:lang w:eastAsia="en-AU"/>
              </w:rPr>
              <w:t>29(4)</w:t>
            </w:r>
            <w:r w:rsidR="0081500B" w:rsidRPr="005176BD">
              <w:rPr>
                <w:rFonts w:cs="Arial"/>
                <w:sz w:val="20"/>
                <w:szCs w:val="20"/>
                <w:lang w:eastAsia="en-AU"/>
              </w:rPr>
              <w:t>:</w:t>
            </w:r>
            <w:r w:rsidRPr="005176BD">
              <w:rPr>
                <w:rFonts w:cs="Arial"/>
                <w:sz w:val="20"/>
                <w:szCs w:val="20"/>
                <w:lang w:eastAsia="en-AU"/>
              </w:rPr>
              <w:t xml:space="preserve"> 155-160. </w:t>
            </w:r>
          </w:p>
        </w:tc>
        <w:tc>
          <w:tcPr>
            <w:tcW w:w="4901" w:type="dxa"/>
          </w:tcPr>
          <w:p w14:paraId="55324CE2" w14:textId="77777777" w:rsidR="0001154E" w:rsidRPr="005176BD" w:rsidRDefault="0001154E" w:rsidP="003B611A">
            <w:pPr>
              <w:rPr>
                <w:rFonts w:cs="Arial"/>
                <w:sz w:val="20"/>
                <w:szCs w:val="20"/>
                <w:lang w:eastAsia="en-AU"/>
              </w:rPr>
            </w:pPr>
            <w:r w:rsidRPr="005176BD">
              <w:rPr>
                <w:rFonts w:cs="Arial"/>
                <w:sz w:val="20"/>
                <w:szCs w:val="20"/>
                <w:lang w:eastAsia="en-AU"/>
              </w:rPr>
              <w:t>Parkinson L, Gibson R, Robinson I &amp; Byles J.</w:t>
            </w:r>
          </w:p>
        </w:tc>
        <w:tc>
          <w:tcPr>
            <w:tcW w:w="617" w:type="dxa"/>
          </w:tcPr>
          <w:p w14:paraId="05BC59A4" w14:textId="77777777" w:rsidR="0001154E" w:rsidRPr="005176BD" w:rsidRDefault="0001154E" w:rsidP="003B611A">
            <w:pPr>
              <w:rPr>
                <w:rFonts w:cs="Arial"/>
                <w:sz w:val="20"/>
                <w:szCs w:val="20"/>
                <w:lang w:eastAsia="en-AU"/>
              </w:rPr>
            </w:pPr>
            <w:r w:rsidRPr="005176BD">
              <w:rPr>
                <w:rFonts w:cs="Arial"/>
                <w:sz w:val="20"/>
                <w:szCs w:val="20"/>
                <w:lang w:eastAsia="en-AU"/>
              </w:rPr>
              <w:t>30</w:t>
            </w:r>
          </w:p>
        </w:tc>
      </w:tr>
      <w:tr w:rsidR="0001154E" w:rsidRPr="00084B2B" w14:paraId="37848402" w14:textId="77777777" w:rsidTr="0011030B">
        <w:tc>
          <w:tcPr>
            <w:tcW w:w="8337" w:type="dxa"/>
          </w:tcPr>
          <w:p w14:paraId="7361D1C9" w14:textId="704FDBB4" w:rsidR="0001154E" w:rsidRPr="005176BD" w:rsidRDefault="0001154E" w:rsidP="003B611A">
            <w:pPr>
              <w:rPr>
                <w:rFonts w:cs="Arial"/>
                <w:sz w:val="20"/>
                <w:szCs w:val="20"/>
                <w:lang w:eastAsia="en-AU"/>
              </w:rPr>
            </w:pPr>
            <w:r w:rsidRPr="005176BD">
              <w:rPr>
                <w:rFonts w:cs="Arial"/>
                <w:sz w:val="20"/>
                <w:szCs w:val="20"/>
                <w:lang w:eastAsia="en-AU"/>
              </w:rPr>
              <w:t xml:space="preserve">Angina symptoms are associated with mortality in older women with ischemic heart disease. Circulation, </w:t>
            </w:r>
            <w:r w:rsidR="0081500B" w:rsidRPr="005176BD">
              <w:rPr>
                <w:rFonts w:cs="Arial"/>
                <w:sz w:val="20"/>
                <w:szCs w:val="20"/>
                <w:lang w:eastAsia="en-AU"/>
              </w:rPr>
              <w:t xml:space="preserve">2009; </w:t>
            </w:r>
            <w:r w:rsidRPr="005176BD">
              <w:rPr>
                <w:rFonts w:cs="Arial"/>
                <w:sz w:val="20"/>
                <w:szCs w:val="20"/>
                <w:lang w:eastAsia="en-AU"/>
              </w:rPr>
              <w:t>120(23)</w:t>
            </w:r>
            <w:r w:rsidR="0081500B" w:rsidRPr="005176BD">
              <w:rPr>
                <w:rFonts w:cs="Arial"/>
                <w:sz w:val="20"/>
                <w:szCs w:val="20"/>
                <w:lang w:eastAsia="en-AU"/>
              </w:rPr>
              <w:t>:</w:t>
            </w:r>
            <w:r w:rsidRPr="005176BD">
              <w:rPr>
                <w:rFonts w:cs="Arial"/>
                <w:sz w:val="20"/>
                <w:szCs w:val="20"/>
                <w:lang w:eastAsia="en-AU"/>
              </w:rPr>
              <w:t xml:space="preserve"> 2330-2336. </w:t>
            </w:r>
          </w:p>
        </w:tc>
        <w:tc>
          <w:tcPr>
            <w:tcW w:w="4901" w:type="dxa"/>
          </w:tcPr>
          <w:p w14:paraId="0AB9F6B9" w14:textId="1E651235" w:rsidR="0001154E" w:rsidRPr="005176BD" w:rsidRDefault="0001154E" w:rsidP="003B611A">
            <w:pPr>
              <w:rPr>
                <w:rFonts w:cs="Arial"/>
                <w:sz w:val="20"/>
                <w:szCs w:val="20"/>
                <w:lang w:eastAsia="en-AU"/>
              </w:rPr>
            </w:pPr>
            <w:r w:rsidRPr="005176BD">
              <w:rPr>
                <w:rFonts w:cs="Arial"/>
                <w:sz w:val="20"/>
                <w:szCs w:val="20"/>
                <w:lang w:eastAsia="en-AU"/>
              </w:rPr>
              <w:t>Berecki-</w:t>
            </w:r>
            <w:proofErr w:type="spellStart"/>
            <w:r w:rsidRPr="005176BD">
              <w:rPr>
                <w:rFonts w:cs="Arial"/>
                <w:sz w:val="20"/>
                <w:szCs w:val="20"/>
                <w:lang w:eastAsia="en-AU"/>
              </w:rPr>
              <w:t>Gisolf</w:t>
            </w:r>
            <w:proofErr w:type="spellEnd"/>
            <w:r w:rsidR="00012F17" w:rsidRPr="005176BD">
              <w:rPr>
                <w:rFonts w:cs="Arial"/>
                <w:sz w:val="20"/>
                <w:szCs w:val="20"/>
                <w:lang w:eastAsia="en-AU"/>
              </w:rPr>
              <w:t xml:space="preserve"> </w:t>
            </w:r>
            <w:r w:rsidRPr="005176BD">
              <w:rPr>
                <w:rFonts w:cs="Arial"/>
                <w:sz w:val="20"/>
                <w:szCs w:val="20"/>
                <w:lang w:eastAsia="en-AU"/>
              </w:rPr>
              <w:t>J, Humphreys-Reid L, Wilson A &amp; Dobson A.</w:t>
            </w:r>
          </w:p>
        </w:tc>
        <w:tc>
          <w:tcPr>
            <w:tcW w:w="617" w:type="dxa"/>
          </w:tcPr>
          <w:p w14:paraId="1B3ABD7F" w14:textId="77777777" w:rsidR="0001154E" w:rsidRPr="005176BD" w:rsidRDefault="0001154E" w:rsidP="003B611A">
            <w:pPr>
              <w:rPr>
                <w:rFonts w:cs="Arial"/>
                <w:sz w:val="20"/>
                <w:szCs w:val="20"/>
                <w:lang w:eastAsia="en-AU"/>
              </w:rPr>
            </w:pPr>
            <w:r w:rsidRPr="005176BD">
              <w:rPr>
                <w:rFonts w:cs="Arial"/>
                <w:sz w:val="20"/>
                <w:szCs w:val="20"/>
                <w:lang w:eastAsia="en-AU"/>
              </w:rPr>
              <w:t>23</w:t>
            </w:r>
          </w:p>
        </w:tc>
      </w:tr>
      <w:tr w:rsidR="0001154E" w:rsidRPr="00084B2B" w14:paraId="2B461D7C" w14:textId="77777777" w:rsidTr="0011030B">
        <w:tc>
          <w:tcPr>
            <w:tcW w:w="8337" w:type="dxa"/>
          </w:tcPr>
          <w:p w14:paraId="71C91684" w14:textId="2A1398EE" w:rsidR="0001154E" w:rsidRPr="005176BD" w:rsidRDefault="0001154E" w:rsidP="003B611A">
            <w:pPr>
              <w:rPr>
                <w:rFonts w:cs="Arial"/>
                <w:sz w:val="20"/>
                <w:szCs w:val="20"/>
                <w:lang w:eastAsia="en-AU"/>
              </w:rPr>
            </w:pPr>
            <w:r w:rsidRPr="005176BD">
              <w:rPr>
                <w:rFonts w:cs="Arial"/>
                <w:sz w:val="20"/>
                <w:szCs w:val="20"/>
                <w:lang w:eastAsia="en-AU"/>
              </w:rPr>
              <w:t xml:space="preserve">Living with urinary incontinence: A longitudinal study of older women. Age and Ageing, </w:t>
            </w:r>
            <w:r w:rsidR="0081500B" w:rsidRPr="005176BD">
              <w:rPr>
                <w:rFonts w:cs="Arial"/>
                <w:sz w:val="20"/>
                <w:szCs w:val="20"/>
                <w:lang w:eastAsia="en-AU"/>
              </w:rPr>
              <w:t xml:space="preserve">2009; </w:t>
            </w:r>
            <w:r w:rsidRPr="005176BD">
              <w:rPr>
                <w:rFonts w:cs="Arial"/>
                <w:sz w:val="20"/>
                <w:szCs w:val="20"/>
                <w:lang w:eastAsia="en-AU"/>
              </w:rPr>
              <w:t>38(3)</w:t>
            </w:r>
            <w:r w:rsidR="0081500B" w:rsidRPr="005176BD">
              <w:rPr>
                <w:rFonts w:cs="Arial"/>
                <w:sz w:val="20"/>
                <w:szCs w:val="20"/>
                <w:lang w:eastAsia="en-AU"/>
              </w:rPr>
              <w:t>:</w:t>
            </w:r>
            <w:r w:rsidRPr="005176BD">
              <w:rPr>
                <w:rFonts w:cs="Arial"/>
                <w:sz w:val="20"/>
                <w:szCs w:val="20"/>
                <w:lang w:eastAsia="en-AU"/>
              </w:rPr>
              <w:t xml:space="preserve"> 333-338. </w:t>
            </w:r>
          </w:p>
        </w:tc>
        <w:tc>
          <w:tcPr>
            <w:tcW w:w="4901" w:type="dxa"/>
          </w:tcPr>
          <w:p w14:paraId="4A71C555" w14:textId="77777777" w:rsidR="0001154E" w:rsidRPr="005176BD" w:rsidRDefault="0001154E" w:rsidP="003B611A">
            <w:pPr>
              <w:rPr>
                <w:rFonts w:cs="Arial"/>
                <w:sz w:val="20"/>
                <w:szCs w:val="20"/>
                <w:lang w:eastAsia="en-AU"/>
              </w:rPr>
            </w:pPr>
            <w:r w:rsidRPr="005176BD">
              <w:rPr>
                <w:rFonts w:cs="Arial"/>
                <w:sz w:val="20"/>
                <w:szCs w:val="20"/>
                <w:lang w:eastAsia="en-AU"/>
              </w:rPr>
              <w:t xml:space="preserve">Byles JE, Millar C, Sibbritt D &amp; </w:t>
            </w:r>
            <w:proofErr w:type="spellStart"/>
            <w:r w:rsidRPr="005176BD">
              <w:rPr>
                <w:rFonts w:cs="Arial"/>
                <w:sz w:val="20"/>
                <w:szCs w:val="20"/>
                <w:lang w:eastAsia="en-AU"/>
              </w:rPr>
              <w:t>Chiarelli</w:t>
            </w:r>
            <w:proofErr w:type="spellEnd"/>
            <w:r w:rsidRPr="005176BD">
              <w:rPr>
                <w:rFonts w:cs="Arial"/>
                <w:sz w:val="20"/>
                <w:szCs w:val="20"/>
                <w:lang w:eastAsia="en-AU"/>
              </w:rPr>
              <w:t xml:space="preserve"> P.</w:t>
            </w:r>
          </w:p>
        </w:tc>
        <w:tc>
          <w:tcPr>
            <w:tcW w:w="617" w:type="dxa"/>
          </w:tcPr>
          <w:p w14:paraId="09AC1FA1" w14:textId="77777777" w:rsidR="0001154E" w:rsidRPr="005176BD" w:rsidRDefault="0001154E" w:rsidP="003B611A">
            <w:pPr>
              <w:rPr>
                <w:rFonts w:cs="Arial"/>
                <w:sz w:val="20"/>
                <w:szCs w:val="20"/>
                <w:lang w:eastAsia="en-AU"/>
              </w:rPr>
            </w:pPr>
            <w:r w:rsidRPr="005176BD">
              <w:rPr>
                <w:rFonts w:cs="Arial"/>
                <w:sz w:val="20"/>
                <w:szCs w:val="20"/>
                <w:lang w:eastAsia="en-AU"/>
              </w:rPr>
              <w:t>71</w:t>
            </w:r>
          </w:p>
        </w:tc>
      </w:tr>
      <w:tr w:rsidR="0001154E" w:rsidRPr="00084B2B" w14:paraId="6AD3A087" w14:textId="77777777" w:rsidTr="0011030B">
        <w:tc>
          <w:tcPr>
            <w:tcW w:w="8337" w:type="dxa"/>
          </w:tcPr>
          <w:p w14:paraId="3BE5E827" w14:textId="0B913436" w:rsidR="0001154E" w:rsidRPr="005176BD" w:rsidRDefault="0001154E" w:rsidP="003B611A">
            <w:pPr>
              <w:rPr>
                <w:rFonts w:cs="Arial"/>
                <w:sz w:val="20"/>
                <w:szCs w:val="20"/>
                <w:lang w:eastAsia="en-AU"/>
              </w:rPr>
            </w:pPr>
            <w:r w:rsidRPr="005176BD">
              <w:rPr>
                <w:rFonts w:cs="Arial"/>
                <w:sz w:val="20"/>
                <w:szCs w:val="20"/>
                <w:lang w:eastAsia="en-AU"/>
              </w:rPr>
              <w:t xml:space="preserve">Do incontinence, breathing difficulties, and gastrointestinal symptoms increase the risk of future back pain? The Journal of Pain, </w:t>
            </w:r>
            <w:r w:rsidR="0081500B" w:rsidRPr="005176BD">
              <w:rPr>
                <w:rFonts w:cs="Arial"/>
                <w:sz w:val="20"/>
                <w:szCs w:val="20"/>
                <w:lang w:eastAsia="en-AU"/>
              </w:rPr>
              <w:t xml:space="preserve">2009; </w:t>
            </w:r>
            <w:r w:rsidRPr="005176BD">
              <w:rPr>
                <w:rFonts w:cs="Arial"/>
                <w:sz w:val="20"/>
                <w:szCs w:val="20"/>
                <w:lang w:eastAsia="en-AU"/>
              </w:rPr>
              <w:t>10(8)</w:t>
            </w:r>
            <w:r w:rsidR="0081500B" w:rsidRPr="005176BD">
              <w:rPr>
                <w:rFonts w:cs="Arial"/>
                <w:sz w:val="20"/>
                <w:szCs w:val="20"/>
                <w:lang w:eastAsia="en-AU"/>
              </w:rPr>
              <w:t>:</w:t>
            </w:r>
            <w:r w:rsidRPr="005176BD">
              <w:rPr>
                <w:rFonts w:cs="Arial"/>
                <w:sz w:val="20"/>
                <w:szCs w:val="20"/>
                <w:lang w:eastAsia="en-AU"/>
              </w:rPr>
              <w:t xml:space="preserve"> 876-886.</w:t>
            </w:r>
          </w:p>
        </w:tc>
        <w:tc>
          <w:tcPr>
            <w:tcW w:w="4901" w:type="dxa"/>
          </w:tcPr>
          <w:p w14:paraId="7E07EC4B" w14:textId="77777777" w:rsidR="0001154E" w:rsidRPr="005176BD" w:rsidRDefault="0001154E" w:rsidP="003B611A">
            <w:pPr>
              <w:rPr>
                <w:rFonts w:cs="Arial"/>
                <w:sz w:val="20"/>
                <w:szCs w:val="20"/>
                <w:lang w:eastAsia="en-AU"/>
              </w:rPr>
            </w:pPr>
            <w:r w:rsidRPr="005176BD">
              <w:rPr>
                <w:rFonts w:cs="Arial"/>
                <w:sz w:val="20"/>
                <w:szCs w:val="20"/>
                <w:lang w:eastAsia="en-AU"/>
              </w:rPr>
              <w:t>Smith MD, Russell A &amp; Hodges PW.</w:t>
            </w:r>
          </w:p>
        </w:tc>
        <w:tc>
          <w:tcPr>
            <w:tcW w:w="617" w:type="dxa"/>
          </w:tcPr>
          <w:p w14:paraId="1100E811" w14:textId="77777777" w:rsidR="0001154E" w:rsidRPr="005176BD" w:rsidRDefault="0001154E" w:rsidP="003B611A">
            <w:pPr>
              <w:rPr>
                <w:rFonts w:cs="Arial"/>
                <w:sz w:val="20"/>
                <w:szCs w:val="20"/>
                <w:lang w:eastAsia="en-AU"/>
              </w:rPr>
            </w:pPr>
            <w:r w:rsidRPr="005176BD">
              <w:rPr>
                <w:rFonts w:cs="Arial"/>
                <w:sz w:val="20"/>
                <w:szCs w:val="20"/>
                <w:lang w:eastAsia="en-AU"/>
              </w:rPr>
              <w:t>39</w:t>
            </w:r>
          </w:p>
        </w:tc>
      </w:tr>
      <w:tr w:rsidR="0001154E" w:rsidRPr="00084B2B" w14:paraId="581E6153" w14:textId="77777777" w:rsidTr="0011030B">
        <w:tc>
          <w:tcPr>
            <w:tcW w:w="8337" w:type="dxa"/>
          </w:tcPr>
          <w:p w14:paraId="53C23867" w14:textId="074DB51A" w:rsidR="0001154E" w:rsidRPr="005176BD" w:rsidRDefault="0001154E" w:rsidP="003B611A">
            <w:pPr>
              <w:rPr>
                <w:rFonts w:cs="Arial"/>
                <w:sz w:val="20"/>
                <w:szCs w:val="20"/>
                <w:lang w:eastAsia="en-AU"/>
              </w:rPr>
            </w:pPr>
            <w:r w:rsidRPr="005176BD">
              <w:rPr>
                <w:rFonts w:cs="Arial"/>
                <w:sz w:val="20"/>
                <w:szCs w:val="20"/>
                <w:lang w:eastAsia="en-AU"/>
              </w:rPr>
              <w:t xml:space="preserve">Weighted multi-morbidity indexes predict mortality, health service use and health-related quality of life in older women. Journal of Clinical Epidemiology, </w:t>
            </w:r>
            <w:r w:rsidR="0081500B" w:rsidRPr="005176BD">
              <w:rPr>
                <w:rFonts w:cs="Arial"/>
                <w:sz w:val="20"/>
                <w:szCs w:val="20"/>
                <w:lang w:eastAsia="en-AU"/>
              </w:rPr>
              <w:t xml:space="preserve">2008; </w:t>
            </w:r>
            <w:r w:rsidRPr="005176BD">
              <w:rPr>
                <w:rFonts w:cs="Arial"/>
                <w:sz w:val="20"/>
                <w:szCs w:val="20"/>
                <w:lang w:eastAsia="en-AU"/>
              </w:rPr>
              <w:t>6(</w:t>
            </w:r>
            <w:r w:rsidR="0081500B" w:rsidRPr="005176BD">
              <w:rPr>
                <w:rFonts w:cs="Arial"/>
                <w:sz w:val="20"/>
                <w:szCs w:val="20"/>
                <w:lang w:eastAsia="en-AU"/>
              </w:rPr>
              <w:t>12):</w:t>
            </w:r>
            <w:r w:rsidRPr="005176BD">
              <w:rPr>
                <w:rFonts w:cs="Arial"/>
                <w:sz w:val="20"/>
                <w:szCs w:val="20"/>
                <w:lang w:eastAsia="en-AU"/>
              </w:rPr>
              <w:t xml:space="preserve"> 151-159.</w:t>
            </w:r>
          </w:p>
        </w:tc>
        <w:tc>
          <w:tcPr>
            <w:tcW w:w="4901" w:type="dxa"/>
          </w:tcPr>
          <w:p w14:paraId="5CFAADD8" w14:textId="77777777" w:rsidR="0001154E" w:rsidRPr="005176BD" w:rsidRDefault="0001154E" w:rsidP="003B611A">
            <w:pPr>
              <w:rPr>
                <w:rFonts w:cs="Arial"/>
                <w:sz w:val="20"/>
                <w:szCs w:val="20"/>
                <w:lang w:eastAsia="en-AU"/>
              </w:rPr>
            </w:pPr>
            <w:r w:rsidRPr="005176BD">
              <w:rPr>
                <w:rFonts w:cs="Arial"/>
                <w:sz w:val="20"/>
                <w:szCs w:val="20"/>
                <w:lang w:eastAsia="en-AU"/>
              </w:rPr>
              <w:t>Tooth L, Hockey R, Byles J &amp; Dobson A.</w:t>
            </w:r>
          </w:p>
        </w:tc>
        <w:tc>
          <w:tcPr>
            <w:tcW w:w="617" w:type="dxa"/>
          </w:tcPr>
          <w:p w14:paraId="17EC1CED" w14:textId="77777777" w:rsidR="0001154E" w:rsidRPr="005176BD" w:rsidRDefault="0001154E" w:rsidP="003B611A">
            <w:pPr>
              <w:rPr>
                <w:rFonts w:cs="Arial"/>
                <w:sz w:val="20"/>
                <w:szCs w:val="20"/>
                <w:lang w:eastAsia="en-AU"/>
              </w:rPr>
            </w:pPr>
            <w:r w:rsidRPr="005176BD">
              <w:rPr>
                <w:rFonts w:cs="Arial"/>
                <w:sz w:val="20"/>
                <w:szCs w:val="20"/>
                <w:lang w:eastAsia="en-AU"/>
              </w:rPr>
              <w:t>80</w:t>
            </w:r>
          </w:p>
        </w:tc>
      </w:tr>
      <w:tr w:rsidR="0001154E" w:rsidRPr="00084B2B" w14:paraId="083A81A5" w14:textId="77777777" w:rsidTr="0011030B">
        <w:tc>
          <w:tcPr>
            <w:tcW w:w="8337" w:type="dxa"/>
          </w:tcPr>
          <w:p w14:paraId="208893F5" w14:textId="17246769" w:rsidR="0001154E" w:rsidRPr="005176BD" w:rsidRDefault="0001154E" w:rsidP="003B611A">
            <w:pPr>
              <w:rPr>
                <w:rFonts w:cs="Arial"/>
                <w:sz w:val="20"/>
                <w:szCs w:val="20"/>
                <w:lang w:eastAsia="en-AU"/>
              </w:rPr>
            </w:pPr>
            <w:r w:rsidRPr="005176BD">
              <w:rPr>
                <w:rFonts w:cs="Arial"/>
                <w:sz w:val="20"/>
                <w:szCs w:val="20"/>
                <w:lang w:eastAsia="en-AU"/>
              </w:rPr>
              <w:t xml:space="preserve">How common is back pain in women with gastrointestinal problems? Clinical Journal of Pain, </w:t>
            </w:r>
            <w:r w:rsidR="0081500B" w:rsidRPr="005176BD">
              <w:rPr>
                <w:rFonts w:cs="Arial"/>
                <w:sz w:val="20"/>
                <w:szCs w:val="20"/>
                <w:lang w:eastAsia="en-AU"/>
              </w:rPr>
              <w:t xml:space="preserve">2008; </w:t>
            </w:r>
            <w:r w:rsidRPr="005176BD">
              <w:rPr>
                <w:rFonts w:cs="Arial"/>
                <w:sz w:val="20"/>
                <w:szCs w:val="20"/>
                <w:lang w:eastAsia="en-AU"/>
              </w:rPr>
              <w:t>24(3)</w:t>
            </w:r>
            <w:r w:rsidR="0081500B" w:rsidRPr="005176BD">
              <w:rPr>
                <w:rFonts w:cs="Arial"/>
                <w:sz w:val="20"/>
                <w:szCs w:val="20"/>
                <w:lang w:eastAsia="en-AU"/>
              </w:rPr>
              <w:t>:</w:t>
            </w:r>
            <w:r w:rsidRPr="005176BD">
              <w:rPr>
                <w:rFonts w:cs="Arial"/>
                <w:sz w:val="20"/>
                <w:szCs w:val="20"/>
                <w:lang w:eastAsia="en-AU"/>
              </w:rPr>
              <w:t xml:space="preserve"> 199-203.</w:t>
            </w:r>
          </w:p>
        </w:tc>
        <w:tc>
          <w:tcPr>
            <w:tcW w:w="4901" w:type="dxa"/>
          </w:tcPr>
          <w:p w14:paraId="32A0D993" w14:textId="77777777" w:rsidR="0001154E" w:rsidRPr="005176BD" w:rsidRDefault="0001154E" w:rsidP="003B611A">
            <w:pPr>
              <w:rPr>
                <w:rFonts w:cs="Arial"/>
                <w:sz w:val="20"/>
                <w:szCs w:val="20"/>
                <w:lang w:eastAsia="en-AU"/>
              </w:rPr>
            </w:pPr>
            <w:r w:rsidRPr="005176BD">
              <w:rPr>
                <w:rFonts w:cs="Arial"/>
                <w:sz w:val="20"/>
                <w:szCs w:val="20"/>
                <w:lang w:eastAsia="en-AU"/>
              </w:rPr>
              <w:t>Smith MD, Russell A &amp; Hodges PW.</w:t>
            </w:r>
          </w:p>
        </w:tc>
        <w:tc>
          <w:tcPr>
            <w:tcW w:w="617" w:type="dxa"/>
          </w:tcPr>
          <w:p w14:paraId="5FC79F63" w14:textId="77777777" w:rsidR="0001154E" w:rsidRPr="005176BD" w:rsidRDefault="0001154E" w:rsidP="003B611A">
            <w:pPr>
              <w:rPr>
                <w:rFonts w:cs="Arial"/>
                <w:sz w:val="20"/>
                <w:szCs w:val="20"/>
                <w:lang w:eastAsia="en-AU"/>
              </w:rPr>
            </w:pPr>
            <w:r w:rsidRPr="005176BD">
              <w:rPr>
                <w:rFonts w:cs="Arial"/>
                <w:sz w:val="20"/>
                <w:szCs w:val="20"/>
                <w:lang w:eastAsia="en-AU"/>
              </w:rPr>
              <w:t>16</w:t>
            </w:r>
          </w:p>
        </w:tc>
      </w:tr>
      <w:tr w:rsidR="0001154E" w:rsidRPr="00084B2B" w14:paraId="0D637DF1" w14:textId="77777777" w:rsidTr="0011030B">
        <w:tc>
          <w:tcPr>
            <w:tcW w:w="8337" w:type="dxa"/>
          </w:tcPr>
          <w:p w14:paraId="478C40E7" w14:textId="3DCCFAF1" w:rsidR="0001154E" w:rsidRPr="005176BD" w:rsidRDefault="0001154E" w:rsidP="003B611A">
            <w:pPr>
              <w:rPr>
                <w:rFonts w:cs="Arial"/>
                <w:sz w:val="20"/>
                <w:szCs w:val="20"/>
                <w:lang w:eastAsia="en-AU"/>
              </w:rPr>
            </w:pPr>
            <w:r w:rsidRPr="005176BD">
              <w:rPr>
                <w:rFonts w:cs="Arial"/>
                <w:sz w:val="20"/>
                <w:szCs w:val="20"/>
                <w:lang w:eastAsia="en-AU"/>
              </w:rPr>
              <w:t xml:space="preserve">Economic costs of urinary incontinence in community-dwelling Australian women. Medical Journal of Australia, </w:t>
            </w:r>
            <w:r w:rsidR="0081500B" w:rsidRPr="005176BD">
              <w:rPr>
                <w:rFonts w:cs="Arial"/>
                <w:sz w:val="20"/>
                <w:szCs w:val="20"/>
                <w:lang w:eastAsia="en-AU"/>
              </w:rPr>
              <w:t xml:space="preserve">2001; </w:t>
            </w:r>
            <w:r w:rsidRPr="005176BD">
              <w:rPr>
                <w:rFonts w:cs="Arial"/>
                <w:sz w:val="20"/>
                <w:szCs w:val="20"/>
                <w:lang w:eastAsia="en-AU"/>
              </w:rPr>
              <w:t>174(9)</w:t>
            </w:r>
            <w:r w:rsidR="0081500B" w:rsidRPr="005176BD">
              <w:rPr>
                <w:rFonts w:cs="Arial"/>
                <w:sz w:val="20"/>
                <w:szCs w:val="20"/>
                <w:lang w:eastAsia="en-AU"/>
              </w:rPr>
              <w:t>:</w:t>
            </w:r>
            <w:r w:rsidRPr="005176BD">
              <w:rPr>
                <w:rFonts w:cs="Arial"/>
                <w:sz w:val="20"/>
                <w:szCs w:val="20"/>
                <w:lang w:eastAsia="en-AU"/>
              </w:rPr>
              <w:t xml:space="preserve"> 456-458.</w:t>
            </w:r>
            <w:r w:rsidR="00012F17" w:rsidRPr="005176BD">
              <w:rPr>
                <w:rFonts w:cs="Arial"/>
                <w:sz w:val="20"/>
                <w:szCs w:val="20"/>
                <w:lang w:eastAsia="en-AU"/>
              </w:rPr>
              <w:t xml:space="preserve"> </w:t>
            </w:r>
          </w:p>
        </w:tc>
        <w:tc>
          <w:tcPr>
            <w:tcW w:w="4901" w:type="dxa"/>
          </w:tcPr>
          <w:p w14:paraId="6AA2ACF7" w14:textId="77777777" w:rsidR="0001154E" w:rsidRPr="005176BD" w:rsidRDefault="0001154E" w:rsidP="003B611A">
            <w:pPr>
              <w:rPr>
                <w:rFonts w:cs="Arial"/>
                <w:sz w:val="20"/>
                <w:szCs w:val="20"/>
                <w:lang w:eastAsia="en-AU"/>
              </w:rPr>
            </w:pPr>
            <w:r w:rsidRPr="005176BD">
              <w:rPr>
                <w:rFonts w:cs="Arial"/>
                <w:sz w:val="20"/>
                <w:szCs w:val="20"/>
                <w:lang w:eastAsia="en-AU"/>
              </w:rPr>
              <w:t xml:space="preserve">Doran CM, </w:t>
            </w:r>
            <w:proofErr w:type="spellStart"/>
            <w:r w:rsidRPr="005176BD">
              <w:rPr>
                <w:rFonts w:cs="Arial"/>
                <w:sz w:val="20"/>
                <w:szCs w:val="20"/>
                <w:lang w:eastAsia="en-AU"/>
              </w:rPr>
              <w:t>Chiarelli</w:t>
            </w:r>
            <w:proofErr w:type="spellEnd"/>
            <w:r w:rsidRPr="005176BD">
              <w:rPr>
                <w:rFonts w:cs="Arial"/>
                <w:sz w:val="20"/>
                <w:szCs w:val="20"/>
                <w:lang w:eastAsia="en-AU"/>
              </w:rPr>
              <w:t xml:space="preserve"> P &amp; Cockburn J.</w:t>
            </w:r>
          </w:p>
        </w:tc>
        <w:tc>
          <w:tcPr>
            <w:tcW w:w="617" w:type="dxa"/>
          </w:tcPr>
          <w:p w14:paraId="7DD271C5" w14:textId="77777777" w:rsidR="0001154E" w:rsidRPr="005176BD" w:rsidRDefault="0001154E" w:rsidP="003B611A">
            <w:pPr>
              <w:rPr>
                <w:rFonts w:cs="Arial"/>
                <w:sz w:val="20"/>
                <w:szCs w:val="20"/>
                <w:lang w:eastAsia="en-AU"/>
              </w:rPr>
            </w:pPr>
            <w:r w:rsidRPr="005176BD">
              <w:rPr>
                <w:rFonts w:cs="Arial"/>
                <w:sz w:val="20"/>
                <w:szCs w:val="20"/>
                <w:lang w:eastAsia="en-AU"/>
              </w:rPr>
              <w:t>80</w:t>
            </w:r>
          </w:p>
        </w:tc>
      </w:tr>
      <w:tr w:rsidR="0001154E" w:rsidRPr="00084B2B" w14:paraId="226ED43B" w14:textId="77777777" w:rsidTr="0011030B">
        <w:tc>
          <w:tcPr>
            <w:tcW w:w="8337" w:type="dxa"/>
          </w:tcPr>
          <w:p w14:paraId="3CE34544" w14:textId="0D87DF33" w:rsidR="0001154E" w:rsidRPr="005176BD" w:rsidRDefault="0001154E" w:rsidP="003B611A">
            <w:pPr>
              <w:rPr>
                <w:rFonts w:cs="Arial"/>
                <w:sz w:val="20"/>
                <w:szCs w:val="20"/>
                <w:lang w:eastAsia="en-AU"/>
              </w:rPr>
            </w:pPr>
            <w:r w:rsidRPr="005176BD">
              <w:rPr>
                <w:rFonts w:cs="Arial"/>
                <w:sz w:val="20"/>
                <w:szCs w:val="20"/>
                <w:lang w:eastAsia="en-AU"/>
              </w:rPr>
              <w:lastRenderedPageBreak/>
              <w:t xml:space="preserve">Using research to assist women with disabilities in Australia. Australian Social Policy, </w:t>
            </w:r>
            <w:r w:rsidR="0081500B" w:rsidRPr="005176BD">
              <w:rPr>
                <w:rFonts w:cs="Arial"/>
                <w:sz w:val="20"/>
                <w:szCs w:val="20"/>
                <w:lang w:eastAsia="en-AU"/>
              </w:rPr>
              <w:t xml:space="preserve">2000; </w:t>
            </w:r>
            <w:r w:rsidRPr="005176BD">
              <w:rPr>
                <w:rFonts w:cs="Arial"/>
                <w:sz w:val="20"/>
                <w:szCs w:val="20"/>
                <w:lang w:eastAsia="en-AU"/>
              </w:rPr>
              <w:t>1</w:t>
            </w:r>
            <w:r w:rsidR="0081500B" w:rsidRPr="005176BD">
              <w:rPr>
                <w:rFonts w:cs="Arial"/>
                <w:sz w:val="20"/>
                <w:szCs w:val="20"/>
                <w:lang w:eastAsia="en-AU"/>
              </w:rPr>
              <w:t>:</w:t>
            </w:r>
            <w:r w:rsidRPr="005176BD">
              <w:rPr>
                <w:rFonts w:cs="Arial"/>
                <w:sz w:val="20"/>
                <w:szCs w:val="20"/>
                <w:lang w:eastAsia="en-AU"/>
              </w:rPr>
              <w:t xml:space="preserve"> 91-99.</w:t>
            </w:r>
          </w:p>
        </w:tc>
        <w:tc>
          <w:tcPr>
            <w:tcW w:w="4901" w:type="dxa"/>
          </w:tcPr>
          <w:p w14:paraId="75E51CD0"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Rutnam</w:t>
            </w:r>
            <w:proofErr w:type="spellEnd"/>
            <w:r w:rsidRPr="005176BD">
              <w:rPr>
                <w:rFonts w:cs="Arial"/>
                <w:sz w:val="20"/>
                <w:szCs w:val="20"/>
                <w:lang w:eastAsia="en-AU"/>
              </w:rPr>
              <w:t xml:space="preserve"> R.</w:t>
            </w:r>
          </w:p>
        </w:tc>
        <w:tc>
          <w:tcPr>
            <w:tcW w:w="617" w:type="dxa"/>
          </w:tcPr>
          <w:p w14:paraId="718F52F7" w14:textId="77777777" w:rsidR="0001154E" w:rsidRPr="005176BD" w:rsidRDefault="0001154E" w:rsidP="003B611A">
            <w:pPr>
              <w:rPr>
                <w:rFonts w:cs="Arial"/>
                <w:sz w:val="20"/>
                <w:szCs w:val="20"/>
                <w:lang w:eastAsia="en-AU"/>
              </w:rPr>
            </w:pPr>
            <w:r w:rsidRPr="005176BD">
              <w:rPr>
                <w:rFonts w:cs="Arial"/>
                <w:sz w:val="20"/>
                <w:szCs w:val="20"/>
                <w:lang w:eastAsia="en-AU"/>
              </w:rPr>
              <w:t>0</w:t>
            </w:r>
          </w:p>
        </w:tc>
      </w:tr>
      <w:tr w:rsidR="0001154E" w:rsidRPr="00084B2B" w14:paraId="1F189305" w14:textId="77777777" w:rsidTr="0011030B">
        <w:tc>
          <w:tcPr>
            <w:tcW w:w="8337" w:type="dxa"/>
          </w:tcPr>
          <w:p w14:paraId="10D090B6" w14:textId="1CDEAD3A" w:rsidR="0001154E" w:rsidRPr="005176BD" w:rsidRDefault="0001154E" w:rsidP="003B611A">
            <w:pPr>
              <w:rPr>
                <w:rFonts w:cs="Arial"/>
                <w:sz w:val="20"/>
                <w:szCs w:val="20"/>
                <w:lang w:eastAsia="en-AU"/>
              </w:rPr>
            </w:pPr>
            <w:r w:rsidRPr="005176BD">
              <w:rPr>
                <w:rFonts w:cs="Arial"/>
                <w:sz w:val="20"/>
                <w:szCs w:val="20"/>
                <w:lang w:eastAsia="en-AU"/>
              </w:rPr>
              <w:t xml:space="preserve">Leaking urine: Prevalence and associated factors in Australian women. </w:t>
            </w:r>
            <w:proofErr w:type="spellStart"/>
            <w:r w:rsidRPr="005176BD">
              <w:rPr>
                <w:rFonts w:cs="Arial"/>
                <w:sz w:val="20"/>
                <w:szCs w:val="20"/>
                <w:lang w:eastAsia="en-AU"/>
              </w:rPr>
              <w:t>Neurourology</w:t>
            </w:r>
            <w:proofErr w:type="spellEnd"/>
            <w:r w:rsidRPr="005176BD">
              <w:rPr>
                <w:rFonts w:cs="Arial"/>
                <w:sz w:val="20"/>
                <w:szCs w:val="20"/>
                <w:lang w:eastAsia="en-AU"/>
              </w:rPr>
              <w:t xml:space="preserve"> and </w:t>
            </w:r>
            <w:proofErr w:type="spellStart"/>
            <w:r w:rsidRPr="005176BD">
              <w:rPr>
                <w:rFonts w:cs="Arial"/>
                <w:sz w:val="20"/>
                <w:szCs w:val="20"/>
                <w:lang w:eastAsia="en-AU"/>
              </w:rPr>
              <w:t>Urodynamics</w:t>
            </w:r>
            <w:proofErr w:type="spellEnd"/>
            <w:r w:rsidRPr="005176BD">
              <w:rPr>
                <w:rFonts w:cs="Arial"/>
                <w:sz w:val="20"/>
                <w:szCs w:val="20"/>
                <w:lang w:eastAsia="en-AU"/>
              </w:rPr>
              <w:t xml:space="preserve">, </w:t>
            </w:r>
            <w:r w:rsidR="0081500B" w:rsidRPr="005176BD">
              <w:rPr>
                <w:rFonts w:cs="Arial"/>
                <w:sz w:val="20"/>
                <w:szCs w:val="20"/>
                <w:lang w:eastAsia="en-AU"/>
              </w:rPr>
              <w:t xml:space="preserve">1999; </w:t>
            </w:r>
            <w:r w:rsidRPr="005176BD">
              <w:rPr>
                <w:rFonts w:cs="Arial"/>
                <w:sz w:val="20"/>
                <w:szCs w:val="20"/>
                <w:lang w:eastAsia="en-AU"/>
              </w:rPr>
              <w:t>18(6)</w:t>
            </w:r>
            <w:r w:rsidR="0081500B" w:rsidRPr="005176BD">
              <w:rPr>
                <w:rFonts w:cs="Arial"/>
                <w:sz w:val="20"/>
                <w:szCs w:val="20"/>
                <w:lang w:eastAsia="en-AU"/>
              </w:rPr>
              <w:t>:</w:t>
            </w:r>
            <w:r w:rsidRPr="005176BD">
              <w:rPr>
                <w:rFonts w:cs="Arial"/>
                <w:sz w:val="20"/>
                <w:szCs w:val="20"/>
                <w:lang w:eastAsia="en-AU"/>
              </w:rPr>
              <w:t xml:space="preserve"> 567-577.</w:t>
            </w:r>
          </w:p>
        </w:tc>
        <w:tc>
          <w:tcPr>
            <w:tcW w:w="4901" w:type="dxa"/>
          </w:tcPr>
          <w:p w14:paraId="2C4C4F37"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Chiarelli</w:t>
            </w:r>
            <w:proofErr w:type="spellEnd"/>
            <w:r w:rsidRPr="005176BD">
              <w:rPr>
                <w:rFonts w:cs="Arial"/>
                <w:sz w:val="20"/>
                <w:szCs w:val="20"/>
                <w:lang w:eastAsia="en-AU"/>
              </w:rPr>
              <w:t xml:space="preserve"> P, Brown W &amp; </w:t>
            </w:r>
            <w:proofErr w:type="spellStart"/>
            <w:r w:rsidRPr="005176BD">
              <w:rPr>
                <w:rFonts w:cs="Arial"/>
                <w:sz w:val="20"/>
                <w:szCs w:val="20"/>
                <w:lang w:eastAsia="en-AU"/>
              </w:rPr>
              <w:t>McElduff</w:t>
            </w:r>
            <w:proofErr w:type="spellEnd"/>
            <w:r w:rsidRPr="005176BD">
              <w:rPr>
                <w:rFonts w:cs="Arial"/>
                <w:sz w:val="20"/>
                <w:szCs w:val="20"/>
                <w:lang w:eastAsia="en-AU"/>
              </w:rPr>
              <w:t xml:space="preserve"> P.</w:t>
            </w:r>
          </w:p>
        </w:tc>
        <w:tc>
          <w:tcPr>
            <w:tcW w:w="617" w:type="dxa"/>
          </w:tcPr>
          <w:p w14:paraId="0687B432" w14:textId="77777777" w:rsidR="0001154E" w:rsidRPr="005176BD" w:rsidRDefault="0001154E" w:rsidP="003B611A">
            <w:pPr>
              <w:rPr>
                <w:rFonts w:cs="Arial"/>
                <w:sz w:val="20"/>
                <w:szCs w:val="20"/>
                <w:lang w:eastAsia="en-AU"/>
              </w:rPr>
            </w:pPr>
            <w:r w:rsidRPr="005176BD">
              <w:rPr>
                <w:rFonts w:cs="Arial"/>
                <w:sz w:val="20"/>
                <w:szCs w:val="20"/>
                <w:lang w:eastAsia="en-AU"/>
              </w:rPr>
              <w:t>243</w:t>
            </w:r>
          </w:p>
        </w:tc>
      </w:tr>
      <w:tr w:rsidR="0001154E" w:rsidRPr="00084B2B" w14:paraId="661E03AC" w14:textId="77777777" w:rsidTr="0011030B">
        <w:tc>
          <w:tcPr>
            <w:tcW w:w="8337" w:type="dxa"/>
          </w:tcPr>
          <w:p w14:paraId="0CCCEAC8" w14:textId="6BD8C081" w:rsidR="0001154E" w:rsidRPr="005176BD" w:rsidRDefault="0001154E" w:rsidP="003B611A">
            <w:pPr>
              <w:rPr>
                <w:rFonts w:cs="Arial"/>
                <w:sz w:val="20"/>
                <w:szCs w:val="20"/>
                <w:lang w:eastAsia="en-AU"/>
              </w:rPr>
            </w:pPr>
            <w:r w:rsidRPr="005176BD">
              <w:rPr>
                <w:rFonts w:cs="Arial"/>
                <w:sz w:val="20"/>
                <w:szCs w:val="20"/>
                <w:lang w:eastAsia="en-AU"/>
              </w:rPr>
              <w:t xml:space="preserve">Leaking urine in Australian women: Prevalence and associated conditions. Women and Health, </w:t>
            </w:r>
            <w:r w:rsidR="0081500B" w:rsidRPr="005176BD">
              <w:rPr>
                <w:rFonts w:cs="Arial"/>
                <w:sz w:val="20"/>
                <w:szCs w:val="20"/>
                <w:lang w:eastAsia="en-AU"/>
              </w:rPr>
              <w:t xml:space="preserve">1999; </w:t>
            </w:r>
            <w:r w:rsidRPr="005176BD">
              <w:rPr>
                <w:rFonts w:cs="Arial"/>
                <w:sz w:val="20"/>
                <w:szCs w:val="20"/>
                <w:lang w:eastAsia="en-AU"/>
              </w:rPr>
              <w:t>29(1)</w:t>
            </w:r>
            <w:r w:rsidR="0081500B" w:rsidRPr="005176BD">
              <w:rPr>
                <w:rFonts w:cs="Arial"/>
                <w:sz w:val="20"/>
                <w:szCs w:val="20"/>
                <w:lang w:eastAsia="en-AU"/>
              </w:rPr>
              <w:t>:</w:t>
            </w:r>
            <w:r w:rsidRPr="005176BD">
              <w:rPr>
                <w:rFonts w:cs="Arial"/>
                <w:sz w:val="20"/>
                <w:szCs w:val="20"/>
                <w:lang w:eastAsia="en-AU"/>
              </w:rPr>
              <w:t xml:space="preserve"> 1-13. </w:t>
            </w:r>
          </w:p>
        </w:tc>
        <w:tc>
          <w:tcPr>
            <w:tcW w:w="4901" w:type="dxa"/>
          </w:tcPr>
          <w:p w14:paraId="2C57A478"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Chiarelli</w:t>
            </w:r>
            <w:proofErr w:type="spellEnd"/>
            <w:r w:rsidRPr="005176BD">
              <w:rPr>
                <w:rFonts w:cs="Arial"/>
                <w:sz w:val="20"/>
                <w:szCs w:val="20"/>
                <w:lang w:eastAsia="en-AU"/>
              </w:rPr>
              <w:t xml:space="preserve"> P &amp; Brown W.</w:t>
            </w:r>
          </w:p>
        </w:tc>
        <w:tc>
          <w:tcPr>
            <w:tcW w:w="617" w:type="dxa"/>
          </w:tcPr>
          <w:p w14:paraId="394D50B5" w14:textId="77777777" w:rsidR="0001154E" w:rsidRPr="005176BD" w:rsidRDefault="0001154E" w:rsidP="003B611A">
            <w:pPr>
              <w:rPr>
                <w:rFonts w:cs="Arial"/>
                <w:sz w:val="20"/>
                <w:szCs w:val="20"/>
                <w:lang w:eastAsia="en-AU"/>
              </w:rPr>
            </w:pPr>
            <w:r w:rsidRPr="005176BD">
              <w:rPr>
                <w:rFonts w:cs="Arial"/>
                <w:sz w:val="20"/>
                <w:szCs w:val="20"/>
                <w:lang w:eastAsia="en-AU"/>
              </w:rPr>
              <w:t>67</w:t>
            </w:r>
          </w:p>
        </w:tc>
      </w:tr>
    </w:tbl>
    <w:p w14:paraId="492C9FDB" w14:textId="77777777" w:rsidR="00084B2B" w:rsidRPr="00084B2B" w:rsidRDefault="00084B2B" w:rsidP="003B611A">
      <w:pPr>
        <w:pStyle w:val="Heading2"/>
        <w:ind w:left="578" w:hanging="578"/>
      </w:pPr>
      <w:bookmarkStart w:id="82" w:name="_Toc530561291"/>
      <w:r w:rsidRPr="00084B2B">
        <w:t>Quality of life</w:t>
      </w:r>
      <w:bookmarkEnd w:id="82"/>
    </w:p>
    <w:tbl>
      <w:tblPr>
        <w:tblStyle w:val="TableGrid1"/>
        <w:tblW w:w="13855" w:type="dxa"/>
        <w:tblLook w:val="04A0" w:firstRow="1" w:lastRow="0" w:firstColumn="1" w:lastColumn="0" w:noHBand="0" w:noVBand="1"/>
        <w:tblCaption w:val="Category: Quality of life"/>
      </w:tblPr>
      <w:tblGrid>
        <w:gridCol w:w="7839"/>
        <w:gridCol w:w="4679"/>
        <w:gridCol w:w="1337"/>
      </w:tblGrid>
      <w:tr w:rsidR="00084B2B" w:rsidRPr="00084B2B" w14:paraId="2D1E2BE4" w14:textId="77777777" w:rsidTr="0011030B">
        <w:trPr>
          <w:tblHeader/>
        </w:trPr>
        <w:tc>
          <w:tcPr>
            <w:tcW w:w="8309" w:type="dxa"/>
            <w:shd w:val="clear" w:color="auto" w:fill="F1E9F3"/>
          </w:tcPr>
          <w:p w14:paraId="4FFD6B8D"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929" w:type="dxa"/>
            <w:shd w:val="clear" w:color="auto" w:fill="F1E9F3"/>
          </w:tcPr>
          <w:p w14:paraId="4813D5A4"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617" w:type="dxa"/>
            <w:shd w:val="clear" w:color="auto" w:fill="F1E9F3"/>
          </w:tcPr>
          <w:p w14:paraId="3BF7D11D" w14:textId="60AC7848"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81500B" w14:paraId="03780AB3" w14:textId="77777777" w:rsidTr="0011030B">
        <w:tc>
          <w:tcPr>
            <w:tcW w:w="8309" w:type="dxa"/>
          </w:tcPr>
          <w:p w14:paraId="798681F2" w14:textId="0E5E62A8" w:rsidR="00084B2B" w:rsidRPr="005176BD" w:rsidRDefault="00084B2B" w:rsidP="003B611A">
            <w:pPr>
              <w:rPr>
                <w:rFonts w:cs="Arial"/>
                <w:sz w:val="20"/>
                <w:szCs w:val="20"/>
                <w:lang w:eastAsia="en-AU"/>
              </w:rPr>
            </w:pPr>
            <w:r w:rsidRPr="005176BD">
              <w:rPr>
                <w:rFonts w:cs="Arial"/>
                <w:sz w:val="20"/>
                <w:szCs w:val="20"/>
                <w:lang w:eastAsia="en-AU"/>
              </w:rPr>
              <w:t>The relationship between SF-6D utility scores and lifestyle factors across three life-stages: Evidence from the Australian Longitudinal Study on Women’s Health. Quality of Life Research, 2017</w:t>
            </w:r>
            <w:r w:rsidR="0081500B" w:rsidRPr="005176BD">
              <w:rPr>
                <w:rFonts w:cs="Arial"/>
                <w:sz w:val="20"/>
                <w:szCs w:val="20"/>
                <w:lang w:eastAsia="en-AU"/>
              </w:rPr>
              <w:t xml:space="preserve">; </w:t>
            </w:r>
            <w:r w:rsidRPr="005176BD">
              <w:rPr>
                <w:rFonts w:cs="Arial"/>
                <w:sz w:val="20"/>
                <w:szCs w:val="20"/>
                <w:lang w:eastAsia="en-AU"/>
              </w:rPr>
              <w:t>26(6)</w:t>
            </w:r>
            <w:r w:rsidR="0081500B" w:rsidRPr="005176BD">
              <w:rPr>
                <w:rFonts w:cs="Arial"/>
                <w:sz w:val="20"/>
                <w:szCs w:val="20"/>
                <w:lang w:eastAsia="en-AU"/>
              </w:rPr>
              <w:t>:</w:t>
            </w:r>
            <w:r w:rsidRPr="005176BD">
              <w:rPr>
                <w:rFonts w:cs="Arial"/>
                <w:sz w:val="20"/>
                <w:szCs w:val="20"/>
                <w:lang w:eastAsia="en-AU"/>
              </w:rPr>
              <w:t xml:space="preserve"> 1507-1519</w:t>
            </w:r>
            <w:r w:rsidR="0081500B" w:rsidRPr="005176BD">
              <w:rPr>
                <w:rFonts w:cs="Arial"/>
                <w:sz w:val="20"/>
                <w:szCs w:val="20"/>
                <w:lang w:eastAsia="en-AU"/>
              </w:rPr>
              <w:t>.</w:t>
            </w:r>
          </w:p>
        </w:tc>
        <w:tc>
          <w:tcPr>
            <w:tcW w:w="4929" w:type="dxa"/>
          </w:tcPr>
          <w:p w14:paraId="383422FE" w14:textId="77777777" w:rsidR="00084B2B" w:rsidRPr="005176BD" w:rsidRDefault="00084B2B" w:rsidP="003B611A">
            <w:pPr>
              <w:rPr>
                <w:rFonts w:cs="Arial"/>
                <w:sz w:val="20"/>
                <w:szCs w:val="20"/>
                <w:lang w:eastAsia="en-AU"/>
              </w:rPr>
            </w:pPr>
            <w:r w:rsidRPr="005176BD">
              <w:rPr>
                <w:rFonts w:cs="Arial"/>
                <w:sz w:val="20"/>
                <w:szCs w:val="20"/>
                <w:lang w:eastAsia="en-AU"/>
              </w:rPr>
              <w:t xml:space="preserve">Kanesarajah J, Waller M, </w:t>
            </w:r>
            <w:proofErr w:type="spellStart"/>
            <w:r w:rsidRPr="005176BD">
              <w:rPr>
                <w:rFonts w:cs="Arial"/>
                <w:sz w:val="20"/>
                <w:szCs w:val="20"/>
                <w:lang w:eastAsia="en-AU"/>
              </w:rPr>
              <w:t>Whitty</w:t>
            </w:r>
            <w:proofErr w:type="spellEnd"/>
            <w:r w:rsidRPr="005176BD">
              <w:rPr>
                <w:rFonts w:cs="Arial"/>
                <w:sz w:val="20"/>
                <w:szCs w:val="20"/>
                <w:lang w:eastAsia="en-AU"/>
              </w:rPr>
              <w:t xml:space="preserve"> J &amp; Mishra G.</w:t>
            </w:r>
          </w:p>
        </w:tc>
        <w:tc>
          <w:tcPr>
            <w:tcW w:w="617" w:type="dxa"/>
          </w:tcPr>
          <w:p w14:paraId="432F2A56"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81500B" w14:paraId="256F680A" w14:textId="77777777" w:rsidTr="0011030B">
        <w:tc>
          <w:tcPr>
            <w:tcW w:w="8309" w:type="dxa"/>
          </w:tcPr>
          <w:p w14:paraId="2F3F2642" w14:textId="32593580" w:rsidR="00084B2B" w:rsidRPr="005176BD" w:rsidRDefault="007750D8" w:rsidP="003B611A">
            <w:pPr>
              <w:rPr>
                <w:rFonts w:cs="Arial"/>
                <w:sz w:val="20"/>
                <w:szCs w:val="20"/>
                <w:lang w:eastAsia="en-AU"/>
              </w:rPr>
            </w:pPr>
            <w:r w:rsidRPr="005176BD">
              <w:rPr>
                <w:rFonts w:cs="Arial"/>
                <w:sz w:val="20"/>
                <w:szCs w:val="20"/>
                <w:lang w:eastAsia="en-AU"/>
              </w:rPr>
              <w:t>Urinary incontinence and social function in older Australian women. Journal of the American Geriatrics Society, 2016; 64(8): 1646-1650.</w:t>
            </w:r>
          </w:p>
        </w:tc>
        <w:tc>
          <w:tcPr>
            <w:tcW w:w="4929" w:type="dxa"/>
          </w:tcPr>
          <w:p w14:paraId="24AB726B" w14:textId="77777777" w:rsidR="00084B2B" w:rsidRPr="005176BD" w:rsidRDefault="00084B2B" w:rsidP="003B611A">
            <w:pPr>
              <w:rPr>
                <w:rFonts w:cs="Arial"/>
                <w:sz w:val="20"/>
                <w:szCs w:val="20"/>
                <w:lang w:eastAsia="en-AU"/>
              </w:rPr>
            </w:pPr>
            <w:r w:rsidRPr="005176BD">
              <w:rPr>
                <w:rFonts w:cs="Arial"/>
                <w:sz w:val="20"/>
                <w:szCs w:val="20"/>
                <w:lang w:eastAsia="en-AU"/>
              </w:rPr>
              <w:t>Vo K, Forder P &amp; Byles J.</w:t>
            </w:r>
          </w:p>
        </w:tc>
        <w:tc>
          <w:tcPr>
            <w:tcW w:w="617" w:type="dxa"/>
          </w:tcPr>
          <w:p w14:paraId="60512E70" w14:textId="77777777" w:rsidR="00084B2B" w:rsidRPr="005176BD" w:rsidRDefault="00084B2B" w:rsidP="003B611A">
            <w:pPr>
              <w:rPr>
                <w:rFonts w:cs="Arial"/>
                <w:sz w:val="20"/>
                <w:szCs w:val="20"/>
                <w:lang w:eastAsia="en-AU"/>
              </w:rPr>
            </w:pPr>
            <w:r w:rsidRPr="005176BD">
              <w:rPr>
                <w:rFonts w:cs="Arial"/>
                <w:sz w:val="20"/>
                <w:szCs w:val="20"/>
                <w:lang w:eastAsia="en-AU"/>
              </w:rPr>
              <w:t>0</w:t>
            </w:r>
          </w:p>
        </w:tc>
      </w:tr>
      <w:tr w:rsidR="00084B2B" w:rsidRPr="0081500B" w14:paraId="55480B4B" w14:textId="77777777" w:rsidTr="0011030B">
        <w:tc>
          <w:tcPr>
            <w:tcW w:w="8309" w:type="dxa"/>
          </w:tcPr>
          <w:p w14:paraId="3DF709F2" w14:textId="59952DB3" w:rsidR="00084B2B" w:rsidRPr="005176BD" w:rsidRDefault="00FB70EC" w:rsidP="003B611A">
            <w:pPr>
              <w:rPr>
                <w:rFonts w:cs="Arial"/>
                <w:sz w:val="20"/>
                <w:szCs w:val="20"/>
                <w:lang w:eastAsia="en-AU"/>
              </w:rPr>
            </w:pPr>
            <w:r w:rsidRPr="005176BD">
              <w:rPr>
                <w:rFonts w:cs="Arial"/>
                <w:sz w:val="20"/>
                <w:szCs w:val="20"/>
                <w:lang w:eastAsia="en-AU"/>
              </w:rPr>
              <w:t>Physical activity and quality of life in older women with a history of depressive symptoms. Preventive Medicine, 2016; 91: 299-305.</w:t>
            </w:r>
          </w:p>
        </w:tc>
        <w:tc>
          <w:tcPr>
            <w:tcW w:w="4929" w:type="dxa"/>
          </w:tcPr>
          <w:p w14:paraId="4945593D"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KC, van </w:t>
            </w:r>
            <w:proofErr w:type="spellStart"/>
            <w:r w:rsidRPr="005176BD">
              <w:rPr>
                <w:rFonts w:cs="Arial"/>
                <w:sz w:val="20"/>
                <w:szCs w:val="20"/>
                <w:lang w:eastAsia="en-AU"/>
              </w:rPr>
              <w:t>Gellecum</w:t>
            </w:r>
            <w:proofErr w:type="spellEnd"/>
            <w:r w:rsidRPr="005176BD">
              <w:rPr>
                <w:rFonts w:cs="Arial"/>
                <w:sz w:val="20"/>
                <w:szCs w:val="20"/>
                <w:lang w:eastAsia="en-AU"/>
              </w:rPr>
              <w:t xml:space="preserve"> YR, Burton NW, van </w:t>
            </w:r>
            <w:proofErr w:type="spellStart"/>
            <w:r w:rsidRPr="005176BD">
              <w:rPr>
                <w:rFonts w:cs="Arial"/>
                <w:sz w:val="20"/>
                <w:szCs w:val="20"/>
                <w:lang w:eastAsia="en-AU"/>
              </w:rPr>
              <w:t>Uffelen</w:t>
            </w:r>
            <w:proofErr w:type="spellEnd"/>
            <w:r w:rsidRPr="005176BD">
              <w:rPr>
                <w:rFonts w:cs="Arial"/>
                <w:sz w:val="20"/>
                <w:szCs w:val="20"/>
                <w:lang w:eastAsia="en-AU"/>
              </w:rPr>
              <w:t xml:space="preserve"> JGZ &amp; Brown W.</w:t>
            </w:r>
          </w:p>
        </w:tc>
        <w:tc>
          <w:tcPr>
            <w:tcW w:w="617" w:type="dxa"/>
          </w:tcPr>
          <w:p w14:paraId="047D4837" w14:textId="77777777" w:rsidR="00084B2B" w:rsidRPr="005176BD" w:rsidRDefault="00084B2B" w:rsidP="003B611A">
            <w:pPr>
              <w:rPr>
                <w:rFonts w:cs="Arial"/>
                <w:sz w:val="20"/>
                <w:szCs w:val="20"/>
                <w:lang w:eastAsia="en-AU"/>
              </w:rPr>
            </w:pPr>
            <w:r w:rsidRPr="005176BD">
              <w:rPr>
                <w:rFonts w:cs="Arial"/>
                <w:sz w:val="20"/>
                <w:szCs w:val="20"/>
                <w:lang w:eastAsia="en-AU"/>
              </w:rPr>
              <w:t>8</w:t>
            </w:r>
          </w:p>
        </w:tc>
      </w:tr>
      <w:tr w:rsidR="00084B2B" w:rsidRPr="0081500B" w14:paraId="3ED0297A" w14:textId="77777777" w:rsidTr="0011030B">
        <w:tc>
          <w:tcPr>
            <w:tcW w:w="8309" w:type="dxa"/>
          </w:tcPr>
          <w:p w14:paraId="47E6279E" w14:textId="10952869" w:rsidR="00084B2B" w:rsidRPr="005176BD" w:rsidRDefault="00084B2B" w:rsidP="003B611A">
            <w:pPr>
              <w:rPr>
                <w:rFonts w:cs="Arial"/>
                <w:sz w:val="20"/>
                <w:szCs w:val="20"/>
                <w:lang w:eastAsia="en-AU"/>
              </w:rPr>
            </w:pPr>
            <w:r w:rsidRPr="005176BD">
              <w:rPr>
                <w:rFonts w:cs="Arial"/>
                <w:sz w:val="20"/>
                <w:szCs w:val="20"/>
                <w:lang w:eastAsia="en-AU"/>
              </w:rPr>
              <w:t>Beyond widowhood: Do prior discovered themes that describe the experiences of older Australian widowed women persist over time? Women’s Health, 2016</w:t>
            </w:r>
            <w:r w:rsidR="0081500B" w:rsidRPr="005176BD">
              <w:rPr>
                <w:rFonts w:cs="Arial"/>
                <w:sz w:val="20"/>
                <w:szCs w:val="20"/>
                <w:lang w:eastAsia="en-AU"/>
              </w:rPr>
              <w:t>;</w:t>
            </w:r>
            <w:r w:rsidRPr="005176BD">
              <w:rPr>
                <w:rFonts w:cs="Arial"/>
                <w:sz w:val="20"/>
                <w:szCs w:val="20"/>
                <w:lang w:eastAsia="en-AU"/>
              </w:rPr>
              <w:t xml:space="preserve"> 56(7)</w:t>
            </w:r>
            <w:r w:rsidR="0081500B" w:rsidRPr="005176BD">
              <w:rPr>
                <w:rFonts w:cs="Arial"/>
                <w:sz w:val="20"/>
                <w:szCs w:val="20"/>
                <w:lang w:eastAsia="en-AU"/>
              </w:rPr>
              <w:t xml:space="preserve">: </w:t>
            </w:r>
            <w:r w:rsidRPr="005176BD">
              <w:rPr>
                <w:rFonts w:cs="Arial"/>
                <w:sz w:val="20"/>
                <w:szCs w:val="20"/>
                <w:lang w:eastAsia="en-AU"/>
              </w:rPr>
              <w:t>827-842</w:t>
            </w:r>
            <w:r w:rsidR="0081500B" w:rsidRPr="005176BD">
              <w:rPr>
                <w:rFonts w:cs="Arial"/>
                <w:sz w:val="20"/>
                <w:szCs w:val="20"/>
                <w:lang w:eastAsia="en-AU"/>
              </w:rPr>
              <w:t>.</w:t>
            </w:r>
          </w:p>
        </w:tc>
        <w:tc>
          <w:tcPr>
            <w:tcW w:w="4929" w:type="dxa"/>
          </w:tcPr>
          <w:p w14:paraId="638ABD66"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Kennaugh</w:t>
            </w:r>
            <w:proofErr w:type="spellEnd"/>
            <w:r w:rsidRPr="005176BD">
              <w:rPr>
                <w:rFonts w:cs="Arial"/>
                <w:sz w:val="20"/>
                <w:szCs w:val="20"/>
                <w:lang w:eastAsia="en-AU"/>
              </w:rPr>
              <w:t xml:space="preserve"> R, Byles J &amp; Tavener M.</w:t>
            </w:r>
          </w:p>
        </w:tc>
        <w:tc>
          <w:tcPr>
            <w:tcW w:w="617" w:type="dxa"/>
          </w:tcPr>
          <w:p w14:paraId="5C90EC90"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81500B" w14:paraId="6DF4D737" w14:textId="77777777" w:rsidTr="0011030B">
        <w:tc>
          <w:tcPr>
            <w:tcW w:w="8309" w:type="dxa"/>
            <w:tcBorders>
              <w:top w:val="single" w:sz="4" w:space="0" w:color="auto"/>
              <w:left w:val="single" w:sz="4" w:space="0" w:color="C0C0C0"/>
              <w:bottom w:val="single" w:sz="4" w:space="0" w:color="auto"/>
              <w:right w:val="single" w:sz="4" w:space="0" w:color="C0C0C0"/>
            </w:tcBorders>
            <w:shd w:val="clear" w:color="auto" w:fill="auto"/>
          </w:tcPr>
          <w:p w14:paraId="52D40D01" w14:textId="5DD32A65" w:rsidR="00084B2B" w:rsidRPr="005176BD" w:rsidRDefault="00084B2B" w:rsidP="003B611A">
            <w:pPr>
              <w:rPr>
                <w:rFonts w:cs="Arial"/>
                <w:sz w:val="20"/>
                <w:szCs w:val="20"/>
                <w:lang w:eastAsia="en-AU"/>
              </w:rPr>
            </w:pPr>
            <w:r w:rsidRPr="005176BD">
              <w:rPr>
                <w:rFonts w:cs="Arial"/>
                <w:sz w:val="20"/>
                <w:szCs w:val="20"/>
                <w:lang w:eastAsia="en-AU"/>
              </w:rPr>
              <w:t>Changes in housing among older women: Latent class analysis of housing patterns in older Australian women. Urban Studies, 2016</w:t>
            </w:r>
            <w:r w:rsidR="0081500B" w:rsidRPr="005176BD">
              <w:rPr>
                <w:rFonts w:cs="Arial"/>
                <w:sz w:val="20"/>
                <w:szCs w:val="20"/>
                <w:lang w:eastAsia="en-AU"/>
              </w:rPr>
              <w:t>;</w:t>
            </w:r>
            <w:r w:rsidRPr="005176BD">
              <w:rPr>
                <w:rFonts w:cs="Arial"/>
                <w:sz w:val="20"/>
                <w:szCs w:val="20"/>
                <w:lang w:eastAsia="en-AU"/>
              </w:rPr>
              <w:t xml:space="preserve"> 55(4)</w:t>
            </w:r>
            <w:r w:rsidR="0081500B" w:rsidRPr="005176BD">
              <w:rPr>
                <w:rFonts w:cs="Arial"/>
                <w:sz w:val="20"/>
                <w:szCs w:val="20"/>
                <w:lang w:eastAsia="en-AU"/>
              </w:rPr>
              <w:t xml:space="preserve">: </w:t>
            </w:r>
            <w:r w:rsidRPr="005176BD">
              <w:rPr>
                <w:rFonts w:cs="Arial"/>
                <w:sz w:val="20"/>
                <w:szCs w:val="20"/>
                <w:lang w:eastAsia="en-AU"/>
              </w:rPr>
              <w:t>1-17</w:t>
            </w:r>
            <w:r w:rsidR="0081500B" w:rsidRPr="005176BD">
              <w:rPr>
                <w:rFonts w:cs="Arial"/>
                <w:sz w:val="20"/>
                <w:szCs w:val="20"/>
                <w:lang w:eastAsia="en-AU"/>
              </w:rPr>
              <w:t>.</w:t>
            </w:r>
          </w:p>
        </w:tc>
        <w:tc>
          <w:tcPr>
            <w:tcW w:w="4929" w:type="dxa"/>
          </w:tcPr>
          <w:p w14:paraId="2C03B77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 </w:t>
            </w:r>
            <w:proofErr w:type="spellStart"/>
            <w:r w:rsidRPr="005176BD">
              <w:rPr>
                <w:rFonts w:cs="Arial"/>
                <w:sz w:val="20"/>
                <w:szCs w:val="20"/>
                <w:lang w:eastAsia="en-AU"/>
              </w:rPr>
              <w:t>Curryer</w:t>
            </w:r>
            <w:proofErr w:type="spellEnd"/>
            <w:r w:rsidRPr="005176BD">
              <w:rPr>
                <w:rFonts w:cs="Arial"/>
                <w:sz w:val="20"/>
                <w:szCs w:val="20"/>
                <w:lang w:eastAsia="en-AU"/>
              </w:rPr>
              <w:t xml:space="preserve"> C, Vo K, Forder P, Loxton D &amp; McLaughlin D.</w:t>
            </w:r>
          </w:p>
        </w:tc>
        <w:tc>
          <w:tcPr>
            <w:tcW w:w="617" w:type="dxa"/>
          </w:tcPr>
          <w:p w14:paraId="25A2B48A"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061784AA" w14:textId="77777777" w:rsidTr="0011030B">
        <w:tc>
          <w:tcPr>
            <w:tcW w:w="8309" w:type="dxa"/>
          </w:tcPr>
          <w:p w14:paraId="64F144F3" w14:textId="06122FA0" w:rsidR="00084B2B" w:rsidRPr="005176BD" w:rsidRDefault="00084B2B" w:rsidP="003B611A">
            <w:pPr>
              <w:rPr>
                <w:rFonts w:cs="Arial"/>
                <w:sz w:val="20"/>
                <w:szCs w:val="20"/>
                <w:lang w:eastAsia="en-AU"/>
              </w:rPr>
            </w:pPr>
            <w:r w:rsidRPr="005176BD">
              <w:rPr>
                <w:rFonts w:cs="Arial"/>
                <w:sz w:val="20"/>
                <w:szCs w:val="20"/>
                <w:lang w:eastAsia="en-AU"/>
              </w:rPr>
              <w:t>Change in physical fun</w:t>
            </w:r>
            <w:r w:rsidR="0081500B" w:rsidRPr="005176BD">
              <w:rPr>
                <w:rFonts w:cs="Arial"/>
                <w:sz w:val="20"/>
                <w:szCs w:val="20"/>
                <w:lang w:eastAsia="en-AU"/>
              </w:rPr>
              <w:t>ction among women as they age: F</w:t>
            </w:r>
            <w:r w:rsidRPr="005176BD">
              <w:rPr>
                <w:rFonts w:cs="Arial"/>
                <w:sz w:val="20"/>
                <w:szCs w:val="20"/>
                <w:lang w:eastAsia="en-AU"/>
              </w:rPr>
              <w:t>indings from the Australian Longitudinal Study on Women's Health. Quality of Life Research, 2017</w:t>
            </w:r>
            <w:r w:rsidR="0081500B" w:rsidRPr="005176BD">
              <w:rPr>
                <w:rFonts w:cs="Arial"/>
                <w:sz w:val="20"/>
                <w:szCs w:val="20"/>
                <w:lang w:eastAsia="en-AU"/>
              </w:rPr>
              <w:t>;</w:t>
            </w:r>
            <w:r w:rsidRPr="005176BD">
              <w:rPr>
                <w:rFonts w:cs="Arial"/>
                <w:sz w:val="20"/>
                <w:szCs w:val="20"/>
                <w:lang w:eastAsia="en-AU"/>
              </w:rPr>
              <w:t xml:space="preserve"> 26(4)</w:t>
            </w:r>
            <w:r w:rsidR="0081500B" w:rsidRPr="005176BD">
              <w:rPr>
                <w:rFonts w:cs="Arial"/>
                <w:sz w:val="20"/>
                <w:szCs w:val="20"/>
                <w:lang w:eastAsia="en-AU"/>
              </w:rPr>
              <w:t xml:space="preserve">: </w:t>
            </w:r>
            <w:r w:rsidRPr="005176BD">
              <w:rPr>
                <w:rFonts w:cs="Arial"/>
                <w:sz w:val="20"/>
                <w:szCs w:val="20"/>
                <w:lang w:eastAsia="en-AU"/>
              </w:rPr>
              <w:t>981-991</w:t>
            </w:r>
            <w:r w:rsidR="0081500B" w:rsidRPr="005176BD">
              <w:rPr>
                <w:rFonts w:cs="Arial"/>
                <w:sz w:val="20"/>
                <w:szCs w:val="20"/>
                <w:lang w:eastAsia="en-AU"/>
              </w:rPr>
              <w:t>.</w:t>
            </w:r>
          </w:p>
        </w:tc>
        <w:tc>
          <w:tcPr>
            <w:tcW w:w="4929" w:type="dxa"/>
          </w:tcPr>
          <w:p w14:paraId="16EF14BE" w14:textId="77777777" w:rsidR="00084B2B" w:rsidRPr="005176BD" w:rsidRDefault="00084B2B" w:rsidP="003B611A">
            <w:pPr>
              <w:rPr>
                <w:rFonts w:cs="Arial"/>
                <w:sz w:val="20"/>
                <w:szCs w:val="20"/>
                <w:lang w:eastAsia="en-AU"/>
              </w:rPr>
            </w:pPr>
            <w:r w:rsidRPr="005176BD">
              <w:rPr>
                <w:rFonts w:cs="Arial"/>
                <w:sz w:val="20"/>
                <w:szCs w:val="20"/>
                <w:lang w:eastAsia="en-AU"/>
              </w:rPr>
              <w:t>Leigh L, Byles J &amp; Mishra G.</w:t>
            </w:r>
          </w:p>
        </w:tc>
        <w:tc>
          <w:tcPr>
            <w:tcW w:w="617" w:type="dxa"/>
          </w:tcPr>
          <w:p w14:paraId="6CFB772A"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0E9AAE62" w14:textId="77777777" w:rsidTr="0011030B">
        <w:tc>
          <w:tcPr>
            <w:tcW w:w="8309" w:type="dxa"/>
          </w:tcPr>
          <w:p w14:paraId="4F4931B8" w14:textId="19BE6639" w:rsidR="00084B2B" w:rsidRPr="005176BD" w:rsidRDefault="00084B2B" w:rsidP="003B611A">
            <w:pPr>
              <w:rPr>
                <w:rFonts w:cs="Arial"/>
                <w:sz w:val="20"/>
                <w:szCs w:val="20"/>
                <w:lang w:eastAsia="en-AU"/>
              </w:rPr>
            </w:pPr>
            <w:r w:rsidRPr="005176BD">
              <w:rPr>
                <w:rFonts w:cs="Arial"/>
                <w:sz w:val="20"/>
                <w:szCs w:val="20"/>
                <w:lang w:eastAsia="en-AU"/>
              </w:rPr>
              <w:t>Stroke, physical function, and death over a 15-year period in older Australian women. Stroke, 2016</w:t>
            </w:r>
            <w:r w:rsidR="0081500B" w:rsidRPr="005176BD">
              <w:rPr>
                <w:rFonts w:cs="Arial"/>
                <w:sz w:val="20"/>
                <w:szCs w:val="20"/>
                <w:lang w:eastAsia="en-AU"/>
              </w:rPr>
              <w:t>;</w:t>
            </w:r>
            <w:r w:rsidRPr="005176BD">
              <w:rPr>
                <w:rFonts w:cs="Arial"/>
                <w:sz w:val="20"/>
                <w:szCs w:val="20"/>
                <w:lang w:eastAsia="en-AU"/>
              </w:rPr>
              <w:t xml:space="preserve"> 47(4)</w:t>
            </w:r>
            <w:r w:rsidR="0081500B" w:rsidRPr="005176BD">
              <w:rPr>
                <w:rFonts w:cs="Arial"/>
                <w:sz w:val="20"/>
                <w:szCs w:val="20"/>
                <w:lang w:eastAsia="en-AU"/>
              </w:rPr>
              <w:t xml:space="preserve">: </w:t>
            </w:r>
            <w:r w:rsidRPr="005176BD">
              <w:rPr>
                <w:rFonts w:cs="Arial"/>
                <w:sz w:val="20"/>
                <w:szCs w:val="20"/>
                <w:lang w:eastAsia="en-AU"/>
              </w:rPr>
              <w:t xml:space="preserve">1060-1067. </w:t>
            </w:r>
          </w:p>
        </w:tc>
        <w:tc>
          <w:tcPr>
            <w:tcW w:w="4929" w:type="dxa"/>
          </w:tcPr>
          <w:p w14:paraId="46053004" w14:textId="77777777" w:rsidR="00084B2B" w:rsidRPr="005176BD" w:rsidRDefault="00084B2B" w:rsidP="003B611A">
            <w:pPr>
              <w:rPr>
                <w:rFonts w:cs="Arial"/>
                <w:sz w:val="20"/>
                <w:szCs w:val="20"/>
                <w:lang w:eastAsia="en-AU"/>
              </w:rPr>
            </w:pPr>
            <w:r w:rsidRPr="005176BD">
              <w:rPr>
                <w:rFonts w:cs="Arial"/>
                <w:sz w:val="20"/>
                <w:szCs w:val="20"/>
                <w:lang w:eastAsia="en-AU"/>
              </w:rPr>
              <w:t>Hubbard I, Vo K, Forder P &amp; Byles J.</w:t>
            </w:r>
          </w:p>
        </w:tc>
        <w:tc>
          <w:tcPr>
            <w:tcW w:w="617" w:type="dxa"/>
          </w:tcPr>
          <w:p w14:paraId="500FF0EE" w14:textId="77777777" w:rsidR="00084B2B" w:rsidRPr="005176BD" w:rsidRDefault="00084B2B" w:rsidP="003B611A">
            <w:pPr>
              <w:rPr>
                <w:rFonts w:cs="Arial"/>
                <w:sz w:val="20"/>
                <w:szCs w:val="20"/>
                <w:lang w:eastAsia="en-AU"/>
              </w:rPr>
            </w:pPr>
            <w:r w:rsidRPr="005176BD">
              <w:rPr>
                <w:rFonts w:cs="Arial"/>
                <w:sz w:val="20"/>
                <w:szCs w:val="20"/>
                <w:lang w:eastAsia="en-AU"/>
              </w:rPr>
              <w:t>1</w:t>
            </w:r>
          </w:p>
        </w:tc>
      </w:tr>
      <w:tr w:rsidR="00084B2B" w:rsidRPr="00084B2B" w14:paraId="27AA066A" w14:textId="77777777" w:rsidTr="0011030B">
        <w:tc>
          <w:tcPr>
            <w:tcW w:w="8309" w:type="dxa"/>
          </w:tcPr>
          <w:p w14:paraId="5F20A9DC" w14:textId="4569C075" w:rsidR="00084B2B" w:rsidRPr="005176BD" w:rsidRDefault="00084B2B" w:rsidP="003B611A">
            <w:pPr>
              <w:rPr>
                <w:rFonts w:cs="Arial"/>
                <w:sz w:val="20"/>
                <w:szCs w:val="20"/>
                <w:lang w:eastAsia="en-AU"/>
              </w:rPr>
            </w:pPr>
            <w:r w:rsidRPr="005176BD">
              <w:rPr>
                <w:rFonts w:cs="Arial"/>
                <w:sz w:val="20"/>
                <w:szCs w:val="20"/>
                <w:lang w:eastAsia="en-AU"/>
              </w:rPr>
              <w:t>Physical activity in mid-age and older women: Lessons from the Australian Longitudinal Study on Women’s Health. Kinesiology Review, 2016</w:t>
            </w:r>
            <w:r w:rsidR="0081500B" w:rsidRPr="005176BD">
              <w:rPr>
                <w:rFonts w:cs="Arial"/>
                <w:sz w:val="20"/>
                <w:szCs w:val="20"/>
                <w:lang w:eastAsia="en-AU"/>
              </w:rPr>
              <w:t>;</w:t>
            </w:r>
            <w:r w:rsidRPr="005176BD">
              <w:rPr>
                <w:rFonts w:cs="Arial"/>
                <w:sz w:val="20"/>
                <w:szCs w:val="20"/>
                <w:lang w:eastAsia="en-AU"/>
              </w:rPr>
              <w:t xml:space="preserve"> 5(1)</w:t>
            </w:r>
            <w:r w:rsidR="0081500B" w:rsidRPr="005176BD">
              <w:rPr>
                <w:rFonts w:cs="Arial"/>
                <w:sz w:val="20"/>
                <w:szCs w:val="20"/>
                <w:lang w:eastAsia="en-AU"/>
              </w:rPr>
              <w:t xml:space="preserve">: </w:t>
            </w:r>
            <w:r w:rsidRPr="005176BD">
              <w:rPr>
                <w:rFonts w:cs="Arial"/>
                <w:sz w:val="20"/>
                <w:szCs w:val="20"/>
                <w:lang w:eastAsia="en-AU"/>
              </w:rPr>
              <w:t>87-97</w:t>
            </w:r>
            <w:r w:rsidR="0081500B" w:rsidRPr="005176BD">
              <w:rPr>
                <w:rFonts w:cs="Arial"/>
                <w:sz w:val="20"/>
                <w:szCs w:val="20"/>
                <w:lang w:eastAsia="en-AU"/>
              </w:rPr>
              <w:t>.</w:t>
            </w:r>
          </w:p>
        </w:tc>
        <w:tc>
          <w:tcPr>
            <w:tcW w:w="4929" w:type="dxa"/>
          </w:tcPr>
          <w:p w14:paraId="032148F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Brown W &amp; </w:t>
            </w:r>
            <w:proofErr w:type="spellStart"/>
            <w:r w:rsidRPr="005176BD">
              <w:rPr>
                <w:rFonts w:cs="Arial"/>
                <w:sz w:val="20"/>
                <w:szCs w:val="20"/>
                <w:lang w:eastAsia="en-AU"/>
              </w:rPr>
              <w:t>Pavey</w:t>
            </w:r>
            <w:proofErr w:type="spellEnd"/>
            <w:r w:rsidRPr="005176BD">
              <w:rPr>
                <w:rFonts w:cs="Arial"/>
                <w:sz w:val="20"/>
                <w:szCs w:val="20"/>
                <w:lang w:eastAsia="en-AU"/>
              </w:rPr>
              <w:t xml:space="preserve"> T.</w:t>
            </w:r>
          </w:p>
        </w:tc>
        <w:tc>
          <w:tcPr>
            <w:tcW w:w="617" w:type="dxa"/>
          </w:tcPr>
          <w:p w14:paraId="2EF92916" w14:textId="77777777" w:rsidR="00084B2B" w:rsidRPr="005176BD" w:rsidRDefault="00084B2B" w:rsidP="003B611A">
            <w:pPr>
              <w:rPr>
                <w:rFonts w:cs="Arial"/>
                <w:sz w:val="20"/>
                <w:szCs w:val="20"/>
                <w:lang w:eastAsia="en-AU"/>
              </w:rPr>
            </w:pPr>
            <w:r w:rsidRPr="005176BD">
              <w:rPr>
                <w:rFonts w:cs="Arial"/>
                <w:sz w:val="20"/>
                <w:szCs w:val="20"/>
                <w:lang w:eastAsia="en-AU"/>
              </w:rPr>
              <w:t>4</w:t>
            </w:r>
          </w:p>
        </w:tc>
      </w:tr>
      <w:tr w:rsidR="00084B2B" w:rsidRPr="00084B2B" w14:paraId="17156513" w14:textId="77777777" w:rsidTr="0011030B">
        <w:tc>
          <w:tcPr>
            <w:tcW w:w="8309" w:type="dxa"/>
          </w:tcPr>
          <w:p w14:paraId="40C4DDAF" w14:textId="7C56F9EA" w:rsidR="00084B2B" w:rsidRPr="005176BD" w:rsidRDefault="00EB5432" w:rsidP="003B611A">
            <w:pPr>
              <w:rPr>
                <w:rFonts w:cs="Arial"/>
                <w:sz w:val="20"/>
                <w:szCs w:val="20"/>
                <w:lang w:eastAsia="en-AU"/>
              </w:rPr>
            </w:pPr>
            <w:r w:rsidRPr="005176BD">
              <w:rPr>
                <w:rFonts w:cs="Arial"/>
                <w:sz w:val="20"/>
                <w:szCs w:val="20"/>
                <w:lang w:eastAsia="en-AU"/>
              </w:rPr>
              <w:t xml:space="preserve">Long-term consequences of </w:t>
            </w:r>
            <w:proofErr w:type="spellStart"/>
            <w:r w:rsidRPr="005176BD">
              <w:rPr>
                <w:rFonts w:cs="Arial"/>
                <w:sz w:val="20"/>
                <w:szCs w:val="20"/>
                <w:lang w:eastAsia="en-AU"/>
              </w:rPr>
              <w:t>noninjurious</w:t>
            </w:r>
            <w:proofErr w:type="spellEnd"/>
            <w:r w:rsidRPr="005176BD">
              <w:rPr>
                <w:rFonts w:cs="Arial"/>
                <w:sz w:val="20"/>
                <w:szCs w:val="20"/>
                <w:lang w:eastAsia="en-AU"/>
              </w:rPr>
              <w:t xml:space="preserve"> and injurious falls on well-being in older women. Journals of Gerontology Series A: Biological Sciences &amp; Medical Sciences, 2015; 70(12): 1519-1525.</w:t>
            </w:r>
          </w:p>
        </w:tc>
        <w:tc>
          <w:tcPr>
            <w:tcW w:w="4929" w:type="dxa"/>
          </w:tcPr>
          <w:p w14:paraId="5B795FDC" w14:textId="77777777" w:rsidR="00084B2B" w:rsidRPr="005176BD" w:rsidRDefault="00084B2B" w:rsidP="003B611A">
            <w:pPr>
              <w:rPr>
                <w:rFonts w:cs="Arial"/>
                <w:sz w:val="20"/>
                <w:szCs w:val="20"/>
                <w:lang w:eastAsia="en-AU"/>
              </w:rPr>
            </w:pPr>
            <w:r w:rsidRPr="005176BD">
              <w:rPr>
                <w:rFonts w:cs="Arial"/>
                <w:sz w:val="20"/>
                <w:szCs w:val="20"/>
                <w:lang w:eastAsia="en-AU"/>
              </w:rPr>
              <w:t>Peeters G, Jones M, Byles J &amp; Dobson A.</w:t>
            </w:r>
          </w:p>
        </w:tc>
        <w:tc>
          <w:tcPr>
            <w:tcW w:w="617" w:type="dxa"/>
          </w:tcPr>
          <w:p w14:paraId="5A5F5A3B"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084B2B" w:rsidRPr="00084B2B" w14:paraId="4E8FB5B4" w14:textId="77777777" w:rsidTr="0011030B">
        <w:tc>
          <w:tcPr>
            <w:tcW w:w="8309" w:type="dxa"/>
          </w:tcPr>
          <w:p w14:paraId="2AD34300" w14:textId="24E18D69" w:rsidR="00084B2B" w:rsidRPr="005176BD" w:rsidRDefault="00E64051" w:rsidP="003B611A">
            <w:pPr>
              <w:rPr>
                <w:rFonts w:cs="Arial"/>
                <w:sz w:val="20"/>
                <w:szCs w:val="20"/>
                <w:lang w:eastAsia="en-AU"/>
              </w:rPr>
            </w:pPr>
            <w:r w:rsidRPr="005176BD">
              <w:rPr>
                <w:rFonts w:cs="Arial"/>
                <w:sz w:val="20"/>
                <w:szCs w:val="20"/>
                <w:lang w:eastAsia="en-AU"/>
              </w:rPr>
              <w:t>Acknowledging how older Australian women experience life after stroke: How does the WHO 18-item brief ICF core set for stroke compare</w:t>
            </w:r>
            <w:r w:rsidR="00084B2B" w:rsidRPr="005176BD">
              <w:rPr>
                <w:rFonts w:cs="Arial"/>
                <w:sz w:val="20"/>
                <w:szCs w:val="20"/>
                <w:lang w:eastAsia="en-AU"/>
              </w:rPr>
              <w:t>? Health Care Women Int</w:t>
            </w:r>
            <w:r w:rsidR="0081500B" w:rsidRPr="005176BD">
              <w:rPr>
                <w:rFonts w:cs="Arial"/>
                <w:sz w:val="20"/>
                <w:szCs w:val="20"/>
                <w:lang w:eastAsia="en-AU"/>
              </w:rPr>
              <w:t>ernational</w:t>
            </w:r>
            <w:r w:rsidR="00084B2B" w:rsidRPr="005176BD">
              <w:rPr>
                <w:rFonts w:cs="Arial"/>
                <w:sz w:val="20"/>
                <w:szCs w:val="20"/>
                <w:lang w:eastAsia="en-AU"/>
              </w:rPr>
              <w:t>, 2015</w:t>
            </w:r>
            <w:r w:rsidR="0081500B" w:rsidRPr="005176BD">
              <w:rPr>
                <w:rFonts w:cs="Arial"/>
                <w:sz w:val="20"/>
                <w:szCs w:val="20"/>
                <w:lang w:eastAsia="en-AU"/>
              </w:rPr>
              <w:t>;</w:t>
            </w:r>
            <w:r w:rsidR="00084B2B" w:rsidRPr="005176BD">
              <w:rPr>
                <w:rFonts w:cs="Arial"/>
                <w:sz w:val="20"/>
                <w:szCs w:val="20"/>
                <w:lang w:eastAsia="en-AU"/>
              </w:rPr>
              <w:t xml:space="preserve"> 36(12)</w:t>
            </w:r>
            <w:r w:rsidR="0081500B" w:rsidRPr="005176BD">
              <w:rPr>
                <w:rFonts w:cs="Arial"/>
                <w:sz w:val="20"/>
                <w:szCs w:val="20"/>
                <w:lang w:eastAsia="en-AU"/>
              </w:rPr>
              <w:t xml:space="preserve">: </w:t>
            </w:r>
            <w:r w:rsidR="00084B2B" w:rsidRPr="005176BD">
              <w:rPr>
                <w:rFonts w:cs="Arial"/>
                <w:sz w:val="20"/>
                <w:szCs w:val="20"/>
                <w:lang w:eastAsia="en-AU"/>
              </w:rPr>
              <w:t>1311-1326</w:t>
            </w:r>
            <w:r w:rsidR="0081500B" w:rsidRPr="005176BD">
              <w:rPr>
                <w:rFonts w:cs="Arial"/>
                <w:sz w:val="20"/>
                <w:szCs w:val="20"/>
                <w:lang w:eastAsia="en-AU"/>
              </w:rPr>
              <w:t>.</w:t>
            </w:r>
          </w:p>
        </w:tc>
        <w:tc>
          <w:tcPr>
            <w:tcW w:w="4929" w:type="dxa"/>
          </w:tcPr>
          <w:p w14:paraId="05BE1A37" w14:textId="77777777" w:rsidR="00084B2B" w:rsidRPr="005176BD" w:rsidRDefault="00084B2B" w:rsidP="003B611A">
            <w:pPr>
              <w:rPr>
                <w:rFonts w:cs="Arial"/>
                <w:sz w:val="20"/>
                <w:szCs w:val="20"/>
                <w:lang w:eastAsia="en-AU"/>
              </w:rPr>
            </w:pPr>
            <w:r w:rsidRPr="005176BD">
              <w:rPr>
                <w:rFonts w:cs="Arial"/>
                <w:sz w:val="20"/>
                <w:szCs w:val="20"/>
                <w:lang w:eastAsia="en-AU"/>
              </w:rPr>
              <w:t xml:space="preserve">Tavener M, </w:t>
            </w:r>
            <w:proofErr w:type="spellStart"/>
            <w:r w:rsidRPr="005176BD">
              <w:rPr>
                <w:rFonts w:cs="Arial"/>
                <w:sz w:val="20"/>
                <w:szCs w:val="20"/>
                <w:lang w:eastAsia="en-AU"/>
              </w:rPr>
              <w:t>Thijsen</w:t>
            </w:r>
            <w:proofErr w:type="spellEnd"/>
            <w:r w:rsidRPr="005176BD">
              <w:rPr>
                <w:rFonts w:cs="Arial"/>
                <w:sz w:val="20"/>
                <w:szCs w:val="20"/>
                <w:lang w:eastAsia="en-AU"/>
              </w:rPr>
              <w:t xml:space="preserve"> A, Hubbard I, Francis J, </w:t>
            </w:r>
            <w:proofErr w:type="spellStart"/>
            <w:r w:rsidRPr="005176BD">
              <w:rPr>
                <w:rFonts w:cs="Arial"/>
                <w:sz w:val="20"/>
                <w:szCs w:val="20"/>
                <w:lang w:eastAsia="en-AU"/>
              </w:rPr>
              <w:t>Grennall</w:t>
            </w:r>
            <w:proofErr w:type="spellEnd"/>
            <w:r w:rsidRPr="005176BD">
              <w:rPr>
                <w:rFonts w:cs="Arial"/>
                <w:sz w:val="20"/>
                <w:szCs w:val="20"/>
                <w:lang w:eastAsia="en-AU"/>
              </w:rPr>
              <w:t xml:space="preserve"> C, Levi C &amp; Byles J.</w:t>
            </w:r>
          </w:p>
        </w:tc>
        <w:tc>
          <w:tcPr>
            <w:tcW w:w="617" w:type="dxa"/>
          </w:tcPr>
          <w:p w14:paraId="690060D5" w14:textId="0A1E06F7" w:rsidR="00084B2B" w:rsidRPr="005176BD" w:rsidRDefault="004979FE" w:rsidP="003B611A">
            <w:pPr>
              <w:rPr>
                <w:rFonts w:cs="Arial"/>
                <w:sz w:val="20"/>
                <w:szCs w:val="20"/>
                <w:lang w:eastAsia="en-AU"/>
              </w:rPr>
            </w:pPr>
            <w:r w:rsidRPr="005176BD">
              <w:rPr>
                <w:rFonts w:cs="Arial"/>
                <w:sz w:val="20"/>
                <w:szCs w:val="20"/>
                <w:lang w:eastAsia="en-AU"/>
              </w:rPr>
              <w:t>3</w:t>
            </w:r>
          </w:p>
        </w:tc>
      </w:tr>
      <w:tr w:rsidR="00084B2B" w:rsidRPr="00084B2B" w14:paraId="7A7CAB12" w14:textId="77777777" w:rsidTr="0011030B">
        <w:tc>
          <w:tcPr>
            <w:tcW w:w="8309" w:type="dxa"/>
          </w:tcPr>
          <w:p w14:paraId="3FE4F328" w14:textId="585BEE97" w:rsidR="00084B2B" w:rsidRPr="005176BD" w:rsidRDefault="00FB70EC" w:rsidP="003B611A">
            <w:pPr>
              <w:rPr>
                <w:rFonts w:cs="Arial"/>
                <w:sz w:val="20"/>
                <w:szCs w:val="20"/>
                <w:lang w:eastAsia="en-AU"/>
              </w:rPr>
            </w:pPr>
            <w:r w:rsidRPr="005176BD">
              <w:rPr>
                <w:rFonts w:cs="Arial"/>
                <w:sz w:val="20"/>
                <w:szCs w:val="20"/>
                <w:lang w:eastAsia="en-AU"/>
              </w:rPr>
              <w:lastRenderedPageBreak/>
              <w:t>Is statin use associated with new joint-related symptoms, physical function and quality of life? The Australian Longitudinal Study on Women’s Health. Arthritis Care &amp; Research, 2015; 67(1): 13-20.</w:t>
            </w:r>
          </w:p>
        </w:tc>
        <w:tc>
          <w:tcPr>
            <w:tcW w:w="4929" w:type="dxa"/>
          </w:tcPr>
          <w:p w14:paraId="4D511CE6"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Peeters G, </w:t>
            </w:r>
            <w:proofErr w:type="spellStart"/>
            <w:r w:rsidRPr="005176BD">
              <w:rPr>
                <w:rFonts w:cs="Arial"/>
                <w:sz w:val="20"/>
                <w:szCs w:val="20"/>
                <w:lang w:eastAsia="en-AU"/>
              </w:rPr>
              <w:t>Tett</w:t>
            </w:r>
            <w:proofErr w:type="spellEnd"/>
            <w:r w:rsidRPr="005176BD">
              <w:rPr>
                <w:rFonts w:cs="Arial"/>
                <w:sz w:val="20"/>
                <w:szCs w:val="20"/>
                <w:lang w:eastAsia="en-AU"/>
              </w:rPr>
              <w:t xml:space="preserve"> SE, </w:t>
            </w:r>
            <w:proofErr w:type="spellStart"/>
            <w:r w:rsidRPr="005176BD">
              <w:rPr>
                <w:rFonts w:cs="Arial"/>
                <w:sz w:val="20"/>
                <w:szCs w:val="20"/>
                <w:lang w:eastAsia="en-AU"/>
              </w:rPr>
              <w:t>Conaghan</w:t>
            </w:r>
            <w:proofErr w:type="spellEnd"/>
            <w:r w:rsidRPr="005176BD">
              <w:rPr>
                <w:rFonts w:cs="Arial"/>
                <w:sz w:val="20"/>
                <w:szCs w:val="20"/>
                <w:lang w:eastAsia="en-AU"/>
              </w:rPr>
              <w:t xml:space="preserve"> PG, Mishra GD &amp; Dobson AJ.</w:t>
            </w:r>
          </w:p>
        </w:tc>
        <w:tc>
          <w:tcPr>
            <w:tcW w:w="617" w:type="dxa"/>
          </w:tcPr>
          <w:p w14:paraId="3BCE7574" w14:textId="77777777" w:rsidR="00084B2B" w:rsidRPr="005176BD" w:rsidRDefault="00084B2B" w:rsidP="003B611A">
            <w:pPr>
              <w:rPr>
                <w:rFonts w:cs="Arial"/>
                <w:sz w:val="20"/>
                <w:szCs w:val="20"/>
                <w:lang w:eastAsia="en-AU"/>
              </w:rPr>
            </w:pPr>
            <w:r w:rsidRPr="005176BD">
              <w:rPr>
                <w:rFonts w:cs="Arial"/>
                <w:sz w:val="20"/>
                <w:szCs w:val="20"/>
                <w:lang w:eastAsia="en-AU"/>
              </w:rPr>
              <w:t>12</w:t>
            </w:r>
          </w:p>
        </w:tc>
      </w:tr>
      <w:tr w:rsidR="00084B2B" w:rsidRPr="00084B2B" w14:paraId="3330ED51" w14:textId="77777777" w:rsidTr="0011030B">
        <w:tc>
          <w:tcPr>
            <w:tcW w:w="8309" w:type="dxa"/>
          </w:tcPr>
          <w:p w14:paraId="1BBBB9C4" w14:textId="5790AFB3" w:rsidR="00084B2B" w:rsidRPr="005176BD" w:rsidRDefault="00084B2B" w:rsidP="003B611A">
            <w:pPr>
              <w:rPr>
                <w:rFonts w:cs="Arial"/>
                <w:sz w:val="20"/>
                <w:szCs w:val="20"/>
                <w:lang w:eastAsia="en-AU"/>
              </w:rPr>
            </w:pPr>
            <w:r w:rsidRPr="005176BD">
              <w:rPr>
                <w:rFonts w:cs="Arial"/>
                <w:sz w:val="20"/>
                <w:szCs w:val="20"/>
                <w:lang w:eastAsia="en-AU"/>
              </w:rPr>
              <w:t xml:space="preserve">Health-related factors associated with participation in creative hobbies by Australian women aged in their eighties. Arts &amp; Health: An International Journal for Research, Policy and Practice, </w:t>
            </w:r>
            <w:r w:rsidR="00EA3DF4" w:rsidRPr="005176BD">
              <w:rPr>
                <w:rFonts w:cs="Arial"/>
                <w:sz w:val="20"/>
                <w:szCs w:val="20"/>
                <w:lang w:eastAsia="en-AU"/>
              </w:rPr>
              <w:t xml:space="preserve">2014; </w:t>
            </w:r>
            <w:r w:rsidRPr="005176BD">
              <w:rPr>
                <w:rFonts w:cs="Arial"/>
                <w:sz w:val="20"/>
                <w:szCs w:val="20"/>
                <w:lang w:eastAsia="en-AU"/>
              </w:rPr>
              <w:t>6(2)</w:t>
            </w:r>
            <w:r w:rsidR="00EA3DF4" w:rsidRPr="005176BD">
              <w:rPr>
                <w:rFonts w:cs="Arial"/>
                <w:sz w:val="20"/>
                <w:szCs w:val="20"/>
                <w:lang w:eastAsia="en-AU"/>
              </w:rPr>
              <w:t>:</w:t>
            </w:r>
            <w:r w:rsidRPr="005176BD">
              <w:rPr>
                <w:rFonts w:cs="Arial"/>
                <w:sz w:val="20"/>
                <w:szCs w:val="20"/>
                <w:lang w:eastAsia="en-AU"/>
              </w:rPr>
              <w:t xml:space="preserve"> 132-142.</w:t>
            </w:r>
          </w:p>
        </w:tc>
        <w:tc>
          <w:tcPr>
            <w:tcW w:w="4929" w:type="dxa"/>
          </w:tcPr>
          <w:p w14:paraId="0BD26128" w14:textId="77777777" w:rsidR="00084B2B" w:rsidRPr="005176BD" w:rsidRDefault="00084B2B" w:rsidP="003B611A">
            <w:pPr>
              <w:rPr>
                <w:rFonts w:cs="Arial"/>
                <w:sz w:val="20"/>
                <w:szCs w:val="20"/>
                <w:lang w:eastAsia="en-AU"/>
              </w:rPr>
            </w:pPr>
            <w:r w:rsidRPr="005176BD">
              <w:rPr>
                <w:rFonts w:cs="Arial"/>
                <w:sz w:val="20"/>
                <w:szCs w:val="20"/>
                <w:lang w:eastAsia="en-AU"/>
              </w:rPr>
              <w:t>Liddle J, Parkinson L &amp; Sibbritt D.</w:t>
            </w:r>
          </w:p>
        </w:tc>
        <w:tc>
          <w:tcPr>
            <w:tcW w:w="617" w:type="dxa"/>
          </w:tcPr>
          <w:p w14:paraId="20E603EA"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0A917CA1" w14:textId="77777777" w:rsidTr="0011030B">
        <w:tc>
          <w:tcPr>
            <w:tcW w:w="8309" w:type="dxa"/>
          </w:tcPr>
          <w:p w14:paraId="770D16F0" w14:textId="173D3028" w:rsidR="00084B2B" w:rsidRPr="005176BD" w:rsidRDefault="00084B2B" w:rsidP="003B611A">
            <w:pPr>
              <w:rPr>
                <w:rFonts w:cs="Arial"/>
                <w:sz w:val="20"/>
                <w:szCs w:val="20"/>
                <w:lang w:eastAsia="en-AU"/>
              </w:rPr>
            </w:pPr>
            <w:r w:rsidRPr="005176BD">
              <w:rPr>
                <w:rFonts w:cs="Arial"/>
                <w:sz w:val="20"/>
                <w:szCs w:val="20"/>
                <w:lang w:eastAsia="en-AU"/>
              </w:rPr>
              <w:t xml:space="preserve">Painting pictures and playing musical instruments: Change in participation and relationship to health in older women. Australasian Journal on Ageing, </w:t>
            </w:r>
            <w:r w:rsidR="00EA3DF4" w:rsidRPr="005176BD">
              <w:rPr>
                <w:rFonts w:cs="Arial"/>
                <w:sz w:val="20"/>
                <w:szCs w:val="20"/>
                <w:lang w:eastAsia="en-AU"/>
              </w:rPr>
              <w:t xml:space="preserve">2012; </w:t>
            </w:r>
            <w:r w:rsidRPr="005176BD">
              <w:rPr>
                <w:rFonts w:cs="Arial"/>
                <w:sz w:val="20"/>
                <w:szCs w:val="20"/>
                <w:lang w:eastAsia="en-AU"/>
              </w:rPr>
              <w:t>31(4)</w:t>
            </w:r>
            <w:r w:rsidR="00EA3DF4" w:rsidRPr="005176BD">
              <w:rPr>
                <w:rFonts w:cs="Arial"/>
                <w:sz w:val="20"/>
                <w:szCs w:val="20"/>
                <w:lang w:eastAsia="en-AU"/>
              </w:rPr>
              <w:t>:</w:t>
            </w:r>
            <w:r w:rsidRPr="005176BD">
              <w:rPr>
                <w:rFonts w:cs="Arial"/>
                <w:sz w:val="20"/>
                <w:szCs w:val="20"/>
                <w:lang w:eastAsia="en-AU"/>
              </w:rPr>
              <w:t xml:space="preserve"> 218-221.</w:t>
            </w:r>
          </w:p>
        </w:tc>
        <w:tc>
          <w:tcPr>
            <w:tcW w:w="4929" w:type="dxa"/>
          </w:tcPr>
          <w:p w14:paraId="4C35DF36" w14:textId="77777777" w:rsidR="00084B2B" w:rsidRPr="005176BD" w:rsidRDefault="00084B2B" w:rsidP="003B611A">
            <w:pPr>
              <w:rPr>
                <w:rFonts w:cs="Arial"/>
                <w:sz w:val="20"/>
                <w:szCs w:val="20"/>
                <w:lang w:eastAsia="en-AU"/>
              </w:rPr>
            </w:pPr>
            <w:r w:rsidRPr="005176BD">
              <w:rPr>
                <w:rFonts w:cs="Arial"/>
                <w:sz w:val="20"/>
                <w:szCs w:val="20"/>
                <w:lang w:eastAsia="en-AU"/>
              </w:rPr>
              <w:t>Liddle J, Parkinson L &amp; Sibbritt D.</w:t>
            </w:r>
          </w:p>
        </w:tc>
        <w:tc>
          <w:tcPr>
            <w:tcW w:w="617" w:type="dxa"/>
          </w:tcPr>
          <w:p w14:paraId="49C0F55B"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3A6BE6" w:rsidRPr="003A6BE6" w14:paraId="4EA925D7" w14:textId="77777777" w:rsidTr="0011030B">
        <w:tc>
          <w:tcPr>
            <w:tcW w:w="8309" w:type="dxa"/>
          </w:tcPr>
          <w:p w14:paraId="176A92FA" w14:textId="77777777" w:rsidR="003A6BE6" w:rsidRPr="005176BD" w:rsidRDefault="003A6BE6" w:rsidP="003B611A">
            <w:pPr>
              <w:rPr>
                <w:rFonts w:cs="Arial"/>
                <w:sz w:val="20"/>
                <w:szCs w:val="20"/>
                <w:lang w:eastAsia="en-AU"/>
              </w:rPr>
            </w:pPr>
            <w:r w:rsidRPr="005176BD">
              <w:rPr>
                <w:rFonts w:cs="Arial"/>
                <w:sz w:val="20"/>
                <w:szCs w:val="20"/>
                <w:lang w:eastAsia="en-AU"/>
              </w:rPr>
              <w:t>Examining the SF-36 in an older population: Analysis of data from the Dynamic Analyses to Optimise Ageing (DYNOPTA) project. Quality of Life Research, 2011; 20(8): 1227-1236.</w:t>
            </w:r>
          </w:p>
        </w:tc>
        <w:tc>
          <w:tcPr>
            <w:tcW w:w="4929" w:type="dxa"/>
          </w:tcPr>
          <w:p w14:paraId="6E954ED1" w14:textId="77777777" w:rsidR="003A6BE6" w:rsidRPr="005176BD" w:rsidRDefault="003A6BE6" w:rsidP="003B611A">
            <w:pPr>
              <w:rPr>
                <w:rFonts w:cs="Arial"/>
                <w:sz w:val="20"/>
                <w:szCs w:val="20"/>
                <w:lang w:eastAsia="en-AU"/>
              </w:rPr>
            </w:pPr>
            <w:proofErr w:type="spellStart"/>
            <w:r w:rsidRPr="005176BD">
              <w:rPr>
                <w:rFonts w:cs="Arial"/>
                <w:sz w:val="20"/>
                <w:szCs w:val="20"/>
                <w:lang w:eastAsia="en-AU"/>
              </w:rPr>
              <w:t>Bartsch</w:t>
            </w:r>
            <w:proofErr w:type="spellEnd"/>
            <w:r w:rsidRPr="005176BD">
              <w:rPr>
                <w:rFonts w:cs="Arial"/>
                <w:sz w:val="20"/>
                <w:szCs w:val="20"/>
                <w:lang w:eastAsia="en-AU"/>
              </w:rPr>
              <w:t xml:space="preserve"> L, Butterworth P, Byles J, Mitchell P, Shaw J &amp; Anstey K.</w:t>
            </w:r>
          </w:p>
        </w:tc>
        <w:tc>
          <w:tcPr>
            <w:tcW w:w="617" w:type="dxa"/>
          </w:tcPr>
          <w:p w14:paraId="70FDAB7F" w14:textId="77777777" w:rsidR="003A6BE6" w:rsidRPr="005176BD" w:rsidRDefault="003A6BE6" w:rsidP="003B611A">
            <w:pPr>
              <w:rPr>
                <w:rFonts w:cs="Arial"/>
                <w:sz w:val="20"/>
                <w:szCs w:val="20"/>
                <w:lang w:eastAsia="en-AU"/>
              </w:rPr>
            </w:pPr>
            <w:r w:rsidRPr="005176BD">
              <w:rPr>
                <w:rFonts w:cs="Arial"/>
                <w:sz w:val="20"/>
                <w:szCs w:val="20"/>
                <w:lang w:eastAsia="en-AU"/>
              </w:rPr>
              <w:t>26</w:t>
            </w:r>
          </w:p>
        </w:tc>
      </w:tr>
      <w:tr w:rsidR="0060036C" w:rsidRPr="008F3670" w14:paraId="13DB46F6" w14:textId="77777777" w:rsidTr="0011030B">
        <w:tc>
          <w:tcPr>
            <w:tcW w:w="8309" w:type="dxa"/>
          </w:tcPr>
          <w:p w14:paraId="1603BBE5" w14:textId="77777777" w:rsidR="0060036C" w:rsidRPr="005176BD" w:rsidRDefault="0060036C" w:rsidP="003B611A">
            <w:pPr>
              <w:rPr>
                <w:rFonts w:cs="Arial"/>
                <w:sz w:val="20"/>
                <w:szCs w:val="20"/>
                <w:lang w:eastAsia="en-AU"/>
              </w:rPr>
            </w:pPr>
            <w:r w:rsidRPr="005176BD">
              <w:rPr>
                <w:rFonts w:cs="Arial"/>
                <w:sz w:val="20"/>
                <w:szCs w:val="20"/>
                <w:lang w:eastAsia="en-AU"/>
              </w:rPr>
              <w:t>Falls, injuries from falls, health related quality of life and mortality in older adults with vision and hearing impairment - Is there a gender difference? Maturitas, 2011; 69(4): 359-364.</w:t>
            </w:r>
          </w:p>
        </w:tc>
        <w:tc>
          <w:tcPr>
            <w:tcW w:w="4929" w:type="dxa"/>
          </w:tcPr>
          <w:p w14:paraId="284C0859" w14:textId="5095B97E" w:rsidR="0060036C" w:rsidRPr="005176BD" w:rsidRDefault="0060036C" w:rsidP="003B611A">
            <w:pPr>
              <w:rPr>
                <w:rFonts w:cs="Arial"/>
                <w:sz w:val="20"/>
                <w:szCs w:val="20"/>
                <w:lang w:eastAsia="en-AU"/>
              </w:rPr>
            </w:pPr>
            <w:r w:rsidRPr="005176BD">
              <w:rPr>
                <w:rFonts w:cs="Arial"/>
                <w:sz w:val="20"/>
                <w:szCs w:val="20"/>
                <w:lang w:eastAsia="en-AU"/>
              </w:rPr>
              <w:t xml:space="preserve">Lopez D, McCaul K, Hankey G, Norman P, Almeida O, Dobson A, Byles J, </w:t>
            </w:r>
            <w:proofErr w:type="spellStart"/>
            <w:r w:rsidRPr="005176BD">
              <w:rPr>
                <w:rFonts w:cs="Arial"/>
                <w:sz w:val="20"/>
                <w:szCs w:val="20"/>
                <w:lang w:eastAsia="en-AU"/>
              </w:rPr>
              <w:t>Yeap</w:t>
            </w:r>
            <w:proofErr w:type="spellEnd"/>
            <w:r w:rsidR="00012F17" w:rsidRPr="005176BD">
              <w:rPr>
                <w:rFonts w:cs="Arial"/>
                <w:sz w:val="20"/>
                <w:szCs w:val="20"/>
                <w:lang w:eastAsia="en-AU"/>
              </w:rPr>
              <w:t xml:space="preserve"> </w:t>
            </w:r>
            <w:r w:rsidRPr="005176BD">
              <w:rPr>
                <w:rFonts w:cs="Arial"/>
                <w:sz w:val="20"/>
                <w:szCs w:val="20"/>
                <w:lang w:eastAsia="en-AU"/>
              </w:rPr>
              <w:t>B &amp; Flicker L.</w:t>
            </w:r>
          </w:p>
        </w:tc>
        <w:tc>
          <w:tcPr>
            <w:tcW w:w="617" w:type="dxa"/>
          </w:tcPr>
          <w:p w14:paraId="07E9151A" w14:textId="77777777" w:rsidR="0060036C" w:rsidRPr="005176BD" w:rsidRDefault="0060036C" w:rsidP="003B611A">
            <w:pPr>
              <w:rPr>
                <w:rFonts w:cs="Arial"/>
                <w:sz w:val="20"/>
                <w:szCs w:val="20"/>
                <w:lang w:eastAsia="en-AU"/>
              </w:rPr>
            </w:pPr>
            <w:r w:rsidRPr="005176BD">
              <w:rPr>
                <w:rFonts w:cs="Arial"/>
                <w:sz w:val="20"/>
                <w:szCs w:val="20"/>
                <w:lang w:eastAsia="en-AU"/>
              </w:rPr>
              <w:t>84</w:t>
            </w:r>
          </w:p>
        </w:tc>
      </w:tr>
      <w:tr w:rsidR="00084B2B" w:rsidRPr="00084B2B" w14:paraId="19D55433" w14:textId="77777777" w:rsidTr="0011030B">
        <w:tc>
          <w:tcPr>
            <w:tcW w:w="8309" w:type="dxa"/>
          </w:tcPr>
          <w:p w14:paraId="0A66D46E" w14:textId="468BD551" w:rsidR="00084B2B" w:rsidRPr="005176BD" w:rsidRDefault="00084B2B" w:rsidP="003B611A">
            <w:pPr>
              <w:rPr>
                <w:rFonts w:cs="Arial"/>
                <w:sz w:val="20"/>
                <w:szCs w:val="20"/>
                <w:lang w:eastAsia="en-AU"/>
              </w:rPr>
            </w:pPr>
            <w:r w:rsidRPr="005176BD">
              <w:rPr>
                <w:rFonts w:cs="Arial"/>
                <w:sz w:val="20"/>
                <w:szCs w:val="20"/>
                <w:lang w:eastAsia="en-AU"/>
              </w:rPr>
              <w:t xml:space="preserve">Volunteering and older women: Psychosocial and health predictors of participation. Ageing and Mental Health, </w:t>
            </w:r>
            <w:r w:rsidR="00EA3DF4" w:rsidRPr="005176BD">
              <w:rPr>
                <w:rFonts w:cs="Arial"/>
                <w:sz w:val="20"/>
                <w:szCs w:val="20"/>
                <w:lang w:eastAsia="en-AU"/>
              </w:rPr>
              <w:t xml:space="preserve">2010; </w:t>
            </w:r>
            <w:r w:rsidRPr="005176BD">
              <w:rPr>
                <w:rFonts w:cs="Arial"/>
                <w:sz w:val="20"/>
                <w:szCs w:val="20"/>
                <w:lang w:eastAsia="en-AU"/>
              </w:rPr>
              <w:t>14 (8)</w:t>
            </w:r>
            <w:r w:rsidR="00EA3DF4" w:rsidRPr="005176BD">
              <w:rPr>
                <w:rFonts w:cs="Arial"/>
                <w:sz w:val="20"/>
                <w:szCs w:val="20"/>
                <w:lang w:eastAsia="en-AU"/>
              </w:rPr>
              <w:t>:</w:t>
            </w:r>
            <w:r w:rsidRPr="005176BD">
              <w:rPr>
                <w:rFonts w:cs="Arial"/>
                <w:sz w:val="20"/>
                <w:szCs w:val="20"/>
                <w:lang w:eastAsia="en-AU"/>
              </w:rPr>
              <w:t xml:space="preserve"> 917-927.</w:t>
            </w:r>
          </w:p>
        </w:tc>
        <w:tc>
          <w:tcPr>
            <w:tcW w:w="4929" w:type="dxa"/>
          </w:tcPr>
          <w:p w14:paraId="25F02C52" w14:textId="77777777" w:rsidR="00084B2B" w:rsidRPr="005176BD" w:rsidRDefault="00084B2B" w:rsidP="003B611A">
            <w:pPr>
              <w:rPr>
                <w:rFonts w:cs="Arial"/>
                <w:sz w:val="20"/>
                <w:szCs w:val="20"/>
                <w:lang w:eastAsia="en-AU"/>
              </w:rPr>
            </w:pPr>
            <w:r w:rsidRPr="005176BD">
              <w:rPr>
                <w:rFonts w:cs="Arial"/>
                <w:sz w:val="20"/>
                <w:szCs w:val="20"/>
                <w:lang w:eastAsia="en-AU"/>
              </w:rPr>
              <w:t>Parkinson L.</w:t>
            </w:r>
          </w:p>
        </w:tc>
        <w:tc>
          <w:tcPr>
            <w:tcW w:w="617" w:type="dxa"/>
          </w:tcPr>
          <w:p w14:paraId="09E10DA6" w14:textId="77777777" w:rsidR="00084B2B" w:rsidRPr="005176BD" w:rsidRDefault="00084B2B" w:rsidP="003B611A">
            <w:pPr>
              <w:rPr>
                <w:rFonts w:cs="Arial"/>
                <w:sz w:val="20"/>
                <w:szCs w:val="20"/>
                <w:lang w:eastAsia="en-AU"/>
              </w:rPr>
            </w:pPr>
            <w:r w:rsidRPr="005176BD">
              <w:rPr>
                <w:rFonts w:cs="Arial"/>
                <w:sz w:val="20"/>
                <w:szCs w:val="20"/>
                <w:lang w:eastAsia="en-AU"/>
              </w:rPr>
              <w:t>48</w:t>
            </w:r>
          </w:p>
        </w:tc>
      </w:tr>
    </w:tbl>
    <w:p w14:paraId="6E707114" w14:textId="77777777" w:rsidR="00084B2B" w:rsidRPr="00084B2B" w:rsidRDefault="00084B2B" w:rsidP="003B611A">
      <w:pPr>
        <w:pStyle w:val="Heading2"/>
        <w:ind w:left="578" w:hanging="578"/>
      </w:pPr>
      <w:bookmarkStart w:id="83" w:name="_Toc530561292"/>
      <w:r w:rsidRPr="00084B2B">
        <w:t>Social determinants of health</w:t>
      </w:r>
      <w:bookmarkEnd w:id="83"/>
    </w:p>
    <w:tbl>
      <w:tblPr>
        <w:tblStyle w:val="TableGrid1"/>
        <w:tblW w:w="13855" w:type="dxa"/>
        <w:tblLook w:val="04A0" w:firstRow="1" w:lastRow="0" w:firstColumn="1" w:lastColumn="0" w:noHBand="0" w:noVBand="1"/>
        <w:tblCaption w:val="Category: Social determinants of health"/>
      </w:tblPr>
      <w:tblGrid>
        <w:gridCol w:w="7879"/>
        <w:gridCol w:w="4639"/>
        <w:gridCol w:w="1337"/>
      </w:tblGrid>
      <w:tr w:rsidR="00084B2B" w:rsidRPr="00084B2B" w14:paraId="4B3EC0F5" w14:textId="77777777" w:rsidTr="0011030B">
        <w:trPr>
          <w:tblHeader/>
        </w:trPr>
        <w:tc>
          <w:tcPr>
            <w:tcW w:w="8343" w:type="dxa"/>
            <w:shd w:val="clear" w:color="auto" w:fill="F1E9F3"/>
          </w:tcPr>
          <w:p w14:paraId="6AAEFF94"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895" w:type="dxa"/>
            <w:shd w:val="clear" w:color="auto" w:fill="F1E9F3"/>
          </w:tcPr>
          <w:p w14:paraId="568FBF95"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617" w:type="dxa"/>
            <w:shd w:val="clear" w:color="auto" w:fill="F1E9F3"/>
          </w:tcPr>
          <w:p w14:paraId="63B5A9C4" w14:textId="2E1FCF87"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084B2B" w14:paraId="1FB1CCA3" w14:textId="77777777" w:rsidTr="0011030B">
        <w:tc>
          <w:tcPr>
            <w:tcW w:w="8343" w:type="dxa"/>
          </w:tcPr>
          <w:p w14:paraId="417D6167" w14:textId="77F180A9" w:rsidR="00084B2B" w:rsidRPr="005176BD" w:rsidRDefault="00084B2B" w:rsidP="003B611A">
            <w:pPr>
              <w:rPr>
                <w:rFonts w:cs="Arial"/>
                <w:sz w:val="20"/>
                <w:szCs w:val="20"/>
                <w:lang w:eastAsia="en-AU"/>
              </w:rPr>
            </w:pPr>
            <w:r w:rsidRPr="005176BD">
              <w:rPr>
                <w:rFonts w:cs="Arial"/>
                <w:sz w:val="20"/>
                <w:szCs w:val="20"/>
                <w:lang w:eastAsia="en-AU"/>
              </w:rPr>
              <w:t>The relationship between SF-6D utility scores and lifestyle factors across three life-stages: Evidence from the Australian Longitudinal Study on Women’s Health. Quality of Life Research, 2017</w:t>
            </w:r>
            <w:r w:rsidR="00EA3DF4" w:rsidRPr="005176BD">
              <w:rPr>
                <w:rFonts w:cs="Arial"/>
                <w:sz w:val="20"/>
                <w:szCs w:val="20"/>
                <w:lang w:eastAsia="en-AU"/>
              </w:rPr>
              <w:t>;</w:t>
            </w:r>
            <w:r w:rsidRPr="005176BD">
              <w:rPr>
                <w:rFonts w:cs="Arial"/>
                <w:sz w:val="20"/>
                <w:szCs w:val="20"/>
                <w:lang w:eastAsia="en-AU"/>
              </w:rPr>
              <w:t xml:space="preserve"> 26(6)</w:t>
            </w:r>
            <w:r w:rsidR="00EA3DF4" w:rsidRPr="005176BD">
              <w:rPr>
                <w:rFonts w:cs="Arial"/>
                <w:sz w:val="20"/>
                <w:szCs w:val="20"/>
                <w:lang w:eastAsia="en-AU"/>
              </w:rPr>
              <w:t xml:space="preserve">: </w:t>
            </w:r>
            <w:r w:rsidRPr="005176BD">
              <w:rPr>
                <w:rFonts w:cs="Arial"/>
                <w:sz w:val="20"/>
                <w:szCs w:val="20"/>
                <w:lang w:eastAsia="en-AU"/>
              </w:rPr>
              <w:t>1507-1519</w:t>
            </w:r>
            <w:r w:rsidR="00EA3DF4" w:rsidRPr="005176BD">
              <w:rPr>
                <w:rFonts w:cs="Arial"/>
                <w:sz w:val="20"/>
                <w:szCs w:val="20"/>
                <w:lang w:eastAsia="en-AU"/>
              </w:rPr>
              <w:t>.</w:t>
            </w:r>
          </w:p>
        </w:tc>
        <w:tc>
          <w:tcPr>
            <w:tcW w:w="4895" w:type="dxa"/>
          </w:tcPr>
          <w:p w14:paraId="020E839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Kanesarajah J, Waller M, </w:t>
            </w:r>
            <w:proofErr w:type="spellStart"/>
            <w:r w:rsidRPr="005176BD">
              <w:rPr>
                <w:rFonts w:cs="Arial"/>
                <w:sz w:val="20"/>
                <w:szCs w:val="20"/>
                <w:lang w:eastAsia="en-AU"/>
              </w:rPr>
              <w:t>Whitty</w:t>
            </w:r>
            <w:proofErr w:type="spellEnd"/>
            <w:r w:rsidRPr="005176BD">
              <w:rPr>
                <w:rFonts w:cs="Arial"/>
                <w:sz w:val="20"/>
                <w:szCs w:val="20"/>
                <w:lang w:eastAsia="en-AU"/>
              </w:rPr>
              <w:t xml:space="preserve"> J &amp; Mishra G.</w:t>
            </w:r>
          </w:p>
        </w:tc>
        <w:tc>
          <w:tcPr>
            <w:tcW w:w="617" w:type="dxa"/>
          </w:tcPr>
          <w:p w14:paraId="01D9E84F"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263694BA" w14:textId="77777777" w:rsidTr="0011030B">
        <w:tc>
          <w:tcPr>
            <w:tcW w:w="8343" w:type="dxa"/>
          </w:tcPr>
          <w:p w14:paraId="32A79FBF" w14:textId="62745F40" w:rsidR="00084B2B" w:rsidRPr="005176BD" w:rsidRDefault="007750D8" w:rsidP="003B611A">
            <w:pPr>
              <w:rPr>
                <w:rFonts w:cs="Arial"/>
                <w:sz w:val="20"/>
                <w:szCs w:val="20"/>
                <w:lang w:eastAsia="en-AU"/>
              </w:rPr>
            </w:pPr>
            <w:r w:rsidRPr="005176BD">
              <w:rPr>
                <w:rFonts w:cs="Arial"/>
                <w:sz w:val="20"/>
                <w:szCs w:val="20"/>
                <w:lang w:eastAsia="en-AU"/>
              </w:rPr>
              <w:t>Walking up to one hour per week maintains mobility as older women age: Findings From an Australian Longitudinal Study. Journal of Aging and Physical Activity, 2017; 25(2): 269-276.</w:t>
            </w:r>
          </w:p>
        </w:tc>
        <w:tc>
          <w:tcPr>
            <w:tcW w:w="4895" w:type="dxa"/>
          </w:tcPr>
          <w:p w14:paraId="63A81F3A" w14:textId="77777777" w:rsidR="00084B2B" w:rsidRPr="005176BD" w:rsidRDefault="00084B2B" w:rsidP="003B611A">
            <w:pPr>
              <w:rPr>
                <w:rFonts w:cs="Arial"/>
                <w:sz w:val="20"/>
                <w:szCs w:val="20"/>
                <w:lang w:eastAsia="en-AU"/>
              </w:rPr>
            </w:pPr>
            <w:r w:rsidRPr="005176BD">
              <w:rPr>
                <w:rFonts w:cs="Arial"/>
                <w:sz w:val="20"/>
                <w:szCs w:val="20"/>
                <w:lang w:eastAsia="en-AU"/>
              </w:rPr>
              <w:t xml:space="preserve">Field B, Cochrane T, Davey R &amp; </w:t>
            </w:r>
            <w:proofErr w:type="spellStart"/>
            <w:r w:rsidRPr="005176BD">
              <w:rPr>
                <w:rFonts w:cs="Arial"/>
                <w:sz w:val="20"/>
                <w:szCs w:val="20"/>
                <w:lang w:eastAsia="en-AU"/>
              </w:rPr>
              <w:t>Kinfu</w:t>
            </w:r>
            <w:proofErr w:type="spellEnd"/>
            <w:r w:rsidRPr="005176BD">
              <w:rPr>
                <w:rFonts w:cs="Arial"/>
                <w:sz w:val="20"/>
                <w:szCs w:val="20"/>
                <w:lang w:eastAsia="en-AU"/>
              </w:rPr>
              <w:t xml:space="preserve"> Y.</w:t>
            </w:r>
          </w:p>
        </w:tc>
        <w:tc>
          <w:tcPr>
            <w:tcW w:w="617" w:type="dxa"/>
          </w:tcPr>
          <w:p w14:paraId="43C2E0CB" w14:textId="77777777" w:rsidR="00084B2B" w:rsidRPr="005176BD" w:rsidRDefault="00084B2B" w:rsidP="003B611A">
            <w:pPr>
              <w:rPr>
                <w:rFonts w:cs="Arial"/>
                <w:sz w:val="20"/>
                <w:szCs w:val="20"/>
                <w:lang w:eastAsia="en-AU"/>
              </w:rPr>
            </w:pPr>
            <w:r w:rsidRPr="005176BD">
              <w:rPr>
                <w:rFonts w:cs="Arial"/>
                <w:sz w:val="20"/>
                <w:szCs w:val="20"/>
                <w:lang w:eastAsia="en-AU"/>
              </w:rPr>
              <w:t>0</w:t>
            </w:r>
          </w:p>
        </w:tc>
      </w:tr>
      <w:tr w:rsidR="00084B2B" w:rsidRPr="00084B2B" w14:paraId="09F38E23" w14:textId="77777777" w:rsidTr="0011030B">
        <w:tc>
          <w:tcPr>
            <w:tcW w:w="8343" w:type="dxa"/>
          </w:tcPr>
          <w:p w14:paraId="16F47A44" w14:textId="4B8622EF" w:rsidR="00084B2B" w:rsidRPr="005176BD" w:rsidRDefault="00084B2B" w:rsidP="003B611A">
            <w:pPr>
              <w:rPr>
                <w:rFonts w:cs="Arial"/>
                <w:sz w:val="20"/>
                <w:szCs w:val="20"/>
                <w:lang w:eastAsia="en-AU"/>
              </w:rPr>
            </w:pPr>
            <w:r w:rsidRPr="005176BD">
              <w:rPr>
                <w:rFonts w:cs="Arial"/>
                <w:sz w:val="20"/>
                <w:szCs w:val="20"/>
                <w:lang w:eastAsia="en-AU"/>
              </w:rPr>
              <w:t>Change in physical fun</w:t>
            </w:r>
            <w:r w:rsidR="00EA3DF4" w:rsidRPr="005176BD">
              <w:rPr>
                <w:rFonts w:cs="Arial"/>
                <w:sz w:val="20"/>
                <w:szCs w:val="20"/>
                <w:lang w:eastAsia="en-AU"/>
              </w:rPr>
              <w:t>ction among women as they age: F</w:t>
            </w:r>
            <w:r w:rsidRPr="005176BD">
              <w:rPr>
                <w:rFonts w:cs="Arial"/>
                <w:sz w:val="20"/>
                <w:szCs w:val="20"/>
                <w:lang w:eastAsia="en-AU"/>
              </w:rPr>
              <w:t>indings from the Australian Longitudinal Study on Women's Health. Quality of Life Research, 2017</w:t>
            </w:r>
            <w:r w:rsidR="00EA3DF4" w:rsidRPr="005176BD">
              <w:rPr>
                <w:rFonts w:cs="Arial"/>
                <w:sz w:val="20"/>
                <w:szCs w:val="20"/>
                <w:lang w:eastAsia="en-AU"/>
              </w:rPr>
              <w:t>;</w:t>
            </w:r>
            <w:r w:rsidRPr="005176BD">
              <w:rPr>
                <w:rFonts w:cs="Arial"/>
                <w:sz w:val="20"/>
                <w:szCs w:val="20"/>
                <w:lang w:eastAsia="en-AU"/>
              </w:rPr>
              <w:t xml:space="preserve"> 26(4)</w:t>
            </w:r>
            <w:r w:rsidR="00EA3DF4" w:rsidRPr="005176BD">
              <w:rPr>
                <w:rFonts w:cs="Arial"/>
                <w:sz w:val="20"/>
                <w:szCs w:val="20"/>
                <w:lang w:eastAsia="en-AU"/>
              </w:rPr>
              <w:t xml:space="preserve">: </w:t>
            </w:r>
            <w:r w:rsidRPr="005176BD">
              <w:rPr>
                <w:rFonts w:cs="Arial"/>
                <w:sz w:val="20"/>
                <w:szCs w:val="20"/>
                <w:lang w:eastAsia="en-AU"/>
              </w:rPr>
              <w:t>981-991</w:t>
            </w:r>
            <w:r w:rsidR="00EA3DF4" w:rsidRPr="005176BD">
              <w:rPr>
                <w:rFonts w:cs="Arial"/>
                <w:sz w:val="20"/>
                <w:szCs w:val="20"/>
                <w:lang w:eastAsia="en-AU"/>
              </w:rPr>
              <w:t>.</w:t>
            </w:r>
          </w:p>
        </w:tc>
        <w:tc>
          <w:tcPr>
            <w:tcW w:w="4895" w:type="dxa"/>
          </w:tcPr>
          <w:p w14:paraId="3C033C40" w14:textId="77777777" w:rsidR="00084B2B" w:rsidRPr="005176BD" w:rsidRDefault="00084B2B" w:rsidP="003B611A">
            <w:pPr>
              <w:rPr>
                <w:rFonts w:cs="Arial"/>
                <w:sz w:val="20"/>
                <w:szCs w:val="20"/>
                <w:lang w:eastAsia="en-AU"/>
              </w:rPr>
            </w:pPr>
            <w:r w:rsidRPr="005176BD">
              <w:rPr>
                <w:rFonts w:cs="Arial"/>
                <w:sz w:val="20"/>
                <w:szCs w:val="20"/>
                <w:lang w:eastAsia="en-AU"/>
              </w:rPr>
              <w:t>Leigh L, Byles J &amp; Mishra G.</w:t>
            </w:r>
          </w:p>
        </w:tc>
        <w:tc>
          <w:tcPr>
            <w:tcW w:w="617" w:type="dxa"/>
          </w:tcPr>
          <w:p w14:paraId="632B29E8"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639F7F3F" w14:textId="77777777" w:rsidTr="0011030B">
        <w:tc>
          <w:tcPr>
            <w:tcW w:w="8343" w:type="dxa"/>
          </w:tcPr>
          <w:p w14:paraId="5FA09AEC" w14:textId="1C88E4DE" w:rsidR="00084B2B" w:rsidRPr="005176BD" w:rsidRDefault="00084B2B" w:rsidP="003B611A">
            <w:pPr>
              <w:rPr>
                <w:rFonts w:cs="Arial"/>
                <w:sz w:val="20"/>
                <w:szCs w:val="20"/>
                <w:lang w:eastAsia="en-AU"/>
              </w:rPr>
            </w:pPr>
            <w:r w:rsidRPr="005176BD">
              <w:rPr>
                <w:rFonts w:cs="Arial"/>
                <w:sz w:val="20"/>
                <w:szCs w:val="20"/>
                <w:lang w:eastAsia="en-AU"/>
              </w:rPr>
              <w:t>The effect of socioeconomic status across adulthood on trajectories of frailty in older women. Journal of the American Medical Directors Association, 2016</w:t>
            </w:r>
            <w:r w:rsidR="00EA3DF4" w:rsidRPr="005176BD">
              <w:rPr>
                <w:rFonts w:cs="Arial"/>
                <w:sz w:val="20"/>
                <w:szCs w:val="20"/>
                <w:lang w:eastAsia="en-AU"/>
              </w:rPr>
              <w:t>;</w:t>
            </w:r>
            <w:r w:rsidRPr="005176BD">
              <w:rPr>
                <w:rFonts w:cs="Arial"/>
                <w:sz w:val="20"/>
                <w:szCs w:val="20"/>
                <w:lang w:eastAsia="en-AU"/>
              </w:rPr>
              <w:t xml:space="preserve"> 17(4)</w:t>
            </w:r>
            <w:r w:rsidR="00EA3DF4" w:rsidRPr="005176BD">
              <w:rPr>
                <w:rFonts w:cs="Arial"/>
                <w:sz w:val="20"/>
                <w:szCs w:val="20"/>
                <w:lang w:eastAsia="en-AU"/>
              </w:rPr>
              <w:t xml:space="preserve">: </w:t>
            </w:r>
            <w:r w:rsidRPr="005176BD">
              <w:rPr>
                <w:rFonts w:cs="Arial"/>
                <w:sz w:val="20"/>
                <w:szCs w:val="20"/>
                <w:lang w:eastAsia="en-AU"/>
              </w:rPr>
              <w:t>372.e1-372.e3</w:t>
            </w:r>
          </w:p>
        </w:tc>
        <w:tc>
          <w:tcPr>
            <w:tcW w:w="4895" w:type="dxa"/>
          </w:tcPr>
          <w:p w14:paraId="2F643124" w14:textId="77777777" w:rsidR="00084B2B" w:rsidRPr="005176BD" w:rsidRDefault="00084B2B" w:rsidP="003B611A">
            <w:pPr>
              <w:rPr>
                <w:rFonts w:cs="Arial"/>
                <w:sz w:val="20"/>
                <w:szCs w:val="20"/>
                <w:lang w:eastAsia="en-AU"/>
              </w:rPr>
            </w:pPr>
            <w:r w:rsidRPr="005176BD">
              <w:rPr>
                <w:rFonts w:cs="Arial"/>
                <w:sz w:val="20"/>
                <w:szCs w:val="20"/>
                <w:lang w:eastAsia="en-AU"/>
              </w:rPr>
              <w:t>Gardiner P, Mishra G &amp; Dobson A</w:t>
            </w:r>
          </w:p>
        </w:tc>
        <w:tc>
          <w:tcPr>
            <w:tcW w:w="617" w:type="dxa"/>
          </w:tcPr>
          <w:p w14:paraId="31BE1103" w14:textId="77777777" w:rsidR="00084B2B" w:rsidRPr="005176BD" w:rsidRDefault="00084B2B" w:rsidP="003B611A">
            <w:pPr>
              <w:rPr>
                <w:rFonts w:cs="Arial"/>
                <w:sz w:val="20"/>
                <w:szCs w:val="20"/>
                <w:lang w:eastAsia="en-AU"/>
              </w:rPr>
            </w:pPr>
            <w:r w:rsidRPr="005176BD">
              <w:rPr>
                <w:rFonts w:cs="Arial"/>
                <w:sz w:val="20"/>
                <w:szCs w:val="20"/>
                <w:lang w:eastAsia="en-AU"/>
              </w:rPr>
              <w:t>6</w:t>
            </w:r>
          </w:p>
        </w:tc>
      </w:tr>
      <w:tr w:rsidR="003A6BE6" w:rsidRPr="00084B2B" w14:paraId="3C35497D" w14:textId="77777777" w:rsidTr="0011030B">
        <w:tc>
          <w:tcPr>
            <w:tcW w:w="8343" w:type="dxa"/>
          </w:tcPr>
          <w:p w14:paraId="5899F8ED" w14:textId="77777777" w:rsidR="003A6BE6" w:rsidRPr="005176BD" w:rsidRDefault="003A6BE6" w:rsidP="003B611A">
            <w:pPr>
              <w:rPr>
                <w:rFonts w:cs="Arial"/>
                <w:sz w:val="20"/>
                <w:szCs w:val="20"/>
                <w:lang w:eastAsia="en-AU"/>
              </w:rPr>
            </w:pPr>
            <w:r w:rsidRPr="005176BD">
              <w:rPr>
                <w:rFonts w:cs="Arial"/>
                <w:sz w:val="20"/>
                <w:szCs w:val="20"/>
                <w:lang w:eastAsia="en-AU"/>
              </w:rPr>
              <w:t>Changes in housing among older women: Latent class analysis of housing patterns in older Australian women. Urban Studies, 2016; 55(4): 1-17.</w:t>
            </w:r>
          </w:p>
        </w:tc>
        <w:tc>
          <w:tcPr>
            <w:tcW w:w="4895" w:type="dxa"/>
          </w:tcPr>
          <w:p w14:paraId="25EF7D5B" w14:textId="77777777" w:rsidR="003A6BE6" w:rsidRPr="005176BD" w:rsidRDefault="003A6BE6" w:rsidP="003B611A">
            <w:pPr>
              <w:rPr>
                <w:rFonts w:cs="Arial"/>
                <w:sz w:val="20"/>
                <w:szCs w:val="20"/>
                <w:lang w:eastAsia="en-AU"/>
              </w:rPr>
            </w:pPr>
            <w:r w:rsidRPr="005176BD">
              <w:rPr>
                <w:rFonts w:cs="Arial"/>
                <w:sz w:val="20"/>
                <w:szCs w:val="20"/>
                <w:lang w:eastAsia="en-AU"/>
              </w:rPr>
              <w:t xml:space="preserve">Byles J, </w:t>
            </w:r>
            <w:proofErr w:type="spellStart"/>
            <w:r w:rsidRPr="005176BD">
              <w:rPr>
                <w:rFonts w:cs="Arial"/>
                <w:sz w:val="20"/>
                <w:szCs w:val="20"/>
                <w:lang w:eastAsia="en-AU"/>
              </w:rPr>
              <w:t>Curryer</w:t>
            </w:r>
            <w:proofErr w:type="spellEnd"/>
            <w:r w:rsidRPr="005176BD">
              <w:rPr>
                <w:rFonts w:cs="Arial"/>
                <w:sz w:val="20"/>
                <w:szCs w:val="20"/>
                <w:lang w:eastAsia="en-AU"/>
              </w:rPr>
              <w:t xml:space="preserve"> C, Vo K, Forder P, Loxton D &amp; McLaughlin D.</w:t>
            </w:r>
          </w:p>
        </w:tc>
        <w:tc>
          <w:tcPr>
            <w:tcW w:w="617" w:type="dxa"/>
          </w:tcPr>
          <w:p w14:paraId="6FA8DD0E" w14:textId="77777777" w:rsidR="003A6BE6" w:rsidRPr="005176BD" w:rsidRDefault="003A6BE6" w:rsidP="003B611A">
            <w:pPr>
              <w:rPr>
                <w:rFonts w:cs="Arial"/>
                <w:sz w:val="20"/>
                <w:szCs w:val="20"/>
                <w:lang w:eastAsia="en-AU"/>
              </w:rPr>
            </w:pPr>
            <w:r w:rsidRPr="005176BD">
              <w:rPr>
                <w:rFonts w:cs="Arial"/>
                <w:sz w:val="20"/>
                <w:szCs w:val="20"/>
                <w:lang w:eastAsia="en-AU"/>
              </w:rPr>
              <w:t>3</w:t>
            </w:r>
          </w:p>
        </w:tc>
      </w:tr>
      <w:tr w:rsidR="00084B2B" w:rsidRPr="00084B2B" w14:paraId="7AF15746" w14:textId="77777777" w:rsidTr="0011030B">
        <w:tc>
          <w:tcPr>
            <w:tcW w:w="8343" w:type="dxa"/>
          </w:tcPr>
          <w:p w14:paraId="78E187F3" w14:textId="0BD482A9"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The World report on ageing and health: </w:t>
            </w:r>
            <w:r w:rsidR="00EA3DF4" w:rsidRPr="005176BD">
              <w:rPr>
                <w:rFonts w:cs="Arial"/>
                <w:sz w:val="20"/>
                <w:szCs w:val="20"/>
                <w:lang w:eastAsia="en-AU"/>
              </w:rPr>
              <w:t>A</w:t>
            </w:r>
            <w:r w:rsidRPr="005176BD">
              <w:rPr>
                <w:rFonts w:cs="Arial"/>
                <w:sz w:val="20"/>
                <w:szCs w:val="20"/>
                <w:lang w:eastAsia="en-AU"/>
              </w:rPr>
              <w:t xml:space="preserve"> policy framework for healthy ageing. The Lancet, 2016</w:t>
            </w:r>
            <w:r w:rsidR="00EA3DF4" w:rsidRPr="005176BD">
              <w:rPr>
                <w:rFonts w:cs="Arial"/>
                <w:sz w:val="20"/>
                <w:szCs w:val="20"/>
                <w:lang w:eastAsia="en-AU"/>
              </w:rPr>
              <w:t>;</w:t>
            </w:r>
            <w:r w:rsidRPr="005176BD">
              <w:rPr>
                <w:rFonts w:cs="Arial"/>
                <w:sz w:val="20"/>
                <w:szCs w:val="20"/>
                <w:lang w:eastAsia="en-AU"/>
              </w:rPr>
              <w:t xml:space="preserve"> 2145-2154. doi:10.1016/S0140-6736(15)00516-4</w:t>
            </w:r>
          </w:p>
        </w:tc>
        <w:tc>
          <w:tcPr>
            <w:tcW w:w="4895" w:type="dxa"/>
          </w:tcPr>
          <w:p w14:paraId="7F295CF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Beard J, Officer A, de </w:t>
            </w:r>
            <w:proofErr w:type="spellStart"/>
            <w:r w:rsidRPr="005176BD">
              <w:rPr>
                <w:rFonts w:cs="Arial"/>
                <w:sz w:val="20"/>
                <w:szCs w:val="20"/>
                <w:lang w:eastAsia="en-AU"/>
              </w:rPr>
              <w:t>Carvalho</w:t>
            </w:r>
            <w:proofErr w:type="spellEnd"/>
            <w:r w:rsidRPr="005176BD">
              <w:rPr>
                <w:rFonts w:cs="Arial"/>
                <w:sz w:val="20"/>
                <w:szCs w:val="20"/>
                <w:lang w:eastAsia="en-AU"/>
              </w:rPr>
              <w:t xml:space="preserve"> A, </w:t>
            </w:r>
            <w:proofErr w:type="spellStart"/>
            <w:r w:rsidRPr="005176BD">
              <w:rPr>
                <w:rFonts w:cs="Arial"/>
                <w:sz w:val="20"/>
                <w:szCs w:val="20"/>
                <w:lang w:eastAsia="en-AU"/>
              </w:rPr>
              <w:t>Sadana</w:t>
            </w:r>
            <w:proofErr w:type="spellEnd"/>
            <w:r w:rsidRPr="005176BD">
              <w:rPr>
                <w:rFonts w:cs="Arial"/>
                <w:sz w:val="20"/>
                <w:szCs w:val="20"/>
                <w:lang w:eastAsia="en-AU"/>
              </w:rPr>
              <w:t xml:space="preserve"> R, Pot A M, Michel J-P, Lloyd-Sherlock P, Epping-Jordan J, Peeters G, </w:t>
            </w:r>
            <w:proofErr w:type="spellStart"/>
            <w:r w:rsidRPr="005176BD">
              <w:rPr>
                <w:rFonts w:cs="Arial"/>
                <w:sz w:val="20"/>
                <w:szCs w:val="20"/>
                <w:lang w:eastAsia="en-AU"/>
              </w:rPr>
              <w:t>Mahanani</w:t>
            </w:r>
            <w:proofErr w:type="spellEnd"/>
            <w:r w:rsidRPr="005176BD">
              <w:rPr>
                <w:rFonts w:cs="Arial"/>
                <w:sz w:val="20"/>
                <w:szCs w:val="20"/>
                <w:lang w:eastAsia="en-AU"/>
              </w:rPr>
              <w:t xml:space="preserve"> W R, </w:t>
            </w:r>
            <w:proofErr w:type="spellStart"/>
            <w:r w:rsidRPr="005176BD">
              <w:rPr>
                <w:rFonts w:cs="Arial"/>
                <w:sz w:val="20"/>
                <w:szCs w:val="20"/>
                <w:lang w:eastAsia="en-AU"/>
              </w:rPr>
              <w:t>Thiyagarajan</w:t>
            </w:r>
            <w:proofErr w:type="spellEnd"/>
            <w:r w:rsidRPr="005176BD">
              <w:rPr>
                <w:rFonts w:cs="Arial"/>
                <w:sz w:val="20"/>
                <w:szCs w:val="20"/>
                <w:lang w:eastAsia="en-AU"/>
              </w:rPr>
              <w:t xml:space="preserve"> J A &amp; </w:t>
            </w:r>
            <w:proofErr w:type="spellStart"/>
            <w:r w:rsidRPr="005176BD">
              <w:rPr>
                <w:rFonts w:cs="Arial"/>
                <w:sz w:val="20"/>
                <w:szCs w:val="20"/>
                <w:lang w:eastAsia="en-AU"/>
              </w:rPr>
              <w:t>Chatterji</w:t>
            </w:r>
            <w:proofErr w:type="spellEnd"/>
            <w:r w:rsidRPr="005176BD">
              <w:rPr>
                <w:rFonts w:cs="Arial"/>
                <w:sz w:val="20"/>
                <w:szCs w:val="20"/>
                <w:lang w:eastAsia="en-AU"/>
              </w:rPr>
              <w:t xml:space="preserve"> S.</w:t>
            </w:r>
          </w:p>
        </w:tc>
        <w:tc>
          <w:tcPr>
            <w:tcW w:w="617" w:type="dxa"/>
          </w:tcPr>
          <w:p w14:paraId="70E0CBA4" w14:textId="0FB02241" w:rsidR="00084B2B" w:rsidRPr="005176BD" w:rsidRDefault="004979FE" w:rsidP="003B611A">
            <w:pPr>
              <w:rPr>
                <w:rFonts w:cs="Arial"/>
                <w:sz w:val="20"/>
                <w:szCs w:val="20"/>
                <w:lang w:eastAsia="en-AU"/>
              </w:rPr>
            </w:pPr>
            <w:r w:rsidRPr="005176BD">
              <w:rPr>
                <w:rFonts w:cs="Arial"/>
                <w:sz w:val="20"/>
                <w:szCs w:val="20"/>
                <w:lang w:eastAsia="en-AU"/>
              </w:rPr>
              <w:t>197</w:t>
            </w:r>
          </w:p>
        </w:tc>
      </w:tr>
      <w:tr w:rsidR="00084B2B" w:rsidRPr="00084B2B" w14:paraId="13EC9037" w14:textId="77777777" w:rsidTr="0011030B">
        <w:tc>
          <w:tcPr>
            <w:tcW w:w="8343" w:type="dxa"/>
          </w:tcPr>
          <w:p w14:paraId="17AE0CA5" w14:textId="5F26E483" w:rsidR="00084B2B" w:rsidRPr="005176BD" w:rsidRDefault="00084B2B" w:rsidP="003B611A">
            <w:pPr>
              <w:rPr>
                <w:rFonts w:cs="Arial"/>
                <w:sz w:val="20"/>
                <w:szCs w:val="20"/>
                <w:lang w:eastAsia="en-AU"/>
              </w:rPr>
            </w:pPr>
            <w:r w:rsidRPr="005176BD">
              <w:rPr>
                <w:rFonts w:cs="Arial"/>
                <w:sz w:val="20"/>
                <w:szCs w:val="20"/>
                <w:lang w:eastAsia="en-AU"/>
              </w:rPr>
              <w:t xml:space="preserve">Socioeconomic position and hysterectomy: A cross-cohort comparison of women in Australian and Great Britain. Journal of Epidemiology and Community Health, </w:t>
            </w:r>
            <w:r w:rsidR="00EA3DF4" w:rsidRPr="005176BD">
              <w:rPr>
                <w:rFonts w:cs="Arial"/>
                <w:sz w:val="20"/>
                <w:szCs w:val="20"/>
                <w:lang w:eastAsia="en-AU"/>
              </w:rPr>
              <w:t xml:space="preserve">2008; </w:t>
            </w:r>
            <w:r w:rsidRPr="005176BD">
              <w:rPr>
                <w:rFonts w:cs="Arial"/>
                <w:sz w:val="20"/>
                <w:szCs w:val="20"/>
                <w:lang w:eastAsia="en-AU"/>
              </w:rPr>
              <w:t>62(12)</w:t>
            </w:r>
            <w:r w:rsidR="00EA3DF4" w:rsidRPr="005176BD">
              <w:rPr>
                <w:rFonts w:cs="Arial"/>
                <w:sz w:val="20"/>
                <w:szCs w:val="20"/>
                <w:lang w:eastAsia="en-AU"/>
              </w:rPr>
              <w:t>:</w:t>
            </w:r>
            <w:r w:rsidRPr="005176BD">
              <w:rPr>
                <w:rFonts w:cs="Arial"/>
                <w:sz w:val="20"/>
                <w:szCs w:val="20"/>
                <w:lang w:eastAsia="en-AU"/>
              </w:rPr>
              <w:t xml:space="preserve"> 1057-1063.</w:t>
            </w:r>
          </w:p>
        </w:tc>
        <w:tc>
          <w:tcPr>
            <w:tcW w:w="4895" w:type="dxa"/>
          </w:tcPr>
          <w:p w14:paraId="0B27E54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Cooper R, Lucke J, </w:t>
            </w:r>
            <w:proofErr w:type="spellStart"/>
            <w:r w:rsidRPr="005176BD">
              <w:rPr>
                <w:rFonts w:cs="Arial"/>
                <w:sz w:val="20"/>
                <w:szCs w:val="20"/>
                <w:lang w:eastAsia="en-AU"/>
              </w:rPr>
              <w:t>Lawlor</w:t>
            </w:r>
            <w:proofErr w:type="spellEnd"/>
            <w:r w:rsidRPr="005176BD">
              <w:rPr>
                <w:rFonts w:cs="Arial"/>
                <w:sz w:val="20"/>
                <w:szCs w:val="20"/>
                <w:lang w:eastAsia="en-AU"/>
              </w:rPr>
              <w:t xml:space="preserve"> DA, Mishra G, Chang J-H, </w:t>
            </w:r>
            <w:proofErr w:type="spellStart"/>
            <w:r w:rsidRPr="005176BD">
              <w:rPr>
                <w:rFonts w:cs="Arial"/>
                <w:sz w:val="20"/>
                <w:szCs w:val="20"/>
                <w:lang w:eastAsia="en-AU"/>
              </w:rPr>
              <w:t>Ebrahim</w:t>
            </w:r>
            <w:proofErr w:type="spellEnd"/>
            <w:r w:rsidRPr="005176BD">
              <w:rPr>
                <w:rFonts w:cs="Arial"/>
                <w:sz w:val="20"/>
                <w:szCs w:val="20"/>
                <w:lang w:eastAsia="en-AU"/>
              </w:rPr>
              <w:t xml:space="preserve"> S, Kuh D &amp; Dobson A.</w:t>
            </w:r>
          </w:p>
        </w:tc>
        <w:tc>
          <w:tcPr>
            <w:tcW w:w="617" w:type="dxa"/>
          </w:tcPr>
          <w:p w14:paraId="14942F70" w14:textId="77777777" w:rsidR="00084B2B" w:rsidRPr="005176BD" w:rsidRDefault="00084B2B" w:rsidP="003B611A">
            <w:pPr>
              <w:rPr>
                <w:rFonts w:cs="Arial"/>
                <w:sz w:val="20"/>
                <w:szCs w:val="20"/>
                <w:lang w:eastAsia="en-AU"/>
              </w:rPr>
            </w:pPr>
            <w:r w:rsidRPr="005176BD">
              <w:rPr>
                <w:rFonts w:cs="Arial"/>
                <w:sz w:val="20"/>
                <w:szCs w:val="20"/>
                <w:lang w:eastAsia="en-AU"/>
              </w:rPr>
              <w:t>24</w:t>
            </w:r>
          </w:p>
        </w:tc>
      </w:tr>
      <w:tr w:rsidR="00084B2B" w:rsidRPr="00084B2B" w14:paraId="591DBD06" w14:textId="77777777" w:rsidTr="0011030B">
        <w:tc>
          <w:tcPr>
            <w:tcW w:w="8343" w:type="dxa"/>
          </w:tcPr>
          <w:p w14:paraId="75654E1E" w14:textId="447B73F8" w:rsidR="00084B2B" w:rsidRPr="005176BD" w:rsidRDefault="00084B2B" w:rsidP="003B611A">
            <w:pPr>
              <w:rPr>
                <w:rFonts w:cs="Arial"/>
                <w:sz w:val="20"/>
                <w:szCs w:val="20"/>
                <w:lang w:eastAsia="en-AU"/>
              </w:rPr>
            </w:pPr>
            <w:r w:rsidRPr="005176BD">
              <w:rPr>
                <w:rFonts w:cs="Arial"/>
                <w:sz w:val="20"/>
                <w:szCs w:val="20"/>
                <w:lang w:eastAsia="en-AU"/>
              </w:rPr>
              <w:t xml:space="preserve">A comparison of the association between socioeconomic position and cardiovascular disease risk factors in three age cohorts of Australian women: Findings from the Australian Longitudinal Study of Women's Health. Journal of Public Health, </w:t>
            </w:r>
            <w:r w:rsidR="00EA3DF4" w:rsidRPr="005176BD">
              <w:rPr>
                <w:rFonts w:cs="Arial"/>
                <w:sz w:val="20"/>
                <w:szCs w:val="20"/>
                <w:lang w:eastAsia="en-AU"/>
              </w:rPr>
              <w:t xml:space="preserve">2005; </w:t>
            </w:r>
            <w:r w:rsidRPr="005176BD">
              <w:rPr>
                <w:rFonts w:cs="Arial"/>
                <w:sz w:val="20"/>
                <w:szCs w:val="20"/>
                <w:lang w:eastAsia="en-AU"/>
              </w:rPr>
              <w:t>27(4)</w:t>
            </w:r>
            <w:r w:rsidR="00EA3DF4" w:rsidRPr="005176BD">
              <w:rPr>
                <w:rFonts w:cs="Arial"/>
                <w:sz w:val="20"/>
                <w:szCs w:val="20"/>
                <w:lang w:eastAsia="en-AU"/>
              </w:rPr>
              <w:t>:</w:t>
            </w:r>
            <w:r w:rsidRPr="005176BD">
              <w:rPr>
                <w:rFonts w:cs="Arial"/>
                <w:sz w:val="20"/>
                <w:szCs w:val="20"/>
                <w:lang w:eastAsia="en-AU"/>
              </w:rPr>
              <w:t xml:space="preserve"> 378-387.</w:t>
            </w:r>
          </w:p>
        </w:tc>
        <w:tc>
          <w:tcPr>
            <w:tcW w:w="4895" w:type="dxa"/>
          </w:tcPr>
          <w:p w14:paraId="4A72C152"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Lawlor</w:t>
            </w:r>
            <w:proofErr w:type="spellEnd"/>
            <w:r w:rsidRPr="005176BD">
              <w:rPr>
                <w:rFonts w:cs="Arial"/>
                <w:sz w:val="20"/>
                <w:szCs w:val="20"/>
                <w:lang w:eastAsia="en-AU"/>
              </w:rPr>
              <w:t xml:space="preserve"> DA, Tooth L, Lee C &amp; Dobson A.</w:t>
            </w:r>
          </w:p>
        </w:tc>
        <w:tc>
          <w:tcPr>
            <w:tcW w:w="617" w:type="dxa"/>
          </w:tcPr>
          <w:p w14:paraId="2F6F3A56" w14:textId="77777777" w:rsidR="00084B2B" w:rsidRPr="005176BD" w:rsidRDefault="00084B2B" w:rsidP="003B611A">
            <w:pPr>
              <w:rPr>
                <w:rFonts w:cs="Arial"/>
                <w:sz w:val="20"/>
                <w:szCs w:val="20"/>
                <w:lang w:eastAsia="en-AU"/>
              </w:rPr>
            </w:pPr>
            <w:r w:rsidRPr="005176BD">
              <w:rPr>
                <w:rFonts w:cs="Arial"/>
                <w:sz w:val="20"/>
                <w:szCs w:val="20"/>
                <w:lang w:eastAsia="en-AU"/>
              </w:rPr>
              <w:t>9</w:t>
            </w:r>
          </w:p>
        </w:tc>
      </w:tr>
    </w:tbl>
    <w:p w14:paraId="697FF5B6" w14:textId="58CA2767" w:rsidR="00084B2B" w:rsidRPr="00F542C9" w:rsidRDefault="00084B2B" w:rsidP="003B611A">
      <w:pPr>
        <w:pStyle w:val="Heading2"/>
        <w:ind w:left="578" w:hanging="578"/>
      </w:pPr>
      <w:bookmarkStart w:id="84" w:name="_Toc530561293"/>
      <w:r w:rsidRPr="00F542C9">
        <w:t>Social factors in health and well-being</w:t>
      </w:r>
      <w:bookmarkEnd w:id="84"/>
    </w:p>
    <w:tbl>
      <w:tblPr>
        <w:tblStyle w:val="TableGrid1"/>
        <w:tblW w:w="13855" w:type="dxa"/>
        <w:tblLook w:val="04A0" w:firstRow="1" w:lastRow="0" w:firstColumn="1" w:lastColumn="0" w:noHBand="0" w:noVBand="1"/>
        <w:tblCaption w:val="Category: Social factors in health and well-being"/>
      </w:tblPr>
      <w:tblGrid>
        <w:gridCol w:w="7840"/>
        <w:gridCol w:w="4678"/>
        <w:gridCol w:w="1337"/>
      </w:tblGrid>
      <w:tr w:rsidR="00084B2B" w:rsidRPr="00084B2B" w14:paraId="0B632BD1" w14:textId="77777777" w:rsidTr="0011030B">
        <w:trPr>
          <w:tblHeader/>
        </w:trPr>
        <w:tc>
          <w:tcPr>
            <w:tcW w:w="8193" w:type="dxa"/>
            <w:shd w:val="clear" w:color="auto" w:fill="F1E9F3"/>
          </w:tcPr>
          <w:p w14:paraId="6D022E24"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865" w:type="dxa"/>
            <w:shd w:val="clear" w:color="auto" w:fill="F1E9F3"/>
          </w:tcPr>
          <w:p w14:paraId="07B111EB"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797" w:type="dxa"/>
            <w:shd w:val="clear" w:color="auto" w:fill="F1E9F3"/>
          </w:tcPr>
          <w:p w14:paraId="2F091B25" w14:textId="41E2863E"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084B2B" w14:paraId="565BE4C8" w14:textId="77777777" w:rsidTr="0011030B">
        <w:tc>
          <w:tcPr>
            <w:tcW w:w="8193" w:type="dxa"/>
          </w:tcPr>
          <w:p w14:paraId="7694AE70" w14:textId="39D4871A" w:rsidR="00084B2B" w:rsidRPr="005176BD" w:rsidRDefault="00084B2B" w:rsidP="003B611A">
            <w:pPr>
              <w:rPr>
                <w:rFonts w:cs="Arial"/>
                <w:sz w:val="20"/>
                <w:szCs w:val="20"/>
                <w:lang w:eastAsia="en-AU"/>
              </w:rPr>
            </w:pPr>
            <w:r w:rsidRPr="005176BD">
              <w:rPr>
                <w:rFonts w:cs="Arial"/>
                <w:sz w:val="20"/>
                <w:szCs w:val="20"/>
                <w:lang w:eastAsia="en-AU"/>
              </w:rPr>
              <w:t>Associations between physical activity, medical costs and hospitalisations in older Australian women: Results from the Australian Longitudinal Study on Women’s Health. Journal of Science and Medicine in Sport, 2017</w:t>
            </w:r>
            <w:r w:rsidR="00EA3DF4" w:rsidRPr="005176BD">
              <w:rPr>
                <w:rFonts w:cs="Arial"/>
                <w:sz w:val="20"/>
                <w:szCs w:val="20"/>
                <w:lang w:eastAsia="en-AU"/>
              </w:rPr>
              <w:t>;</w:t>
            </w:r>
            <w:r w:rsidRPr="005176BD">
              <w:rPr>
                <w:rFonts w:cs="Arial"/>
                <w:sz w:val="20"/>
                <w:szCs w:val="20"/>
                <w:lang w:eastAsia="en-AU"/>
              </w:rPr>
              <w:t xml:space="preserve"> 21(6)</w:t>
            </w:r>
            <w:r w:rsidR="00EA3DF4" w:rsidRPr="005176BD">
              <w:rPr>
                <w:rFonts w:cs="Arial"/>
                <w:sz w:val="20"/>
                <w:szCs w:val="20"/>
                <w:lang w:eastAsia="en-AU"/>
              </w:rPr>
              <w:t xml:space="preserve">: </w:t>
            </w:r>
            <w:r w:rsidRPr="005176BD">
              <w:rPr>
                <w:rFonts w:cs="Arial"/>
                <w:sz w:val="20"/>
                <w:szCs w:val="20"/>
                <w:lang w:eastAsia="en-AU"/>
              </w:rPr>
              <w:t>604-608</w:t>
            </w:r>
            <w:r w:rsidR="00EA3DF4" w:rsidRPr="005176BD">
              <w:rPr>
                <w:rFonts w:cs="Arial"/>
                <w:sz w:val="20"/>
                <w:szCs w:val="20"/>
                <w:lang w:eastAsia="en-AU"/>
              </w:rPr>
              <w:t>.</w:t>
            </w:r>
          </w:p>
        </w:tc>
        <w:tc>
          <w:tcPr>
            <w:tcW w:w="4865" w:type="dxa"/>
          </w:tcPr>
          <w:p w14:paraId="40F503C3" w14:textId="77777777" w:rsidR="00084B2B" w:rsidRPr="005176BD" w:rsidRDefault="00084B2B" w:rsidP="003B611A">
            <w:pPr>
              <w:rPr>
                <w:rFonts w:cs="Arial"/>
                <w:sz w:val="20"/>
                <w:szCs w:val="20"/>
                <w:lang w:eastAsia="en-AU"/>
              </w:rPr>
            </w:pPr>
            <w:r w:rsidRPr="005176BD">
              <w:rPr>
                <w:rFonts w:cs="Arial"/>
                <w:sz w:val="20"/>
                <w:szCs w:val="20"/>
                <w:lang w:eastAsia="en-AU"/>
              </w:rPr>
              <w:t>Peeters GMEE, Gardiner PA, Dobson AJ &amp; Brown WJ.</w:t>
            </w:r>
          </w:p>
        </w:tc>
        <w:tc>
          <w:tcPr>
            <w:tcW w:w="797" w:type="dxa"/>
          </w:tcPr>
          <w:p w14:paraId="129E1A19"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6F91F68C" w14:textId="77777777" w:rsidTr="0011030B">
        <w:tc>
          <w:tcPr>
            <w:tcW w:w="8193" w:type="dxa"/>
          </w:tcPr>
          <w:p w14:paraId="1E64B33C" w14:textId="03F310F5" w:rsidR="00084B2B" w:rsidRPr="005176BD" w:rsidRDefault="007750D8" w:rsidP="003B611A">
            <w:pPr>
              <w:rPr>
                <w:rFonts w:cs="Arial"/>
                <w:sz w:val="20"/>
                <w:szCs w:val="20"/>
                <w:lang w:eastAsia="en-AU"/>
              </w:rPr>
            </w:pPr>
            <w:r w:rsidRPr="005176BD">
              <w:rPr>
                <w:rFonts w:cs="Arial"/>
                <w:sz w:val="20"/>
                <w:szCs w:val="20"/>
                <w:lang w:eastAsia="en-AU"/>
              </w:rPr>
              <w:t>Urinary incontinence and social function in older Australian women. Journal of the American Geriatrics Society, 2016; 64(8): 1646-1650.</w:t>
            </w:r>
          </w:p>
        </w:tc>
        <w:tc>
          <w:tcPr>
            <w:tcW w:w="4865" w:type="dxa"/>
          </w:tcPr>
          <w:p w14:paraId="183CD1D3" w14:textId="77777777" w:rsidR="00084B2B" w:rsidRPr="005176BD" w:rsidRDefault="00084B2B" w:rsidP="003B611A">
            <w:pPr>
              <w:rPr>
                <w:rFonts w:cs="Arial"/>
                <w:sz w:val="20"/>
                <w:szCs w:val="20"/>
                <w:lang w:eastAsia="en-AU"/>
              </w:rPr>
            </w:pPr>
            <w:r w:rsidRPr="005176BD">
              <w:rPr>
                <w:rFonts w:cs="Arial"/>
                <w:sz w:val="20"/>
                <w:szCs w:val="20"/>
                <w:lang w:eastAsia="en-AU"/>
              </w:rPr>
              <w:t>Vo K, Forder P &amp; Byles J.</w:t>
            </w:r>
          </w:p>
        </w:tc>
        <w:tc>
          <w:tcPr>
            <w:tcW w:w="797" w:type="dxa"/>
          </w:tcPr>
          <w:p w14:paraId="704A5B00" w14:textId="77777777" w:rsidR="00084B2B" w:rsidRPr="005176BD" w:rsidRDefault="00084B2B" w:rsidP="003B611A">
            <w:pPr>
              <w:rPr>
                <w:rFonts w:cs="Arial"/>
                <w:sz w:val="20"/>
                <w:szCs w:val="20"/>
                <w:lang w:eastAsia="en-AU"/>
              </w:rPr>
            </w:pPr>
            <w:r w:rsidRPr="005176BD">
              <w:rPr>
                <w:rFonts w:cs="Arial"/>
                <w:sz w:val="20"/>
                <w:szCs w:val="20"/>
                <w:lang w:eastAsia="en-AU"/>
              </w:rPr>
              <w:t>0</w:t>
            </w:r>
          </w:p>
        </w:tc>
      </w:tr>
      <w:tr w:rsidR="00084B2B" w:rsidRPr="00084B2B" w14:paraId="4B5AE60C" w14:textId="77777777" w:rsidTr="0011030B">
        <w:tc>
          <w:tcPr>
            <w:tcW w:w="8193" w:type="dxa"/>
            <w:tcBorders>
              <w:bottom w:val="single" w:sz="4" w:space="0" w:color="000000" w:themeColor="text1"/>
            </w:tcBorders>
          </w:tcPr>
          <w:p w14:paraId="4DAC5A43" w14:textId="2F09043D" w:rsidR="00084B2B" w:rsidRPr="005176BD" w:rsidRDefault="00084B2B" w:rsidP="003B611A">
            <w:pPr>
              <w:rPr>
                <w:rFonts w:cs="Arial"/>
                <w:sz w:val="20"/>
                <w:szCs w:val="20"/>
                <w:lang w:eastAsia="en-AU"/>
              </w:rPr>
            </w:pPr>
            <w:r w:rsidRPr="005176BD">
              <w:rPr>
                <w:rFonts w:cs="Arial"/>
                <w:sz w:val="20"/>
                <w:szCs w:val="20"/>
                <w:lang w:eastAsia="en-AU"/>
              </w:rPr>
              <w:t>Beyond widowhood: Do prior discovered themes that describe the experiences of older Australian widowed women persist over time? Women’s Health, 2016</w:t>
            </w:r>
            <w:r w:rsidR="00EA3DF4" w:rsidRPr="005176BD">
              <w:rPr>
                <w:rFonts w:cs="Arial"/>
                <w:sz w:val="20"/>
                <w:szCs w:val="20"/>
                <w:lang w:eastAsia="en-AU"/>
              </w:rPr>
              <w:t>;</w:t>
            </w:r>
            <w:r w:rsidRPr="005176BD">
              <w:rPr>
                <w:rFonts w:cs="Arial"/>
                <w:sz w:val="20"/>
                <w:szCs w:val="20"/>
                <w:lang w:eastAsia="en-AU"/>
              </w:rPr>
              <w:t xml:space="preserve"> 56(7)</w:t>
            </w:r>
            <w:r w:rsidR="00EA3DF4" w:rsidRPr="005176BD">
              <w:rPr>
                <w:rFonts w:cs="Arial"/>
                <w:sz w:val="20"/>
                <w:szCs w:val="20"/>
                <w:lang w:eastAsia="en-AU"/>
              </w:rPr>
              <w:t xml:space="preserve">: </w:t>
            </w:r>
            <w:r w:rsidRPr="005176BD">
              <w:rPr>
                <w:rFonts w:cs="Arial"/>
                <w:sz w:val="20"/>
                <w:szCs w:val="20"/>
                <w:lang w:eastAsia="en-AU"/>
              </w:rPr>
              <w:t>827-842</w:t>
            </w:r>
            <w:r w:rsidR="00EA3DF4" w:rsidRPr="005176BD">
              <w:rPr>
                <w:rFonts w:cs="Arial"/>
                <w:sz w:val="20"/>
                <w:szCs w:val="20"/>
                <w:lang w:eastAsia="en-AU"/>
              </w:rPr>
              <w:t>.</w:t>
            </w:r>
          </w:p>
        </w:tc>
        <w:tc>
          <w:tcPr>
            <w:tcW w:w="4865" w:type="dxa"/>
          </w:tcPr>
          <w:p w14:paraId="680F8A7D"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Kennaugh</w:t>
            </w:r>
            <w:proofErr w:type="spellEnd"/>
            <w:r w:rsidRPr="005176BD">
              <w:rPr>
                <w:rFonts w:cs="Arial"/>
                <w:sz w:val="20"/>
                <w:szCs w:val="20"/>
                <w:lang w:eastAsia="en-AU"/>
              </w:rPr>
              <w:t xml:space="preserve"> R, Byles J &amp; Tavener M.</w:t>
            </w:r>
          </w:p>
        </w:tc>
        <w:tc>
          <w:tcPr>
            <w:tcW w:w="797" w:type="dxa"/>
          </w:tcPr>
          <w:p w14:paraId="3740C88F"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2CA1DA97" w14:textId="77777777" w:rsidTr="0011030B">
        <w:tc>
          <w:tcPr>
            <w:tcW w:w="8193" w:type="dxa"/>
            <w:tcBorders>
              <w:top w:val="single" w:sz="4" w:space="0" w:color="000000" w:themeColor="text1"/>
              <w:left w:val="single" w:sz="4" w:space="0" w:color="auto"/>
              <w:bottom w:val="single" w:sz="4" w:space="0" w:color="auto"/>
              <w:right w:val="single" w:sz="4" w:space="0" w:color="C0C0C0"/>
            </w:tcBorders>
            <w:shd w:val="clear" w:color="auto" w:fill="auto"/>
          </w:tcPr>
          <w:p w14:paraId="79383ADD" w14:textId="2D513E49" w:rsidR="00084B2B" w:rsidRPr="005176BD" w:rsidRDefault="00084B2B" w:rsidP="003B611A">
            <w:pPr>
              <w:rPr>
                <w:rFonts w:cs="Arial"/>
                <w:sz w:val="20"/>
                <w:szCs w:val="20"/>
                <w:lang w:eastAsia="en-AU"/>
              </w:rPr>
            </w:pPr>
            <w:r w:rsidRPr="005176BD">
              <w:rPr>
                <w:rFonts w:cs="Arial"/>
                <w:sz w:val="20"/>
                <w:szCs w:val="20"/>
                <w:lang w:eastAsia="en-AU"/>
              </w:rPr>
              <w:t>Changes in housing among older women: Latent class analysis of housing patterns in older Australian women. Urban Studies, 2016</w:t>
            </w:r>
            <w:r w:rsidR="00EA3DF4" w:rsidRPr="005176BD">
              <w:rPr>
                <w:rFonts w:cs="Arial"/>
                <w:sz w:val="20"/>
                <w:szCs w:val="20"/>
                <w:lang w:eastAsia="en-AU"/>
              </w:rPr>
              <w:t>;</w:t>
            </w:r>
            <w:r w:rsidRPr="005176BD">
              <w:rPr>
                <w:rFonts w:cs="Arial"/>
                <w:sz w:val="20"/>
                <w:szCs w:val="20"/>
                <w:lang w:eastAsia="en-AU"/>
              </w:rPr>
              <w:t xml:space="preserve"> 55(4)</w:t>
            </w:r>
            <w:r w:rsidR="00EA3DF4" w:rsidRPr="005176BD">
              <w:rPr>
                <w:rFonts w:cs="Arial"/>
                <w:sz w:val="20"/>
                <w:szCs w:val="20"/>
                <w:lang w:eastAsia="en-AU"/>
              </w:rPr>
              <w:t xml:space="preserve">: </w:t>
            </w:r>
            <w:r w:rsidRPr="005176BD">
              <w:rPr>
                <w:rFonts w:cs="Arial"/>
                <w:sz w:val="20"/>
                <w:szCs w:val="20"/>
                <w:lang w:eastAsia="en-AU"/>
              </w:rPr>
              <w:t>1-17</w:t>
            </w:r>
            <w:r w:rsidR="00EA3DF4" w:rsidRPr="005176BD">
              <w:rPr>
                <w:rFonts w:cs="Arial"/>
                <w:sz w:val="20"/>
                <w:szCs w:val="20"/>
                <w:lang w:eastAsia="en-AU"/>
              </w:rPr>
              <w:t>.</w:t>
            </w:r>
          </w:p>
        </w:tc>
        <w:tc>
          <w:tcPr>
            <w:tcW w:w="4865" w:type="dxa"/>
          </w:tcPr>
          <w:p w14:paraId="7D372EB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 </w:t>
            </w:r>
            <w:proofErr w:type="spellStart"/>
            <w:r w:rsidRPr="005176BD">
              <w:rPr>
                <w:rFonts w:cs="Arial"/>
                <w:sz w:val="20"/>
                <w:szCs w:val="20"/>
                <w:lang w:eastAsia="en-AU"/>
              </w:rPr>
              <w:t>Curryer</w:t>
            </w:r>
            <w:proofErr w:type="spellEnd"/>
            <w:r w:rsidRPr="005176BD">
              <w:rPr>
                <w:rFonts w:cs="Arial"/>
                <w:sz w:val="20"/>
                <w:szCs w:val="20"/>
                <w:lang w:eastAsia="en-AU"/>
              </w:rPr>
              <w:t xml:space="preserve"> C, Vo K, Forder P, Loxton D &amp; McLaughlin D.</w:t>
            </w:r>
          </w:p>
        </w:tc>
        <w:tc>
          <w:tcPr>
            <w:tcW w:w="797" w:type="dxa"/>
          </w:tcPr>
          <w:p w14:paraId="49070043" w14:textId="77777777" w:rsidR="00084B2B" w:rsidRPr="005176BD" w:rsidRDefault="00084B2B" w:rsidP="003B611A">
            <w:pPr>
              <w:rPr>
                <w:rFonts w:cs="Arial"/>
                <w:sz w:val="20"/>
                <w:szCs w:val="20"/>
                <w:lang w:eastAsia="en-AU"/>
              </w:rPr>
            </w:pPr>
            <w:r w:rsidRPr="005176BD">
              <w:rPr>
                <w:rFonts w:cs="Arial"/>
                <w:sz w:val="20"/>
                <w:szCs w:val="20"/>
                <w:lang w:eastAsia="en-AU"/>
              </w:rPr>
              <w:t>3</w:t>
            </w:r>
          </w:p>
        </w:tc>
      </w:tr>
      <w:tr w:rsidR="00084B2B" w:rsidRPr="00084B2B" w14:paraId="4FA26B05" w14:textId="77777777" w:rsidTr="0011030B">
        <w:tc>
          <w:tcPr>
            <w:tcW w:w="8193" w:type="dxa"/>
            <w:tcBorders>
              <w:top w:val="single" w:sz="4" w:space="0" w:color="auto"/>
              <w:left w:val="single" w:sz="4" w:space="0" w:color="C0C0C0"/>
              <w:bottom w:val="single" w:sz="4" w:space="0" w:color="auto"/>
              <w:right w:val="single" w:sz="4" w:space="0" w:color="C0C0C0"/>
            </w:tcBorders>
            <w:shd w:val="clear" w:color="auto" w:fill="auto"/>
          </w:tcPr>
          <w:p w14:paraId="584B9AEF" w14:textId="13B19D1E" w:rsidR="00084B2B" w:rsidRPr="005176BD" w:rsidRDefault="00084B2B" w:rsidP="003B611A">
            <w:pPr>
              <w:rPr>
                <w:rFonts w:cs="Arial"/>
                <w:sz w:val="20"/>
                <w:szCs w:val="20"/>
                <w:lang w:eastAsia="en-AU"/>
              </w:rPr>
            </w:pPr>
            <w:r w:rsidRPr="005176BD">
              <w:rPr>
                <w:rFonts w:cs="Arial"/>
                <w:sz w:val="20"/>
                <w:szCs w:val="20"/>
                <w:lang w:eastAsia="en-AU"/>
              </w:rPr>
              <w:t xml:space="preserve">Moderating effects of social engagement on driving cessation in older women.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2016</w:t>
            </w:r>
            <w:r w:rsidR="00EA3DF4" w:rsidRPr="005176BD">
              <w:rPr>
                <w:rFonts w:cs="Arial"/>
                <w:sz w:val="20"/>
                <w:szCs w:val="20"/>
                <w:lang w:eastAsia="en-AU"/>
              </w:rPr>
              <w:t>;</w:t>
            </w:r>
            <w:r w:rsidRPr="005176BD">
              <w:rPr>
                <w:rFonts w:cs="Arial"/>
                <w:sz w:val="20"/>
                <w:szCs w:val="20"/>
                <w:lang w:eastAsia="en-AU"/>
              </w:rPr>
              <w:t xml:space="preserve"> 28(8)</w:t>
            </w:r>
            <w:r w:rsidR="00EA3DF4" w:rsidRPr="005176BD">
              <w:rPr>
                <w:rFonts w:cs="Arial"/>
                <w:sz w:val="20"/>
                <w:szCs w:val="20"/>
                <w:lang w:eastAsia="en-AU"/>
              </w:rPr>
              <w:t xml:space="preserve">: </w:t>
            </w:r>
            <w:r w:rsidRPr="005176BD">
              <w:rPr>
                <w:rFonts w:cs="Arial"/>
                <w:sz w:val="20"/>
                <w:szCs w:val="20"/>
                <w:lang w:eastAsia="en-AU"/>
              </w:rPr>
              <w:t>1237-1244</w:t>
            </w:r>
            <w:r w:rsidR="00EA3DF4" w:rsidRPr="005176BD">
              <w:rPr>
                <w:rFonts w:cs="Arial"/>
                <w:sz w:val="20"/>
                <w:szCs w:val="20"/>
                <w:lang w:eastAsia="en-AU"/>
              </w:rPr>
              <w:t>.</w:t>
            </w:r>
          </w:p>
        </w:tc>
        <w:tc>
          <w:tcPr>
            <w:tcW w:w="4865" w:type="dxa"/>
          </w:tcPr>
          <w:p w14:paraId="6783B8FC" w14:textId="77777777" w:rsidR="00084B2B" w:rsidRPr="005176BD" w:rsidRDefault="00084B2B" w:rsidP="003B611A">
            <w:pPr>
              <w:rPr>
                <w:rFonts w:cs="Arial"/>
                <w:sz w:val="20"/>
                <w:szCs w:val="20"/>
                <w:lang w:eastAsia="en-AU"/>
              </w:rPr>
            </w:pPr>
            <w:r w:rsidRPr="005176BD">
              <w:rPr>
                <w:rFonts w:cs="Arial"/>
                <w:sz w:val="20"/>
                <w:szCs w:val="20"/>
                <w:lang w:eastAsia="en-AU"/>
              </w:rPr>
              <w:t>Pachana N, Leung J, Gardiner P &amp; McLaughlin D.</w:t>
            </w:r>
          </w:p>
        </w:tc>
        <w:tc>
          <w:tcPr>
            <w:tcW w:w="797" w:type="dxa"/>
          </w:tcPr>
          <w:p w14:paraId="435C868B" w14:textId="77777777" w:rsidR="00084B2B" w:rsidRPr="005176BD" w:rsidRDefault="00084B2B" w:rsidP="003B611A">
            <w:pPr>
              <w:rPr>
                <w:rFonts w:cs="Arial"/>
                <w:sz w:val="20"/>
                <w:szCs w:val="20"/>
                <w:lang w:eastAsia="en-AU"/>
              </w:rPr>
            </w:pPr>
            <w:r w:rsidRPr="005176BD">
              <w:rPr>
                <w:rFonts w:cs="Arial"/>
                <w:sz w:val="20"/>
                <w:szCs w:val="20"/>
                <w:lang w:eastAsia="en-AU"/>
              </w:rPr>
              <w:t>9</w:t>
            </w:r>
          </w:p>
        </w:tc>
      </w:tr>
      <w:tr w:rsidR="00084B2B" w:rsidRPr="00084B2B" w14:paraId="2C1556E3" w14:textId="77777777" w:rsidTr="0011030B">
        <w:tc>
          <w:tcPr>
            <w:tcW w:w="8193" w:type="dxa"/>
          </w:tcPr>
          <w:p w14:paraId="5939D248" w14:textId="49E02EC9" w:rsidR="00084B2B" w:rsidRPr="005176BD" w:rsidRDefault="00084B2B" w:rsidP="003B611A">
            <w:pPr>
              <w:rPr>
                <w:rFonts w:cs="Arial"/>
                <w:sz w:val="20"/>
                <w:szCs w:val="20"/>
                <w:lang w:eastAsia="en-AU"/>
              </w:rPr>
            </w:pPr>
            <w:r w:rsidRPr="005176BD">
              <w:rPr>
                <w:rFonts w:cs="Arial"/>
                <w:sz w:val="20"/>
                <w:szCs w:val="20"/>
                <w:lang w:eastAsia="en-AU"/>
              </w:rPr>
              <w:t xml:space="preserve">Health-related factors associated with participation in creative hobbies by Australian women aged in their eighties. Arts &amp; Health: An International Journal for Research, Policy and Practice, </w:t>
            </w:r>
            <w:r w:rsidR="00EA3DF4" w:rsidRPr="005176BD">
              <w:rPr>
                <w:rFonts w:cs="Arial"/>
                <w:sz w:val="20"/>
                <w:szCs w:val="20"/>
                <w:lang w:eastAsia="en-AU"/>
              </w:rPr>
              <w:t xml:space="preserve">2014; </w:t>
            </w:r>
            <w:r w:rsidRPr="005176BD">
              <w:rPr>
                <w:rFonts w:cs="Arial"/>
                <w:sz w:val="20"/>
                <w:szCs w:val="20"/>
                <w:lang w:eastAsia="en-AU"/>
              </w:rPr>
              <w:t>6(2)</w:t>
            </w:r>
            <w:r w:rsidR="00EA3DF4" w:rsidRPr="005176BD">
              <w:rPr>
                <w:rFonts w:cs="Arial"/>
                <w:sz w:val="20"/>
                <w:szCs w:val="20"/>
                <w:lang w:eastAsia="en-AU"/>
              </w:rPr>
              <w:t>:</w:t>
            </w:r>
            <w:r w:rsidRPr="005176BD">
              <w:rPr>
                <w:rFonts w:cs="Arial"/>
                <w:sz w:val="20"/>
                <w:szCs w:val="20"/>
                <w:lang w:eastAsia="en-AU"/>
              </w:rPr>
              <w:t xml:space="preserve"> 132-142. </w:t>
            </w:r>
          </w:p>
        </w:tc>
        <w:tc>
          <w:tcPr>
            <w:tcW w:w="4865" w:type="dxa"/>
          </w:tcPr>
          <w:p w14:paraId="1A450AEC" w14:textId="77777777" w:rsidR="00084B2B" w:rsidRPr="005176BD" w:rsidRDefault="00084B2B" w:rsidP="003B611A">
            <w:pPr>
              <w:rPr>
                <w:rFonts w:cs="Arial"/>
                <w:sz w:val="20"/>
                <w:szCs w:val="20"/>
                <w:lang w:eastAsia="en-AU"/>
              </w:rPr>
            </w:pPr>
            <w:r w:rsidRPr="005176BD">
              <w:rPr>
                <w:rFonts w:cs="Arial"/>
                <w:sz w:val="20"/>
                <w:szCs w:val="20"/>
                <w:lang w:eastAsia="en-AU"/>
              </w:rPr>
              <w:t>Liddle J, Parkinson L &amp; Sibbritt D.</w:t>
            </w:r>
          </w:p>
        </w:tc>
        <w:tc>
          <w:tcPr>
            <w:tcW w:w="797" w:type="dxa"/>
          </w:tcPr>
          <w:p w14:paraId="65C0AF63" w14:textId="77777777" w:rsidR="00084B2B" w:rsidRPr="005176BD" w:rsidRDefault="00084B2B" w:rsidP="003B611A">
            <w:pPr>
              <w:rPr>
                <w:rFonts w:cs="Arial"/>
                <w:sz w:val="20"/>
                <w:szCs w:val="20"/>
                <w:lang w:eastAsia="en-AU"/>
              </w:rPr>
            </w:pPr>
            <w:r w:rsidRPr="005176BD">
              <w:rPr>
                <w:rFonts w:cs="Arial"/>
                <w:sz w:val="20"/>
                <w:szCs w:val="20"/>
                <w:lang w:eastAsia="en-AU"/>
              </w:rPr>
              <w:t>2</w:t>
            </w:r>
          </w:p>
        </w:tc>
      </w:tr>
      <w:tr w:rsidR="00084B2B" w:rsidRPr="00084B2B" w14:paraId="2CB231C5" w14:textId="77777777" w:rsidTr="0011030B">
        <w:tc>
          <w:tcPr>
            <w:tcW w:w="8193" w:type="dxa"/>
          </w:tcPr>
          <w:p w14:paraId="49B307D9" w14:textId="6009ACDC" w:rsidR="00084B2B" w:rsidRPr="005176BD" w:rsidRDefault="00084B2B" w:rsidP="003B611A">
            <w:pPr>
              <w:rPr>
                <w:rFonts w:cs="Arial"/>
                <w:sz w:val="20"/>
                <w:szCs w:val="20"/>
                <w:lang w:eastAsia="en-AU"/>
              </w:rPr>
            </w:pPr>
            <w:r w:rsidRPr="005176BD">
              <w:rPr>
                <w:rFonts w:cs="Arial"/>
                <w:sz w:val="20"/>
                <w:szCs w:val="20"/>
                <w:lang w:eastAsia="en-AU"/>
              </w:rPr>
              <w:t xml:space="preserve">Purpose and pleasure in late life: Conceptualising older women's participation in art and craft activities. Journal of Aging Studies, </w:t>
            </w:r>
            <w:r w:rsidR="00EA3DF4" w:rsidRPr="005176BD">
              <w:rPr>
                <w:rFonts w:cs="Arial"/>
                <w:sz w:val="20"/>
                <w:szCs w:val="20"/>
                <w:lang w:eastAsia="en-AU"/>
              </w:rPr>
              <w:t xml:space="preserve">2013; </w:t>
            </w:r>
            <w:r w:rsidRPr="005176BD">
              <w:rPr>
                <w:rFonts w:cs="Arial"/>
                <w:sz w:val="20"/>
                <w:szCs w:val="20"/>
                <w:lang w:eastAsia="en-AU"/>
              </w:rPr>
              <w:t>27(4)</w:t>
            </w:r>
            <w:r w:rsidR="00EA3DF4" w:rsidRPr="005176BD">
              <w:rPr>
                <w:rFonts w:cs="Arial"/>
                <w:sz w:val="20"/>
                <w:szCs w:val="20"/>
                <w:lang w:eastAsia="en-AU"/>
              </w:rPr>
              <w:t>:</w:t>
            </w:r>
            <w:r w:rsidRPr="005176BD">
              <w:rPr>
                <w:rFonts w:cs="Arial"/>
                <w:sz w:val="20"/>
                <w:szCs w:val="20"/>
                <w:lang w:eastAsia="en-AU"/>
              </w:rPr>
              <w:t xml:space="preserve"> 330-338.</w:t>
            </w:r>
          </w:p>
        </w:tc>
        <w:tc>
          <w:tcPr>
            <w:tcW w:w="4865" w:type="dxa"/>
          </w:tcPr>
          <w:p w14:paraId="7440F150" w14:textId="77777777" w:rsidR="00084B2B" w:rsidRPr="005176BD" w:rsidRDefault="00084B2B" w:rsidP="003B611A">
            <w:pPr>
              <w:rPr>
                <w:rFonts w:cs="Arial"/>
                <w:sz w:val="20"/>
                <w:szCs w:val="20"/>
                <w:lang w:eastAsia="en-AU"/>
              </w:rPr>
            </w:pPr>
            <w:r w:rsidRPr="005176BD">
              <w:rPr>
                <w:rFonts w:cs="Arial"/>
                <w:sz w:val="20"/>
                <w:szCs w:val="20"/>
                <w:lang w:eastAsia="en-AU"/>
              </w:rPr>
              <w:t>Liddle J, Parkinson L &amp; Sibbritt D.</w:t>
            </w:r>
          </w:p>
        </w:tc>
        <w:tc>
          <w:tcPr>
            <w:tcW w:w="797" w:type="dxa"/>
          </w:tcPr>
          <w:p w14:paraId="7A766FF6" w14:textId="77777777" w:rsidR="00084B2B" w:rsidRPr="005176BD" w:rsidRDefault="00084B2B" w:rsidP="003B611A">
            <w:pPr>
              <w:rPr>
                <w:rFonts w:cs="Arial"/>
                <w:sz w:val="20"/>
                <w:szCs w:val="20"/>
                <w:lang w:eastAsia="en-AU"/>
              </w:rPr>
            </w:pPr>
            <w:r w:rsidRPr="005176BD">
              <w:rPr>
                <w:rFonts w:cs="Arial"/>
                <w:sz w:val="20"/>
                <w:szCs w:val="20"/>
                <w:lang w:eastAsia="en-AU"/>
              </w:rPr>
              <w:t>22</w:t>
            </w:r>
          </w:p>
        </w:tc>
      </w:tr>
      <w:tr w:rsidR="00084B2B" w:rsidRPr="00084B2B" w14:paraId="47F27A13" w14:textId="77777777" w:rsidTr="0011030B">
        <w:tc>
          <w:tcPr>
            <w:tcW w:w="8193" w:type="dxa"/>
          </w:tcPr>
          <w:p w14:paraId="4B2C20B7" w14:textId="7E7B651C" w:rsidR="00084B2B" w:rsidRPr="005176BD" w:rsidRDefault="00EA3DF4" w:rsidP="003B611A">
            <w:pPr>
              <w:rPr>
                <w:rFonts w:cs="Arial"/>
                <w:sz w:val="20"/>
                <w:szCs w:val="20"/>
                <w:lang w:eastAsia="en-AU"/>
              </w:rPr>
            </w:pPr>
            <w:r w:rsidRPr="005176BD">
              <w:rPr>
                <w:rFonts w:cs="Arial"/>
                <w:sz w:val="20"/>
                <w:szCs w:val="20"/>
                <w:lang w:eastAsia="en-AU"/>
              </w:rPr>
              <w:t>Driving in older age: A</w:t>
            </w:r>
            <w:r w:rsidR="00084B2B" w:rsidRPr="005176BD">
              <w:rPr>
                <w:rFonts w:cs="Arial"/>
                <w:sz w:val="20"/>
                <w:szCs w:val="20"/>
                <w:lang w:eastAsia="en-AU"/>
              </w:rPr>
              <w:t xml:space="preserve"> longitudinal study of women in urban, regional and remote areas and the impact of caregiving. Journal of Women and Aging, </w:t>
            </w:r>
            <w:r w:rsidRPr="005176BD">
              <w:rPr>
                <w:rFonts w:cs="Arial"/>
                <w:sz w:val="20"/>
                <w:szCs w:val="20"/>
                <w:lang w:eastAsia="en-AU"/>
              </w:rPr>
              <w:t xml:space="preserve">2012; </w:t>
            </w:r>
            <w:r w:rsidR="00084B2B" w:rsidRPr="005176BD">
              <w:rPr>
                <w:rFonts w:cs="Arial"/>
                <w:sz w:val="20"/>
                <w:szCs w:val="20"/>
                <w:lang w:eastAsia="en-AU"/>
              </w:rPr>
              <w:t>24(2)</w:t>
            </w:r>
            <w:r w:rsidRPr="005176BD">
              <w:rPr>
                <w:rFonts w:cs="Arial"/>
                <w:sz w:val="20"/>
                <w:szCs w:val="20"/>
                <w:lang w:eastAsia="en-AU"/>
              </w:rPr>
              <w:t>:</w:t>
            </w:r>
            <w:r w:rsidR="00084B2B" w:rsidRPr="005176BD">
              <w:rPr>
                <w:rFonts w:cs="Arial"/>
                <w:sz w:val="20"/>
                <w:szCs w:val="20"/>
                <w:lang w:eastAsia="en-AU"/>
              </w:rPr>
              <w:t xml:space="preserve"> 112-125.</w:t>
            </w:r>
          </w:p>
        </w:tc>
        <w:tc>
          <w:tcPr>
            <w:tcW w:w="4865" w:type="dxa"/>
          </w:tcPr>
          <w:p w14:paraId="76EFF7A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JE &amp; Gallienne L. </w:t>
            </w:r>
          </w:p>
        </w:tc>
        <w:tc>
          <w:tcPr>
            <w:tcW w:w="797" w:type="dxa"/>
          </w:tcPr>
          <w:p w14:paraId="6EFBAB96" w14:textId="77777777" w:rsidR="00084B2B" w:rsidRPr="005176BD" w:rsidRDefault="00084B2B" w:rsidP="003B611A">
            <w:pPr>
              <w:rPr>
                <w:rFonts w:cs="Arial"/>
                <w:sz w:val="20"/>
                <w:szCs w:val="20"/>
                <w:lang w:eastAsia="en-AU"/>
              </w:rPr>
            </w:pPr>
            <w:r w:rsidRPr="005176BD">
              <w:rPr>
                <w:rFonts w:cs="Arial"/>
                <w:sz w:val="20"/>
                <w:szCs w:val="20"/>
                <w:lang w:eastAsia="en-AU"/>
              </w:rPr>
              <w:t>7</w:t>
            </w:r>
          </w:p>
        </w:tc>
      </w:tr>
      <w:tr w:rsidR="00084B2B" w:rsidRPr="00084B2B" w14:paraId="4EA3B181" w14:textId="77777777" w:rsidTr="0011030B">
        <w:tc>
          <w:tcPr>
            <w:tcW w:w="8193" w:type="dxa"/>
          </w:tcPr>
          <w:p w14:paraId="3C4209FD" w14:textId="47E24404"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Which older women could benefit from interventions to decrease sitting time and increase physical activity? Journal of the American Geriatrics Society, </w:t>
            </w:r>
            <w:r w:rsidR="00EA3DF4" w:rsidRPr="005176BD">
              <w:rPr>
                <w:rFonts w:cs="Arial"/>
                <w:sz w:val="20"/>
                <w:szCs w:val="20"/>
                <w:lang w:eastAsia="en-AU"/>
              </w:rPr>
              <w:t xml:space="preserve">2012; </w:t>
            </w:r>
            <w:r w:rsidRPr="005176BD">
              <w:rPr>
                <w:rFonts w:cs="Arial"/>
                <w:sz w:val="20"/>
                <w:szCs w:val="20"/>
                <w:lang w:eastAsia="en-AU"/>
              </w:rPr>
              <w:t>60(2)</w:t>
            </w:r>
            <w:r w:rsidR="00EA3DF4" w:rsidRPr="005176BD">
              <w:rPr>
                <w:rFonts w:cs="Arial"/>
                <w:sz w:val="20"/>
                <w:szCs w:val="20"/>
                <w:lang w:eastAsia="en-AU"/>
              </w:rPr>
              <w:t>:</w:t>
            </w:r>
            <w:r w:rsidRPr="005176BD">
              <w:rPr>
                <w:rFonts w:cs="Arial"/>
                <w:sz w:val="20"/>
                <w:szCs w:val="20"/>
                <w:lang w:eastAsia="en-AU"/>
              </w:rPr>
              <w:t xml:space="preserve"> 393-396.</w:t>
            </w:r>
          </w:p>
        </w:tc>
        <w:tc>
          <w:tcPr>
            <w:tcW w:w="4865" w:type="dxa"/>
          </w:tcPr>
          <w:p w14:paraId="4C85F5A4" w14:textId="6A4D2E08" w:rsidR="00084B2B" w:rsidRPr="005176BD" w:rsidRDefault="00084B2B" w:rsidP="003B611A">
            <w:pPr>
              <w:rPr>
                <w:rFonts w:cs="Arial"/>
                <w:sz w:val="20"/>
                <w:szCs w:val="20"/>
                <w:lang w:eastAsia="en-AU"/>
              </w:rPr>
            </w:pPr>
            <w:r w:rsidRPr="005176BD">
              <w:rPr>
                <w:rFonts w:cs="Arial"/>
                <w:sz w:val="20"/>
                <w:szCs w:val="20"/>
                <w:lang w:eastAsia="en-AU"/>
              </w:rPr>
              <w:t xml:space="preserve">Van </w:t>
            </w:r>
            <w:proofErr w:type="spellStart"/>
            <w:r w:rsidRPr="005176BD">
              <w:rPr>
                <w:rFonts w:cs="Arial"/>
                <w:sz w:val="20"/>
                <w:szCs w:val="20"/>
                <w:lang w:eastAsia="en-AU"/>
              </w:rPr>
              <w:t>Uffelen</w:t>
            </w:r>
            <w:proofErr w:type="spellEnd"/>
            <w:r w:rsidRPr="005176BD">
              <w:rPr>
                <w:rFonts w:cs="Arial"/>
                <w:sz w:val="20"/>
                <w:szCs w:val="20"/>
                <w:lang w:eastAsia="en-AU"/>
              </w:rPr>
              <w:t xml:space="preserve"> J, </w:t>
            </w:r>
            <w:proofErr w:type="spellStart"/>
            <w:r w:rsidRPr="005176BD">
              <w:rPr>
                <w:rFonts w:cs="Arial"/>
                <w:sz w:val="20"/>
                <w:szCs w:val="20"/>
                <w:lang w:eastAsia="en-AU"/>
              </w:rPr>
              <w:t>Heesch</w:t>
            </w:r>
            <w:proofErr w:type="spellEnd"/>
            <w:r w:rsidRPr="005176BD">
              <w:rPr>
                <w:rFonts w:cs="Arial"/>
                <w:sz w:val="20"/>
                <w:szCs w:val="20"/>
                <w:lang w:eastAsia="en-AU"/>
              </w:rPr>
              <w:t xml:space="preserve"> K, van </w:t>
            </w:r>
            <w:proofErr w:type="spellStart"/>
            <w:r w:rsidRPr="005176BD">
              <w:rPr>
                <w:rFonts w:cs="Arial"/>
                <w:sz w:val="20"/>
                <w:szCs w:val="20"/>
                <w:lang w:eastAsia="en-AU"/>
              </w:rPr>
              <w:t>Gellecum</w:t>
            </w:r>
            <w:proofErr w:type="spellEnd"/>
            <w:r w:rsidRPr="005176BD">
              <w:rPr>
                <w:rFonts w:cs="Arial"/>
                <w:sz w:val="20"/>
                <w:szCs w:val="20"/>
                <w:lang w:eastAsia="en-AU"/>
              </w:rPr>
              <w:t xml:space="preserve"> Y, Burton N &amp; Brown WJ.</w:t>
            </w:r>
          </w:p>
        </w:tc>
        <w:tc>
          <w:tcPr>
            <w:tcW w:w="797" w:type="dxa"/>
          </w:tcPr>
          <w:p w14:paraId="4A2D8066" w14:textId="77777777" w:rsidR="00084B2B" w:rsidRPr="005176BD" w:rsidRDefault="00084B2B" w:rsidP="003B611A">
            <w:pPr>
              <w:rPr>
                <w:rFonts w:cs="Arial"/>
                <w:sz w:val="20"/>
                <w:szCs w:val="20"/>
                <w:lang w:eastAsia="en-AU"/>
              </w:rPr>
            </w:pPr>
            <w:r w:rsidRPr="005176BD">
              <w:rPr>
                <w:rFonts w:cs="Arial"/>
                <w:sz w:val="20"/>
                <w:szCs w:val="20"/>
                <w:lang w:eastAsia="en-AU"/>
              </w:rPr>
              <w:t>8</w:t>
            </w:r>
          </w:p>
        </w:tc>
      </w:tr>
      <w:tr w:rsidR="00084B2B" w:rsidRPr="00084B2B" w14:paraId="7E1A7B9B" w14:textId="77777777" w:rsidTr="0011030B">
        <w:tc>
          <w:tcPr>
            <w:tcW w:w="8193" w:type="dxa"/>
          </w:tcPr>
          <w:p w14:paraId="78DD83A4" w14:textId="67FD3A7C" w:rsidR="00084B2B" w:rsidRPr="005176BD" w:rsidRDefault="00084B2B" w:rsidP="003B611A">
            <w:pPr>
              <w:rPr>
                <w:rFonts w:cs="Arial"/>
                <w:sz w:val="20"/>
                <w:szCs w:val="20"/>
                <w:lang w:eastAsia="en-AU"/>
              </w:rPr>
            </w:pPr>
            <w:r w:rsidRPr="005176BD">
              <w:rPr>
                <w:rFonts w:cs="Arial"/>
                <w:sz w:val="20"/>
                <w:szCs w:val="20"/>
                <w:lang w:eastAsia="en-AU"/>
              </w:rPr>
              <w:t>Does Government subsidy for costs of medical and pharmaceutical services result in higher service utilization by older widowed women in Australia? BMC Health Services Research</w:t>
            </w:r>
            <w:r w:rsidR="00EA3DF4" w:rsidRPr="005176BD">
              <w:rPr>
                <w:rFonts w:cs="Arial"/>
                <w:sz w:val="20"/>
                <w:szCs w:val="20"/>
                <w:lang w:eastAsia="en-AU"/>
              </w:rPr>
              <w:t>, 2012;</w:t>
            </w:r>
            <w:r w:rsidRPr="005176BD">
              <w:rPr>
                <w:rFonts w:cs="Arial"/>
                <w:sz w:val="20"/>
                <w:szCs w:val="20"/>
                <w:lang w:eastAsia="en-AU"/>
              </w:rPr>
              <w:t xml:space="preserve"> 12(1); p179.</w:t>
            </w:r>
          </w:p>
        </w:tc>
        <w:tc>
          <w:tcPr>
            <w:tcW w:w="4865" w:type="dxa"/>
          </w:tcPr>
          <w:p w14:paraId="65102C5A" w14:textId="77777777" w:rsidR="00084B2B" w:rsidRPr="005176BD" w:rsidRDefault="00084B2B" w:rsidP="003B611A">
            <w:pPr>
              <w:rPr>
                <w:rFonts w:cs="Arial"/>
                <w:sz w:val="20"/>
                <w:szCs w:val="20"/>
                <w:lang w:eastAsia="en-AU"/>
              </w:rPr>
            </w:pPr>
            <w:r w:rsidRPr="005176BD">
              <w:rPr>
                <w:rFonts w:cs="Arial"/>
                <w:sz w:val="20"/>
                <w:szCs w:val="20"/>
                <w:lang w:eastAsia="en-AU"/>
              </w:rPr>
              <w:t xml:space="preserve">Tooth L, Hockey R, </w:t>
            </w:r>
            <w:proofErr w:type="spellStart"/>
            <w:r w:rsidRPr="005176BD">
              <w:rPr>
                <w:rFonts w:cs="Arial"/>
                <w:sz w:val="20"/>
                <w:szCs w:val="20"/>
                <w:lang w:eastAsia="en-AU"/>
              </w:rPr>
              <w:t>Treloar</w:t>
            </w:r>
            <w:proofErr w:type="spellEnd"/>
            <w:r w:rsidRPr="005176BD">
              <w:rPr>
                <w:rFonts w:cs="Arial"/>
                <w:sz w:val="20"/>
                <w:szCs w:val="20"/>
                <w:lang w:eastAsia="en-AU"/>
              </w:rPr>
              <w:t xml:space="preserve"> S, McClintock C &amp; Dobson A.</w:t>
            </w:r>
          </w:p>
        </w:tc>
        <w:tc>
          <w:tcPr>
            <w:tcW w:w="797" w:type="dxa"/>
          </w:tcPr>
          <w:p w14:paraId="3882699D" w14:textId="395C22B7" w:rsidR="00084B2B" w:rsidRPr="005176BD" w:rsidRDefault="00F5504C" w:rsidP="003B611A">
            <w:pPr>
              <w:rPr>
                <w:rFonts w:cs="Arial"/>
                <w:sz w:val="20"/>
                <w:szCs w:val="20"/>
                <w:lang w:eastAsia="en-AU"/>
              </w:rPr>
            </w:pPr>
            <w:r w:rsidRPr="005176BD">
              <w:rPr>
                <w:rFonts w:cs="Arial"/>
                <w:sz w:val="20"/>
                <w:szCs w:val="20"/>
                <w:lang w:eastAsia="en-AU"/>
              </w:rPr>
              <w:t>10</w:t>
            </w:r>
          </w:p>
        </w:tc>
      </w:tr>
      <w:tr w:rsidR="00BE49A1" w:rsidRPr="00BE49A1" w14:paraId="2004AC82" w14:textId="77777777" w:rsidTr="0011030B">
        <w:trPr>
          <w:trHeight w:val="441"/>
        </w:trPr>
        <w:tc>
          <w:tcPr>
            <w:tcW w:w="8193" w:type="dxa"/>
          </w:tcPr>
          <w:p w14:paraId="7E0D0F86" w14:textId="44C01D88" w:rsidR="00BE49A1" w:rsidRPr="005176BD" w:rsidRDefault="00BE49A1" w:rsidP="003B611A">
            <w:pPr>
              <w:rPr>
                <w:rFonts w:cs="Arial"/>
                <w:sz w:val="20"/>
                <w:szCs w:val="20"/>
                <w:lang w:eastAsia="en-AU"/>
              </w:rPr>
            </w:pPr>
            <w:r w:rsidRPr="005176BD">
              <w:rPr>
                <w:rFonts w:cs="Arial"/>
                <w:sz w:val="20"/>
                <w:szCs w:val="20"/>
                <w:lang w:eastAsia="en-AU"/>
              </w:rPr>
              <w:t>Social support and mortality: If you're sick, friends can't save you. Journal of the American Geriatric Society, 2011</w:t>
            </w:r>
            <w:r w:rsidR="00EA3DF4" w:rsidRPr="005176BD">
              <w:rPr>
                <w:rFonts w:cs="Arial"/>
                <w:sz w:val="20"/>
                <w:szCs w:val="20"/>
                <w:lang w:eastAsia="en-AU"/>
              </w:rPr>
              <w:t xml:space="preserve">; </w:t>
            </w:r>
            <w:r w:rsidRPr="005176BD">
              <w:rPr>
                <w:rFonts w:cs="Arial"/>
                <w:sz w:val="20"/>
                <w:szCs w:val="20"/>
                <w:lang w:eastAsia="en-AU"/>
              </w:rPr>
              <w:t>59(10)</w:t>
            </w:r>
            <w:r w:rsidR="00EA3DF4" w:rsidRPr="005176BD">
              <w:rPr>
                <w:rFonts w:cs="Arial"/>
                <w:sz w:val="20"/>
                <w:szCs w:val="20"/>
                <w:lang w:eastAsia="en-AU"/>
              </w:rPr>
              <w:t>:</w:t>
            </w:r>
            <w:r w:rsidRPr="005176BD">
              <w:rPr>
                <w:rFonts w:cs="Arial"/>
                <w:sz w:val="20"/>
                <w:szCs w:val="20"/>
                <w:lang w:eastAsia="en-AU"/>
              </w:rPr>
              <w:t xml:space="preserve"> 1984-1986. (to the editor</w:t>
            </w:r>
            <w:r w:rsidR="00EA3DF4" w:rsidRPr="005176BD">
              <w:rPr>
                <w:rFonts w:cs="Arial"/>
                <w:sz w:val="20"/>
                <w:szCs w:val="20"/>
                <w:lang w:eastAsia="en-AU"/>
              </w:rPr>
              <w:t>)</w:t>
            </w:r>
          </w:p>
        </w:tc>
        <w:tc>
          <w:tcPr>
            <w:tcW w:w="4865" w:type="dxa"/>
          </w:tcPr>
          <w:p w14:paraId="56197F90" w14:textId="77777777" w:rsidR="00BE49A1" w:rsidRPr="005176BD" w:rsidRDefault="00BE49A1" w:rsidP="003B611A">
            <w:pPr>
              <w:rPr>
                <w:rFonts w:cs="Arial"/>
                <w:sz w:val="20"/>
                <w:szCs w:val="20"/>
                <w:lang w:eastAsia="en-AU"/>
              </w:rPr>
            </w:pPr>
            <w:r w:rsidRPr="005176BD">
              <w:rPr>
                <w:rFonts w:cs="Arial"/>
                <w:sz w:val="20"/>
                <w:szCs w:val="20"/>
                <w:lang w:eastAsia="en-AU"/>
              </w:rPr>
              <w:t>McLaughlin D, Leung J, Almeida O &amp; Dobson A.</w:t>
            </w:r>
          </w:p>
        </w:tc>
        <w:tc>
          <w:tcPr>
            <w:tcW w:w="797" w:type="dxa"/>
          </w:tcPr>
          <w:p w14:paraId="2B3FA921" w14:textId="5B777215" w:rsidR="00BE49A1" w:rsidRPr="005176BD" w:rsidRDefault="00BE49A1" w:rsidP="003B611A">
            <w:pPr>
              <w:rPr>
                <w:rFonts w:cs="Arial"/>
                <w:sz w:val="20"/>
                <w:szCs w:val="20"/>
                <w:lang w:eastAsia="en-AU"/>
              </w:rPr>
            </w:pPr>
            <w:r w:rsidRPr="005176BD">
              <w:rPr>
                <w:rFonts w:cs="Arial"/>
                <w:sz w:val="20"/>
                <w:szCs w:val="20"/>
                <w:lang w:eastAsia="en-AU"/>
              </w:rPr>
              <w:t>7</w:t>
            </w:r>
          </w:p>
        </w:tc>
      </w:tr>
      <w:tr w:rsidR="00084B2B" w:rsidRPr="00084B2B" w14:paraId="4E0BE2E9" w14:textId="77777777" w:rsidTr="0011030B">
        <w:tc>
          <w:tcPr>
            <w:tcW w:w="8193" w:type="dxa"/>
          </w:tcPr>
          <w:p w14:paraId="5904E5C3" w14:textId="56174AA1" w:rsidR="00084B2B" w:rsidRPr="005176BD" w:rsidRDefault="00084B2B" w:rsidP="003B611A">
            <w:pPr>
              <w:rPr>
                <w:rFonts w:cs="Arial"/>
                <w:sz w:val="20"/>
                <w:szCs w:val="20"/>
                <w:lang w:eastAsia="en-AU"/>
              </w:rPr>
            </w:pPr>
            <w:r w:rsidRPr="005176BD">
              <w:rPr>
                <w:rFonts w:cs="Arial"/>
                <w:sz w:val="20"/>
                <w:szCs w:val="20"/>
                <w:lang w:eastAsia="en-AU"/>
              </w:rPr>
              <w:t xml:space="preserve">Reporting of life events over time: Methodological issues in </w:t>
            </w:r>
            <w:r w:rsidR="003A6BE6" w:rsidRPr="005176BD">
              <w:rPr>
                <w:rFonts w:cs="Arial"/>
                <w:sz w:val="20"/>
                <w:szCs w:val="20"/>
                <w:lang w:eastAsia="en-AU"/>
              </w:rPr>
              <w:t>a longitudinal sample of women.</w:t>
            </w:r>
            <w:r w:rsidRPr="005176BD">
              <w:rPr>
                <w:rFonts w:cs="Arial"/>
                <w:sz w:val="20"/>
                <w:szCs w:val="20"/>
                <w:lang w:eastAsia="en-AU"/>
              </w:rPr>
              <w:t xml:space="preserve"> Psychological Assessment, </w:t>
            </w:r>
            <w:r w:rsidR="00EA3DF4" w:rsidRPr="005176BD">
              <w:rPr>
                <w:rFonts w:cs="Arial"/>
                <w:sz w:val="20"/>
                <w:szCs w:val="20"/>
                <w:lang w:eastAsia="en-AU"/>
              </w:rPr>
              <w:t xml:space="preserve">2011; </w:t>
            </w:r>
            <w:r w:rsidRPr="005176BD">
              <w:rPr>
                <w:rFonts w:cs="Arial"/>
                <w:sz w:val="20"/>
                <w:szCs w:val="20"/>
                <w:lang w:eastAsia="en-AU"/>
              </w:rPr>
              <w:t>23(1)</w:t>
            </w:r>
            <w:r w:rsidR="00EA3DF4" w:rsidRPr="005176BD">
              <w:rPr>
                <w:rFonts w:cs="Arial"/>
                <w:sz w:val="20"/>
                <w:szCs w:val="20"/>
                <w:lang w:eastAsia="en-AU"/>
              </w:rPr>
              <w:t>:</w:t>
            </w:r>
            <w:r w:rsidRPr="005176BD">
              <w:rPr>
                <w:rFonts w:cs="Arial"/>
                <w:sz w:val="20"/>
                <w:szCs w:val="20"/>
                <w:lang w:eastAsia="en-AU"/>
              </w:rPr>
              <w:t xml:space="preserve"> 277-281.</w:t>
            </w:r>
          </w:p>
        </w:tc>
        <w:tc>
          <w:tcPr>
            <w:tcW w:w="4865" w:type="dxa"/>
          </w:tcPr>
          <w:p w14:paraId="2BEF5ECE" w14:textId="003F2E2D" w:rsidR="00084B2B" w:rsidRPr="005176BD" w:rsidRDefault="00084B2B" w:rsidP="003B611A">
            <w:pPr>
              <w:rPr>
                <w:rFonts w:cs="Arial"/>
                <w:sz w:val="20"/>
                <w:szCs w:val="20"/>
                <w:lang w:eastAsia="en-AU"/>
              </w:rPr>
            </w:pPr>
            <w:r w:rsidRPr="005176BD">
              <w:rPr>
                <w:rFonts w:cs="Arial"/>
                <w:sz w:val="20"/>
                <w:szCs w:val="20"/>
                <w:lang w:eastAsia="en-AU"/>
              </w:rPr>
              <w:t>Pachan</w:t>
            </w:r>
            <w:r w:rsidR="0056401E" w:rsidRPr="005176BD">
              <w:rPr>
                <w:rFonts w:cs="Arial"/>
                <w:sz w:val="20"/>
                <w:szCs w:val="20"/>
                <w:lang w:eastAsia="en-AU"/>
              </w:rPr>
              <w:t>a</w:t>
            </w:r>
            <w:r w:rsidRPr="005176BD">
              <w:rPr>
                <w:rFonts w:cs="Arial"/>
                <w:sz w:val="20"/>
                <w:szCs w:val="20"/>
                <w:lang w:eastAsia="en-AU"/>
              </w:rPr>
              <w:t xml:space="preserve"> N, Brilleman S &amp; Dobson A.</w:t>
            </w:r>
          </w:p>
        </w:tc>
        <w:tc>
          <w:tcPr>
            <w:tcW w:w="797" w:type="dxa"/>
          </w:tcPr>
          <w:p w14:paraId="1914CD12" w14:textId="3CB64CA9" w:rsidR="00084B2B" w:rsidRPr="005176BD" w:rsidRDefault="00F5504C" w:rsidP="003B611A">
            <w:pPr>
              <w:rPr>
                <w:rFonts w:cs="Arial"/>
                <w:sz w:val="20"/>
                <w:szCs w:val="20"/>
                <w:lang w:eastAsia="en-AU"/>
              </w:rPr>
            </w:pPr>
            <w:r w:rsidRPr="005176BD">
              <w:rPr>
                <w:rFonts w:cs="Arial"/>
                <w:sz w:val="20"/>
                <w:szCs w:val="20"/>
                <w:lang w:eastAsia="en-AU"/>
              </w:rPr>
              <w:t>12</w:t>
            </w:r>
          </w:p>
        </w:tc>
      </w:tr>
      <w:tr w:rsidR="00640D50" w:rsidRPr="003A6BE6" w14:paraId="7B2CC202" w14:textId="77777777" w:rsidTr="0011030B">
        <w:tc>
          <w:tcPr>
            <w:tcW w:w="8193" w:type="dxa"/>
          </w:tcPr>
          <w:p w14:paraId="3180B973" w14:textId="61EE13CE" w:rsidR="00640D50" w:rsidRPr="005176BD" w:rsidRDefault="00640D50" w:rsidP="003B611A">
            <w:pPr>
              <w:rPr>
                <w:rFonts w:cs="Arial"/>
                <w:sz w:val="20"/>
                <w:szCs w:val="20"/>
                <w:lang w:eastAsia="en-AU"/>
              </w:rPr>
            </w:pPr>
            <w:r w:rsidRPr="005176BD">
              <w:rPr>
                <w:rFonts w:cs="Arial"/>
                <w:sz w:val="20"/>
                <w:szCs w:val="20"/>
                <w:lang w:eastAsia="en-AU"/>
              </w:rPr>
              <w:t>The effect of having a partner on activities of daily living in men and women aged 82 to 87 years. Maturitas</w:t>
            </w:r>
            <w:r w:rsidR="003A6BE6" w:rsidRPr="005176BD">
              <w:rPr>
                <w:rFonts w:cs="Arial"/>
                <w:sz w:val="20"/>
                <w:szCs w:val="20"/>
                <w:lang w:eastAsia="en-AU"/>
              </w:rPr>
              <w:t xml:space="preserve">, </w:t>
            </w:r>
            <w:r w:rsidRPr="005176BD">
              <w:rPr>
                <w:rFonts w:cs="Arial"/>
                <w:sz w:val="20"/>
                <w:szCs w:val="20"/>
                <w:lang w:eastAsia="en-AU"/>
              </w:rPr>
              <w:t>2011</w:t>
            </w:r>
            <w:r w:rsidR="003A6BE6" w:rsidRPr="005176BD">
              <w:rPr>
                <w:rFonts w:cs="Arial"/>
                <w:sz w:val="20"/>
                <w:szCs w:val="20"/>
                <w:lang w:eastAsia="en-AU"/>
              </w:rPr>
              <w:t>;</w:t>
            </w:r>
            <w:r w:rsidRPr="005176BD">
              <w:rPr>
                <w:rFonts w:cs="Arial"/>
                <w:sz w:val="20"/>
                <w:szCs w:val="20"/>
                <w:lang w:eastAsia="en-AU"/>
              </w:rPr>
              <w:t xml:space="preserve"> 68(3)</w:t>
            </w:r>
            <w:r w:rsidR="003A6BE6" w:rsidRPr="005176BD">
              <w:rPr>
                <w:rFonts w:cs="Arial"/>
                <w:sz w:val="20"/>
                <w:szCs w:val="20"/>
                <w:lang w:eastAsia="en-AU"/>
              </w:rPr>
              <w:t>:</w:t>
            </w:r>
            <w:r w:rsidRPr="005176BD">
              <w:rPr>
                <w:rFonts w:cs="Arial"/>
                <w:sz w:val="20"/>
                <w:szCs w:val="20"/>
                <w:lang w:eastAsia="en-AU"/>
              </w:rPr>
              <w:t xml:space="preserve"> 286-290.</w:t>
            </w:r>
          </w:p>
        </w:tc>
        <w:tc>
          <w:tcPr>
            <w:tcW w:w="4865" w:type="dxa"/>
          </w:tcPr>
          <w:p w14:paraId="325736B0" w14:textId="189E5B98" w:rsidR="00640D50" w:rsidRPr="005176BD" w:rsidRDefault="003A6BE6" w:rsidP="003B611A">
            <w:pPr>
              <w:rPr>
                <w:rFonts w:cs="Arial"/>
                <w:sz w:val="20"/>
                <w:szCs w:val="20"/>
                <w:lang w:eastAsia="en-AU"/>
              </w:rPr>
            </w:pPr>
            <w:r w:rsidRPr="005176BD">
              <w:rPr>
                <w:rFonts w:cs="Arial"/>
                <w:sz w:val="20"/>
                <w:szCs w:val="20"/>
                <w:lang w:eastAsia="en-AU"/>
              </w:rPr>
              <w:t>Pachana N, McLaughlin D, Leung J, McKenzie S &amp; Dobson A.</w:t>
            </w:r>
          </w:p>
        </w:tc>
        <w:tc>
          <w:tcPr>
            <w:tcW w:w="797" w:type="dxa"/>
          </w:tcPr>
          <w:p w14:paraId="56D9C378" w14:textId="08702D71" w:rsidR="00640D50" w:rsidRPr="005176BD" w:rsidRDefault="003A6BE6" w:rsidP="003B611A">
            <w:pPr>
              <w:rPr>
                <w:rFonts w:cs="Arial"/>
                <w:sz w:val="20"/>
                <w:szCs w:val="20"/>
                <w:lang w:eastAsia="en-AU"/>
              </w:rPr>
            </w:pPr>
            <w:r w:rsidRPr="005176BD">
              <w:rPr>
                <w:rFonts w:cs="Arial"/>
                <w:sz w:val="20"/>
                <w:szCs w:val="20"/>
                <w:lang w:eastAsia="en-AU"/>
              </w:rPr>
              <w:t>16</w:t>
            </w:r>
          </w:p>
        </w:tc>
      </w:tr>
      <w:tr w:rsidR="00084B2B" w:rsidRPr="00084B2B" w14:paraId="39EBBC27" w14:textId="77777777" w:rsidTr="0011030B">
        <w:tc>
          <w:tcPr>
            <w:tcW w:w="8193" w:type="dxa"/>
          </w:tcPr>
          <w:p w14:paraId="390CE767" w14:textId="20F821F0" w:rsidR="00084B2B" w:rsidRPr="005176BD" w:rsidRDefault="00FB70EC" w:rsidP="003B611A">
            <w:pPr>
              <w:rPr>
                <w:rFonts w:cs="Arial"/>
                <w:sz w:val="20"/>
                <w:szCs w:val="20"/>
                <w:lang w:eastAsia="en-AU"/>
              </w:rPr>
            </w:pPr>
            <w:r w:rsidRPr="005176BD">
              <w:rPr>
                <w:rFonts w:cs="Arial"/>
                <w:sz w:val="20"/>
                <w:szCs w:val="20"/>
                <w:lang w:eastAsia="en-AU"/>
              </w:rPr>
              <w:t xml:space="preserve">An observational study of the discrediting of COX-2 NSAIDs in Australia: </w:t>
            </w:r>
            <w:proofErr w:type="spellStart"/>
            <w:r w:rsidRPr="005176BD">
              <w:rPr>
                <w:rFonts w:cs="Arial"/>
                <w:sz w:val="20"/>
                <w:szCs w:val="20"/>
                <w:lang w:eastAsia="en-AU"/>
              </w:rPr>
              <w:t>Vioxx</w:t>
            </w:r>
            <w:proofErr w:type="spellEnd"/>
            <w:r w:rsidRPr="005176BD">
              <w:rPr>
                <w:rFonts w:cs="Arial"/>
                <w:sz w:val="20"/>
                <w:szCs w:val="20"/>
                <w:lang w:eastAsia="en-AU"/>
              </w:rPr>
              <w:t xml:space="preserve"> or class effect? BMC Public Health, 2011; 11: art 892.</w:t>
            </w:r>
          </w:p>
        </w:tc>
        <w:tc>
          <w:tcPr>
            <w:tcW w:w="4865" w:type="dxa"/>
          </w:tcPr>
          <w:p w14:paraId="3F161D54" w14:textId="5739E06E" w:rsidR="00084B2B" w:rsidRPr="005176BD" w:rsidRDefault="00084B2B" w:rsidP="003B611A">
            <w:pPr>
              <w:rPr>
                <w:rFonts w:cs="Arial"/>
                <w:sz w:val="20"/>
                <w:szCs w:val="20"/>
                <w:lang w:eastAsia="en-AU"/>
              </w:rPr>
            </w:pPr>
            <w:r w:rsidRPr="005176BD">
              <w:rPr>
                <w:rFonts w:cs="Arial"/>
                <w:sz w:val="20"/>
                <w:szCs w:val="20"/>
                <w:lang w:eastAsia="en-AU"/>
              </w:rPr>
              <w:t xml:space="preserve">Parkinson L, Dolja-Gore X, Gibson R, Doran E, </w:t>
            </w:r>
            <w:proofErr w:type="spellStart"/>
            <w:r w:rsidRPr="005176BD">
              <w:rPr>
                <w:rFonts w:cs="Arial"/>
                <w:sz w:val="20"/>
                <w:szCs w:val="20"/>
                <w:lang w:eastAsia="en-AU"/>
              </w:rPr>
              <w:t>Notley</w:t>
            </w:r>
            <w:proofErr w:type="spellEnd"/>
            <w:r w:rsidRPr="005176BD">
              <w:rPr>
                <w:rFonts w:cs="Arial"/>
                <w:sz w:val="20"/>
                <w:szCs w:val="20"/>
                <w:lang w:eastAsia="en-AU"/>
              </w:rPr>
              <w:t xml:space="preserve"> L, Stewart Williams L, </w:t>
            </w:r>
            <w:proofErr w:type="spellStart"/>
            <w:r w:rsidRPr="005176BD">
              <w:rPr>
                <w:rFonts w:cs="Arial"/>
                <w:sz w:val="20"/>
                <w:szCs w:val="20"/>
                <w:lang w:eastAsia="en-AU"/>
              </w:rPr>
              <w:t>Kowal</w:t>
            </w:r>
            <w:proofErr w:type="spellEnd"/>
            <w:r w:rsidRPr="005176BD">
              <w:rPr>
                <w:rFonts w:cs="Arial"/>
                <w:sz w:val="20"/>
                <w:szCs w:val="20"/>
                <w:lang w:eastAsia="en-AU"/>
              </w:rPr>
              <w:t xml:space="preserve"> P &amp; Byles J.</w:t>
            </w:r>
            <w:r w:rsidR="00012F17" w:rsidRPr="005176BD">
              <w:rPr>
                <w:rFonts w:cs="Arial"/>
                <w:sz w:val="20"/>
                <w:szCs w:val="20"/>
                <w:lang w:eastAsia="en-AU"/>
              </w:rPr>
              <w:t xml:space="preserve"> </w:t>
            </w:r>
          </w:p>
        </w:tc>
        <w:tc>
          <w:tcPr>
            <w:tcW w:w="797" w:type="dxa"/>
          </w:tcPr>
          <w:p w14:paraId="4E700139" w14:textId="1F3E6EDA"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7EF0136C" w14:textId="77777777" w:rsidTr="0011030B">
        <w:tc>
          <w:tcPr>
            <w:tcW w:w="8193" w:type="dxa"/>
          </w:tcPr>
          <w:p w14:paraId="239DF2D8" w14:textId="6E65DE5B" w:rsidR="00084B2B" w:rsidRPr="005176BD" w:rsidRDefault="00084B2B" w:rsidP="003B611A">
            <w:pPr>
              <w:rPr>
                <w:rFonts w:cs="Arial"/>
                <w:sz w:val="20"/>
                <w:szCs w:val="20"/>
                <w:lang w:eastAsia="en-AU"/>
              </w:rPr>
            </w:pPr>
            <w:r w:rsidRPr="005176BD">
              <w:rPr>
                <w:rFonts w:cs="Arial"/>
                <w:sz w:val="20"/>
                <w:szCs w:val="20"/>
                <w:lang w:eastAsia="en-AU"/>
              </w:rPr>
              <w:t xml:space="preserve">Factors which enhance or inhibit social support: A mixed methods analysis of social networks in older women. Ageing and Society, </w:t>
            </w:r>
            <w:r w:rsidR="00C6739F" w:rsidRPr="005176BD">
              <w:rPr>
                <w:rFonts w:cs="Arial"/>
                <w:sz w:val="20"/>
                <w:szCs w:val="20"/>
                <w:lang w:eastAsia="en-AU"/>
              </w:rPr>
              <w:t>2011; 31(1):</w:t>
            </w:r>
            <w:r w:rsidRPr="005176BD">
              <w:rPr>
                <w:rFonts w:cs="Arial"/>
                <w:sz w:val="20"/>
                <w:szCs w:val="20"/>
                <w:lang w:eastAsia="en-AU"/>
              </w:rPr>
              <w:t xml:space="preserve"> 18-33. </w:t>
            </w:r>
          </w:p>
        </w:tc>
        <w:tc>
          <w:tcPr>
            <w:tcW w:w="4865" w:type="dxa"/>
          </w:tcPr>
          <w:p w14:paraId="7D7A17AA" w14:textId="77777777" w:rsidR="00084B2B" w:rsidRPr="005176BD" w:rsidRDefault="00084B2B" w:rsidP="003B611A">
            <w:pPr>
              <w:rPr>
                <w:rFonts w:cs="Arial"/>
                <w:sz w:val="20"/>
                <w:szCs w:val="20"/>
                <w:lang w:eastAsia="en-AU"/>
              </w:rPr>
            </w:pPr>
            <w:r w:rsidRPr="005176BD">
              <w:rPr>
                <w:rFonts w:cs="Arial"/>
                <w:sz w:val="20"/>
                <w:szCs w:val="20"/>
                <w:lang w:eastAsia="en-AU"/>
              </w:rPr>
              <w:t xml:space="preserve">McLaughlin D, </w:t>
            </w:r>
            <w:proofErr w:type="spellStart"/>
            <w:r w:rsidRPr="005176BD">
              <w:rPr>
                <w:rFonts w:cs="Arial"/>
                <w:sz w:val="20"/>
                <w:szCs w:val="20"/>
                <w:lang w:eastAsia="en-AU"/>
              </w:rPr>
              <w:t>Vagenas</w:t>
            </w:r>
            <w:proofErr w:type="spellEnd"/>
            <w:r w:rsidRPr="005176BD">
              <w:rPr>
                <w:rFonts w:cs="Arial"/>
                <w:sz w:val="20"/>
                <w:szCs w:val="20"/>
                <w:lang w:eastAsia="en-AU"/>
              </w:rPr>
              <w:t xml:space="preserve"> D, Adams J &amp; Dobson A. </w:t>
            </w:r>
          </w:p>
        </w:tc>
        <w:tc>
          <w:tcPr>
            <w:tcW w:w="797" w:type="dxa"/>
          </w:tcPr>
          <w:p w14:paraId="4FEAD4BC" w14:textId="5076EADC" w:rsidR="00084B2B" w:rsidRPr="005176BD" w:rsidRDefault="00F5504C" w:rsidP="003B611A">
            <w:pPr>
              <w:rPr>
                <w:rFonts w:cs="Arial"/>
                <w:sz w:val="20"/>
                <w:szCs w:val="20"/>
                <w:lang w:eastAsia="en-AU"/>
              </w:rPr>
            </w:pPr>
            <w:r w:rsidRPr="005176BD">
              <w:rPr>
                <w:rFonts w:cs="Arial"/>
                <w:sz w:val="20"/>
                <w:szCs w:val="20"/>
                <w:lang w:eastAsia="en-AU"/>
              </w:rPr>
              <w:t>24</w:t>
            </w:r>
          </w:p>
        </w:tc>
      </w:tr>
      <w:tr w:rsidR="00084B2B" w:rsidRPr="00084B2B" w14:paraId="06B5CFD0" w14:textId="77777777" w:rsidTr="0011030B">
        <w:tc>
          <w:tcPr>
            <w:tcW w:w="8193" w:type="dxa"/>
          </w:tcPr>
          <w:p w14:paraId="5B262259" w14:textId="5BE28DCF" w:rsidR="00084B2B" w:rsidRPr="005176BD" w:rsidRDefault="00084B2B" w:rsidP="003B611A">
            <w:pPr>
              <w:rPr>
                <w:rFonts w:cs="Arial"/>
                <w:sz w:val="20"/>
                <w:szCs w:val="20"/>
                <w:lang w:eastAsia="en-AU"/>
              </w:rPr>
            </w:pPr>
            <w:r w:rsidRPr="005176BD">
              <w:rPr>
                <w:rFonts w:cs="Arial"/>
                <w:sz w:val="20"/>
                <w:szCs w:val="20"/>
                <w:lang w:eastAsia="en-AU"/>
              </w:rPr>
              <w:t xml:space="preserve">Gender differences in social network size and satisfaction in adults in their seventies. Journal of Health Psychology, </w:t>
            </w:r>
            <w:r w:rsidR="00C6739F" w:rsidRPr="005176BD">
              <w:rPr>
                <w:rFonts w:cs="Arial"/>
                <w:sz w:val="20"/>
                <w:szCs w:val="20"/>
                <w:lang w:eastAsia="en-AU"/>
              </w:rPr>
              <w:t xml:space="preserve">2010; </w:t>
            </w:r>
            <w:r w:rsidRPr="005176BD">
              <w:rPr>
                <w:rFonts w:cs="Arial"/>
                <w:sz w:val="20"/>
                <w:szCs w:val="20"/>
                <w:lang w:eastAsia="en-AU"/>
              </w:rPr>
              <w:t>15(5)</w:t>
            </w:r>
            <w:r w:rsidR="00C6739F" w:rsidRPr="005176BD">
              <w:rPr>
                <w:rFonts w:cs="Arial"/>
                <w:sz w:val="20"/>
                <w:szCs w:val="20"/>
                <w:lang w:eastAsia="en-AU"/>
              </w:rPr>
              <w:t>:</w:t>
            </w:r>
            <w:r w:rsidRPr="005176BD">
              <w:rPr>
                <w:rFonts w:cs="Arial"/>
                <w:sz w:val="20"/>
                <w:szCs w:val="20"/>
                <w:lang w:eastAsia="en-AU"/>
              </w:rPr>
              <w:t xml:space="preserve"> 671-679.</w:t>
            </w:r>
          </w:p>
        </w:tc>
        <w:tc>
          <w:tcPr>
            <w:tcW w:w="4865" w:type="dxa"/>
          </w:tcPr>
          <w:p w14:paraId="6100A3F2" w14:textId="77777777" w:rsidR="00084B2B" w:rsidRPr="005176BD" w:rsidRDefault="00084B2B" w:rsidP="003B611A">
            <w:pPr>
              <w:rPr>
                <w:rFonts w:cs="Arial"/>
                <w:sz w:val="20"/>
                <w:szCs w:val="20"/>
                <w:lang w:eastAsia="en-AU"/>
              </w:rPr>
            </w:pPr>
            <w:r w:rsidRPr="005176BD">
              <w:rPr>
                <w:rFonts w:cs="Arial"/>
                <w:sz w:val="20"/>
                <w:szCs w:val="20"/>
                <w:lang w:eastAsia="en-AU"/>
              </w:rPr>
              <w:t xml:space="preserve">McLaughlin D, </w:t>
            </w:r>
            <w:proofErr w:type="spellStart"/>
            <w:r w:rsidRPr="005176BD">
              <w:rPr>
                <w:rFonts w:cs="Arial"/>
                <w:sz w:val="20"/>
                <w:szCs w:val="20"/>
                <w:lang w:eastAsia="en-AU"/>
              </w:rPr>
              <w:t>Vagenas</w:t>
            </w:r>
            <w:proofErr w:type="spellEnd"/>
            <w:r w:rsidRPr="005176BD">
              <w:rPr>
                <w:rFonts w:cs="Arial"/>
                <w:sz w:val="20"/>
                <w:szCs w:val="20"/>
                <w:lang w:eastAsia="en-AU"/>
              </w:rPr>
              <w:t xml:space="preserve"> D, Pachana N, Begum N &amp; Dobson A.</w:t>
            </w:r>
          </w:p>
        </w:tc>
        <w:tc>
          <w:tcPr>
            <w:tcW w:w="797" w:type="dxa"/>
          </w:tcPr>
          <w:p w14:paraId="709E5F2A" w14:textId="240BB6BE" w:rsidR="00084B2B" w:rsidRPr="005176BD" w:rsidRDefault="00F5504C" w:rsidP="003B611A">
            <w:pPr>
              <w:rPr>
                <w:rFonts w:cs="Arial"/>
                <w:sz w:val="20"/>
                <w:szCs w:val="20"/>
                <w:lang w:eastAsia="en-AU"/>
              </w:rPr>
            </w:pPr>
            <w:r w:rsidRPr="005176BD">
              <w:rPr>
                <w:rFonts w:cs="Arial"/>
                <w:sz w:val="20"/>
                <w:szCs w:val="20"/>
                <w:lang w:eastAsia="en-AU"/>
              </w:rPr>
              <w:t>94</w:t>
            </w:r>
          </w:p>
        </w:tc>
      </w:tr>
      <w:tr w:rsidR="00084B2B" w:rsidRPr="00084B2B" w14:paraId="552ECBF4" w14:textId="77777777" w:rsidTr="0011030B">
        <w:tc>
          <w:tcPr>
            <w:tcW w:w="8193" w:type="dxa"/>
          </w:tcPr>
          <w:p w14:paraId="07F2144A" w14:textId="44E26805" w:rsidR="00084B2B" w:rsidRPr="005176BD" w:rsidRDefault="00084B2B" w:rsidP="003B611A">
            <w:pPr>
              <w:rPr>
                <w:rFonts w:cs="Arial"/>
                <w:sz w:val="20"/>
                <w:szCs w:val="20"/>
                <w:lang w:eastAsia="en-AU"/>
              </w:rPr>
            </w:pPr>
            <w:r w:rsidRPr="005176BD">
              <w:rPr>
                <w:rFonts w:cs="Arial"/>
                <w:sz w:val="20"/>
                <w:szCs w:val="20"/>
                <w:lang w:eastAsia="en-AU"/>
              </w:rPr>
              <w:t xml:space="preserve">Volunteering and older women: Psychosocial and health predictors of participation. Ageing and Mental Health, </w:t>
            </w:r>
            <w:r w:rsidR="00C6739F" w:rsidRPr="005176BD">
              <w:rPr>
                <w:rFonts w:cs="Arial"/>
                <w:sz w:val="20"/>
                <w:szCs w:val="20"/>
                <w:lang w:eastAsia="en-AU"/>
              </w:rPr>
              <w:t xml:space="preserve">2010; </w:t>
            </w:r>
            <w:r w:rsidRPr="005176BD">
              <w:rPr>
                <w:rFonts w:cs="Arial"/>
                <w:sz w:val="20"/>
                <w:szCs w:val="20"/>
                <w:lang w:eastAsia="en-AU"/>
              </w:rPr>
              <w:t xml:space="preserve">14 </w:t>
            </w:r>
            <w:r w:rsidR="00C6739F" w:rsidRPr="005176BD">
              <w:rPr>
                <w:rFonts w:cs="Arial"/>
                <w:sz w:val="20"/>
                <w:szCs w:val="20"/>
                <w:lang w:eastAsia="en-AU"/>
              </w:rPr>
              <w:t>(8):</w:t>
            </w:r>
            <w:r w:rsidRPr="005176BD">
              <w:rPr>
                <w:rFonts w:cs="Arial"/>
                <w:sz w:val="20"/>
                <w:szCs w:val="20"/>
                <w:lang w:eastAsia="en-AU"/>
              </w:rPr>
              <w:t xml:space="preserve"> 917-927.</w:t>
            </w:r>
          </w:p>
        </w:tc>
        <w:tc>
          <w:tcPr>
            <w:tcW w:w="4865" w:type="dxa"/>
          </w:tcPr>
          <w:p w14:paraId="6D01176C" w14:textId="77777777" w:rsidR="00084B2B" w:rsidRPr="005176BD" w:rsidRDefault="00084B2B" w:rsidP="003B611A">
            <w:pPr>
              <w:rPr>
                <w:rFonts w:cs="Arial"/>
                <w:sz w:val="20"/>
                <w:szCs w:val="20"/>
                <w:lang w:eastAsia="en-AU"/>
              </w:rPr>
            </w:pPr>
            <w:r w:rsidRPr="005176BD">
              <w:rPr>
                <w:rFonts w:cs="Arial"/>
                <w:sz w:val="20"/>
                <w:szCs w:val="20"/>
                <w:lang w:eastAsia="en-AU"/>
              </w:rPr>
              <w:t>Parkinson L.</w:t>
            </w:r>
          </w:p>
        </w:tc>
        <w:tc>
          <w:tcPr>
            <w:tcW w:w="797" w:type="dxa"/>
          </w:tcPr>
          <w:p w14:paraId="5DEC8172" w14:textId="5ABF65F8" w:rsidR="00084B2B" w:rsidRPr="005176BD" w:rsidRDefault="00F5504C" w:rsidP="003B611A">
            <w:pPr>
              <w:rPr>
                <w:rFonts w:cs="Arial"/>
                <w:sz w:val="20"/>
                <w:szCs w:val="20"/>
                <w:lang w:eastAsia="en-AU"/>
              </w:rPr>
            </w:pPr>
            <w:r w:rsidRPr="005176BD">
              <w:rPr>
                <w:rFonts w:cs="Arial"/>
                <w:sz w:val="20"/>
                <w:szCs w:val="20"/>
                <w:lang w:eastAsia="en-AU"/>
              </w:rPr>
              <w:t>48</w:t>
            </w:r>
          </w:p>
        </w:tc>
      </w:tr>
      <w:tr w:rsidR="0060036C" w:rsidRPr="0060036C" w14:paraId="04863728" w14:textId="77777777" w:rsidTr="0011030B">
        <w:tc>
          <w:tcPr>
            <w:tcW w:w="8193" w:type="dxa"/>
          </w:tcPr>
          <w:p w14:paraId="3F62CBF1" w14:textId="1E4E45E4" w:rsidR="0060036C" w:rsidRPr="005176BD" w:rsidRDefault="0060036C" w:rsidP="003B611A">
            <w:pPr>
              <w:rPr>
                <w:rFonts w:cs="Arial"/>
                <w:sz w:val="20"/>
                <w:szCs w:val="20"/>
                <w:lang w:eastAsia="en-AU"/>
              </w:rPr>
            </w:pPr>
            <w:r w:rsidRPr="005176BD">
              <w:rPr>
                <w:rFonts w:cs="Arial"/>
                <w:sz w:val="20"/>
                <w:szCs w:val="20"/>
                <w:lang w:eastAsia="en-AU"/>
              </w:rPr>
              <w:t>Older drivers in Australia: Trends in driving status and cognitive and visual impairment. Journal of the American Geriatrics Society</w:t>
            </w:r>
            <w:r w:rsidR="00640D50" w:rsidRPr="005176BD">
              <w:rPr>
                <w:rFonts w:cs="Arial"/>
                <w:sz w:val="20"/>
                <w:szCs w:val="20"/>
                <w:lang w:eastAsia="en-AU"/>
              </w:rPr>
              <w:t>,</w:t>
            </w:r>
            <w:r w:rsidRPr="005176BD">
              <w:rPr>
                <w:rFonts w:cs="Arial"/>
                <w:sz w:val="20"/>
                <w:szCs w:val="20"/>
                <w:lang w:eastAsia="en-AU"/>
              </w:rPr>
              <w:t xml:space="preserve"> 2009</w:t>
            </w:r>
            <w:r w:rsidR="00640D50" w:rsidRPr="005176BD">
              <w:rPr>
                <w:rFonts w:cs="Arial"/>
                <w:sz w:val="20"/>
                <w:szCs w:val="20"/>
                <w:lang w:eastAsia="en-AU"/>
              </w:rPr>
              <w:t>;</w:t>
            </w:r>
            <w:r w:rsidRPr="005176BD">
              <w:rPr>
                <w:rFonts w:cs="Arial"/>
                <w:sz w:val="20"/>
                <w:szCs w:val="20"/>
                <w:lang w:eastAsia="en-AU"/>
              </w:rPr>
              <w:t xml:space="preserve"> 57(10)</w:t>
            </w:r>
            <w:r w:rsidR="00640D50" w:rsidRPr="005176BD">
              <w:rPr>
                <w:rFonts w:cs="Arial"/>
                <w:sz w:val="20"/>
                <w:szCs w:val="20"/>
                <w:lang w:eastAsia="en-AU"/>
              </w:rPr>
              <w:t>:</w:t>
            </w:r>
            <w:r w:rsidRPr="005176BD">
              <w:rPr>
                <w:rFonts w:cs="Arial"/>
                <w:sz w:val="20"/>
                <w:szCs w:val="20"/>
                <w:lang w:eastAsia="en-AU"/>
              </w:rPr>
              <w:t xml:space="preserve"> 1868-1873</w:t>
            </w:r>
            <w:r w:rsidR="00640D50" w:rsidRPr="005176BD">
              <w:rPr>
                <w:rFonts w:cs="Arial"/>
                <w:sz w:val="20"/>
                <w:szCs w:val="20"/>
                <w:lang w:eastAsia="en-AU"/>
              </w:rPr>
              <w:t>.</w:t>
            </w:r>
          </w:p>
        </w:tc>
        <w:tc>
          <w:tcPr>
            <w:tcW w:w="4865" w:type="dxa"/>
          </w:tcPr>
          <w:p w14:paraId="4C36B112" w14:textId="6B60FB93" w:rsidR="0060036C" w:rsidRPr="005176BD" w:rsidRDefault="0060036C" w:rsidP="003B611A">
            <w:pPr>
              <w:rPr>
                <w:rFonts w:cs="Arial"/>
                <w:sz w:val="20"/>
                <w:szCs w:val="20"/>
                <w:lang w:eastAsia="en-AU"/>
              </w:rPr>
            </w:pPr>
            <w:r w:rsidRPr="005176BD">
              <w:rPr>
                <w:rFonts w:cs="Arial"/>
                <w:sz w:val="20"/>
                <w:szCs w:val="20"/>
                <w:lang w:eastAsia="en-AU"/>
              </w:rPr>
              <w:t xml:space="preserve">Ross L, Anstey K, Kiely K, Windsor T, Byles J, </w:t>
            </w:r>
            <w:proofErr w:type="spellStart"/>
            <w:r w:rsidRPr="005176BD">
              <w:rPr>
                <w:rFonts w:cs="Arial"/>
                <w:sz w:val="20"/>
                <w:szCs w:val="20"/>
                <w:lang w:eastAsia="en-AU"/>
              </w:rPr>
              <w:t>Luszcz</w:t>
            </w:r>
            <w:proofErr w:type="spellEnd"/>
            <w:r w:rsidRPr="005176BD">
              <w:rPr>
                <w:rFonts w:cs="Arial"/>
                <w:sz w:val="20"/>
                <w:szCs w:val="20"/>
                <w:lang w:eastAsia="en-AU"/>
              </w:rPr>
              <w:t xml:space="preserve"> M &amp; Mitchell P.</w:t>
            </w:r>
          </w:p>
        </w:tc>
        <w:tc>
          <w:tcPr>
            <w:tcW w:w="797" w:type="dxa"/>
          </w:tcPr>
          <w:p w14:paraId="6933D52E" w14:textId="30F8DF18" w:rsidR="0060036C" w:rsidRPr="005176BD" w:rsidRDefault="0060036C" w:rsidP="003B611A">
            <w:pPr>
              <w:rPr>
                <w:rFonts w:cs="Arial"/>
                <w:sz w:val="20"/>
                <w:szCs w:val="20"/>
                <w:lang w:eastAsia="en-AU"/>
              </w:rPr>
            </w:pPr>
            <w:r w:rsidRPr="005176BD">
              <w:rPr>
                <w:rFonts w:cs="Arial"/>
                <w:sz w:val="20"/>
                <w:szCs w:val="20"/>
                <w:lang w:eastAsia="en-AU"/>
              </w:rPr>
              <w:t>57</w:t>
            </w:r>
          </w:p>
        </w:tc>
      </w:tr>
      <w:tr w:rsidR="00084B2B" w:rsidRPr="00084B2B" w14:paraId="25D6B929" w14:textId="77777777" w:rsidTr="0011030B">
        <w:tc>
          <w:tcPr>
            <w:tcW w:w="8193" w:type="dxa"/>
          </w:tcPr>
          <w:p w14:paraId="7F532BCD" w14:textId="73619080" w:rsidR="00084B2B" w:rsidRPr="005176BD" w:rsidRDefault="00084B2B" w:rsidP="003B611A">
            <w:pPr>
              <w:rPr>
                <w:rFonts w:cs="Arial"/>
                <w:sz w:val="20"/>
                <w:szCs w:val="20"/>
                <w:lang w:eastAsia="en-AU"/>
              </w:rPr>
            </w:pPr>
            <w:r w:rsidRPr="005176BD">
              <w:rPr>
                <w:rFonts w:cs="Arial"/>
                <w:sz w:val="20"/>
                <w:szCs w:val="20"/>
                <w:lang w:eastAsia="en-AU"/>
              </w:rPr>
              <w:t xml:space="preserve">Socioeconomic position and hysterectomy: A cross-cohort comparison of women in Australian and Great Britain. Journal of Epidemiology and Community Health, </w:t>
            </w:r>
            <w:r w:rsidR="00C6739F" w:rsidRPr="005176BD">
              <w:rPr>
                <w:rFonts w:cs="Arial"/>
                <w:sz w:val="20"/>
                <w:szCs w:val="20"/>
                <w:lang w:eastAsia="en-AU"/>
              </w:rPr>
              <w:t xml:space="preserve">2008; </w:t>
            </w:r>
            <w:r w:rsidRPr="005176BD">
              <w:rPr>
                <w:rFonts w:cs="Arial"/>
                <w:sz w:val="20"/>
                <w:szCs w:val="20"/>
                <w:lang w:eastAsia="en-AU"/>
              </w:rPr>
              <w:t>62(12)</w:t>
            </w:r>
            <w:r w:rsidR="00C6739F" w:rsidRPr="005176BD">
              <w:rPr>
                <w:rFonts w:cs="Arial"/>
                <w:sz w:val="20"/>
                <w:szCs w:val="20"/>
                <w:lang w:eastAsia="en-AU"/>
              </w:rPr>
              <w:t>:</w:t>
            </w:r>
            <w:r w:rsidRPr="005176BD">
              <w:rPr>
                <w:rFonts w:cs="Arial"/>
                <w:sz w:val="20"/>
                <w:szCs w:val="20"/>
                <w:lang w:eastAsia="en-AU"/>
              </w:rPr>
              <w:t xml:space="preserve"> 1057-1063.</w:t>
            </w:r>
          </w:p>
        </w:tc>
        <w:tc>
          <w:tcPr>
            <w:tcW w:w="4865" w:type="dxa"/>
          </w:tcPr>
          <w:p w14:paraId="34C4415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Cooper R, Lucke J, </w:t>
            </w:r>
            <w:proofErr w:type="spellStart"/>
            <w:r w:rsidRPr="005176BD">
              <w:rPr>
                <w:rFonts w:cs="Arial"/>
                <w:sz w:val="20"/>
                <w:szCs w:val="20"/>
                <w:lang w:eastAsia="en-AU"/>
              </w:rPr>
              <w:t>Lawlor</w:t>
            </w:r>
            <w:proofErr w:type="spellEnd"/>
            <w:r w:rsidRPr="005176BD">
              <w:rPr>
                <w:rFonts w:cs="Arial"/>
                <w:sz w:val="20"/>
                <w:szCs w:val="20"/>
                <w:lang w:eastAsia="en-AU"/>
              </w:rPr>
              <w:t xml:space="preserve"> DA, Mishra G, Chang J-H, </w:t>
            </w:r>
            <w:proofErr w:type="spellStart"/>
            <w:r w:rsidRPr="005176BD">
              <w:rPr>
                <w:rFonts w:cs="Arial"/>
                <w:sz w:val="20"/>
                <w:szCs w:val="20"/>
                <w:lang w:eastAsia="en-AU"/>
              </w:rPr>
              <w:t>Ebrahim</w:t>
            </w:r>
            <w:proofErr w:type="spellEnd"/>
            <w:r w:rsidRPr="005176BD">
              <w:rPr>
                <w:rFonts w:cs="Arial"/>
                <w:sz w:val="20"/>
                <w:szCs w:val="20"/>
                <w:lang w:eastAsia="en-AU"/>
              </w:rPr>
              <w:t xml:space="preserve"> S, Kuh D &amp; Dobson A.</w:t>
            </w:r>
          </w:p>
        </w:tc>
        <w:tc>
          <w:tcPr>
            <w:tcW w:w="797" w:type="dxa"/>
          </w:tcPr>
          <w:p w14:paraId="680BC022" w14:textId="6A56FFA5" w:rsidR="00084B2B" w:rsidRPr="005176BD" w:rsidRDefault="00F5504C" w:rsidP="003B611A">
            <w:pPr>
              <w:rPr>
                <w:rFonts w:cs="Arial"/>
                <w:sz w:val="20"/>
                <w:szCs w:val="20"/>
                <w:lang w:eastAsia="en-AU"/>
              </w:rPr>
            </w:pPr>
            <w:r w:rsidRPr="005176BD">
              <w:rPr>
                <w:rFonts w:cs="Arial"/>
                <w:sz w:val="20"/>
                <w:szCs w:val="20"/>
                <w:lang w:eastAsia="en-AU"/>
              </w:rPr>
              <w:t>24</w:t>
            </w:r>
          </w:p>
        </w:tc>
      </w:tr>
      <w:tr w:rsidR="00084B2B" w:rsidRPr="00084B2B" w14:paraId="455BBD05" w14:textId="77777777" w:rsidTr="0011030B">
        <w:tc>
          <w:tcPr>
            <w:tcW w:w="8193" w:type="dxa"/>
          </w:tcPr>
          <w:p w14:paraId="398A2772" w14:textId="26F9EDF7" w:rsidR="00084B2B" w:rsidRPr="005176BD" w:rsidRDefault="00084B2B" w:rsidP="003B611A">
            <w:pPr>
              <w:rPr>
                <w:rFonts w:cs="Arial"/>
                <w:sz w:val="20"/>
                <w:szCs w:val="20"/>
                <w:lang w:eastAsia="en-AU"/>
              </w:rPr>
            </w:pPr>
            <w:r w:rsidRPr="005176BD">
              <w:rPr>
                <w:rFonts w:cs="Arial"/>
                <w:sz w:val="20"/>
                <w:szCs w:val="20"/>
                <w:lang w:eastAsia="en-AU"/>
              </w:rPr>
              <w:t xml:space="preserve">Alcohol consumption and physical health-related quality of life in older women using the transformation of SF-36 to account for death. Japanese Journal of Alcohol &amp; Drug Dependence, </w:t>
            </w:r>
            <w:r w:rsidR="00C6739F" w:rsidRPr="005176BD">
              <w:rPr>
                <w:rFonts w:cs="Arial"/>
                <w:sz w:val="20"/>
                <w:szCs w:val="20"/>
                <w:lang w:eastAsia="en-AU"/>
              </w:rPr>
              <w:t xml:space="preserve">2008; </w:t>
            </w:r>
            <w:r w:rsidRPr="005176BD">
              <w:rPr>
                <w:rFonts w:cs="Arial"/>
                <w:sz w:val="20"/>
                <w:szCs w:val="20"/>
                <w:lang w:eastAsia="en-AU"/>
              </w:rPr>
              <w:t>43(2)</w:t>
            </w:r>
            <w:r w:rsidR="00C6739F" w:rsidRPr="005176BD">
              <w:rPr>
                <w:rFonts w:cs="Arial"/>
                <w:sz w:val="20"/>
                <w:szCs w:val="20"/>
                <w:lang w:eastAsia="en-AU"/>
              </w:rPr>
              <w:t>:</w:t>
            </w:r>
            <w:r w:rsidRPr="005176BD">
              <w:rPr>
                <w:rFonts w:cs="Arial"/>
                <w:sz w:val="20"/>
                <w:szCs w:val="20"/>
                <w:lang w:eastAsia="en-AU"/>
              </w:rPr>
              <w:t xml:space="preserve"> 97-109.</w:t>
            </w:r>
          </w:p>
        </w:tc>
        <w:tc>
          <w:tcPr>
            <w:tcW w:w="4865" w:type="dxa"/>
          </w:tcPr>
          <w:p w14:paraId="04181A2F"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Furuya</w:t>
            </w:r>
            <w:proofErr w:type="spellEnd"/>
            <w:r w:rsidRPr="005176BD">
              <w:rPr>
                <w:rFonts w:cs="Arial"/>
                <w:sz w:val="20"/>
                <w:szCs w:val="20"/>
                <w:lang w:eastAsia="en-AU"/>
              </w:rPr>
              <w:t xml:space="preserve"> H, Young A, Powers J &amp; Byles J.</w:t>
            </w:r>
          </w:p>
        </w:tc>
        <w:tc>
          <w:tcPr>
            <w:tcW w:w="797" w:type="dxa"/>
          </w:tcPr>
          <w:p w14:paraId="2BB1216A" w14:textId="2EB5953B" w:rsidR="00084B2B" w:rsidRPr="005176BD" w:rsidRDefault="00F5504C" w:rsidP="003B611A">
            <w:pPr>
              <w:rPr>
                <w:rFonts w:cs="Arial"/>
                <w:sz w:val="20"/>
                <w:szCs w:val="20"/>
                <w:lang w:eastAsia="en-AU"/>
              </w:rPr>
            </w:pPr>
            <w:r w:rsidRPr="005176BD">
              <w:rPr>
                <w:rFonts w:cs="Arial"/>
                <w:sz w:val="20"/>
                <w:szCs w:val="20"/>
                <w:lang w:eastAsia="en-AU"/>
              </w:rPr>
              <w:t>4</w:t>
            </w:r>
          </w:p>
        </w:tc>
      </w:tr>
      <w:tr w:rsidR="00084B2B" w:rsidRPr="00084B2B" w14:paraId="1C38682F" w14:textId="77777777" w:rsidTr="0011030B">
        <w:tc>
          <w:tcPr>
            <w:tcW w:w="8193" w:type="dxa"/>
          </w:tcPr>
          <w:p w14:paraId="6B6F36AA" w14:textId="5885A83E" w:rsidR="00084B2B" w:rsidRPr="005176BD" w:rsidRDefault="00084B2B" w:rsidP="003B611A">
            <w:pPr>
              <w:rPr>
                <w:rFonts w:cs="Arial"/>
                <w:sz w:val="20"/>
                <w:szCs w:val="20"/>
                <w:lang w:eastAsia="en-AU"/>
              </w:rPr>
            </w:pPr>
            <w:r w:rsidRPr="005176BD">
              <w:rPr>
                <w:rFonts w:cs="Arial"/>
                <w:sz w:val="20"/>
                <w:szCs w:val="20"/>
                <w:lang w:eastAsia="en-AU"/>
              </w:rPr>
              <w:t xml:space="preserve">The 5 item mental health index predicts the initial diagnosis of stroke in older women. Journal of Women's Health, </w:t>
            </w:r>
            <w:r w:rsidR="00C6739F" w:rsidRPr="005176BD">
              <w:rPr>
                <w:rFonts w:cs="Arial"/>
                <w:sz w:val="20"/>
                <w:szCs w:val="20"/>
                <w:lang w:eastAsia="en-AU"/>
              </w:rPr>
              <w:t xml:space="preserve">2008; </w:t>
            </w:r>
            <w:r w:rsidRPr="005176BD">
              <w:rPr>
                <w:rFonts w:cs="Arial"/>
                <w:sz w:val="20"/>
                <w:szCs w:val="20"/>
                <w:lang w:eastAsia="en-AU"/>
              </w:rPr>
              <w:t>17(6)</w:t>
            </w:r>
            <w:r w:rsidR="00C6739F" w:rsidRPr="005176BD">
              <w:rPr>
                <w:rFonts w:cs="Arial"/>
                <w:sz w:val="20"/>
                <w:szCs w:val="20"/>
                <w:lang w:eastAsia="en-AU"/>
              </w:rPr>
              <w:t>:</w:t>
            </w:r>
            <w:r w:rsidRPr="005176BD">
              <w:rPr>
                <w:rFonts w:cs="Arial"/>
                <w:sz w:val="20"/>
                <w:szCs w:val="20"/>
                <w:lang w:eastAsia="en-AU"/>
              </w:rPr>
              <w:t xml:space="preserve"> 979-986.</w:t>
            </w:r>
          </w:p>
        </w:tc>
        <w:tc>
          <w:tcPr>
            <w:tcW w:w="4865" w:type="dxa"/>
          </w:tcPr>
          <w:p w14:paraId="24910D66"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Strodl</w:t>
            </w:r>
            <w:proofErr w:type="spellEnd"/>
            <w:r w:rsidRPr="005176BD">
              <w:rPr>
                <w:rFonts w:cs="Arial"/>
                <w:sz w:val="20"/>
                <w:szCs w:val="20"/>
                <w:lang w:eastAsia="en-AU"/>
              </w:rPr>
              <w:t xml:space="preserve"> E &amp; </w:t>
            </w:r>
            <w:proofErr w:type="spellStart"/>
            <w:r w:rsidRPr="005176BD">
              <w:rPr>
                <w:rFonts w:cs="Arial"/>
                <w:sz w:val="20"/>
                <w:szCs w:val="20"/>
                <w:lang w:eastAsia="en-AU"/>
              </w:rPr>
              <w:t>Kenardy</w:t>
            </w:r>
            <w:proofErr w:type="spellEnd"/>
            <w:r w:rsidRPr="005176BD">
              <w:rPr>
                <w:rFonts w:cs="Arial"/>
                <w:sz w:val="20"/>
                <w:szCs w:val="20"/>
                <w:lang w:eastAsia="en-AU"/>
              </w:rPr>
              <w:t xml:space="preserve"> J.</w:t>
            </w:r>
          </w:p>
        </w:tc>
        <w:tc>
          <w:tcPr>
            <w:tcW w:w="797" w:type="dxa"/>
          </w:tcPr>
          <w:p w14:paraId="6BBBBC6C" w14:textId="37256B67" w:rsidR="00084B2B" w:rsidRPr="005176BD" w:rsidRDefault="00F5504C" w:rsidP="003B611A">
            <w:pPr>
              <w:rPr>
                <w:rFonts w:cs="Arial"/>
                <w:sz w:val="20"/>
                <w:szCs w:val="20"/>
                <w:lang w:eastAsia="en-AU"/>
              </w:rPr>
            </w:pPr>
            <w:r w:rsidRPr="005176BD">
              <w:rPr>
                <w:rFonts w:cs="Arial"/>
                <w:sz w:val="20"/>
                <w:szCs w:val="20"/>
                <w:lang w:eastAsia="en-AU"/>
              </w:rPr>
              <w:t>26</w:t>
            </w:r>
          </w:p>
        </w:tc>
      </w:tr>
      <w:tr w:rsidR="00084B2B" w:rsidRPr="00084B2B" w14:paraId="693B8FB5" w14:textId="77777777" w:rsidTr="0011030B">
        <w:tc>
          <w:tcPr>
            <w:tcW w:w="8193" w:type="dxa"/>
          </w:tcPr>
          <w:p w14:paraId="3B018ABF" w14:textId="235CB3CE" w:rsidR="00084B2B" w:rsidRPr="005176BD" w:rsidRDefault="00084B2B" w:rsidP="003B611A">
            <w:pPr>
              <w:rPr>
                <w:rFonts w:cs="Arial"/>
                <w:sz w:val="20"/>
                <w:szCs w:val="20"/>
                <w:lang w:eastAsia="en-AU"/>
              </w:rPr>
            </w:pPr>
            <w:r w:rsidRPr="005176BD">
              <w:rPr>
                <w:rFonts w:cs="Arial"/>
                <w:sz w:val="20"/>
                <w:szCs w:val="20"/>
                <w:lang w:eastAsia="en-AU"/>
              </w:rPr>
              <w:t xml:space="preserve">A drink to healthy ageing: The association between older women's use of alcohol and their health-related quality of life. Journal of the American Geriatric Society, </w:t>
            </w:r>
            <w:r w:rsidR="00C6739F" w:rsidRPr="005176BD">
              <w:rPr>
                <w:rFonts w:cs="Arial"/>
                <w:sz w:val="20"/>
                <w:szCs w:val="20"/>
                <w:lang w:eastAsia="en-AU"/>
              </w:rPr>
              <w:t xml:space="preserve">2006; </w:t>
            </w:r>
            <w:r w:rsidRPr="005176BD">
              <w:rPr>
                <w:rFonts w:cs="Arial"/>
                <w:sz w:val="20"/>
                <w:szCs w:val="20"/>
                <w:lang w:eastAsia="en-AU"/>
              </w:rPr>
              <w:t>54(9)</w:t>
            </w:r>
            <w:r w:rsidR="00C6739F" w:rsidRPr="005176BD">
              <w:rPr>
                <w:rFonts w:cs="Arial"/>
                <w:sz w:val="20"/>
                <w:szCs w:val="20"/>
                <w:lang w:eastAsia="en-AU"/>
              </w:rPr>
              <w:t>:</w:t>
            </w:r>
            <w:r w:rsidRPr="005176BD">
              <w:rPr>
                <w:rFonts w:cs="Arial"/>
                <w:sz w:val="20"/>
                <w:szCs w:val="20"/>
                <w:lang w:eastAsia="en-AU"/>
              </w:rPr>
              <w:t xml:space="preserve"> 1341-1347.</w:t>
            </w:r>
          </w:p>
        </w:tc>
        <w:tc>
          <w:tcPr>
            <w:tcW w:w="4865" w:type="dxa"/>
          </w:tcPr>
          <w:p w14:paraId="453499A7"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Byles J, Young A, </w:t>
            </w:r>
            <w:proofErr w:type="spellStart"/>
            <w:r w:rsidRPr="005176BD">
              <w:rPr>
                <w:rFonts w:cs="Arial"/>
                <w:sz w:val="20"/>
                <w:szCs w:val="20"/>
                <w:lang w:eastAsia="en-AU"/>
              </w:rPr>
              <w:t>Furuya</w:t>
            </w:r>
            <w:proofErr w:type="spellEnd"/>
            <w:r w:rsidRPr="005176BD">
              <w:rPr>
                <w:rFonts w:cs="Arial"/>
                <w:sz w:val="20"/>
                <w:szCs w:val="20"/>
                <w:lang w:eastAsia="en-AU"/>
              </w:rPr>
              <w:t xml:space="preserve"> H &amp; Parkinson L.</w:t>
            </w:r>
          </w:p>
        </w:tc>
        <w:tc>
          <w:tcPr>
            <w:tcW w:w="797" w:type="dxa"/>
          </w:tcPr>
          <w:p w14:paraId="0DF77476" w14:textId="182519F7" w:rsidR="00084B2B" w:rsidRPr="005176BD" w:rsidRDefault="00F5504C" w:rsidP="003B611A">
            <w:pPr>
              <w:rPr>
                <w:rFonts w:cs="Arial"/>
                <w:sz w:val="20"/>
                <w:szCs w:val="20"/>
                <w:lang w:eastAsia="en-AU"/>
              </w:rPr>
            </w:pPr>
            <w:r w:rsidRPr="005176BD">
              <w:rPr>
                <w:rFonts w:cs="Arial"/>
                <w:sz w:val="20"/>
                <w:szCs w:val="20"/>
                <w:lang w:eastAsia="en-AU"/>
              </w:rPr>
              <w:t>90</w:t>
            </w:r>
          </w:p>
        </w:tc>
      </w:tr>
      <w:tr w:rsidR="00084B2B" w:rsidRPr="00084B2B" w14:paraId="70838DAA" w14:textId="77777777" w:rsidTr="0011030B">
        <w:tc>
          <w:tcPr>
            <w:tcW w:w="8193" w:type="dxa"/>
          </w:tcPr>
          <w:p w14:paraId="2D04FF7A" w14:textId="317C14A0" w:rsidR="00084B2B" w:rsidRPr="005176BD" w:rsidRDefault="00084B2B" w:rsidP="003B611A">
            <w:pPr>
              <w:rPr>
                <w:rFonts w:cs="Arial"/>
                <w:sz w:val="20"/>
                <w:szCs w:val="20"/>
                <w:lang w:eastAsia="en-AU"/>
              </w:rPr>
            </w:pPr>
            <w:r w:rsidRPr="005176BD">
              <w:rPr>
                <w:rFonts w:cs="Arial"/>
                <w:sz w:val="20"/>
                <w:szCs w:val="20"/>
                <w:lang w:eastAsia="en-AU"/>
              </w:rPr>
              <w:t xml:space="preserve">Few urban-rural differences in older carers' access to community services. Australian Health Review, </w:t>
            </w:r>
            <w:r w:rsidR="00C6739F" w:rsidRPr="005176BD">
              <w:rPr>
                <w:rFonts w:cs="Arial"/>
                <w:sz w:val="20"/>
                <w:szCs w:val="20"/>
                <w:lang w:eastAsia="en-AU"/>
              </w:rPr>
              <w:t xml:space="preserve">2008; </w:t>
            </w:r>
            <w:r w:rsidRPr="005176BD">
              <w:rPr>
                <w:rFonts w:cs="Arial"/>
                <w:sz w:val="20"/>
                <w:szCs w:val="20"/>
                <w:lang w:eastAsia="en-AU"/>
              </w:rPr>
              <w:t>32(4)</w:t>
            </w:r>
            <w:r w:rsidR="00C6739F" w:rsidRPr="005176BD">
              <w:rPr>
                <w:rFonts w:cs="Arial"/>
                <w:sz w:val="20"/>
                <w:szCs w:val="20"/>
                <w:lang w:eastAsia="en-AU"/>
              </w:rPr>
              <w:t>:</w:t>
            </w:r>
            <w:r w:rsidRPr="005176BD">
              <w:rPr>
                <w:rFonts w:cs="Arial"/>
                <w:sz w:val="20"/>
                <w:szCs w:val="20"/>
                <w:lang w:eastAsia="en-AU"/>
              </w:rPr>
              <w:t xml:space="preserve"> 684-690.</w:t>
            </w:r>
          </w:p>
        </w:tc>
        <w:tc>
          <w:tcPr>
            <w:tcW w:w="4865" w:type="dxa"/>
          </w:tcPr>
          <w:p w14:paraId="33C9B44D" w14:textId="77777777" w:rsidR="00084B2B" w:rsidRPr="005176BD" w:rsidRDefault="00084B2B" w:rsidP="003B611A">
            <w:pPr>
              <w:rPr>
                <w:rFonts w:cs="Arial"/>
                <w:sz w:val="20"/>
                <w:szCs w:val="20"/>
                <w:lang w:eastAsia="en-AU"/>
              </w:rPr>
            </w:pPr>
            <w:r w:rsidRPr="005176BD">
              <w:rPr>
                <w:rFonts w:cs="Arial"/>
                <w:sz w:val="20"/>
                <w:szCs w:val="20"/>
                <w:lang w:eastAsia="en-AU"/>
              </w:rPr>
              <w:t>Lucke J, Russell, Tooth L, Lee C, Watson M, Byrne G, Wilson A &amp; Dobson A.</w:t>
            </w:r>
          </w:p>
        </w:tc>
        <w:tc>
          <w:tcPr>
            <w:tcW w:w="797" w:type="dxa"/>
          </w:tcPr>
          <w:p w14:paraId="5C16C4AA" w14:textId="436A58DD" w:rsidR="00084B2B" w:rsidRPr="005176BD" w:rsidRDefault="00F5504C" w:rsidP="003B611A">
            <w:pPr>
              <w:rPr>
                <w:rFonts w:cs="Arial"/>
                <w:sz w:val="20"/>
                <w:szCs w:val="20"/>
                <w:lang w:eastAsia="en-AU"/>
              </w:rPr>
            </w:pPr>
            <w:r w:rsidRPr="005176BD">
              <w:rPr>
                <w:rFonts w:cs="Arial"/>
                <w:sz w:val="20"/>
                <w:szCs w:val="20"/>
                <w:lang w:eastAsia="en-AU"/>
              </w:rPr>
              <w:t>16</w:t>
            </w:r>
          </w:p>
        </w:tc>
      </w:tr>
      <w:tr w:rsidR="00084B2B" w:rsidRPr="00084B2B" w14:paraId="060F3765" w14:textId="77777777" w:rsidTr="0011030B">
        <w:tc>
          <w:tcPr>
            <w:tcW w:w="8193" w:type="dxa"/>
          </w:tcPr>
          <w:p w14:paraId="01DE9FC8" w14:textId="38393BD8" w:rsidR="00084B2B" w:rsidRPr="005176BD" w:rsidRDefault="00084B2B" w:rsidP="003B611A">
            <w:pPr>
              <w:rPr>
                <w:rFonts w:cs="Arial"/>
                <w:sz w:val="20"/>
                <w:szCs w:val="20"/>
                <w:lang w:eastAsia="en-AU"/>
              </w:rPr>
            </w:pPr>
            <w:r w:rsidRPr="005176BD">
              <w:rPr>
                <w:rFonts w:cs="Arial"/>
                <w:sz w:val="20"/>
                <w:szCs w:val="20"/>
                <w:lang w:eastAsia="en-AU"/>
              </w:rPr>
              <w:t>Impact of cognitive and physical impairment on carer burden</w:t>
            </w:r>
            <w:r w:rsidR="008B7D9E" w:rsidRPr="005176BD">
              <w:rPr>
                <w:rFonts w:cs="Arial"/>
                <w:sz w:val="20"/>
                <w:szCs w:val="20"/>
                <w:lang w:eastAsia="en-AU"/>
              </w:rPr>
              <w:t xml:space="preserve"> and quality of life</w:t>
            </w:r>
            <w:r w:rsidRPr="005176BD">
              <w:rPr>
                <w:rFonts w:cs="Arial"/>
                <w:sz w:val="20"/>
                <w:szCs w:val="20"/>
                <w:lang w:eastAsia="en-AU"/>
              </w:rPr>
              <w:t xml:space="preserve">. Quality of Life Research, </w:t>
            </w:r>
            <w:r w:rsidR="00C6739F" w:rsidRPr="005176BD">
              <w:rPr>
                <w:rFonts w:cs="Arial"/>
                <w:sz w:val="20"/>
                <w:szCs w:val="20"/>
                <w:lang w:eastAsia="en-AU"/>
              </w:rPr>
              <w:t xml:space="preserve">2008; </w:t>
            </w:r>
            <w:r w:rsidRPr="005176BD">
              <w:rPr>
                <w:rFonts w:cs="Arial"/>
                <w:sz w:val="20"/>
                <w:szCs w:val="20"/>
                <w:lang w:eastAsia="en-AU"/>
              </w:rPr>
              <w:t>17(2)</w:t>
            </w:r>
            <w:r w:rsidR="00C6739F" w:rsidRPr="005176BD">
              <w:rPr>
                <w:rFonts w:cs="Arial"/>
                <w:sz w:val="20"/>
                <w:szCs w:val="20"/>
                <w:lang w:eastAsia="en-AU"/>
              </w:rPr>
              <w:t>:</w:t>
            </w:r>
            <w:r w:rsidRPr="005176BD">
              <w:rPr>
                <w:rFonts w:cs="Arial"/>
                <w:sz w:val="20"/>
                <w:szCs w:val="20"/>
                <w:lang w:eastAsia="en-AU"/>
              </w:rPr>
              <w:t xml:space="preserve"> 267-273.</w:t>
            </w:r>
          </w:p>
        </w:tc>
        <w:tc>
          <w:tcPr>
            <w:tcW w:w="4865" w:type="dxa"/>
          </w:tcPr>
          <w:p w14:paraId="54A47A38" w14:textId="77777777" w:rsidR="00084B2B" w:rsidRPr="005176BD" w:rsidRDefault="00084B2B" w:rsidP="003B611A">
            <w:pPr>
              <w:rPr>
                <w:rFonts w:cs="Arial"/>
                <w:sz w:val="20"/>
                <w:szCs w:val="20"/>
                <w:lang w:eastAsia="en-AU"/>
              </w:rPr>
            </w:pPr>
            <w:r w:rsidRPr="005176BD">
              <w:rPr>
                <w:rFonts w:cs="Arial"/>
                <w:sz w:val="20"/>
                <w:szCs w:val="20"/>
                <w:lang w:eastAsia="en-AU"/>
              </w:rPr>
              <w:t>Tooth L, Russell A, Lucke J, Byrne G, Lee C, Wilson A &amp; Dobson A.</w:t>
            </w:r>
          </w:p>
        </w:tc>
        <w:tc>
          <w:tcPr>
            <w:tcW w:w="797" w:type="dxa"/>
          </w:tcPr>
          <w:p w14:paraId="44F1A9E3" w14:textId="6FAA09D6" w:rsidR="00084B2B" w:rsidRPr="005176BD" w:rsidRDefault="00F5504C" w:rsidP="003B611A">
            <w:pPr>
              <w:rPr>
                <w:rFonts w:cs="Arial"/>
                <w:sz w:val="20"/>
                <w:szCs w:val="20"/>
                <w:lang w:eastAsia="en-AU"/>
              </w:rPr>
            </w:pPr>
            <w:r w:rsidRPr="005176BD">
              <w:rPr>
                <w:rFonts w:cs="Arial"/>
                <w:sz w:val="20"/>
                <w:szCs w:val="20"/>
                <w:lang w:eastAsia="en-AU"/>
              </w:rPr>
              <w:t>47</w:t>
            </w:r>
          </w:p>
        </w:tc>
      </w:tr>
      <w:tr w:rsidR="00084B2B" w:rsidRPr="00084B2B" w14:paraId="79B8DFB4" w14:textId="77777777" w:rsidTr="0011030B">
        <w:tc>
          <w:tcPr>
            <w:tcW w:w="8193" w:type="dxa"/>
          </w:tcPr>
          <w:p w14:paraId="10CCCD93" w14:textId="65C134AF" w:rsidR="00084B2B" w:rsidRPr="005176BD" w:rsidRDefault="00084B2B" w:rsidP="003B611A">
            <w:pPr>
              <w:rPr>
                <w:rFonts w:cs="Arial"/>
                <w:sz w:val="20"/>
                <w:szCs w:val="20"/>
                <w:lang w:eastAsia="en-AU"/>
              </w:rPr>
            </w:pPr>
            <w:r w:rsidRPr="005176BD">
              <w:rPr>
                <w:rFonts w:cs="Arial"/>
                <w:sz w:val="20"/>
                <w:szCs w:val="20"/>
                <w:lang w:eastAsia="en-AU"/>
              </w:rPr>
              <w:lastRenderedPageBreak/>
              <w:t xml:space="preserve">Never-married childless women: Health and social circumstances in older age. Social Science and Medicine, </w:t>
            </w:r>
            <w:r w:rsidR="00C6739F" w:rsidRPr="005176BD">
              <w:rPr>
                <w:rFonts w:cs="Arial"/>
                <w:sz w:val="20"/>
                <w:szCs w:val="20"/>
                <w:lang w:eastAsia="en-AU"/>
              </w:rPr>
              <w:t xml:space="preserve">2006; </w:t>
            </w:r>
            <w:r w:rsidRPr="005176BD">
              <w:rPr>
                <w:rFonts w:cs="Arial"/>
                <w:sz w:val="20"/>
                <w:szCs w:val="20"/>
                <w:lang w:eastAsia="en-AU"/>
              </w:rPr>
              <w:t>62(8</w:t>
            </w:r>
            <w:r w:rsidR="00C6739F" w:rsidRPr="005176BD">
              <w:rPr>
                <w:rFonts w:cs="Arial"/>
                <w:sz w:val="20"/>
                <w:szCs w:val="20"/>
                <w:lang w:eastAsia="en-AU"/>
              </w:rPr>
              <w:t>):</w:t>
            </w:r>
            <w:r w:rsidRPr="005176BD">
              <w:rPr>
                <w:rFonts w:cs="Arial"/>
                <w:sz w:val="20"/>
                <w:szCs w:val="20"/>
                <w:lang w:eastAsia="en-AU"/>
              </w:rPr>
              <w:t xml:space="preserve"> 1991-2001.</w:t>
            </w:r>
          </w:p>
        </w:tc>
        <w:tc>
          <w:tcPr>
            <w:tcW w:w="4865" w:type="dxa"/>
          </w:tcPr>
          <w:p w14:paraId="1BF73681"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Cwikel</w:t>
            </w:r>
            <w:proofErr w:type="spellEnd"/>
            <w:r w:rsidRPr="005176BD">
              <w:rPr>
                <w:rFonts w:cs="Arial"/>
                <w:sz w:val="20"/>
                <w:szCs w:val="20"/>
                <w:lang w:eastAsia="en-AU"/>
              </w:rPr>
              <w:t xml:space="preserve"> J, </w:t>
            </w:r>
            <w:proofErr w:type="spellStart"/>
            <w:r w:rsidRPr="005176BD">
              <w:rPr>
                <w:rFonts w:cs="Arial"/>
                <w:sz w:val="20"/>
                <w:szCs w:val="20"/>
                <w:lang w:eastAsia="en-AU"/>
              </w:rPr>
              <w:t>Gramotnev</w:t>
            </w:r>
            <w:proofErr w:type="spellEnd"/>
            <w:r w:rsidRPr="005176BD">
              <w:rPr>
                <w:rFonts w:cs="Arial"/>
                <w:sz w:val="20"/>
                <w:szCs w:val="20"/>
                <w:lang w:eastAsia="en-AU"/>
              </w:rPr>
              <w:t xml:space="preserve"> H &amp; Lee C.</w:t>
            </w:r>
          </w:p>
        </w:tc>
        <w:tc>
          <w:tcPr>
            <w:tcW w:w="797" w:type="dxa"/>
          </w:tcPr>
          <w:p w14:paraId="75F2ABE1" w14:textId="16DD8BD8" w:rsidR="00084B2B" w:rsidRPr="005176BD" w:rsidRDefault="00F5504C" w:rsidP="003B611A">
            <w:pPr>
              <w:rPr>
                <w:rFonts w:cs="Arial"/>
                <w:sz w:val="20"/>
                <w:szCs w:val="20"/>
                <w:lang w:eastAsia="en-AU"/>
              </w:rPr>
            </w:pPr>
            <w:r w:rsidRPr="005176BD">
              <w:rPr>
                <w:rFonts w:cs="Arial"/>
                <w:sz w:val="20"/>
                <w:szCs w:val="20"/>
                <w:lang w:eastAsia="en-AU"/>
              </w:rPr>
              <w:t>60</w:t>
            </w:r>
          </w:p>
        </w:tc>
      </w:tr>
      <w:tr w:rsidR="00084B2B" w:rsidRPr="00084B2B" w14:paraId="431F9884" w14:textId="77777777" w:rsidTr="0011030B">
        <w:tc>
          <w:tcPr>
            <w:tcW w:w="8193" w:type="dxa"/>
          </w:tcPr>
          <w:p w14:paraId="446AFE17" w14:textId="45656CA6" w:rsidR="00084B2B" w:rsidRPr="005176BD" w:rsidRDefault="00084B2B" w:rsidP="003B611A">
            <w:pPr>
              <w:rPr>
                <w:rFonts w:cs="Arial"/>
                <w:sz w:val="20"/>
                <w:szCs w:val="20"/>
                <w:lang w:eastAsia="en-AU"/>
              </w:rPr>
            </w:pPr>
            <w:r w:rsidRPr="005176BD">
              <w:rPr>
                <w:rFonts w:cs="Arial"/>
                <w:sz w:val="20"/>
                <w:szCs w:val="20"/>
                <w:lang w:eastAsia="en-AU"/>
              </w:rPr>
              <w:t xml:space="preserve">The lives of older widowed women. Just Policy, </w:t>
            </w:r>
            <w:r w:rsidR="00C6739F" w:rsidRPr="005176BD">
              <w:rPr>
                <w:rFonts w:cs="Arial"/>
                <w:sz w:val="20"/>
                <w:szCs w:val="20"/>
                <w:lang w:eastAsia="en-AU"/>
              </w:rPr>
              <w:t xml:space="preserve">2006; 39: </w:t>
            </w:r>
            <w:r w:rsidRPr="005176BD">
              <w:rPr>
                <w:rFonts w:cs="Arial"/>
                <w:sz w:val="20"/>
                <w:szCs w:val="20"/>
                <w:lang w:eastAsia="en-AU"/>
              </w:rPr>
              <w:t>23-28.</w:t>
            </w:r>
          </w:p>
        </w:tc>
        <w:tc>
          <w:tcPr>
            <w:tcW w:w="4865" w:type="dxa"/>
          </w:tcPr>
          <w:p w14:paraId="57A2A261" w14:textId="77777777" w:rsidR="00084B2B" w:rsidRPr="005176BD" w:rsidRDefault="00084B2B" w:rsidP="003B611A">
            <w:pPr>
              <w:rPr>
                <w:rFonts w:cs="Arial"/>
                <w:sz w:val="20"/>
                <w:szCs w:val="20"/>
                <w:lang w:eastAsia="en-AU"/>
              </w:rPr>
            </w:pPr>
            <w:r w:rsidRPr="005176BD">
              <w:rPr>
                <w:rFonts w:cs="Arial"/>
                <w:sz w:val="20"/>
                <w:szCs w:val="20"/>
                <w:lang w:eastAsia="en-AU"/>
              </w:rPr>
              <w:t>Byles J &amp; Feldman S.</w:t>
            </w:r>
          </w:p>
        </w:tc>
        <w:tc>
          <w:tcPr>
            <w:tcW w:w="797" w:type="dxa"/>
          </w:tcPr>
          <w:p w14:paraId="153C3DE8" w14:textId="71FD95AF" w:rsidR="00084B2B" w:rsidRPr="005176BD" w:rsidRDefault="00F5504C" w:rsidP="003B611A">
            <w:pPr>
              <w:rPr>
                <w:rFonts w:cs="Arial"/>
                <w:sz w:val="20"/>
                <w:szCs w:val="20"/>
                <w:lang w:eastAsia="en-AU"/>
              </w:rPr>
            </w:pPr>
            <w:r w:rsidRPr="005176BD">
              <w:rPr>
                <w:rFonts w:cs="Arial"/>
                <w:sz w:val="20"/>
                <w:szCs w:val="20"/>
                <w:lang w:eastAsia="en-AU"/>
              </w:rPr>
              <w:t>4</w:t>
            </w:r>
          </w:p>
        </w:tc>
      </w:tr>
      <w:tr w:rsidR="00084B2B" w:rsidRPr="00084B2B" w14:paraId="259D80E6" w14:textId="77777777" w:rsidTr="0011030B">
        <w:tc>
          <w:tcPr>
            <w:tcW w:w="8193" w:type="dxa"/>
          </w:tcPr>
          <w:p w14:paraId="2E2AD260" w14:textId="144D6956" w:rsidR="00084B2B" w:rsidRPr="005176BD" w:rsidRDefault="00084B2B" w:rsidP="003B611A">
            <w:pPr>
              <w:rPr>
                <w:rFonts w:cs="Arial"/>
                <w:sz w:val="20"/>
                <w:szCs w:val="20"/>
                <w:lang w:eastAsia="en-AU"/>
              </w:rPr>
            </w:pPr>
            <w:r w:rsidRPr="005176BD">
              <w:rPr>
                <w:rFonts w:cs="Arial"/>
                <w:sz w:val="20"/>
                <w:szCs w:val="20"/>
                <w:lang w:eastAsia="en-AU"/>
              </w:rPr>
              <w:t xml:space="preserve">A comparison of the association between socioeconomic position and cardiovascular disease risk factors in three age cohorts of Australian women: Findings from the Australian Longitudinal Study of Women's Health. Journal of Public Health, </w:t>
            </w:r>
            <w:r w:rsidR="00C6739F" w:rsidRPr="005176BD">
              <w:rPr>
                <w:rFonts w:cs="Arial"/>
                <w:sz w:val="20"/>
                <w:szCs w:val="20"/>
                <w:lang w:eastAsia="en-AU"/>
              </w:rPr>
              <w:t xml:space="preserve">2005; </w:t>
            </w:r>
            <w:r w:rsidRPr="005176BD">
              <w:rPr>
                <w:rFonts w:cs="Arial"/>
                <w:sz w:val="20"/>
                <w:szCs w:val="20"/>
                <w:lang w:eastAsia="en-AU"/>
              </w:rPr>
              <w:t>27(4)</w:t>
            </w:r>
            <w:r w:rsidR="00C6739F" w:rsidRPr="005176BD">
              <w:rPr>
                <w:rFonts w:cs="Arial"/>
                <w:sz w:val="20"/>
                <w:szCs w:val="20"/>
                <w:lang w:eastAsia="en-AU"/>
              </w:rPr>
              <w:t>:</w:t>
            </w:r>
            <w:r w:rsidRPr="005176BD">
              <w:rPr>
                <w:rFonts w:cs="Arial"/>
                <w:sz w:val="20"/>
                <w:szCs w:val="20"/>
                <w:lang w:eastAsia="en-AU"/>
              </w:rPr>
              <w:t xml:space="preserve"> 378-387.</w:t>
            </w:r>
          </w:p>
        </w:tc>
        <w:tc>
          <w:tcPr>
            <w:tcW w:w="4865" w:type="dxa"/>
          </w:tcPr>
          <w:p w14:paraId="3BD57F39"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Lawlor</w:t>
            </w:r>
            <w:proofErr w:type="spellEnd"/>
            <w:r w:rsidRPr="005176BD">
              <w:rPr>
                <w:rFonts w:cs="Arial"/>
                <w:sz w:val="20"/>
                <w:szCs w:val="20"/>
                <w:lang w:eastAsia="en-AU"/>
              </w:rPr>
              <w:t xml:space="preserve"> DA, Tooth L, Lee C &amp; Dobson A.</w:t>
            </w:r>
          </w:p>
        </w:tc>
        <w:tc>
          <w:tcPr>
            <w:tcW w:w="797" w:type="dxa"/>
          </w:tcPr>
          <w:p w14:paraId="76F8107D" w14:textId="6E6D8258" w:rsidR="00084B2B" w:rsidRPr="005176BD" w:rsidRDefault="00F5504C" w:rsidP="003B611A">
            <w:pPr>
              <w:rPr>
                <w:rFonts w:cs="Arial"/>
                <w:sz w:val="20"/>
                <w:szCs w:val="20"/>
                <w:lang w:eastAsia="en-AU"/>
              </w:rPr>
            </w:pPr>
            <w:r w:rsidRPr="005176BD">
              <w:rPr>
                <w:rFonts w:cs="Arial"/>
                <w:sz w:val="20"/>
                <w:szCs w:val="20"/>
                <w:lang w:eastAsia="en-AU"/>
              </w:rPr>
              <w:t>9</w:t>
            </w:r>
          </w:p>
        </w:tc>
      </w:tr>
      <w:tr w:rsidR="00084B2B" w:rsidRPr="00084B2B" w14:paraId="7F67271B" w14:textId="77777777" w:rsidTr="0011030B">
        <w:tc>
          <w:tcPr>
            <w:tcW w:w="8193" w:type="dxa"/>
          </w:tcPr>
          <w:p w14:paraId="2666CA34" w14:textId="6FEE2660" w:rsidR="00084B2B" w:rsidRPr="005176BD" w:rsidRDefault="00084B2B" w:rsidP="003B611A">
            <w:pPr>
              <w:rPr>
                <w:rFonts w:cs="Arial"/>
                <w:sz w:val="20"/>
                <w:szCs w:val="20"/>
                <w:lang w:eastAsia="en-AU"/>
              </w:rPr>
            </w:pPr>
            <w:r w:rsidRPr="005176BD">
              <w:rPr>
                <w:rFonts w:cs="Arial"/>
                <w:sz w:val="20"/>
                <w:szCs w:val="20"/>
                <w:lang w:eastAsia="en-AU"/>
              </w:rPr>
              <w:t xml:space="preserve">Relations between companion animals and self-reported health in older women: Cause, effect or artefact? International Journal of </w:t>
            </w:r>
            <w:proofErr w:type="spellStart"/>
            <w:r w:rsidRPr="005176BD">
              <w:rPr>
                <w:rFonts w:cs="Arial"/>
                <w:sz w:val="20"/>
                <w:szCs w:val="20"/>
                <w:lang w:eastAsia="en-AU"/>
              </w:rPr>
              <w:t>Behavioral</w:t>
            </w:r>
            <w:proofErr w:type="spellEnd"/>
            <w:r w:rsidRPr="005176BD">
              <w:rPr>
                <w:rFonts w:cs="Arial"/>
                <w:sz w:val="20"/>
                <w:szCs w:val="20"/>
                <w:lang w:eastAsia="en-AU"/>
              </w:rPr>
              <w:t xml:space="preserve"> Medicine, </w:t>
            </w:r>
            <w:r w:rsidR="00C6739F" w:rsidRPr="005176BD">
              <w:rPr>
                <w:rFonts w:cs="Arial"/>
                <w:sz w:val="20"/>
                <w:szCs w:val="20"/>
                <w:lang w:eastAsia="en-AU"/>
              </w:rPr>
              <w:t xml:space="preserve">2005; </w:t>
            </w:r>
            <w:r w:rsidRPr="005176BD">
              <w:rPr>
                <w:rFonts w:cs="Arial"/>
                <w:sz w:val="20"/>
                <w:szCs w:val="20"/>
                <w:lang w:eastAsia="en-AU"/>
              </w:rPr>
              <w:t>12(2)</w:t>
            </w:r>
            <w:r w:rsidR="00C6739F" w:rsidRPr="005176BD">
              <w:rPr>
                <w:rFonts w:cs="Arial"/>
                <w:sz w:val="20"/>
                <w:szCs w:val="20"/>
                <w:lang w:eastAsia="en-AU"/>
              </w:rPr>
              <w:t>:</w:t>
            </w:r>
            <w:r w:rsidRPr="005176BD">
              <w:rPr>
                <w:rFonts w:cs="Arial"/>
                <w:sz w:val="20"/>
                <w:szCs w:val="20"/>
                <w:lang w:eastAsia="en-AU"/>
              </w:rPr>
              <w:t xml:space="preserve"> 103-110.</w:t>
            </w:r>
          </w:p>
        </w:tc>
        <w:tc>
          <w:tcPr>
            <w:tcW w:w="4865" w:type="dxa"/>
          </w:tcPr>
          <w:p w14:paraId="5067EDC7" w14:textId="77777777" w:rsidR="00084B2B" w:rsidRPr="005176BD" w:rsidRDefault="00084B2B" w:rsidP="003B611A">
            <w:pPr>
              <w:rPr>
                <w:rFonts w:cs="Arial"/>
                <w:sz w:val="20"/>
                <w:szCs w:val="20"/>
                <w:lang w:eastAsia="en-AU"/>
              </w:rPr>
            </w:pPr>
            <w:r w:rsidRPr="005176BD">
              <w:rPr>
                <w:rFonts w:cs="Arial"/>
                <w:sz w:val="20"/>
                <w:szCs w:val="20"/>
                <w:lang w:eastAsia="en-AU"/>
              </w:rPr>
              <w:t>Pachana NA, Ford J, Andrew B &amp; Dobson A.</w:t>
            </w:r>
          </w:p>
        </w:tc>
        <w:tc>
          <w:tcPr>
            <w:tcW w:w="797" w:type="dxa"/>
          </w:tcPr>
          <w:p w14:paraId="3E19D0AC" w14:textId="21876FB0" w:rsidR="00084B2B" w:rsidRPr="005176BD" w:rsidRDefault="00F5504C" w:rsidP="003B611A">
            <w:pPr>
              <w:rPr>
                <w:rFonts w:cs="Arial"/>
                <w:sz w:val="20"/>
                <w:szCs w:val="20"/>
                <w:lang w:eastAsia="en-AU"/>
              </w:rPr>
            </w:pPr>
            <w:r w:rsidRPr="005176BD">
              <w:rPr>
                <w:rFonts w:cs="Arial"/>
                <w:sz w:val="20"/>
                <w:szCs w:val="20"/>
                <w:lang w:eastAsia="en-AU"/>
              </w:rPr>
              <w:t>66</w:t>
            </w:r>
          </w:p>
        </w:tc>
      </w:tr>
      <w:tr w:rsidR="00084B2B" w:rsidRPr="00084B2B" w14:paraId="62E316F6" w14:textId="77777777" w:rsidTr="0011030B">
        <w:tc>
          <w:tcPr>
            <w:tcW w:w="8193" w:type="dxa"/>
          </w:tcPr>
          <w:p w14:paraId="335421BB" w14:textId="3A60AA9F" w:rsidR="00084B2B" w:rsidRPr="005176BD" w:rsidRDefault="00084B2B" w:rsidP="003B611A">
            <w:pPr>
              <w:rPr>
                <w:rFonts w:cs="Arial"/>
                <w:sz w:val="20"/>
                <w:szCs w:val="20"/>
                <w:lang w:eastAsia="en-AU"/>
              </w:rPr>
            </w:pPr>
            <w:r w:rsidRPr="005176BD">
              <w:rPr>
                <w:rFonts w:cs="Arial"/>
                <w:sz w:val="20"/>
                <w:szCs w:val="20"/>
                <w:lang w:eastAsia="en-AU"/>
              </w:rPr>
              <w:t xml:space="preserve">Three year health outcomes among older women at risk of elder abuse: Women's Health Australia. Quality of Life Research, </w:t>
            </w:r>
            <w:r w:rsidR="00C6739F" w:rsidRPr="005176BD">
              <w:rPr>
                <w:rFonts w:cs="Arial"/>
                <w:sz w:val="20"/>
                <w:szCs w:val="20"/>
                <w:lang w:eastAsia="en-AU"/>
              </w:rPr>
              <w:t xml:space="preserve">2004; </w:t>
            </w:r>
            <w:r w:rsidRPr="005176BD">
              <w:rPr>
                <w:rFonts w:cs="Arial"/>
                <w:sz w:val="20"/>
                <w:szCs w:val="20"/>
                <w:lang w:eastAsia="en-AU"/>
              </w:rPr>
              <w:t>13</w:t>
            </w:r>
            <w:r w:rsidR="00C6739F" w:rsidRPr="005176BD">
              <w:rPr>
                <w:rFonts w:cs="Arial"/>
                <w:sz w:val="20"/>
                <w:szCs w:val="20"/>
                <w:lang w:eastAsia="en-AU"/>
              </w:rPr>
              <w:t xml:space="preserve">(6): </w:t>
            </w:r>
            <w:r w:rsidRPr="005176BD">
              <w:rPr>
                <w:rFonts w:cs="Arial"/>
                <w:sz w:val="20"/>
                <w:szCs w:val="20"/>
                <w:lang w:eastAsia="en-AU"/>
              </w:rPr>
              <w:t>1043-1052.</w:t>
            </w:r>
          </w:p>
        </w:tc>
        <w:tc>
          <w:tcPr>
            <w:tcW w:w="4865" w:type="dxa"/>
          </w:tcPr>
          <w:p w14:paraId="3D9EE491" w14:textId="77777777" w:rsidR="00084B2B" w:rsidRPr="005176BD" w:rsidRDefault="00084B2B" w:rsidP="003B611A">
            <w:pPr>
              <w:rPr>
                <w:rFonts w:cs="Arial"/>
                <w:sz w:val="20"/>
                <w:szCs w:val="20"/>
                <w:lang w:eastAsia="en-AU"/>
              </w:rPr>
            </w:pPr>
            <w:r w:rsidRPr="005176BD">
              <w:rPr>
                <w:rFonts w:cs="Arial"/>
                <w:sz w:val="20"/>
                <w:szCs w:val="20"/>
                <w:lang w:eastAsia="en-AU"/>
              </w:rPr>
              <w:t>Schofield MJ &amp; Mishra G.</w:t>
            </w:r>
          </w:p>
        </w:tc>
        <w:tc>
          <w:tcPr>
            <w:tcW w:w="797" w:type="dxa"/>
          </w:tcPr>
          <w:p w14:paraId="13B35C28" w14:textId="712087FD" w:rsidR="00084B2B" w:rsidRPr="005176BD" w:rsidRDefault="00F5504C" w:rsidP="003B611A">
            <w:pPr>
              <w:rPr>
                <w:rFonts w:cs="Arial"/>
                <w:sz w:val="20"/>
                <w:szCs w:val="20"/>
                <w:lang w:eastAsia="en-AU"/>
              </w:rPr>
            </w:pPr>
            <w:r w:rsidRPr="005176BD">
              <w:rPr>
                <w:rFonts w:cs="Arial"/>
                <w:sz w:val="20"/>
                <w:szCs w:val="20"/>
                <w:lang w:eastAsia="en-AU"/>
              </w:rPr>
              <w:t>40</w:t>
            </w:r>
          </w:p>
        </w:tc>
      </w:tr>
      <w:tr w:rsidR="00084B2B" w:rsidRPr="00084B2B" w14:paraId="3F0387A5" w14:textId="77777777" w:rsidTr="0011030B">
        <w:tc>
          <w:tcPr>
            <w:tcW w:w="8193" w:type="dxa"/>
          </w:tcPr>
          <w:p w14:paraId="3CF4D08E" w14:textId="544578C9" w:rsidR="00084B2B" w:rsidRPr="005176BD" w:rsidRDefault="00084B2B" w:rsidP="003B611A">
            <w:pPr>
              <w:rPr>
                <w:rFonts w:cs="Arial"/>
                <w:sz w:val="20"/>
                <w:szCs w:val="20"/>
                <w:lang w:eastAsia="en-AU"/>
              </w:rPr>
            </w:pPr>
            <w:r w:rsidRPr="005176BD">
              <w:rPr>
                <w:rFonts w:cs="Arial"/>
                <w:sz w:val="20"/>
                <w:szCs w:val="20"/>
                <w:lang w:eastAsia="en-AU"/>
              </w:rPr>
              <w:t xml:space="preserve">Assessment of the abbreviated Duke Social Support Index in a cohort of older Australian women. Australasian Journal on Ageing, </w:t>
            </w:r>
            <w:r w:rsidR="00C6739F" w:rsidRPr="005176BD">
              <w:rPr>
                <w:rFonts w:cs="Arial"/>
                <w:sz w:val="20"/>
                <w:szCs w:val="20"/>
                <w:lang w:eastAsia="en-AU"/>
              </w:rPr>
              <w:t>2004; 23(2):</w:t>
            </w:r>
            <w:r w:rsidRPr="005176BD">
              <w:rPr>
                <w:rFonts w:cs="Arial"/>
                <w:sz w:val="20"/>
                <w:szCs w:val="20"/>
                <w:lang w:eastAsia="en-AU"/>
              </w:rPr>
              <w:t xml:space="preserve"> 71-76.</w:t>
            </w:r>
          </w:p>
        </w:tc>
        <w:tc>
          <w:tcPr>
            <w:tcW w:w="4865" w:type="dxa"/>
          </w:tcPr>
          <w:p w14:paraId="16F1B4BA" w14:textId="77777777" w:rsidR="00084B2B" w:rsidRPr="005176BD" w:rsidRDefault="00084B2B" w:rsidP="003B611A">
            <w:pPr>
              <w:rPr>
                <w:rFonts w:cs="Arial"/>
                <w:sz w:val="20"/>
                <w:szCs w:val="20"/>
                <w:lang w:eastAsia="en-AU"/>
              </w:rPr>
            </w:pPr>
            <w:r w:rsidRPr="005176BD">
              <w:rPr>
                <w:rFonts w:cs="Arial"/>
                <w:sz w:val="20"/>
                <w:szCs w:val="20"/>
                <w:lang w:eastAsia="en-AU"/>
              </w:rPr>
              <w:t xml:space="preserve">Powers JR, </w:t>
            </w:r>
            <w:proofErr w:type="spellStart"/>
            <w:r w:rsidRPr="005176BD">
              <w:rPr>
                <w:rFonts w:cs="Arial"/>
                <w:sz w:val="20"/>
                <w:szCs w:val="20"/>
                <w:lang w:eastAsia="en-AU"/>
              </w:rPr>
              <w:t>Goodger</w:t>
            </w:r>
            <w:proofErr w:type="spellEnd"/>
            <w:r w:rsidRPr="005176BD">
              <w:rPr>
                <w:rFonts w:cs="Arial"/>
                <w:sz w:val="20"/>
                <w:szCs w:val="20"/>
                <w:lang w:eastAsia="en-AU"/>
              </w:rPr>
              <w:t xml:space="preserve"> B &amp; Byles J.</w:t>
            </w:r>
          </w:p>
        </w:tc>
        <w:tc>
          <w:tcPr>
            <w:tcW w:w="797" w:type="dxa"/>
          </w:tcPr>
          <w:p w14:paraId="51AEEE94" w14:textId="0205D589" w:rsidR="00084B2B" w:rsidRPr="005176BD" w:rsidRDefault="00F5504C" w:rsidP="003B611A">
            <w:pPr>
              <w:rPr>
                <w:rFonts w:cs="Arial"/>
                <w:sz w:val="20"/>
                <w:szCs w:val="20"/>
                <w:lang w:eastAsia="en-AU"/>
              </w:rPr>
            </w:pPr>
            <w:r w:rsidRPr="005176BD">
              <w:rPr>
                <w:rFonts w:cs="Arial"/>
                <w:sz w:val="20"/>
                <w:szCs w:val="20"/>
                <w:lang w:eastAsia="en-AU"/>
              </w:rPr>
              <w:t>46</w:t>
            </w:r>
          </w:p>
        </w:tc>
      </w:tr>
      <w:tr w:rsidR="00084B2B" w:rsidRPr="00084B2B" w14:paraId="7AC7F2AF" w14:textId="77777777" w:rsidTr="0011030B">
        <w:tc>
          <w:tcPr>
            <w:tcW w:w="8193" w:type="dxa"/>
          </w:tcPr>
          <w:p w14:paraId="0577A3A8" w14:textId="646F281A" w:rsidR="00084B2B" w:rsidRPr="005176BD" w:rsidRDefault="00084B2B" w:rsidP="003B611A">
            <w:pPr>
              <w:rPr>
                <w:rFonts w:cs="Arial"/>
                <w:sz w:val="20"/>
                <w:szCs w:val="20"/>
                <w:lang w:eastAsia="en-AU"/>
              </w:rPr>
            </w:pPr>
            <w:r w:rsidRPr="005176BD">
              <w:rPr>
                <w:rFonts w:cs="Arial"/>
                <w:sz w:val="20"/>
                <w:szCs w:val="20"/>
                <w:lang w:eastAsia="en-AU"/>
              </w:rPr>
              <w:t xml:space="preserve">Perceived stress as a predictor of the self-reported new diagnosis of symptomatic CHD in older women. International Journal of </w:t>
            </w:r>
            <w:proofErr w:type="spellStart"/>
            <w:r w:rsidRPr="005176BD">
              <w:rPr>
                <w:rFonts w:cs="Arial"/>
                <w:sz w:val="20"/>
                <w:szCs w:val="20"/>
                <w:lang w:eastAsia="en-AU"/>
              </w:rPr>
              <w:t>Behavioral</w:t>
            </w:r>
            <w:proofErr w:type="spellEnd"/>
            <w:r w:rsidRPr="005176BD">
              <w:rPr>
                <w:rFonts w:cs="Arial"/>
                <w:sz w:val="20"/>
                <w:szCs w:val="20"/>
                <w:lang w:eastAsia="en-AU"/>
              </w:rPr>
              <w:t xml:space="preserve"> Medicine, </w:t>
            </w:r>
            <w:r w:rsidR="00C6739F" w:rsidRPr="005176BD">
              <w:rPr>
                <w:rFonts w:cs="Arial"/>
                <w:sz w:val="20"/>
                <w:szCs w:val="20"/>
                <w:lang w:eastAsia="en-AU"/>
              </w:rPr>
              <w:t xml:space="preserve">2003; </w:t>
            </w:r>
            <w:r w:rsidRPr="005176BD">
              <w:rPr>
                <w:rFonts w:cs="Arial"/>
                <w:sz w:val="20"/>
                <w:szCs w:val="20"/>
                <w:lang w:eastAsia="en-AU"/>
              </w:rPr>
              <w:t>10(3)</w:t>
            </w:r>
            <w:r w:rsidR="00C6739F" w:rsidRPr="005176BD">
              <w:rPr>
                <w:rFonts w:cs="Arial"/>
                <w:sz w:val="20"/>
                <w:szCs w:val="20"/>
                <w:lang w:eastAsia="en-AU"/>
              </w:rPr>
              <w:t>:</w:t>
            </w:r>
            <w:r w:rsidRPr="005176BD">
              <w:rPr>
                <w:rFonts w:cs="Arial"/>
                <w:sz w:val="20"/>
                <w:szCs w:val="20"/>
                <w:lang w:eastAsia="en-AU"/>
              </w:rPr>
              <w:t xml:space="preserve"> 205-220.</w:t>
            </w:r>
          </w:p>
        </w:tc>
        <w:tc>
          <w:tcPr>
            <w:tcW w:w="4865" w:type="dxa"/>
          </w:tcPr>
          <w:p w14:paraId="59CE07EC"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Strodl</w:t>
            </w:r>
            <w:proofErr w:type="spellEnd"/>
            <w:r w:rsidRPr="005176BD">
              <w:rPr>
                <w:rFonts w:cs="Arial"/>
                <w:sz w:val="20"/>
                <w:szCs w:val="20"/>
                <w:lang w:eastAsia="en-AU"/>
              </w:rPr>
              <w:t xml:space="preserve"> E, </w:t>
            </w:r>
            <w:proofErr w:type="spellStart"/>
            <w:r w:rsidRPr="005176BD">
              <w:rPr>
                <w:rFonts w:cs="Arial"/>
                <w:sz w:val="20"/>
                <w:szCs w:val="20"/>
                <w:lang w:eastAsia="en-AU"/>
              </w:rPr>
              <w:t>Kenardy</w:t>
            </w:r>
            <w:proofErr w:type="spellEnd"/>
            <w:r w:rsidRPr="005176BD">
              <w:rPr>
                <w:rFonts w:cs="Arial"/>
                <w:sz w:val="20"/>
                <w:szCs w:val="20"/>
                <w:lang w:eastAsia="en-AU"/>
              </w:rPr>
              <w:t xml:space="preserve"> J &amp; </w:t>
            </w:r>
            <w:proofErr w:type="spellStart"/>
            <w:r w:rsidRPr="005176BD">
              <w:rPr>
                <w:rFonts w:cs="Arial"/>
                <w:sz w:val="20"/>
                <w:szCs w:val="20"/>
                <w:lang w:eastAsia="en-AU"/>
              </w:rPr>
              <w:t>Aroney</w:t>
            </w:r>
            <w:proofErr w:type="spellEnd"/>
            <w:r w:rsidRPr="005176BD">
              <w:rPr>
                <w:rFonts w:cs="Arial"/>
                <w:sz w:val="20"/>
                <w:szCs w:val="20"/>
                <w:lang w:eastAsia="en-AU"/>
              </w:rPr>
              <w:t xml:space="preserve"> C.</w:t>
            </w:r>
          </w:p>
        </w:tc>
        <w:tc>
          <w:tcPr>
            <w:tcW w:w="797" w:type="dxa"/>
          </w:tcPr>
          <w:p w14:paraId="5012C2CC" w14:textId="1F4AB26C" w:rsidR="00084B2B" w:rsidRPr="005176BD" w:rsidRDefault="00F5504C" w:rsidP="003B611A">
            <w:pPr>
              <w:rPr>
                <w:rFonts w:cs="Arial"/>
                <w:sz w:val="20"/>
                <w:szCs w:val="20"/>
                <w:lang w:eastAsia="en-AU"/>
              </w:rPr>
            </w:pPr>
            <w:r w:rsidRPr="005176BD">
              <w:rPr>
                <w:rFonts w:cs="Arial"/>
                <w:sz w:val="20"/>
                <w:szCs w:val="20"/>
                <w:lang w:eastAsia="en-AU"/>
              </w:rPr>
              <w:t>50</w:t>
            </w:r>
          </w:p>
        </w:tc>
      </w:tr>
      <w:tr w:rsidR="00084B2B" w:rsidRPr="00084B2B" w14:paraId="31BAD3D1" w14:textId="77777777" w:rsidTr="0011030B">
        <w:tc>
          <w:tcPr>
            <w:tcW w:w="8193" w:type="dxa"/>
          </w:tcPr>
          <w:p w14:paraId="63B616F6" w14:textId="18BC311D" w:rsidR="00084B2B" w:rsidRPr="005176BD" w:rsidRDefault="00084B2B" w:rsidP="003B611A">
            <w:pPr>
              <w:rPr>
                <w:rFonts w:cs="Arial"/>
                <w:sz w:val="20"/>
                <w:szCs w:val="20"/>
                <w:lang w:eastAsia="en-AU"/>
              </w:rPr>
            </w:pPr>
            <w:r w:rsidRPr="005176BD">
              <w:rPr>
                <w:rFonts w:cs="Arial"/>
                <w:sz w:val="20"/>
                <w:szCs w:val="20"/>
                <w:lang w:eastAsia="en-AU"/>
              </w:rPr>
              <w:t xml:space="preserve">The health and social needs of recently widowed older women in Australia. Australasian Journal on Ageing, </w:t>
            </w:r>
            <w:r w:rsidR="00C6739F" w:rsidRPr="005176BD">
              <w:rPr>
                <w:rFonts w:cs="Arial"/>
                <w:sz w:val="20"/>
                <w:szCs w:val="20"/>
                <w:lang w:eastAsia="en-AU"/>
              </w:rPr>
              <w:t xml:space="preserve">2002; </w:t>
            </w:r>
            <w:r w:rsidRPr="005176BD">
              <w:rPr>
                <w:rFonts w:cs="Arial"/>
                <w:sz w:val="20"/>
                <w:szCs w:val="20"/>
                <w:lang w:eastAsia="en-AU"/>
              </w:rPr>
              <w:t>21(3)</w:t>
            </w:r>
            <w:r w:rsidR="00C6739F" w:rsidRPr="005176BD">
              <w:rPr>
                <w:rFonts w:cs="Arial"/>
                <w:sz w:val="20"/>
                <w:szCs w:val="20"/>
                <w:lang w:eastAsia="en-AU"/>
              </w:rPr>
              <w:t>:</w:t>
            </w:r>
            <w:r w:rsidRPr="005176BD">
              <w:rPr>
                <w:rFonts w:cs="Arial"/>
                <w:sz w:val="20"/>
                <w:szCs w:val="20"/>
                <w:lang w:eastAsia="en-AU"/>
              </w:rPr>
              <w:t xml:space="preserve"> 135-140.</w:t>
            </w:r>
          </w:p>
        </w:tc>
        <w:tc>
          <w:tcPr>
            <w:tcW w:w="4865" w:type="dxa"/>
          </w:tcPr>
          <w:p w14:paraId="5B9BD114" w14:textId="2F64C54A" w:rsidR="00084B2B" w:rsidRPr="005176BD" w:rsidRDefault="00084B2B" w:rsidP="003B611A">
            <w:pPr>
              <w:rPr>
                <w:rFonts w:cs="Arial"/>
                <w:sz w:val="20"/>
                <w:szCs w:val="20"/>
                <w:lang w:eastAsia="en-AU"/>
              </w:rPr>
            </w:pPr>
            <w:r w:rsidRPr="005176BD">
              <w:rPr>
                <w:rFonts w:cs="Arial"/>
                <w:sz w:val="20"/>
                <w:szCs w:val="20"/>
                <w:lang w:eastAsia="en-AU"/>
              </w:rPr>
              <w:t>Feldman S, Byles J, Mishra G</w:t>
            </w:r>
            <w:r w:rsidR="00012F17" w:rsidRPr="005176BD">
              <w:rPr>
                <w:rFonts w:cs="Arial"/>
                <w:sz w:val="20"/>
                <w:szCs w:val="20"/>
                <w:lang w:eastAsia="en-AU"/>
              </w:rPr>
              <w:t xml:space="preserve"> </w:t>
            </w:r>
            <w:r w:rsidRPr="005176BD">
              <w:rPr>
                <w:rFonts w:cs="Arial"/>
                <w:sz w:val="20"/>
                <w:szCs w:val="20"/>
                <w:lang w:eastAsia="en-AU"/>
              </w:rPr>
              <w:t>&amp; Powers J.</w:t>
            </w:r>
          </w:p>
        </w:tc>
        <w:tc>
          <w:tcPr>
            <w:tcW w:w="797" w:type="dxa"/>
          </w:tcPr>
          <w:p w14:paraId="03B0D3D2" w14:textId="5B5F73CF" w:rsidR="00084B2B" w:rsidRPr="005176BD" w:rsidRDefault="00F5504C" w:rsidP="003B611A">
            <w:pPr>
              <w:rPr>
                <w:rFonts w:cs="Arial"/>
                <w:sz w:val="20"/>
                <w:szCs w:val="20"/>
                <w:lang w:eastAsia="en-AU"/>
              </w:rPr>
            </w:pPr>
            <w:r w:rsidRPr="005176BD">
              <w:rPr>
                <w:rFonts w:cs="Arial"/>
                <w:sz w:val="20"/>
                <w:szCs w:val="20"/>
                <w:lang w:eastAsia="en-AU"/>
              </w:rPr>
              <w:t>11</w:t>
            </w:r>
          </w:p>
        </w:tc>
      </w:tr>
      <w:tr w:rsidR="00084B2B" w:rsidRPr="00084B2B" w14:paraId="5BF30407" w14:textId="77777777" w:rsidTr="0011030B">
        <w:tc>
          <w:tcPr>
            <w:tcW w:w="8193" w:type="dxa"/>
          </w:tcPr>
          <w:p w14:paraId="675CB910" w14:textId="6E239F54" w:rsidR="00084B2B" w:rsidRPr="005176BD" w:rsidRDefault="00084B2B" w:rsidP="003B611A">
            <w:pPr>
              <w:rPr>
                <w:rFonts w:cs="Arial"/>
                <w:sz w:val="20"/>
                <w:szCs w:val="20"/>
                <w:lang w:eastAsia="en-AU"/>
              </w:rPr>
            </w:pPr>
            <w:r w:rsidRPr="005176BD">
              <w:rPr>
                <w:rFonts w:cs="Arial"/>
                <w:sz w:val="20"/>
                <w:szCs w:val="20"/>
                <w:lang w:eastAsia="en-AU"/>
              </w:rPr>
              <w:t xml:space="preserve">Economic costs of urinary incontinence in community-dwelling Australian women. Medical Journal of Australia, </w:t>
            </w:r>
            <w:r w:rsidR="00C6739F" w:rsidRPr="005176BD">
              <w:rPr>
                <w:rFonts w:cs="Arial"/>
                <w:sz w:val="20"/>
                <w:szCs w:val="20"/>
                <w:lang w:eastAsia="en-AU"/>
              </w:rPr>
              <w:t xml:space="preserve">2001; </w:t>
            </w:r>
            <w:r w:rsidRPr="005176BD">
              <w:rPr>
                <w:rFonts w:cs="Arial"/>
                <w:sz w:val="20"/>
                <w:szCs w:val="20"/>
                <w:lang w:eastAsia="en-AU"/>
              </w:rPr>
              <w:t>174(9)</w:t>
            </w:r>
            <w:r w:rsidR="00C6739F" w:rsidRPr="005176BD">
              <w:rPr>
                <w:rFonts w:cs="Arial"/>
                <w:sz w:val="20"/>
                <w:szCs w:val="20"/>
                <w:lang w:eastAsia="en-AU"/>
              </w:rPr>
              <w:t>:</w:t>
            </w:r>
            <w:r w:rsidRPr="005176BD">
              <w:rPr>
                <w:rFonts w:cs="Arial"/>
                <w:sz w:val="20"/>
                <w:szCs w:val="20"/>
                <w:lang w:eastAsia="en-AU"/>
              </w:rPr>
              <w:t xml:space="preserve"> 456-458.</w:t>
            </w:r>
            <w:r w:rsidR="00012F17" w:rsidRPr="005176BD">
              <w:rPr>
                <w:rFonts w:cs="Arial"/>
                <w:sz w:val="20"/>
                <w:szCs w:val="20"/>
                <w:lang w:eastAsia="en-AU"/>
              </w:rPr>
              <w:t xml:space="preserve"> </w:t>
            </w:r>
          </w:p>
        </w:tc>
        <w:tc>
          <w:tcPr>
            <w:tcW w:w="4865" w:type="dxa"/>
          </w:tcPr>
          <w:p w14:paraId="6B34873B" w14:textId="77777777" w:rsidR="00084B2B" w:rsidRPr="005176BD" w:rsidRDefault="00084B2B" w:rsidP="003B611A">
            <w:pPr>
              <w:rPr>
                <w:rFonts w:cs="Arial"/>
                <w:sz w:val="20"/>
                <w:szCs w:val="20"/>
                <w:lang w:eastAsia="en-AU"/>
              </w:rPr>
            </w:pPr>
            <w:r w:rsidRPr="005176BD">
              <w:rPr>
                <w:rFonts w:cs="Arial"/>
                <w:sz w:val="20"/>
                <w:szCs w:val="20"/>
                <w:lang w:eastAsia="en-AU"/>
              </w:rPr>
              <w:t xml:space="preserve">Doran CM, </w:t>
            </w:r>
            <w:proofErr w:type="spellStart"/>
            <w:r w:rsidRPr="005176BD">
              <w:rPr>
                <w:rFonts w:cs="Arial"/>
                <w:sz w:val="20"/>
                <w:szCs w:val="20"/>
                <w:lang w:eastAsia="en-AU"/>
              </w:rPr>
              <w:t>Chiarelli</w:t>
            </w:r>
            <w:proofErr w:type="spellEnd"/>
            <w:r w:rsidRPr="005176BD">
              <w:rPr>
                <w:rFonts w:cs="Arial"/>
                <w:sz w:val="20"/>
                <w:szCs w:val="20"/>
                <w:lang w:eastAsia="en-AU"/>
              </w:rPr>
              <w:t xml:space="preserve"> P &amp; Cockburn J.</w:t>
            </w:r>
          </w:p>
        </w:tc>
        <w:tc>
          <w:tcPr>
            <w:tcW w:w="797" w:type="dxa"/>
          </w:tcPr>
          <w:p w14:paraId="5934DC44" w14:textId="2487DA8A" w:rsidR="00084B2B" w:rsidRPr="005176BD" w:rsidRDefault="00F5504C" w:rsidP="003B611A">
            <w:pPr>
              <w:rPr>
                <w:rFonts w:cs="Arial"/>
                <w:sz w:val="20"/>
                <w:szCs w:val="20"/>
                <w:lang w:eastAsia="en-AU"/>
              </w:rPr>
            </w:pPr>
            <w:r w:rsidRPr="005176BD">
              <w:rPr>
                <w:rFonts w:cs="Arial"/>
                <w:sz w:val="20"/>
                <w:szCs w:val="20"/>
                <w:lang w:eastAsia="en-AU"/>
              </w:rPr>
              <w:t>80</w:t>
            </w:r>
          </w:p>
        </w:tc>
      </w:tr>
      <w:tr w:rsidR="00084B2B" w:rsidRPr="00084B2B" w14:paraId="3AD8F199" w14:textId="77777777" w:rsidTr="0011030B">
        <w:tc>
          <w:tcPr>
            <w:tcW w:w="8193" w:type="dxa"/>
          </w:tcPr>
          <w:p w14:paraId="14EE6CE4" w14:textId="04532795" w:rsidR="00084B2B" w:rsidRPr="005176BD" w:rsidRDefault="00084B2B" w:rsidP="003B611A">
            <w:pPr>
              <w:rPr>
                <w:rFonts w:cs="Arial"/>
                <w:sz w:val="20"/>
                <w:szCs w:val="20"/>
                <w:lang w:eastAsia="en-AU"/>
              </w:rPr>
            </w:pPr>
            <w:r w:rsidRPr="005176BD">
              <w:rPr>
                <w:rFonts w:cs="Arial"/>
                <w:sz w:val="20"/>
                <w:szCs w:val="20"/>
                <w:lang w:eastAsia="en-AU"/>
              </w:rPr>
              <w:t xml:space="preserve">Using research to assist women with disabilities in Australia. Australian Social Policy, </w:t>
            </w:r>
            <w:r w:rsidR="00C6739F" w:rsidRPr="005176BD">
              <w:rPr>
                <w:rFonts w:cs="Arial"/>
                <w:sz w:val="20"/>
                <w:szCs w:val="20"/>
                <w:lang w:eastAsia="en-AU"/>
              </w:rPr>
              <w:t xml:space="preserve">2000; </w:t>
            </w:r>
            <w:r w:rsidRPr="005176BD">
              <w:rPr>
                <w:rFonts w:cs="Arial"/>
                <w:sz w:val="20"/>
                <w:szCs w:val="20"/>
                <w:lang w:eastAsia="en-AU"/>
              </w:rPr>
              <w:t>1</w:t>
            </w:r>
            <w:r w:rsidR="00C6739F" w:rsidRPr="005176BD">
              <w:rPr>
                <w:rFonts w:cs="Arial"/>
                <w:sz w:val="20"/>
                <w:szCs w:val="20"/>
                <w:lang w:eastAsia="en-AU"/>
              </w:rPr>
              <w:t>:</w:t>
            </w:r>
            <w:r w:rsidRPr="005176BD">
              <w:rPr>
                <w:rFonts w:cs="Arial"/>
                <w:sz w:val="20"/>
                <w:szCs w:val="20"/>
                <w:lang w:eastAsia="en-AU"/>
              </w:rPr>
              <w:t xml:space="preserve"> 91-99. </w:t>
            </w:r>
          </w:p>
        </w:tc>
        <w:tc>
          <w:tcPr>
            <w:tcW w:w="4865" w:type="dxa"/>
          </w:tcPr>
          <w:p w14:paraId="19D43355"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Rutnam</w:t>
            </w:r>
            <w:proofErr w:type="spellEnd"/>
            <w:r w:rsidRPr="005176BD">
              <w:rPr>
                <w:rFonts w:cs="Arial"/>
                <w:sz w:val="20"/>
                <w:szCs w:val="20"/>
                <w:lang w:eastAsia="en-AU"/>
              </w:rPr>
              <w:t xml:space="preserve"> R.</w:t>
            </w:r>
          </w:p>
        </w:tc>
        <w:tc>
          <w:tcPr>
            <w:tcW w:w="797" w:type="dxa"/>
          </w:tcPr>
          <w:p w14:paraId="7CC208CF" w14:textId="29E73C7A" w:rsidR="00084B2B" w:rsidRPr="005176BD" w:rsidRDefault="00084B2B" w:rsidP="003B611A">
            <w:pPr>
              <w:rPr>
                <w:rFonts w:cs="Arial"/>
                <w:sz w:val="20"/>
                <w:szCs w:val="20"/>
                <w:lang w:eastAsia="en-AU"/>
              </w:rPr>
            </w:pPr>
          </w:p>
        </w:tc>
      </w:tr>
      <w:tr w:rsidR="00084B2B" w:rsidRPr="00084B2B" w14:paraId="71CDFDBA" w14:textId="77777777" w:rsidTr="0011030B">
        <w:tc>
          <w:tcPr>
            <w:tcW w:w="8193" w:type="dxa"/>
          </w:tcPr>
          <w:p w14:paraId="2FB952EC" w14:textId="47D23443" w:rsidR="00084B2B" w:rsidRPr="005176BD" w:rsidRDefault="00C6739F" w:rsidP="003B611A">
            <w:pPr>
              <w:rPr>
                <w:rFonts w:cs="Arial"/>
                <w:sz w:val="20"/>
                <w:szCs w:val="20"/>
                <w:lang w:eastAsia="en-AU"/>
              </w:rPr>
            </w:pPr>
            <w:r w:rsidRPr="005176BD">
              <w:rPr>
                <w:rFonts w:cs="Arial"/>
                <w:sz w:val="20"/>
                <w:szCs w:val="20"/>
                <w:lang w:eastAsia="en-AU"/>
              </w:rPr>
              <w:t>Is anybody listening?</w:t>
            </w:r>
            <w:r w:rsidR="00084B2B" w:rsidRPr="005176BD">
              <w:rPr>
                <w:rFonts w:cs="Arial"/>
                <w:sz w:val="20"/>
                <w:szCs w:val="20"/>
                <w:lang w:eastAsia="en-AU"/>
              </w:rPr>
              <w:t xml:space="preserve"> The experiences of widowhood for older Australian women.</w:t>
            </w:r>
            <w:r w:rsidR="00012F17" w:rsidRPr="005176BD">
              <w:rPr>
                <w:rFonts w:cs="Arial"/>
                <w:sz w:val="20"/>
                <w:szCs w:val="20"/>
                <w:lang w:eastAsia="en-AU"/>
              </w:rPr>
              <w:t xml:space="preserve"> </w:t>
            </w:r>
            <w:r w:rsidR="00084B2B" w:rsidRPr="005176BD">
              <w:rPr>
                <w:rFonts w:cs="Arial"/>
                <w:sz w:val="20"/>
                <w:szCs w:val="20"/>
                <w:lang w:eastAsia="en-AU"/>
              </w:rPr>
              <w:t xml:space="preserve">Journal of Women and Ageing, </w:t>
            </w:r>
            <w:r w:rsidRPr="005176BD">
              <w:rPr>
                <w:rFonts w:cs="Arial"/>
                <w:sz w:val="20"/>
                <w:szCs w:val="20"/>
                <w:lang w:eastAsia="en-AU"/>
              </w:rPr>
              <w:t>2000; 12(3-4):</w:t>
            </w:r>
            <w:r w:rsidR="00084B2B" w:rsidRPr="005176BD">
              <w:rPr>
                <w:rFonts w:cs="Arial"/>
                <w:sz w:val="20"/>
                <w:szCs w:val="20"/>
                <w:lang w:eastAsia="en-AU"/>
              </w:rPr>
              <w:t xml:space="preserve"> 155-176.</w:t>
            </w:r>
          </w:p>
        </w:tc>
        <w:tc>
          <w:tcPr>
            <w:tcW w:w="4865" w:type="dxa"/>
          </w:tcPr>
          <w:p w14:paraId="73AF077D" w14:textId="77777777" w:rsidR="00084B2B" w:rsidRPr="005176BD" w:rsidRDefault="00084B2B" w:rsidP="003B611A">
            <w:pPr>
              <w:rPr>
                <w:rFonts w:cs="Arial"/>
                <w:sz w:val="20"/>
                <w:szCs w:val="20"/>
                <w:lang w:eastAsia="en-AU"/>
              </w:rPr>
            </w:pPr>
            <w:r w:rsidRPr="005176BD">
              <w:rPr>
                <w:rFonts w:cs="Arial"/>
                <w:sz w:val="20"/>
                <w:szCs w:val="20"/>
                <w:lang w:eastAsia="en-AU"/>
              </w:rPr>
              <w:t>Feldman S, Byles J &amp; Beaumont R.</w:t>
            </w:r>
          </w:p>
        </w:tc>
        <w:tc>
          <w:tcPr>
            <w:tcW w:w="797" w:type="dxa"/>
          </w:tcPr>
          <w:p w14:paraId="1CBF4BDC" w14:textId="5B7D0391" w:rsidR="00084B2B" w:rsidRPr="005176BD" w:rsidRDefault="00F5504C" w:rsidP="003B611A">
            <w:pPr>
              <w:rPr>
                <w:rFonts w:cs="Arial"/>
                <w:sz w:val="20"/>
                <w:szCs w:val="20"/>
                <w:lang w:eastAsia="en-AU"/>
              </w:rPr>
            </w:pPr>
            <w:r w:rsidRPr="005176BD">
              <w:rPr>
                <w:rFonts w:cs="Arial"/>
                <w:sz w:val="20"/>
                <w:szCs w:val="20"/>
                <w:lang w:eastAsia="en-AU"/>
              </w:rPr>
              <w:t>38</w:t>
            </w:r>
          </w:p>
        </w:tc>
      </w:tr>
      <w:tr w:rsidR="00084B2B" w:rsidRPr="00084B2B" w14:paraId="2098C32D" w14:textId="77777777" w:rsidTr="0011030B">
        <w:tc>
          <w:tcPr>
            <w:tcW w:w="8193" w:type="dxa"/>
          </w:tcPr>
          <w:p w14:paraId="068BBB5D" w14:textId="4A82A91C" w:rsidR="00084B2B" w:rsidRPr="005176BD" w:rsidRDefault="00084B2B" w:rsidP="003B611A">
            <w:pPr>
              <w:rPr>
                <w:rFonts w:cs="Arial"/>
                <w:sz w:val="20"/>
                <w:szCs w:val="20"/>
                <w:lang w:eastAsia="en-AU"/>
              </w:rPr>
            </w:pPr>
            <w:r w:rsidRPr="005176BD">
              <w:rPr>
                <w:rFonts w:cs="Arial"/>
                <w:sz w:val="20"/>
                <w:szCs w:val="20"/>
                <w:lang w:eastAsia="en-AU"/>
              </w:rPr>
              <w:t xml:space="preserve">For richer, for poorer, in sickness and in health: Older widowed women’s health, relationships and financial security. Women and Health, </w:t>
            </w:r>
            <w:r w:rsidR="00C6739F" w:rsidRPr="005176BD">
              <w:rPr>
                <w:rFonts w:cs="Arial"/>
                <w:sz w:val="20"/>
                <w:szCs w:val="20"/>
                <w:lang w:eastAsia="en-AU"/>
              </w:rPr>
              <w:t xml:space="preserve">1999; </w:t>
            </w:r>
            <w:r w:rsidRPr="005176BD">
              <w:rPr>
                <w:rFonts w:cs="Arial"/>
                <w:sz w:val="20"/>
                <w:szCs w:val="20"/>
                <w:lang w:eastAsia="en-AU"/>
              </w:rPr>
              <w:t>29(1)</w:t>
            </w:r>
            <w:r w:rsidR="00C6739F" w:rsidRPr="005176BD">
              <w:rPr>
                <w:rFonts w:cs="Arial"/>
                <w:sz w:val="20"/>
                <w:szCs w:val="20"/>
                <w:lang w:eastAsia="en-AU"/>
              </w:rPr>
              <w:t>:</w:t>
            </w:r>
            <w:r w:rsidRPr="005176BD">
              <w:rPr>
                <w:rFonts w:cs="Arial"/>
                <w:sz w:val="20"/>
                <w:szCs w:val="20"/>
                <w:lang w:eastAsia="en-AU"/>
              </w:rPr>
              <w:t xml:space="preserve"> 15-30.</w:t>
            </w:r>
          </w:p>
        </w:tc>
        <w:tc>
          <w:tcPr>
            <w:tcW w:w="4865" w:type="dxa"/>
          </w:tcPr>
          <w:p w14:paraId="399F9CC0" w14:textId="77777777" w:rsidR="00084B2B" w:rsidRPr="005176BD" w:rsidRDefault="00084B2B" w:rsidP="003B611A">
            <w:pPr>
              <w:rPr>
                <w:rFonts w:cs="Arial"/>
                <w:sz w:val="20"/>
                <w:szCs w:val="20"/>
                <w:lang w:eastAsia="en-AU"/>
              </w:rPr>
            </w:pPr>
            <w:r w:rsidRPr="005176BD">
              <w:rPr>
                <w:rFonts w:cs="Arial"/>
                <w:sz w:val="20"/>
                <w:szCs w:val="20"/>
                <w:lang w:eastAsia="en-AU"/>
              </w:rPr>
              <w:t>Byles JE, Feldman S &amp; Mishra G.</w:t>
            </w:r>
          </w:p>
        </w:tc>
        <w:tc>
          <w:tcPr>
            <w:tcW w:w="797" w:type="dxa"/>
          </w:tcPr>
          <w:p w14:paraId="3B4D53E8" w14:textId="3D9BF37A" w:rsidR="00084B2B" w:rsidRPr="005176BD" w:rsidRDefault="00F5504C" w:rsidP="003B611A">
            <w:pPr>
              <w:rPr>
                <w:rFonts w:cs="Arial"/>
                <w:sz w:val="20"/>
                <w:szCs w:val="20"/>
                <w:lang w:eastAsia="en-AU"/>
              </w:rPr>
            </w:pPr>
            <w:r w:rsidRPr="005176BD">
              <w:rPr>
                <w:rFonts w:cs="Arial"/>
                <w:sz w:val="20"/>
                <w:szCs w:val="20"/>
                <w:lang w:eastAsia="en-AU"/>
              </w:rPr>
              <w:t>41</w:t>
            </w:r>
          </w:p>
        </w:tc>
      </w:tr>
      <w:tr w:rsidR="00084B2B" w:rsidRPr="00084B2B" w14:paraId="2366D66A" w14:textId="77777777" w:rsidTr="0011030B">
        <w:tc>
          <w:tcPr>
            <w:tcW w:w="8193" w:type="dxa"/>
          </w:tcPr>
          <w:p w14:paraId="1F844B4C" w14:textId="27A8449F" w:rsidR="00084B2B" w:rsidRPr="005176BD" w:rsidRDefault="00084B2B" w:rsidP="003B611A">
            <w:pPr>
              <w:rPr>
                <w:rFonts w:cs="Arial"/>
                <w:sz w:val="20"/>
                <w:szCs w:val="20"/>
                <w:lang w:eastAsia="en-AU"/>
              </w:rPr>
            </w:pPr>
            <w:r w:rsidRPr="005176BD">
              <w:rPr>
                <w:rFonts w:cs="Arial"/>
                <w:sz w:val="20"/>
                <w:szCs w:val="20"/>
                <w:lang w:eastAsia="en-AU"/>
              </w:rPr>
              <w:t xml:space="preserve">Assessment of a short scale to measure social support among older people. Australian and New Zealand Journal of Public Health, </w:t>
            </w:r>
            <w:r w:rsidR="00C6739F" w:rsidRPr="005176BD">
              <w:rPr>
                <w:rFonts w:cs="Arial"/>
                <w:sz w:val="20"/>
                <w:szCs w:val="20"/>
                <w:lang w:eastAsia="en-AU"/>
              </w:rPr>
              <w:t xml:space="preserve">1999; </w:t>
            </w:r>
            <w:r w:rsidRPr="005176BD">
              <w:rPr>
                <w:rFonts w:cs="Arial"/>
                <w:sz w:val="20"/>
                <w:szCs w:val="20"/>
                <w:lang w:eastAsia="en-AU"/>
              </w:rPr>
              <w:t>23(3)</w:t>
            </w:r>
            <w:r w:rsidR="00C6739F" w:rsidRPr="005176BD">
              <w:rPr>
                <w:rFonts w:cs="Arial"/>
                <w:sz w:val="20"/>
                <w:szCs w:val="20"/>
                <w:lang w:eastAsia="en-AU"/>
              </w:rPr>
              <w:t>:</w:t>
            </w:r>
            <w:r w:rsidRPr="005176BD">
              <w:rPr>
                <w:rFonts w:cs="Arial"/>
                <w:sz w:val="20"/>
                <w:szCs w:val="20"/>
                <w:lang w:eastAsia="en-AU"/>
              </w:rPr>
              <w:t xml:space="preserve"> 260.</w:t>
            </w:r>
          </w:p>
        </w:tc>
        <w:tc>
          <w:tcPr>
            <w:tcW w:w="4865" w:type="dxa"/>
          </w:tcPr>
          <w:p w14:paraId="3149740F" w14:textId="2DEBE7C3" w:rsidR="00084B2B" w:rsidRPr="005176BD" w:rsidRDefault="00084B2B" w:rsidP="003B611A">
            <w:pPr>
              <w:rPr>
                <w:rFonts w:cs="Arial"/>
                <w:sz w:val="20"/>
                <w:szCs w:val="20"/>
                <w:lang w:eastAsia="en-AU"/>
              </w:rPr>
            </w:pPr>
            <w:proofErr w:type="spellStart"/>
            <w:r w:rsidRPr="005176BD">
              <w:rPr>
                <w:rFonts w:cs="Arial"/>
                <w:sz w:val="20"/>
                <w:szCs w:val="20"/>
                <w:lang w:eastAsia="en-AU"/>
              </w:rPr>
              <w:t>Goodger</w:t>
            </w:r>
            <w:proofErr w:type="spellEnd"/>
            <w:r w:rsidRPr="005176BD">
              <w:rPr>
                <w:rFonts w:cs="Arial"/>
                <w:sz w:val="20"/>
                <w:szCs w:val="20"/>
                <w:lang w:eastAsia="en-AU"/>
              </w:rPr>
              <w:t xml:space="preserve"> B, Byles J, </w:t>
            </w:r>
            <w:r w:rsidR="00EE5183" w:rsidRPr="005176BD">
              <w:rPr>
                <w:rFonts w:cs="Arial"/>
                <w:sz w:val="20"/>
                <w:szCs w:val="20"/>
                <w:lang w:eastAsia="en-AU"/>
              </w:rPr>
              <w:t xml:space="preserve">Higginbotham </w:t>
            </w:r>
            <w:r w:rsidRPr="005176BD">
              <w:rPr>
                <w:rFonts w:cs="Arial"/>
                <w:sz w:val="20"/>
                <w:szCs w:val="20"/>
                <w:lang w:eastAsia="en-AU"/>
              </w:rPr>
              <w:t>N &amp; Mishra G.</w:t>
            </w:r>
          </w:p>
        </w:tc>
        <w:tc>
          <w:tcPr>
            <w:tcW w:w="797" w:type="dxa"/>
          </w:tcPr>
          <w:p w14:paraId="69F627EE" w14:textId="6A76CB81" w:rsidR="00084B2B" w:rsidRPr="005176BD" w:rsidRDefault="00F5504C" w:rsidP="003B611A">
            <w:pPr>
              <w:rPr>
                <w:rFonts w:cs="Arial"/>
                <w:sz w:val="20"/>
                <w:szCs w:val="20"/>
                <w:lang w:eastAsia="en-AU"/>
              </w:rPr>
            </w:pPr>
            <w:r w:rsidRPr="005176BD">
              <w:rPr>
                <w:rFonts w:cs="Arial"/>
                <w:sz w:val="20"/>
                <w:szCs w:val="20"/>
                <w:lang w:eastAsia="en-AU"/>
              </w:rPr>
              <w:t>95</w:t>
            </w:r>
          </w:p>
        </w:tc>
      </w:tr>
      <w:tr w:rsidR="00084B2B" w:rsidRPr="00084B2B" w14:paraId="23C88E2E" w14:textId="77777777" w:rsidTr="0011030B">
        <w:tc>
          <w:tcPr>
            <w:tcW w:w="8193" w:type="dxa"/>
          </w:tcPr>
          <w:p w14:paraId="3B3C6B23" w14:textId="18A0A7EE" w:rsidR="00084B2B" w:rsidRPr="005176BD" w:rsidRDefault="00084B2B" w:rsidP="003B611A">
            <w:pPr>
              <w:rPr>
                <w:rFonts w:cs="Arial"/>
                <w:sz w:val="20"/>
                <w:szCs w:val="20"/>
                <w:lang w:eastAsia="en-AU"/>
              </w:rPr>
            </w:pPr>
            <w:r w:rsidRPr="005176BD">
              <w:rPr>
                <w:rFonts w:cs="Arial"/>
                <w:sz w:val="20"/>
                <w:szCs w:val="20"/>
                <w:lang w:eastAsia="en-AU"/>
              </w:rPr>
              <w:t xml:space="preserve">Leaking urine: Prevalence and associated factors in Australian women. </w:t>
            </w:r>
            <w:proofErr w:type="spellStart"/>
            <w:r w:rsidRPr="005176BD">
              <w:rPr>
                <w:rFonts w:cs="Arial"/>
                <w:sz w:val="20"/>
                <w:szCs w:val="20"/>
                <w:lang w:eastAsia="en-AU"/>
              </w:rPr>
              <w:t>Neurourology</w:t>
            </w:r>
            <w:proofErr w:type="spellEnd"/>
            <w:r w:rsidRPr="005176BD">
              <w:rPr>
                <w:rFonts w:cs="Arial"/>
                <w:sz w:val="20"/>
                <w:szCs w:val="20"/>
                <w:lang w:eastAsia="en-AU"/>
              </w:rPr>
              <w:t xml:space="preserve"> and </w:t>
            </w:r>
            <w:proofErr w:type="spellStart"/>
            <w:r w:rsidRPr="005176BD">
              <w:rPr>
                <w:rFonts w:cs="Arial"/>
                <w:sz w:val="20"/>
                <w:szCs w:val="20"/>
                <w:lang w:eastAsia="en-AU"/>
              </w:rPr>
              <w:t>Urodynamics</w:t>
            </w:r>
            <w:proofErr w:type="spellEnd"/>
            <w:r w:rsidRPr="005176BD">
              <w:rPr>
                <w:rFonts w:cs="Arial"/>
                <w:sz w:val="20"/>
                <w:szCs w:val="20"/>
                <w:lang w:eastAsia="en-AU"/>
              </w:rPr>
              <w:t xml:space="preserve">, </w:t>
            </w:r>
            <w:r w:rsidR="00C6739F" w:rsidRPr="005176BD">
              <w:rPr>
                <w:rFonts w:cs="Arial"/>
                <w:sz w:val="20"/>
                <w:szCs w:val="20"/>
                <w:lang w:eastAsia="en-AU"/>
              </w:rPr>
              <w:t xml:space="preserve">1999; </w:t>
            </w:r>
            <w:r w:rsidRPr="005176BD">
              <w:rPr>
                <w:rFonts w:cs="Arial"/>
                <w:sz w:val="20"/>
                <w:szCs w:val="20"/>
                <w:lang w:eastAsia="en-AU"/>
              </w:rPr>
              <w:t>18(6)</w:t>
            </w:r>
            <w:r w:rsidR="00C6739F" w:rsidRPr="005176BD">
              <w:rPr>
                <w:rFonts w:cs="Arial"/>
                <w:sz w:val="20"/>
                <w:szCs w:val="20"/>
                <w:lang w:eastAsia="en-AU"/>
              </w:rPr>
              <w:t>:</w:t>
            </w:r>
            <w:r w:rsidRPr="005176BD">
              <w:rPr>
                <w:rFonts w:cs="Arial"/>
                <w:sz w:val="20"/>
                <w:szCs w:val="20"/>
                <w:lang w:eastAsia="en-AU"/>
              </w:rPr>
              <w:t xml:space="preserve"> 567-577.</w:t>
            </w:r>
          </w:p>
        </w:tc>
        <w:tc>
          <w:tcPr>
            <w:tcW w:w="4865" w:type="dxa"/>
          </w:tcPr>
          <w:p w14:paraId="17E6F443"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Chiarelli</w:t>
            </w:r>
            <w:proofErr w:type="spellEnd"/>
            <w:r w:rsidRPr="005176BD">
              <w:rPr>
                <w:rFonts w:cs="Arial"/>
                <w:sz w:val="20"/>
                <w:szCs w:val="20"/>
                <w:lang w:eastAsia="en-AU"/>
              </w:rPr>
              <w:t xml:space="preserve"> P, Brown W &amp; </w:t>
            </w:r>
            <w:proofErr w:type="spellStart"/>
            <w:r w:rsidRPr="005176BD">
              <w:rPr>
                <w:rFonts w:cs="Arial"/>
                <w:sz w:val="20"/>
                <w:szCs w:val="20"/>
                <w:lang w:eastAsia="en-AU"/>
              </w:rPr>
              <w:t>McElduff</w:t>
            </w:r>
            <w:proofErr w:type="spellEnd"/>
            <w:r w:rsidRPr="005176BD">
              <w:rPr>
                <w:rFonts w:cs="Arial"/>
                <w:sz w:val="20"/>
                <w:szCs w:val="20"/>
                <w:lang w:eastAsia="en-AU"/>
              </w:rPr>
              <w:t xml:space="preserve"> P.</w:t>
            </w:r>
          </w:p>
        </w:tc>
        <w:tc>
          <w:tcPr>
            <w:tcW w:w="797" w:type="dxa"/>
          </w:tcPr>
          <w:p w14:paraId="123559F4" w14:textId="76041FCD" w:rsidR="00084B2B" w:rsidRPr="005176BD" w:rsidRDefault="00F5504C" w:rsidP="003B611A">
            <w:pPr>
              <w:rPr>
                <w:rFonts w:cs="Arial"/>
                <w:sz w:val="20"/>
                <w:szCs w:val="20"/>
                <w:lang w:eastAsia="en-AU"/>
              </w:rPr>
            </w:pPr>
            <w:r w:rsidRPr="005176BD">
              <w:rPr>
                <w:rFonts w:cs="Arial"/>
                <w:sz w:val="20"/>
                <w:szCs w:val="20"/>
                <w:lang w:eastAsia="en-AU"/>
              </w:rPr>
              <w:t>243</w:t>
            </w:r>
          </w:p>
        </w:tc>
      </w:tr>
      <w:tr w:rsidR="00084B2B" w:rsidRPr="00084B2B" w14:paraId="47B98E77" w14:textId="77777777" w:rsidTr="0011030B">
        <w:tc>
          <w:tcPr>
            <w:tcW w:w="8193" w:type="dxa"/>
          </w:tcPr>
          <w:p w14:paraId="60033873" w14:textId="0D8777A5" w:rsidR="00084B2B" w:rsidRPr="005176BD" w:rsidRDefault="00084B2B" w:rsidP="003B611A">
            <w:pPr>
              <w:rPr>
                <w:rFonts w:cs="Arial"/>
                <w:sz w:val="20"/>
                <w:szCs w:val="20"/>
                <w:lang w:eastAsia="en-AU"/>
              </w:rPr>
            </w:pPr>
            <w:r w:rsidRPr="005176BD">
              <w:rPr>
                <w:rFonts w:cs="Arial"/>
                <w:sz w:val="20"/>
                <w:szCs w:val="20"/>
                <w:lang w:eastAsia="en-AU"/>
              </w:rPr>
              <w:t xml:space="preserve">Leaking urine in Australian women: Prevalence and associated conditions. Women and Health, </w:t>
            </w:r>
            <w:r w:rsidR="00C6739F" w:rsidRPr="005176BD">
              <w:rPr>
                <w:rFonts w:cs="Arial"/>
                <w:sz w:val="20"/>
                <w:szCs w:val="20"/>
                <w:lang w:eastAsia="en-AU"/>
              </w:rPr>
              <w:t xml:space="preserve">1999; </w:t>
            </w:r>
            <w:r w:rsidRPr="005176BD">
              <w:rPr>
                <w:rFonts w:cs="Arial"/>
                <w:sz w:val="20"/>
                <w:szCs w:val="20"/>
                <w:lang w:eastAsia="en-AU"/>
              </w:rPr>
              <w:t>29(1)</w:t>
            </w:r>
            <w:r w:rsidR="00C6739F" w:rsidRPr="005176BD">
              <w:rPr>
                <w:rFonts w:cs="Arial"/>
                <w:sz w:val="20"/>
                <w:szCs w:val="20"/>
                <w:lang w:eastAsia="en-AU"/>
              </w:rPr>
              <w:t>:</w:t>
            </w:r>
            <w:r w:rsidRPr="005176BD">
              <w:rPr>
                <w:rFonts w:cs="Arial"/>
                <w:sz w:val="20"/>
                <w:szCs w:val="20"/>
                <w:lang w:eastAsia="en-AU"/>
              </w:rPr>
              <w:t xml:space="preserve"> 1-13.</w:t>
            </w:r>
          </w:p>
        </w:tc>
        <w:tc>
          <w:tcPr>
            <w:tcW w:w="4865" w:type="dxa"/>
          </w:tcPr>
          <w:p w14:paraId="76998764"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Chiarelli</w:t>
            </w:r>
            <w:proofErr w:type="spellEnd"/>
            <w:r w:rsidRPr="005176BD">
              <w:rPr>
                <w:rFonts w:cs="Arial"/>
                <w:sz w:val="20"/>
                <w:szCs w:val="20"/>
                <w:lang w:eastAsia="en-AU"/>
              </w:rPr>
              <w:t xml:space="preserve"> P &amp; Brown W.</w:t>
            </w:r>
          </w:p>
        </w:tc>
        <w:tc>
          <w:tcPr>
            <w:tcW w:w="797" w:type="dxa"/>
          </w:tcPr>
          <w:p w14:paraId="7AEBEB94" w14:textId="4F855B30" w:rsidR="00084B2B" w:rsidRPr="005176BD" w:rsidRDefault="00F5504C" w:rsidP="003B611A">
            <w:pPr>
              <w:rPr>
                <w:rFonts w:cs="Arial"/>
                <w:sz w:val="20"/>
                <w:szCs w:val="20"/>
                <w:lang w:eastAsia="en-AU"/>
              </w:rPr>
            </w:pPr>
            <w:r w:rsidRPr="005176BD">
              <w:rPr>
                <w:rFonts w:cs="Arial"/>
                <w:sz w:val="20"/>
                <w:szCs w:val="20"/>
                <w:lang w:eastAsia="en-AU"/>
              </w:rPr>
              <w:t>67</w:t>
            </w:r>
          </w:p>
        </w:tc>
      </w:tr>
    </w:tbl>
    <w:p w14:paraId="33936A64" w14:textId="77777777" w:rsidR="00084B2B" w:rsidRPr="00084B2B" w:rsidRDefault="00084B2B" w:rsidP="003B611A">
      <w:pPr>
        <w:pStyle w:val="Heading2"/>
        <w:ind w:left="578" w:hanging="578"/>
      </w:pPr>
      <w:bookmarkStart w:id="85" w:name="_Toc530561294"/>
      <w:r w:rsidRPr="00084B2B">
        <w:lastRenderedPageBreak/>
        <w:t>Tobacco, alcohol and other drugs</w:t>
      </w:r>
      <w:bookmarkEnd w:id="85"/>
    </w:p>
    <w:tbl>
      <w:tblPr>
        <w:tblStyle w:val="TableGrid1"/>
        <w:tblW w:w="13855" w:type="dxa"/>
        <w:tblLook w:val="04A0" w:firstRow="1" w:lastRow="0" w:firstColumn="1" w:lastColumn="0" w:noHBand="0" w:noVBand="1"/>
        <w:tblCaption w:val="Category: Tobacco, alcohol and other drugs"/>
      </w:tblPr>
      <w:tblGrid>
        <w:gridCol w:w="7905"/>
        <w:gridCol w:w="4707"/>
        <w:gridCol w:w="1243"/>
      </w:tblGrid>
      <w:tr w:rsidR="00084B2B" w:rsidRPr="00084B2B" w14:paraId="0AF78885" w14:textId="77777777" w:rsidTr="0011030B">
        <w:trPr>
          <w:tblHeader/>
        </w:trPr>
        <w:tc>
          <w:tcPr>
            <w:tcW w:w="8255" w:type="dxa"/>
            <w:shd w:val="clear" w:color="auto" w:fill="F1E9F3"/>
          </w:tcPr>
          <w:p w14:paraId="396550C0" w14:textId="77777777" w:rsidR="00084B2B" w:rsidRPr="00084B2B" w:rsidRDefault="00084B2B" w:rsidP="003B611A">
            <w:pPr>
              <w:rPr>
                <w:rFonts w:cs="Times New Roman"/>
                <w:b/>
                <w:szCs w:val="24"/>
              </w:rPr>
            </w:pPr>
            <w:r w:rsidRPr="00084B2B">
              <w:rPr>
                <w:rFonts w:cs="Times New Roman"/>
                <w:b/>
                <w:szCs w:val="24"/>
              </w:rPr>
              <w:t>Details</w:t>
            </w:r>
          </w:p>
        </w:tc>
        <w:tc>
          <w:tcPr>
            <w:tcW w:w="4897" w:type="dxa"/>
            <w:shd w:val="clear" w:color="auto" w:fill="F1E9F3"/>
          </w:tcPr>
          <w:p w14:paraId="7ED7A818" w14:textId="77777777" w:rsidR="00084B2B" w:rsidRPr="00084B2B" w:rsidRDefault="00084B2B" w:rsidP="003B611A">
            <w:pPr>
              <w:rPr>
                <w:rFonts w:cs="Times New Roman"/>
                <w:b/>
                <w:szCs w:val="24"/>
              </w:rPr>
            </w:pPr>
            <w:r w:rsidRPr="00084B2B">
              <w:rPr>
                <w:rFonts w:cs="Times New Roman"/>
                <w:b/>
                <w:szCs w:val="24"/>
              </w:rPr>
              <w:t>Authors</w:t>
            </w:r>
          </w:p>
        </w:tc>
        <w:tc>
          <w:tcPr>
            <w:tcW w:w="703" w:type="dxa"/>
            <w:shd w:val="clear" w:color="auto" w:fill="F1E9F3"/>
          </w:tcPr>
          <w:p w14:paraId="32589276" w14:textId="3476BE1D" w:rsidR="00084B2B" w:rsidRPr="00084B2B" w:rsidRDefault="00084B2B" w:rsidP="003B611A">
            <w:pPr>
              <w:rPr>
                <w:rFonts w:cs="Times New Roman"/>
                <w:b/>
                <w:szCs w:val="24"/>
              </w:rPr>
            </w:pPr>
            <w:r w:rsidRPr="00084B2B">
              <w:rPr>
                <w:rFonts w:cs="Times New Roman"/>
                <w:b/>
                <w:szCs w:val="24"/>
              </w:rPr>
              <w:t>Citations</w:t>
            </w:r>
            <w:r w:rsidR="0011030B">
              <w:rPr>
                <w:rFonts w:cs="Times New Roman"/>
                <w:b/>
                <w:szCs w:val="24"/>
              </w:rPr>
              <w:t>*</w:t>
            </w:r>
          </w:p>
        </w:tc>
      </w:tr>
      <w:tr w:rsidR="00084B2B" w:rsidRPr="00084B2B" w14:paraId="54277D48" w14:textId="77777777" w:rsidTr="0011030B">
        <w:tc>
          <w:tcPr>
            <w:tcW w:w="8255" w:type="dxa"/>
          </w:tcPr>
          <w:p w14:paraId="553D0D03" w14:textId="799AF640" w:rsidR="00084B2B" w:rsidRPr="005176BD" w:rsidRDefault="00084B2B" w:rsidP="003B611A">
            <w:pPr>
              <w:rPr>
                <w:rFonts w:cs="Arial"/>
                <w:sz w:val="20"/>
                <w:szCs w:val="20"/>
                <w:lang w:eastAsia="en-AU"/>
              </w:rPr>
            </w:pPr>
            <w:r w:rsidRPr="005176BD">
              <w:rPr>
                <w:rFonts w:cs="Arial"/>
                <w:sz w:val="20"/>
                <w:szCs w:val="20"/>
                <w:lang w:eastAsia="en-AU"/>
              </w:rPr>
              <w:t>Do women grow out of risky drinking? A prospective study of three cohorts of Australian women. Drug Alcohol Rev, 2015</w:t>
            </w:r>
            <w:r w:rsidR="00C6739F" w:rsidRPr="005176BD">
              <w:rPr>
                <w:rFonts w:cs="Arial"/>
                <w:sz w:val="20"/>
                <w:szCs w:val="20"/>
                <w:lang w:eastAsia="en-AU"/>
              </w:rPr>
              <w:t>;</w:t>
            </w:r>
            <w:r w:rsidRPr="005176BD">
              <w:rPr>
                <w:rFonts w:cs="Arial"/>
                <w:sz w:val="20"/>
                <w:szCs w:val="20"/>
                <w:lang w:eastAsia="en-AU"/>
              </w:rPr>
              <w:t xml:space="preserve"> 34(3)</w:t>
            </w:r>
            <w:r w:rsidR="00C6739F" w:rsidRPr="005176BD">
              <w:rPr>
                <w:rFonts w:cs="Arial"/>
                <w:sz w:val="20"/>
                <w:szCs w:val="20"/>
                <w:lang w:eastAsia="en-AU"/>
              </w:rPr>
              <w:t xml:space="preserve">: </w:t>
            </w:r>
            <w:r w:rsidRPr="005176BD">
              <w:rPr>
                <w:rFonts w:cs="Arial"/>
                <w:sz w:val="20"/>
                <w:szCs w:val="20"/>
                <w:lang w:eastAsia="en-AU"/>
              </w:rPr>
              <w:t>278-288</w:t>
            </w:r>
            <w:r w:rsidR="00C6739F" w:rsidRPr="005176BD">
              <w:rPr>
                <w:rFonts w:cs="Arial"/>
                <w:sz w:val="20"/>
                <w:szCs w:val="20"/>
                <w:lang w:eastAsia="en-AU"/>
              </w:rPr>
              <w:t>.</w:t>
            </w:r>
          </w:p>
        </w:tc>
        <w:tc>
          <w:tcPr>
            <w:tcW w:w="4897" w:type="dxa"/>
          </w:tcPr>
          <w:p w14:paraId="22291CDC" w14:textId="77777777" w:rsidR="00084B2B" w:rsidRPr="005176BD" w:rsidRDefault="00084B2B" w:rsidP="003B611A">
            <w:pPr>
              <w:rPr>
                <w:rFonts w:cs="Arial"/>
                <w:sz w:val="20"/>
                <w:szCs w:val="20"/>
                <w:lang w:eastAsia="en-AU"/>
              </w:rPr>
            </w:pPr>
            <w:r w:rsidRPr="005176BD">
              <w:rPr>
                <w:rFonts w:cs="Arial"/>
                <w:sz w:val="20"/>
                <w:szCs w:val="20"/>
                <w:lang w:eastAsia="en-AU"/>
              </w:rPr>
              <w:t>Powers JR, Anderson AE, Byles JE, Mishra G &amp; Loxton D.</w:t>
            </w:r>
          </w:p>
        </w:tc>
        <w:tc>
          <w:tcPr>
            <w:tcW w:w="703" w:type="dxa"/>
          </w:tcPr>
          <w:p w14:paraId="1E44E590" w14:textId="3A22E89B" w:rsidR="00084B2B" w:rsidRPr="005176BD" w:rsidRDefault="00F5504C" w:rsidP="003B611A">
            <w:pPr>
              <w:rPr>
                <w:rFonts w:cs="Arial"/>
                <w:sz w:val="20"/>
                <w:szCs w:val="20"/>
                <w:lang w:eastAsia="en-AU"/>
              </w:rPr>
            </w:pPr>
            <w:r w:rsidRPr="005176BD">
              <w:rPr>
                <w:rFonts w:cs="Arial"/>
                <w:sz w:val="20"/>
                <w:szCs w:val="20"/>
                <w:lang w:eastAsia="en-AU"/>
              </w:rPr>
              <w:t>8</w:t>
            </w:r>
          </w:p>
        </w:tc>
      </w:tr>
      <w:tr w:rsidR="00084B2B" w:rsidRPr="00084B2B" w14:paraId="3219ABC1" w14:textId="77777777" w:rsidTr="0011030B">
        <w:tc>
          <w:tcPr>
            <w:tcW w:w="8255" w:type="dxa"/>
          </w:tcPr>
          <w:p w14:paraId="09FE274C" w14:textId="7C12308D" w:rsidR="00084B2B" w:rsidRPr="005176BD" w:rsidRDefault="00084B2B" w:rsidP="003B611A">
            <w:pPr>
              <w:rPr>
                <w:rFonts w:cs="Arial"/>
                <w:sz w:val="20"/>
                <w:szCs w:val="20"/>
                <w:lang w:eastAsia="en-AU"/>
              </w:rPr>
            </w:pPr>
            <w:r w:rsidRPr="005176BD">
              <w:rPr>
                <w:rFonts w:cs="Arial"/>
                <w:sz w:val="20"/>
                <w:szCs w:val="20"/>
                <w:lang w:eastAsia="en-AU"/>
              </w:rPr>
              <w:t>Environmental correlates of mental health measures for women in Western Australia. Eco Health, 2014</w:t>
            </w:r>
            <w:r w:rsidR="00C6739F" w:rsidRPr="005176BD">
              <w:rPr>
                <w:rFonts w:cs="Arial"/>
                <w:sz w:val="20"/>
                <w:szCs w:val="20"/>
                <w:lang w:eastAsia="en-AU"/>
              </w:rPr>
              <w:t>;</w:t>
            </w:r>
            <w:r w:rsidRPr="005176BD">
              <w:rPr>
                <w:rFonts w:cs="Arial"/>
                <w:sz w:val="20"/>
                <w:szCs w:val="20"/>
                <w:lang w:eastAsia="en-AU"/>
              </w:rPr>
              <w:t xml:space="preserve"> 11(4)</w:t>
            </w:r>
            <w:r w:rsidR="00C6739F" w:rsidRPr="005176BD">
              <w:rPr>
                <w:rFonts w:cs="Arial"/>
                <w:sz w:val="20"/>
                <w:szCs w:val="20"/>
                <w:lang w:eastAsia="en-AU"/>
              </w:rPr>
              <w:t xml:space="preserve">: </w:t>
            </w:r>
            <w:r w:rsidRPr="005176BD">
              <w:rPr>
                <w:rFonts w:cs="Arial"/>
                <w:sz w:val="20"/>
                <w:szCs w:val="20"/>
                <w:lang w:eastAsia="en-AU"/>
              </w:rPr>
              <w:t>502-511</w:t>
            </w:r>
            <w:r w:rsidR="00C6739F" w:rsidRPr="005176BD">
              <w:rPr>
                <w:rFonts w:cs="Arial"/>
                <w:sz w:val="20"/>
                <w:szCs w:val="20"/>
                <w:lang w:eastAsia="en-AU"/>
              </w:rPr>
              <w:t>.</w:t>
            </w:r>
          </w:p>
        </w:tc>
        <w:tc>
          <w:tcPr>
            <w:tcW w:w="4897" w:type="dxa"/>
          </w:tcPr>
          <w:p w14:paraId="763656EA"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Fearnley</w:t>
            </w:r>
            <w:proofErr w:type="spellEnd"/>
            <w:r w:rsidRPr="005176BD">
              <w:rPr>
                <w:rFonts w:cs="Arial"/>
                <w:sz w:val="20"/>
                <w:szCs w:val="20"/>
                <w:lang w:eastAsia="en-AU"/>
              </w:rPr>
              <w:t xml:space="preserve"> E, </w:t>
            </w:r>
            <w:proofErr w:type="spellStart"/>
            <w:r w:rsidRPr="005176BD">
              <w:rPr>
                <w:rFonts w:cs="Arial"/>
                <w:sz w:val="20"/>
                <w:szCs w:val="20"/>
                <w:lang w:eastAsia="en-AU"/>
              </w:rPr>
              <w:t>Soares</w:t>
            </w:r>
            <w:proofErr w:type="spellEnd"/>
            <w:r w:rsidRPr="005176BD">
              <w:rPr>
                <w:rFonts w:cs="Arial"/>
                <w:sz w:val="20"/>
                <w:szCs w:val="20"/>
                <w:lang w:eastAsia="en-AU"/>
              </w:rPr>
              <w:t xml:space="preserve"> </w:t>
            </w:r>
            <w:proofErr w:type="spellStart"/>
            <w:r w:rsidRPr="005176BD">
              <w:rPr>
                <w:rFonts w:cs="Arial"/>
                <w:sz w:val="20"/>
                <w:szCs w:val="20"/>
                <w:lang w:eastAsia="en-AU"/>
              </w:rPr>
              <w:t>Magalhaes</w:t>
            </w:r>
            <w:proofErr w:type="spellEnd"/>
            <w:r w:rsidRPr="005176BD">
              <w:rPr>
                <w:rFonts w:cs="Arial"/>
                <w:sz w:val="20"/>
                <w:szCs w:val="20"/>
                <w:lang w:eastAsia="en-AU"/>
              </w:rPr>
              <w:t xml:space="preserve"> R, </w:t>
            </w:r>
            <w:proofErr w:type="spellStart"/>
            <w:r w:rsidRPr="005176BD">
              <w:rPr>
                <w:rFonts w:cs="Arial"/>
                <w:sz w:val="20"/>
                <w:szCs w:val="20"/>
                <w:lang w:eastAsia="en-AU"/>
              </w:rPr>
              <w:t>Speldewinde</w:t>
            </w:r>
            <w:proofErr w:type="spellEnd"/>
            <w:r w:rsidRPr="005176BD">
              <w:rPr>
                <w:rFonts w:cs="Arial"/>
                <w:sz w:val="20"/>
                <w:szCs w:val="20"/>
                <w:lang w:eastAsia="en-AU"/>
              </w:rPr>
              <w:t xml:space="preserve"> P, Weinstein P &amp; Dobson A.</w:t>
            </w:r>
          </w:p>
        </w:tc>
        <w:tc>
          <w:tcPr>
            <w:tcW w:w="703" w:type="dxa"/>
          </w:tcPr>
          <w:p w14:paraId="1DB133B7" w14:textId="00E31C68" w:rsidR="00084B2B" w:rsidRPr="005176BD" w:rsidRDefault="00F5504C" w:rsidP="003B611A">
            <w:pPr>
              <w:rPr>
                <w:rFonts w:cs="Arial"/>
                <w:sz w:val="20"/>
                <w:szCs w:val="20"/>
                <w:lang w:eastAsia="en-AU"/>
              </w:rPr>
            </w:pPr>
            <w:r w:rsidRPr="005176BD">
              <w:rPr>
                <w:rFonts w:cs="Arial"/>
                <w:sz w:val="20"/>
                <w:szCs w:val="20"/>
                <w:lang w:eastAsia="en-AU"/>
              </w:rPr>
              <w:t>3</w:t>
            </w:r>
          </w:p>
        </w:tc>
      </w:tr>
      <w:tr w:rsidR="0001154E" w:rsidRPr="00084B2B" w14:paraId="52C80755" w14:textId="77777777" w:rsidTr="0011030B">
        <w:tc>
          <w:tcPr>
            <w:tcW w:w="8255" w:type="dxa"/>
          </w:tcPr>
          <w:p w14:paraId="1DDECE67" w14:textId="5F030885" w:rsidR="0001154E" w:rsidRPr="005176BD" w:rsidRDefault="0001154E" w:rsidP="003B611A">
            <w:pPr>
              <w:rPr>
                <w:rFonts w:cs="Arial"/>
                <w:sz w:val="20"/>
                <w:szCs w:val="20"/>
                <w:lang w:eastAsia="en-AU"/>
              </w:rPr>
            </w:pPr>
            <w:r w:rsidRPr="005176BD">
              <w:rPr>
                <w:rFonts w:cs="Arial"/>
                <w:sz w:val="20"/>
                <w:szCs w:val="20"/>
                <w:lang w:eastAsia="en-AU"/>
              </w:rPr>
              <w:t>Comparing population attributable risks for heart disease across the adult lifespan in women. British Journal of Sports Medicine, 2015; 49(16): 1069-1076.</w:t>
            </w:r>
          </w:p>
        </w:tc>
        <w:tc>
          <w:tcPr>
            <w:tcW w:w="4897" w:type="dxa"/>
          </w:tcPr>
          <w:p w14:paraId="07A0FD3E" w14:textId="77777777" w:rsidR="0001154E" w:rsidRPr="005176BD" w:rsidRDefault="0001154E" w:rsidP="003B611A">
            <w:pPr>
              <w:rPr>
                <w:rFonts w:cs="Arial"/>
                <w:sz w:val="20"/>
                <w:szCs w:val="20"/>
                <w:lang w:eastAsia="en-AU"/>
              </w:rPr>
            </w:pPr>
            <w:r w:rsidRPr="005176BD">
              <w:rPr>
                <w:rFonts w:cs="Arial"/>
                <w:sz w:val="20"/>
                <w:szCs w:val="20"/>
                <w:lang w:eastAsia="en-AU"/>
              </w:rPr>
              <w:t xml:space="preserve">Brown W, </w:t>
            </w:r>
            <w:proofErr w:type="spellStart"/>
            <w:r w:rsidRPr="005176BD">
              <w:rPr>
                <w:rFonts w:cs="Arial"/>
                <w:sz w:val="20"/>
                <w:szCs w:val="20"/>
                <w:lang w:eastAsia="en-AU"/>
              </w:rPr>
              <w:t>Pavey</w:t>
            </w:r>
            <w:proofErr w:type="spellEnd"/>
            <w:r w:rsidRPr="005176BD">
              <w:rPr>
                <w:rFonts w:cs="Arial"/>
                <w:sz w:val="20"/>
                <w:szCs w:val="20"/>
                <w:lang w:eastAsia="en-AU"/>
              </w:rPr>
              <w:t xml:space="preserve"> T &amp; Bauman A.</w:t>
            </w:r>
          </w:p>
        </w:tc>
        <w:tc>
          <w:tcPr>
            <w:tcW w:w="703" w:type="dxa"/>
          </w:tcPr>
          <w:p w14:paraId="461FF35D" w14:textId="7A1E8886" w:rsidR="0001154E" w:rsidRPr="005176BD" w:rsidRDefault="0001154E" w:rsidP="003B611A">
            <w:pPr>
              <w:rPr>
                <w:rFonts w:cs="Arial"/>
                <w:sz w:val="20"/>
                <w:szCs w:val="20"/>
                <w:lang w:eastAsia="en-AU"/>
              </w:rPr>
            </w:pPr>
            <w:r w:rsidRPr="005176BD">
              <w:rPr>
                <w:rFonts w:cs="Arial"/>
                <w:sz w:val="20"/>
                <w:szCs w:val="20"/>
                <w:lang w:eastAsia="en-AU"/>
              </w:rPr>
              <w:t>33</w:t>
            </w:r>
          </w:p>
        </w:tc>
      </w:tr>
      <w:tr w:rsidR="0001154E" w:rsidRPr="00084B2B" w14:paraId="6271EF91" w14:textId="77777777" w:rsidTr="0011030B">
        <w:tc>
          <w:tcPr>
            <w:tcW w:w="8255" w:type="dxa"/>
          </w:tcPr>
          <w:p w14:paraId="5ECE2BD5" w14:textId="77777777" w:rsidR="0001154E" w:rsidRPr="005176BD" w:rsidRDefault="0001154E" w:rsidP="003B611A">
            <w:pPr>
              <w:rPr>
                <w:rFonts w:cs="Arial"/>
                <w:sz w:val="20"/>
                <w:szCs w:val="20"/>
                <w:lang w:eastAsia="en-AU"/>
              </w:rPr>
            </w:pPr>
            <w:r w:rsidRPr="005176BD">
              <w:rPr>
                <w:rFonts w:cs="Arial"/>
                <w:sz w:val="20"/>
                <w:szCs w:val="20"/>
                <w:lang w:eastAsia="en-AU"/>
              </w:rPr>
              <w:t>Impact of behavioural risk factors on death within 10 years for women and men in their 70s: Absolute risk charts. BMC Public Health, 2012; 12: 669.</w:t>
            </w:r>
          </w:p>
        </w:tc>
        <w:tc>
          <w:tcPr>
            <w:tcW w:w="4897" w:type="dxa"/>
          </w:tcPr>
          <w:p w14:paraId="2674700F" w14:textId="77777777" w:rsidR="0001154E" w:rsidRPr="005176BD" w:rsidRDefault="0001154E" w:rsidP="003B611A">
            <w:pPr>
              <w:rPr>
                <w:rFonts w:cs="Arial"/>
                <w:sz w:val="20"/>
                <w:szCs w:val="20"/>
                <w:lang w:eastAsia="en-AU"/>
              </w:rPr>
            </w:pPr>
            <w:r w:rsidRPr="005176BD">
              <w:rPr>
                <w:rFonts w:cs="Arial"/>
                <w:sz w:val="20"/>
                <w:szCs w:val="20"/>
                <w:lang w:eastAsia="en-AU"/>
              </w:rPr>
              <w:t xml:space="preserve">Dobson A, Almeida O, Brown W, Byles J, Flicker L, Leung J, Lopez D, McCaul K, McLaughlin D &amp; Hankey G. </w:t>
            </w:r>
          </w:p>
        </w:tc>
        <w:tc>
          <w:tcPr>
            <w:tcW w:w="703" w:type="dxa"/>
          </w:tcPr>
          <w:p w14:paraId="5BFBB595" w14:textId="5A2F9782" w:rsidR="0001154E" w:rsidRPr="005176BD" w:rsidRDefault="0001154E" w:rsidP="003B611A">
            <w:pPr>
              <w:rPr>
                <w:rFonts w:cs="Arial"/>
                <w:sz w:val="20"/>
                <w:szCs w:val="20"/>
                <w:lang w:eastAsia="en-AU"/>
              </w:rPr>
            </w:pPr>
            <w:r w:rsidRPr="005176BD">
              <w:rPr>
                <w:rFonts w:cs="Arial"/>
                <w:sz w:val="20"/>
                <w:szCs w:val="20"/>
                <w:lang w:eastAsia="en-AU"/>
              </w:rPr>
              <w:t>8</w:t>
            </w:r>
          </w:p>
        </w:tc>
      </w:tr>
      <w:tr w:rsidR="0001154E" w:rsidRPr="00084B2B" w14:paraId="2684EA1F" w14:textId="77777777" w:rsidTr="0011030B">
        <w:tc>
          <w:tcPr>
            <w:tcW w:w="8255" w:type="dxa"/>
          </w:tcPr>
          <w:p w14:paraId="480070BB" w14:textId="77777777" w:rsidR="0001154E" w:rsidRPr="005176BD" w:rsidRDefault="0001154E" w:rsidP="003B611A">
            <w:pPr>
              <w:rPr>
                <w:rFonts w:cs="Arial"/>
                <w:sz w:val="20"/>
                <w:szCs w:val="20"/>
                <w:lang w:eastAsia="en-AU"/>
              </w:rPr>
            </w:pPr>
            <w:r w:rsidRPr="005176BD">
              <w:rPr>
                <w:rFonts w:cs="Arial"/>
                <w:sz w:val="20"/>
                <w:szCs w:val="20"/>
                <w:lang w:eastAsia="en-AU"/>
              </w:rPr>
              <w:t>Women who smoke like men die like men who smoke: Findings from two Australian cohort studies. Tobacco Control, 2011; 20: 258-265.</w:t>
            </w:r>
          </w:p>
        </w:tc>
        <w:tc>
          <w:tcPr>
            <w:tcW w:w="4897" w:type="dxa"/>
          </w:tcPr>
          <w:p w14:paraId="53F194B8"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Jamrozik</w:t>
            </w:r>
            <w:proofErr w:type="spellEnd"/>
            <w:r w:rsidRPr="005176BD">
              <w:rPr>
                <w:rFonts w:cs="Arial"/>
                <w:sz w:val="20"/>
                <w:szCs w:val="20"/>
                <w:lang w:eastAsia="en-AU"/>
              </w:rPr>
              <w:t xml:space="preserve"> K, McLaughlin D, McCaul K, Almeida O, Wong K, </w:t>
            </w:r>
            <w:proofErr w:type="spellStart"/>
            <w:r w:rsidRPr="005176BD">
              <w:rPr>
                <w:rFonts w:cs="Arial"/>
                <w:sz w:val="20"/>
                <w:szCs w:val="20"/>
                <w:lang w:eastAsia="en-AU"/>
              </w:rPr>
              <w:t>Vagenas</w:t>
            </w:r>
            <w:proofErr w:type="spellEnd"/>
            <w:r w:rsidRPr="005176BD">
              <w:rPr>
                <w:rFonts w:cs="Arial"/>
                <w:sz w:val="20"/>
                <w:szCs w:val="20"/>
                <w:lang w:eastAsia="en-AU"/>
              </w:rPr>
              <w:t xml:space="preserve"> D &amp; Dobson A. </w:t>
            </w:r>
          </w:p>
        </w:tc>
        <w:tc>
          <w:tcPr>
            <w:tcW w:w="703" w:type="dxa"/>
          </w:tcPr>
          <w:p w14:paraId="75E32810" w14:textId="1ED3C331" w:rsidR="0001154E" w:rsidRPr="005176BD" w:rsidRDefault="0001154E" w:rsidP="003B611A">
            <w:pPr>
              <w:rPr>
                <w:rFonts w:cs="Arial"/>
                <w:sz w:val="20"/>
                <w:szCs w:val="20"/>
                <w:lang w:eastAsia="en-AU"/>
              </w:rPr>
            </w:pPr>
            <w:r w:rsidRPr="005176BD">
              <w:rPr>
                <w:rFonts w:cs="Arial"/>
                <w:sz w:val="20"/>
                <w:szCs w:val="20"/>
                <w:lang w:eastAsia="en-AU"/>
              </w:rPr>
              <w:t>27</w:t>
            </w:r>
          </w:p>
        </w:tc>
      </w:tr>
      <w:tr w:rsidR="0001154E" w:rsidRPr="00084B2B" w14:paraId="5BBECD0D" w14:textId="77777777" w:rsidTr="0011030B">
        <w:tc>
          <w:tcPr>
            <w:tcW w:w="8255" w:type="dxa"/>
          </w:tcPr>
          <w:p w14:paraId="541667ED" w14:textId="563D72ED" w:rsidR="0001154E" w:rsidRPr="005176BD" w:rsidRDefault="0001154E" w:rsidP="003B611A">
            <w:pPr>
              <w:rPr>
                <w:rFonts w:cs="Arial"/>
                <w:sz w:val="20"/>
                <w:szCs w:val="20"/>
                <w:lang w:eastAsia="en-AU"/>
              </w:rPr>
            </w:pPr>
            <w:r w:rsidRPr="005176BD">
              <w:rPr>
                <w:rFonts w:cs="Arial"/>
                <w:sz w:val="20"/>
                <w:szCs w:val="20"/>
                <w:lang w:eastAsia="en-AU"/>
              </w:rPr>
              <w:t>Are the national guidelines for health behaviour appropriate for older Australians? Evidence from the Men, Women and Ageing project. Australasian Journal on Ageing, 2007; 30(SUPPL 2)</w:t>
            </w:r>
            <w:r w:rsidR="00C6739F" w:rsidRPr="005176BD">
              <w:rPr>
                <w:rFonts w:cs="Arial"/>
                <w:sz w:val="20"/>
                <w:szCs w:val="20"/>
                <w:lang w:eastAsia="en-AU"/>
              </w:rPr>
              <w:t>:</w:t>
            </w:r>
            <w:r w:rsidRPr="005176BD">
              <w:rPr>
                <w:rFonts w:cs="Arial"/>
                <w:sz w:val="20"/>
                <w:szCs w:val="20"/>
                <w:lang w:eastAsia="en-AU"/>
              </w:rPr>
              <w:t xml:space="preserve"> 13-16.</w:t>
            </w:r>
          </w:p>
        </w:tc>
        <w:tc>
          <w:tcPr>
            <w:tcW w:w="4897" w:type="dxa"/>
          </w:tcPr>
          <w:p w14:paraId="7A9DBF91" w14:textId="77777777" w:rsidR="0001154E" w:rsidRPr="005176BD" w:rsidRDefault="0001154E" w:rsidP="003B611A">
            <w:pPr>
              <w:rPr>
                <w:rFonts w:cs="Arial"/>
                <w:sz w:val="20"/>
                <w:szCs w:val="20"/>
                <w:lang w:eastAsia="en-AU"/>
              </w:rPr>
            </w:pPr>
            <w:r w:rsidRPr="005176BD">
              <w:rPr>
                <w:rFonts w:cs="Arial"/>
                <w:sz w:val="20"/>
                <w:szCs w:val="20"/>
                <w:lang w:eastAsia="en-AU"/>
              </w:rPr>
              <w:t xml:space="preserve">McLaughlin D, Adams J, Almeida O, Brown W, Byles J, Dobson A, Flicker L, Hankey G, </w:t>
            </w:r>
            <w:proofErr w:type="spellStart"/>
            <w:r w:rsidRPr="005176BD">
              <w:rPr>
                <w:rFonts w:cs="Arial"/>
                <w:sz w:val="20"/>
                <w:szCs w:val="20"/>
                <w:lang w:eastAsia="en-AU"/>
              </w:rPr>
              <w:t>Jamrozik</w:t>
            </w:r>
            <w:proofErr w:type="spellEnd"/>
            <w:r w:rsidRPr="005176BD">
              <w:rPr>
                <w:rFonts w:cs="Arial"/>
                <w:sz w:val="20"/>
                <w:szCs w:val="20"/>
                <w:lang w:eastAsia="en-AU"/>
              </w:rPr>
              <w:t xml:space="preserve"> K, McCaul K, Norman P &amp; Pachana N. </w:t>
            </w:r>
          </w:p>
        </w:tc>
        <w:tc>
          <w:tcPr>
            <w:tcW w:w="703" w:type="dxa"/>
          </w:tcPr>
          <w:p w14:paraId="10CB2107" w14:textId="087C91E5" w:rsidR="0001154E" w:rsidRPr="005176BD" w:rsidRDefault="0001154E" w:rsidP="003B611A">
            <w:pPr>
              <w:rPr>
                <w:rFonts w:cs="Arial"/>
                <w:sz w:val="20"/>
                <w:szCs w:val="20"/>
                <w:lang w:eastAsia="en-AU"/>
              </w:rPr>
            </w:pPr>
            <w:r w:rsidRPr="005176BD">
              <w:rPr>
                <w:rFonts w:cs="Arial"/>
                <w:sz w:val="20"/>
                <w:szCs w:val="20"/>
                <w:lang w:eastAsia="en-AU"/>
              </w:rPr>
              <w:t>7</w:t>
            </w:r>
          </w:p>
        </w:tc>
      </w:tr>
      <w:tr w:rsidR="0001154E" w:rsidRPr="00084B2B" w14:paraId="6AADABE4" w14:textId="77777777" w:rsidTr="0011030B">
        <w:tc>
          <w:tcPr>
            <w:tcW w:w="8255" w:type="dxa"/>
          </w:tcPr>
          <w:p w14:paraId="41CD5ED0" w14:textId="5C2D6523" w:rsidR="0001154E" w:rsidRPr="005176BD" w:rsidRDefault="0001154E" w:rsidP="003B611A">
            <w:pPr>
              <w:rPr>
                <w:rFonts w:cs="Arial"/>
                <w:sz w:val="20"/>
                <w:szCs w:val="20"/>
                <w:lang w:eastAsia="en-AU"/>
              </w:rPr>
            </w:pPr>
            <w:r w:rsidRPr="005176BD">
              <w:rPr>
                <w:rFonts w:cs="Arial"/>
                <w:sz w:val="20"/>
                <w:szCs w:val="20"/>
                <w:lang w:eastAsia="en-AU"/>
              </w:rPr>
              <w:t xml:space="preserve">Alcohol use and mortality in older men and women. Addiction, </w:t>
            </w:r>
            <w:r w:rsidR="00C6739F" w:rsidRPr="005176BD">
              <w:rPr>
                <w:rFonts w:cs="Arial"/>
                <w:sz w:val="20"/>
                <w:szCs w:val="20"/>
                <w:lang w:eastAsia="en-AU"/>
              </w:rPr>
              <w:t xml:space="preserve">2010; </w:t>
            </w:r>
            <w:r w:rsidRPr="005176BD">
              <w:rPr>
                <w:rFonts w:cs="Arial"/>
                <w:sz w:val="20"/>
                <w:szCs w:val="20"/>
                <w:lang w:eastAsia="en-AU"/>
              </w:rPr>
              <w:t>105</w:t>
            </w:r>
            <w:r w:rsidR="00C6739F" w:rsidRPr="005176BD">
              <w:rPr>
                <w:rFonts w:cs="Arial"/>
                <w:sz w:val="20"/>
                <w:szCs w:val="20"/>
                <w:lang w:eastAsia="en-AU"/>
              </w:rPr>
              <w:t>:</w:t>
            </w:r>
            <w:r w:rsidRPr="005176BD">
              <w:rPr>
                <w:rFonts w:cs="Arial"/>
                <w:sz w:val="20"/>
                <w:szCs w:val="20"/>
                <w:lang w:eastAsia="en-AU"/>
              </w:rPr>
              <w:t xml:space="preserve"> 1391–1400. </w:t>
            </w:r>
          </w:p>
        </w:tc>
        <w:tc>
          <w:tcPr>
            <w:tcW w:w="4897" w:type="dxa"/>
          </w:tcPr>
          <w:p w14:paraId="7EBB2B66" w14:textId="77777777" w:rsidR="0001154E" w:rsidRPr="005176BD" w:rsidRDefault="0001154E" w:rsidP="003B611A">
            <w:pPr>
              <w:rPr>
                <w:rFonts w:cs="Arial"/>
                <w:sz w:val="20"/>
                <w:szCs w:val="20"/>
                <w:lang w:eastAsia="en-AU"/>
              </w:rPr>
            </w:pPr>
            <w:r w:rsidRPr="005176BD">
              <w:rPr>
                <w:rFonts w:cs="Arial"/>
                <w:sz w:val="20"/>
                <w:szCs w:val="20"/>
                <w:lang w:eastAsia="en-AU"/>
              </w:rPr>
              <w:t xml:space="preserve">McCaul K, Almeida O, Hankey G, </w:t>
            </w:r>
            <w:proofErr w:type="spellStart"/>
            <w:r w:rsidRPr="005176BD">
              <w:rPr>
                <w:rFonts w:cs="Arial"/>
                <w:sz w:val="20"/>
                <w:szCs w:val="20"/>
                <w:lang w:eastAsia="en-AU"/>
              </w:rPr>
              <w:t>Jamrozik</w:t>
            </w:r>
            <w:proofErr w:type="spellEnd"/>
            <w:r w:rsidRPr="005176BD">
              <w:rPr>
                <w:rFonts w:cs="Arial"/>
                <w:sz w:val="20"/>
                <w:szCs w:val="20"/>
                <w:lang w:eastAsia="en-AU"/>
              </w:rPr>
              <w:t xml:space="preserve"> K, Byles J &amp; Flicker L.</w:t>
            </w:r>
          </w:p>
        </w:tc>
        <w:tc>
          <w:tcPr>
            <w:tcW w:w="703" w:type="dxa"/>
          </w:tcPr>
          <w:p w14:paraId="6D7CE016" w14:textId="7CFD3AC7" w:rsidR="0001154E" w:rsidRPr="005176BD" w:rsidRDefault="0001154E" w:rsidP="003B611A">
            <w:pPr>
              <w:rPr>
                <w:rFonts w:cs="Arial"/>
                <w:sz w:val="20"/>
                <w:szCs w:val="20"/>
                <w:lang w:eastAsia="en-AU"/>
              </w:rPr>
            </w:pPr>
            <w:r w:rsidRPr="005176BD">
              <w:rPr>
                <w:rFonts w:cs="Arial"/>
                <w:sz w:val="20"/>
                <w:szCs w:val="20"/>
                <w:lang w:eastAsia="en-AU"/>
              </w:rPr>
              <w:t>36</w:t>
            </w:r>
          </w:p>
        </w:tc>
      </w:tr>
      <w:tr w:rsidR="0001154E" w:rsidRPr="00084B2B" w14:paraId="506EF43F" w14:textId="77777777" w:rsidTr="0011030B">
        <w:tc>
          <w:tcPr>
            <w:tcW w:w="8255" w:type="dxa"/>
          </w:tcPr>
          <w:p w14:paraId="23A84C6E" w14:textId="6EEAF8F4" w:rsidR="0001154E" w:rsidRPr="005176BD" w:rsidRDefault="0001154E" w:rsidP="003B611A">
            <w:pPr>
              <w:rPr>
                <w:rFonts w:cs="Arial"/>
                <w:sz w:val="20"/>
                <w:szCs w:val="20"/>
                <w:lang w:eastAsia="en-AU"/>
              </w:rPr>
            </w:pPr>
            <w:r w:rsidRPr="005176BD">
              <w:rPr>
                <w:rFonts w:cs="Arial"/>
                <w:sz w:val="20"/>
                <w:szCs w:val="20"/>
                <w:lang w:eastAsia="en-AU"/>
              </w:rPr>
              <w:t xml:space="preserve">Why are death rates higher in rural areas? Evidence from the Australian Longitudinal Study on Women’s Health. </w:t>
            </w:r>
            <w:r w:rsidR="00C6739F" w:rsidRPr="005176BD">
              <w:rPr>
                <w:rFonts w:cs="Arial"/>
                <w:sz w:val="20"/>
                <w:szCs w:val="20"/>
                <w:lang w:eastAsia="en-AU"/>
              </w:rPr>
              <w:t xml:space="preserve">Australian and New Zealand Journal of Public Health, </w:t>
            </w:r>
            <w:r w:rsidRPr="005176BD">
              <w:rPr>
                <w:rFonts w:cs="Arial"/>
                <w:sz w:val="20"/>
                <w:szCs w:val="20"/>
                <w:lang w:eastAsia="en-AU"/>
              </w:rPr>
              <w:t>2010; 34(6): 624-628.</w:t>
            </w:r>
          </w:p>
        </w:tc>
        <w:tc>
          <w:tcPr>
            <w:tcW w:w="4897" w:type="dxa"/>
          </w:tcPr>
          <w:p w14:paraId="0A88E271" w14:textId="77777777" w:rsidR="0001154E" w:rsidRPr="005176BD" w:rsidRDefault="0001154E" w:rsidP="003B611A">
            <w:pPr>
              <w:rPr>
                <w:rFonts w:cs="Arial"/>
                <w:sz w:val="20"/>
                <w:szCs w:val="20"/>
                <w:lang w:eastAsia="en-AU"/>
              </w:rPr>
            </w:pPr>
            <w:r w:rsidRPr="005176BD">
              <w:rPr>
                <w:rFonts w:cs="Arial"/>
                <w:sz w:val="20"/>
                <w:szCs w:val="20"/>
                <w:lang w:eastAsia="en-AU"/>
              </w:rPr>
              <w:t xml:space="preserve">Dobson A, McLaughlin D, </w:t>
            </w:r>
            <w:proofErr w:type="spellStart"/>
            <w:r w:rsidRPr="005176BD">
              <w:rPr>
                <w:rFonts w:cs="Arial"/>
                <w:sz w:val="20"/>
                <w:szCs w:val="20"/>
                <w:lang w:eastAsia="en-AU"/>
              </w:rPr>
              <w:t>Vagenas</w:t>
            </w:r>
            <w:proofErr w:type="spellEnd"/>
            <w:r w:rsidRPr="005176BD">
              <w:rPr>
                <w:rFonts w:cs="Arial"/>
                <w:sz w:val="20"/>
                <w:szCs w:val="20"/>
                <w:lang w:eastAsia="en-AU"/>
              </w:rPr>
              <w:t xml:space="preserve"> D &amp; Wong K. </w:t>
            </w:r>
          </w:p>
        </w:tc>
        <w:tc>
          <w:tcPr>
            <w:tcW w:w="703" w:type="dxa"/>
          </w:tcPr>
          <w:p w14:paraId="4063D1A8" w14:textId="7783A101" w:rsidR="0001154E" w:rsidRPr="005176BD" w:rsidRDefault="0001154E" w:rsidP="003B611A">
            <w:pPr>
              <w:rPr>
                <w:rFonts w:cs="Arial"/>
                <w:sz w:val="20"/>
                <w:szCs w:val="20"/>
                <w:lang w:eastAsia="en-AU"/>
              </w:rPr>
            </w:pPr>
            <w:r w:rsidRPr="005176BD">
              <w:rPr>
                <w:rFonts w:cs="Arial"/>
                <w:sz w:val="20"/>
                <w:szCs w:val="20"/>
                <w:lang w:eastAsia="en-AU"/>
              </w:rPr>
              <w:t>29</w:t>
            </w:r>
          </w:p>
        </w:tc>
      </w:tr>
      <w:tr w:rsidR="0001154E" w:rsidRPr="00084B2B" w14:paraId="638C5599" w14:textId="77777777" w:rsidTr="0011030B">
        <w:tc>
          <w:tcPr>
            <w:tcW w:w="8255" w:type="dxa"/>
          </w:tcPr>
          <w:p w14:paraId="4B9CE309"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Self rated</w:t>
            </w:r>
            <w:proofErr w:type="spellEnd"/>
            <w:r w:rsidRPr="005176BD">
              <w:rPr>
                <w:rFonts w:cs="Arial"/>
                <w:sz w:val="20"/>
                <w:szCs w:val="20"/>
                <w:lang w:eastAsia="en-AU"/>
              </w:rPr>
              <w:t xml:space="preserve"> health and a healthy lifestyle are the most important predictors of survival in elderly women. Age &amp; Ageing, 2008; 37(2): 194-200.</w:t>
            </w:r>
          </w:p>
        </w:tc>
        <w:tc>
          <w:tcPr>
            <w:tcW w:w="4897" w:type="dxa"/>
          </w:tcPr>
          <w:p w14:paraId="5CBEBB6A" w14:textId="77777777" w:rsidR="0001154E" w:rsidRPr="005176BD" w:rsidRDefault="0001154E" w:rsidP="003B611A">
            <w:pPr>
              <w:rPr>
                <w:rFonts w:cs="Arial"/>
                <w:sz w:val="20"/>
                <w:szCs w:val="20"/>
                <w:lang w:eastAsia="en-AU"/>
              </w:rPr>
            </w:pPr>
            <w:r w:rsidRPr="005176BD">
              <w:rPr>
                <w:rFonts w:cs="Arial"/>
                <w:sz w:val="20"/>
                <w:szCs w:val="20"/>
                <w:lang w:eastAsia="en-AU"/>
              </w:rPr>
              <w:t xml:space="preserve">Ford J, </w:t>
            </w:r>
            <w:proofErr w:type="spellStart"/>
            <w:r w:rsidRPr="005176BD">
              <w:rPr>
                <w:rFonts w:cs="Arial"/>
                <w:sz w:val="20"/>
                <w:szCs w:val="20"/>
                <w:lang w:eastAsia="en-AU"/>
              </w:rPr>
              <w:t>Spallek</w:t>
            </w:r>
            <w:proofErr w:type="spellEnd"/>
            <w:r w:rsidRPr="005176BD">
              <w:rPr>
                <w:rFonts w:cs="Arial"/>
                <w:sz w:val="20"/>
                <w:szCs w:val="20"/>
                <w:lang w:eastAsia="en-AU"/>
              </w:rPr>
              <w:t xml:space="preserve"> M &amp; Dobson A. </w:t>
            </w:r>
          </w:p>
        </w:tc>
        <w:tc>
          <w:tcPr>
            <w:tcW w:w="703" w:type="dxa"/>
          </w:tcPr>
          <w:p w14:paraId="1C28C7F9" w14:textId="1F07D857" w:rsidR="0001154E" w:rsidRPr="005176BD" w:rsidRDefault="0001154E" w:rsidP="003B611A">
            <w:pPr>
              <w:rPr>
                <w:rFonts w:cs="Arial"/>
                <w:sz w:val="20"/>
                <w:szCs w:val="20"/>
                <w:lang w:eastAsia="en-AU"/>
              </w:rPr>
            </w:pPr>
            <w:r w:rsidRPr="005176BD">
              <w:rPr>
                <w:rFonts w:cs="Arial"/>
                <w:sz w:val="20"/>
                <w:szCs w:val="20"/>
                <w:lang w:eastAsia="en-AU"/>
              </w:rPr>
              <w:t>127</w:t>
            </w:r>
          </w:p>
        </w:tc>
      </w:tr>
      <w:tr w:rsidR="0001154E" w:rsidRPr="00084B2B" w14:paraId="64EDC8BC" w14:textId="77777777" w:rsidTr="0011030B">
        <w:tc>
          <w:tcPr>
            <w:tcW w:w="8255" w:type="dxa"/>
          </w:tcPr>
          <w:p w14:paraId="19BCCCFD" w14:textId="77777777" w:rsidR="0001154E" w:rsidRPr="005176BD" w:rsidRDefault="0001154E" w:rsidP="003B611A">
            <w:pPr>
              <w:rPr>
                <w:rFonts w:cs="Arial"/>
                <w:sz w:val="20"/>
                <w:szCs w:val="20"/>
                <w:lang w:eastAsia="en-AU"/>
              </w:rPr>
            </w:pPr>
            <w:r w:rsidRPr="005176BD">
              <w:rPr>
                <w:rFonts w:cs="Arial"/>
                <w:sz w:val="20"/>
                <w:szCs w:val="20"/>
                <w:lang w:eastAsia="en-AU"/>
              </w:rPr>
              <w:t>Alcohol consumption of Australian women: Results from the Australian Longitudinal Study on Women’s Health. Drug and Alcohol Review, 2007; 26(5): 525-535.</w:t>
            </w:r>
          </w:p>
        </w:tc>
        <w:tc>
          <w:tcPr>
            <w:tcW w:w="4897" w:type="dxa"/>
          </w:tcPr>
          <w:p w14:paraId="7B10C9CB" w14:textId="77777777" w:rsidR="0001154E" w:rsidRPr="005176BD" w:rsidRDefault="0001154E" w:rsidP="003B611A">
            <w:pPr>
              <w:rPr>
                <w:rFonts w:cs="Arial"/>
                <w:sz w:val="20"/>
                <w:szCs w:val="20"/>
                <w:lang w:eastAsia="en-AU"/>
              </w:rPr>
            </w:pPr>
            <w:r w:rsidRPr="005176BD">
              <w:rPr>
                <w:rFonts w:cs="Arial"/>
                <w:sz w:val="20"/>
                <w:szCs w:val="20"/>
                <w:lang w:eastAsia="en-AU"/>
              </w:rPr>
              <w:t xml:space="preserve">Clemens S, Matthews S, Young AF &amp; Powers J. </w:t>
            </w:r>
          </w:p>
        </w:tc>
        <w:tc>
          <w:tcPr>
            <w:tcW w:w="703" w:type="dxa"/>
          </w:tcPr>
          <w:p w14:paraId="4E1A6050" w14:textId="7BE563FB" w:rsidR="0001154E" w:rsidRPr="005176BD" w:rsidRDefault="0001154E" w:rsidP="003B611A">
            <w:pPr>
              <w:rPr>
                <w:rFonts w:cs="Arial"/>
                <w:sz w:val="20"/>
                <w:szCs w:val="20"/>
                <w:lang w:eastAsia="en-AU"/>
              </w:rPr>
            </w:pPr>
            <w:r w:rsidRPr="005176BD">
              <w:rPr>
                <w:rFonts w:cs="Arial"/>
                <w:sz w:val="20"/>
                <w:szCs w:val="20"/>
                <w:lang w:eastAsia="en-AU"/>
              </w:rPr>
              <w:t>26</w:t>
            </w:r>
          </w:p>
        </w:tc>
      </w:tr>
      <w:tr w:rsidR="0001154E" w:rsidRPr="00084B2B" w14:paraId="4CE5CC1C" w14:textId="77777777" w:rsidTr="0011030B">
        <w:tc>
          <w:tcPr>
            <w:tcW w:w="8255" w:type="dxa"/>
          </w:tcPr>
          <w:p w14:paraId="113AAED0" w14:textId="1DD08B03" w:rsidR="0001154E" w:rsidRPr="005176BD" w:rsidRDefault="0001154E" w:rsidP="003B611A">
            <w:pPr>
              <w:rPr>
                <w:rFonts w:cs="Arial"/>
                <w:sz w:val="20"/>
                <w:szCs w:val="20"/>
                <w:lang w:eastAsia="en-AU"/>
              </w:rPr>
            </w:pPr>
            <w:r w:rsidRPr="005176BD">
              <w:rPr>
                <w:rFonts w:cs="Arial"/>
                <w:sz w:val="20"/>
                <w:szCs w:val="20"/>
                <w:lang w:eastAsia="en-AU"/>
              </w:rPr>
              <w:t xml:space="preserve">Alcohol consumption and physical health-related quality of life in older women using the transformation of SF-36 to account for death. Japanese Journal of Alcohol &amp; Drug Dependence, </w:t>
            </w:r>
            <w:r w:rsidR="00C6739F" w:rsidRPr="005176BD">
              <w:rPr>
                <w:rFonts w:cs="Arial"/>
                <w:sz w:val="20"/>
                <w:szCs w:val="20"/>
                <w:lang w:eastAsia="en-AU"/>
              </w:rPr>
              <w:t xml:space="preserve">2008; </w:t>
            </w:r>
            <w:r w:rsidRPr="005176BD">
              <w:rPr>
                <w:rFonts w:cs="Arial"/>
                <w:sz w:val="20"/>
                <w:szCs w:val="20"/>
                <w:lang w:eastAsia="en-AU"/>
              </w:rPr>
              <w:t>43(2)</w:t>
            </w:r>
            <w:r w:rsidR="00C6739F" w:rsidRPr="005176BD">
              <w:rPr>
                <w:rFonts w:cs="Arial"/>
                <w:sz w:val="20"/>
                <w:szCs w:val="20"/>
                <w:lang w:eastAsia="en-AU"/>
              </w:rPr>
              <w:t>:</w:t>
            </w:r>
            <w:r w:rsidRPr="005176BD">
              <w:rPr>
                <w:rFonts w:cs="Arial"/>
                <w:sz w:val="20"/>
                <w:szCs w:val="20"/>
                <w:lang w:eastAsia="en-AU"/>
              </w:rPr>
              <w:t xml:space="preserve"> 97-109.</w:t>
            </w:r>
          </w:p>
        </w:tc>
        <w:tc>
          <w:tcPr>
            <w:tcW w:w="4897" w:type="dxa"/>
          </w:tcPr>
          <w:p w14:paraId="1351253A"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Furuya</w:t>
            </w:r>
            <w:proofErr w:type="spellEnd"/>
            <w:r w:rsidRPr="005176BD">
              <w:rPr>
                <w:rFonts w:cs="Arial"/>
                <w:sz w:val="20"/>
                <w:szCs w:val="20"/>
                <w:lang w:eastAsia="en-AU"/>
              </w:rPr>
              <w:t xml:space="preserve"> H, Young A, Powers J &amp; Byles J.</w:t>
            </w:r>
          </w:p>
        </w:tc>
        <w:tc>
          <w:tcPr>
            <w:tcW w:w="703" w:type="dxa"/>
          </w:tcPr>
          <w:p w14:paraId="2B0DD65F" w14:textId="02F9BFFC" w:rsidR="0001154E" w:rsidRPr="005176BD" w:rsidRDefault="0001154E" w:rsidP="003B611A">
            <w:pPr>
              <w:rPr>
                <w:rFonts w:cs="Arial"/>
                <w:sz w:val="20"/>
                <w:szCs w:val="20"/>
                <w:lang w:eastAsia="en-AU"/>
              </w:rPr>
            </w:pPr>
            <w:r w:rsidRPr="005176BD">
              <w:rPr>
                <w:rFonts w:cs="Arial"/>
                <w:sz w:val="20"/>
                <w:szCs w:val="20"/>
                <w:lang w:eastAsia="en-AU"/>
              </w:rPr>
              <w:t>4</w:t>
            </w:r>
          </w:p>
        </w:tc>
      </w:tr>
      <w:tr w:rsidR="0001154E" w:rsidRPr="00D43962" w14:paraId="5EF5D13D" w14:textId="77777777" w:rsidTr="0011030B">
        <w:tc>
          <w:tcPr>
            <w:tcW w:w="8255" w:type="dxa"/>
          </w:tcPr>
          <w:p w14:paraId="57BAC847" w14:textId="35CA2BC6" w:rsidR="0001154E" w:rsidRPr="005176BD" w:rsidRDefault="0001154E" w:rsidP="003B611A">
            <w:pPr>
              <w:rPr>
                <w:rFonts w:cs="Arial"/>
                <w:sz w:val="20"/>
                <w:szCs w:val="20"/>
                <w:lang w:eastAsia="en-AU"/>
              </w:rPr>
            </w:pPr>
            <w:r w:rsidRPr="005176BD">
              <w:rPr>
                <w:rFonts w:cs="Arial"/>
                <w:sz w:val="20"/>
                <w:szCs w:val="20"/>
                <w:lang w:eastAsia="en-AU"/>
              </w:rPr>
              <w:t xml:space="preserve">Alcohol, hospital admissions and falls in older adults: A longitudinal evaluation. International </w:t>
            </w:r>
            <w:proofErr w:type="spellStart"/>
            <w:r w:rsidRPr="005176BD">
              <w:rPr>
                <w:rFonts w:cs="Arial"/>
                <w:sz w:val="20"/>
                <w:szCs w:val="20"/>
                <w:lang w:eastAsia="en-AU"/>
              </w:rPr>
              <w:t>Psychogeriatrics</w:t>
            </w:r>
            <w:proofErr w:type="spellEnd"/>
            <w:r w:rsidRPr="005176BD">
              <w:rPr>
                <w:rFonts w:cs="Arial"/>
                <w:sz w:val="20"/>
                <w:szCs w:val="20"/>
                <w:lang w:eastAsia="en-AU"/>
              </w:rPr>
              <w:t xml:space="preserve">, </w:t>
            </w:r>
            <w:r w:rsidR="00C6739F" w:rsidRPr="005176BD">
              <w:rPr>
                <w:rFonts w:cs="Arial"/>
                <w:sz w:val="20"/>
                <w:szCs w:val="20"/>
                <w:lang w:eastAsia="en-AU"/>
              </w:rPr>
              <w:t xml:space="preserve">2013; </w:t>
            </w:r>
            <w:r w:rsidRPr="005176BD">
              <w:rPr>
                <w:rFonts w:cs="Arial"/>
                <w:sz w:val="20"/>
                <w:szCs w:val="20"/>
                <w:lang w:eastAsia="en-AU"/>
              </w:rPr>
              <w:t>25(6)</w:t>
            </w:r>
            <w:r w:rsidR="00C6739F" w:rsidRPr="005176BD">
              <w:rPr>
                <w:rFonts w:cs="Arial"/>
                <w:sz w:val="20"/>
                <w:szCs w:val="20"/>
                <w:lang w:eastAsia="en-AU"/>
              </w:rPr>
              <w:t xml:space="preserve">: </w:t>
            </w:r>
            <w:r w:rsidRPr="005176BD">
              <w:rPr>
                <w:rFonts w:cs="Arial"/>
                <w:sz w:val="20"/>
                <w:szCs w:val="20"/>
                <w:lang w:eastAsia="en-AU"/>
              </w:rPr>
              <w:t>901-912.</w:t>
            </w:r>
          </w:p>
        </w:tc>
        <w:tc>
          <w:tcPr>
            <w:tcW w:w="4897" w:type="dxa"/>
          </w:tcPr>
          <w:p w14:paraId="33A23F8F" w14:textId="77777777" w:rsidR="0001154E" w:rsidRPr="005176BD" w:rsidRDefault="0001154E" w:rsidP="003B611A">
            <w:pPr>
              <w:rPr>
                <w:rFonts w:cs="Arial"/>
                <w:sz w:val="20"/>
                <w:szCs w:val="20"/>
                <w:lang w:eastAsia="en-AU"/>
              </w:rPr>
            </w:pPr>
            <w:r w:rsidRPr="005176BD">
              <w:rPr>
                <w:rFonts w:cs="Arial"/>
                <w:sz w:val="20"/>
                <w:szCs w:val="20"/>
                <w:lang w:eastAsia="en-AU"/>
              </w:rPr>
              <w:t>Tait RJ, French DJ, Burns RA, Byles JE, Anstey KJ.</w:t>
            </w:r>
          </w:p>
        </w:tc>
        <w:tc>
          <w:tcPr>
            <w:tcW w:w="703" w:type="dxa"/>
          </w:tcPr>
          <w:p w14:paraId="726D1CC6" w14:textId="77777777" w:rsidR="0001154E" w:rsidRPr="005176BD" w:rsidRDefault="0001154E" w:rsidP="003B611A">
            <w:pPr>
              <w:rPr>
                <w:rFonts w:cs="Arial"/>
                <w:sz w:val="20"/>
                <w:szCs w:val="20"/>
                <w:lang w:eastAsia="en-AU"/>
              </w:rPr>
            </w:pPr>
            <w:r w:rsidRPr="005176BD">
              <w:rPr>
                <w:rFonts w:cs="Arial"/>
                <w:sz w:val="20"/>
                <w:szCs w:val="20"/>
                <w:lang w:eastAsia="en-AU"/>
              </w:rPr>
              <w:t>4</w:t>
            </w:r>
          </w:p>
        </w:tc>
      </w:tr>
      <w:tr w:rsidR="0001154E" w:rsidRPr="00084B2B" w14:paraId="2F8A5796" w14:textId="77777777" w:rsidTr="0011030B">
        <w:tc>
          <w:tcPr>
            <w:tcW w:w="8255" w:type="dxa"/>
          </w:tcPr>
          <w:p w14:paraId="26D42098" w14:textId="7CEAC390" w:rsidR="0001154E" w:rsidRPr="005176BD" w:rsidRDefault="0001154E" w:rsidP="003B611A">
            <w:pPr>
              <w:rPr>
                <w:rFonts w:cs="Arial"/>
                <w:sz w:val="20"/>
                <w:szCs w:val="20"/>
                <w:lang w:eastAsia="en-AU"/>
              </w:rPr>
            </w:pPr>
            <w:r w:rsidRPr="005176BD">
              <w:rPr>
                <w:rFonts w:cs="Arial"/>
                <w:sz w:val="20"/>
                <w:szCs w:val="20"/>
                <w:lang w:eastAsia="en-AU"/>
              </w:rPr>
              <w:t>A drink to healthy ageing: The association between older women's use of alcohol and their health-related quality of life. Journal of the American Geriatric Society,</w:t>
            </w:r>
            <w:r w:rsidR="00C6739F" w:rsidRPr="005176BD">
              <w:rPr>
                <w:rFonts w:cs="Arial"/>
                <w:sz w:val="20"/>
                <w:szCs w:val="20"/>
                <w:lang w:eastAsia="en-AU"/>
              </w:rPr>
              <w:t xml:space="preserve"> 2006;</w:t>
            </w:r>
            <w:r w:rsidRPr="005176BD">
              <w:rPr>
                <w:rFonts w:cs="Arial"/>
                <w:sz w:val="20"/>
                <w:szCs w:val="20"/>
                <w:lang w:eastAsia="en-AU"/>
              </w:rPr>
              <w:t xml:space="preserve"> 54(9)</w:t>
            </w:r>
            <w:r w:rsidR="00C6739F" w:rsidRPr="005176BD">
              <w:rPr>
                <w:rFonts w:cs="Arial"/>
                <w:sz w:val="20"/>
                <w:szCs w:val="20"/>
                <w:lang w:eastAsia="en-AU"/>
              </w:rPr>
              <w:t>:</w:t>
            </w:r>
            <w:r w:rsidRPr="005176BD">
              <w:rPr>
                <w:rFonts w:cs="Arial"/>
                <w:sz w:val="20"/>
                <w:szCs w:val="20"/>
                <w:lang w:eastAsia="en-AU"/>
              </w:rPr>
              <w:t xml:space="preserve"> 1341-1347.</w:t>
            </w:r>
          </w:p>
        </w:tc>
        <w:tc>
          <w:tcPr>
            <w:tcW w:w="4897" w:type="dxa"/>
          </w:tcPr>
          <w:p w14:paraId="32F33991" w14:textId="77777777" w:rsidR="0001154E" w:rsidRPr="005176BD" w:rsidRDefault="0001154E" w:rsidP="003B611A">
            <w:pPr>
              <w:rPr>
                <w:rFonts w:cs="Arial"/>
                <w:sz w:val="20"/>
                <w:szCs w:val="20"/>
                <w:lang w:eastAsia="en-AU"/>
              </w:rPr>
            </w:pPr>
            <w:r w:rsidRPr="005176BD">
              <w:rPr>
                <w:rFonts w:cs="Arial"/>
                <w:sz w:val="20"/>
                <w:szCs w:val="20"/>
                <w:lang w:eastAsia="en-AU"/>
              </w:rPr>
              <w:t xml:space="preserve">Byles J, Young A, </w:t>
            </w:r>
            <w:proofErr w:type="spellStart"/>
            <w:r w:rsidRPr="005176BD">
              <w:rPr>
                <w:rFonts w:cs="Arial"/>
                <w:sz w:val="20"/>
                <w:szCs w:val="20"/>
                <w:lang w:eastAsia="en-AU"/>
              </w:rPr>
              <w:t>Furuya</w:t>
            </w:r>
            <w:proofErr w:type="spellEnd"/>
            <w:r w:rsidRPr="005176BD">
              <w:rPr>
                <w:rFonts w:cs="Arial"/>
                <w:sz w:val="20"/>
                <w:szCs w:val="20"/>
                <w:lang w:eastAsia="en-AU"/>
              </w:rPr>
              <w:t xml:space="preserve"> H &amp; Parkinson L.</w:t>
            </w:r>
          </w:p>
        </w:tc>
        <w:tc>
          <w:tcPr>
            <w:tcW w:w="703" w:type="dxa"/>
          </w:tcPr>
          <w:p w14:paraId="37F43B0E" w14:textId="330A116B" w:rsidR="0001154E" w:rsidRPr="005176BD" w:rsidRDefault="0001154E" w:rsidP="003B611A">
            <w:pPr>
              <w:rPr>
                <w:rFonts w:cs="Arial"/>
                <w:sz w:val="20"/>
                <w:szCs w:val="20"/>
                <w:lang w:eastAsia="en-AU"/>
              </w:rPr>
            </w:pPr>
            <w:r w:rsidRPr="005176BD">
              <w:rPr>
                <w:rFonts w:cs="Arial"/>
                <w:sz w:val="20"/>
                <w:szCs w:val="20"/>
                <w:lang w:eastAsia="en-AU"/>
              </w:rPr>
              <w:t>90</w:t>
            </w:r>
          </w:p>
        </w:tc>
      </w:tr>
    </w:tbl>
    <w:p w14:paraId="12A5540C" w14:textId="77777777" w:rsidR="00084B2B" w:rsidRPr="00084B2B" w:rsidRDefault="00084B2B" w:rsidP="003B611A">
      <w:pPr>
        <w:pStyle w:val="Heading2"/>
        <w:ind w:left="578" w:hanging="578"/>
      </w:pPr>
      <w:bookmarkStart w:id="86" w:name="_Toc530561295"/>
      <w:r w:rsidRPr="00084B2B">
        <w:lastRenderedPageBreak/>
        <w:t>Weight, nutrition and physical activity</w:t>
      </w:r>
      <w:bookmarkEnd w:id="86"/>
    </w:p>
    <w:tbl>
      <w:tblPr>
        <w:tblStyle w:val="TableGrid1"/>
        <w:tblW w:w="13855" w:type="dxa"/>
        <w:tblLook w:val="04A0" w:firstRow="1" w:lastRow="0" w:firstColumn="1" w:lastColumn="0" w:noHBand="0" w:noVBand="1"/>
        <w:tblCaption w:val="Category: Weight, nutrition and physical activity"/>
      </w:tblPr>
      <w:tblGrid>
        <w:gridCol w:w="7848"/>
        <w:gridCol w:w="4670"/>
        <w:gridCol w:w="1337"/>
      </w:tblGrid>
      <w:tr w:rsidR="00084B2B" w:rsidRPr="00084B2B" w14:paraId="22DB7306" w14:textId="77777777" w:rsidTr="0011030B">
        <w:trPr>
          <w:tblHeader/>
        </w:trPr>
        <w:tc>
          <w:tcPr>
            <w:tcW w:w="8201" w:type="dxa"/>
            <w:shd w:val="clear" w:color="auto" w:fill="F1E9F3"/>
          </w:tcPr>
          <w:p w14:paraId="6B96113F" w14:textId="77777777" w:rsidR="00084B2B" w:rsidRPr="00084B2B" w:rsidRDefault="00084B2B" w:rsidP="003B611A">
            <w:pPr>
              <w:rPr>
                <w:rFonts w:cs="Times New Roman"/>
                <w:b/>
                <w:sz w:val="24"/>
                <w:szCs w:val="24"/>
              </w:rPr>
            </w:pPr>
            <w:r w:rsidRPr="00084B2B">
              <w:rPr>
                <w:rFonts w:cs="Times New Roman"/>
                <w:b/>
                <w:sz w:val="24"/>
                <w:szCs w:val="24"/>
              </w:rPr>
              <w:t>Details</w:t>
            </w:r>
          </w:p>
        </w:tc>
        <w:tc>
          <w:tcPr>
            <w:tcW w:w="4857" w:type="dxa"/>
            <w:shd w:val="clear" w:color="auto" w:fill="F1E9F3"/>
          </w:tcPr>
          <w:p w14:paraId="77208343" w14:textId="77777777" w:rsidR="00084B2B" w:rsidRPr="00084B2B" w:rsidRDefault="00084B2B" w:rsidP="003B611A">
            <w:pPr>
              <w:rPr>
                <w:rFonts w:cs="Times New Roman"/>
                <w:b/>
                <w:sz w:val="24"/>
                <w:szCs w:val="24"/>
              </w:rPr>
            </w:pPr>
            <w:r w:rsidRPr="00084B2B">
              <w:rPr>
                <w:rFonts w:cs="Times New Roman"/>
                <w:b/>
                <w:sz w:val="24"/>
                <w:szCs w:val="24"/>
              </w:rPr>
              <w:t>Authors</w:t>
            </w:r>
          </w:p>
        </w:tc>
        <w:tc>
          <w:tcPr>
            <w:tcW w:w="797" w:type="dxa"/>
            <w:shd w:val="clear" w:color="auto" w:fill="F1E9F3"/>
          </w:tcPr>
          <w:p w14:paraId="35589867" w14:textId="207875D7" w:rsidR="00084B2B" w:rsidRPr="00084B2B" w:rsidRDefault="00084B2B" w:rsidP="003B611A">
            <w:pPr>
              <w:rPr>
                <w:rFonts w:cs="Times New Roman"/>
                <w:b/>
                <w:sz w:val="24"/>
                <w:szCs w:val="24"/>
              </w:rPr>
            </w:pPr>
            <w:r w:rsidRPr="00084B2B">
              <w:rPr>
                <w:rFonts w:cs="Times New Roman"/>
                <w:b/>
                <w:sz w:val="24"/>
                <w:szCs w:val="24"/>
              </w:rPr>
              <w:t>Citations</w:t>
            </w:r>
            <w:r w:rsidR="0011030B">
              <w:rPr>
                <w:rFonts w:cs="Times New Roman"/>
                <w:b/>
                <w:sz w:val="24"/>
                <w:szCs w:val="24"/>
              </w:rPr>
              <w:t>*</w:t>
            </w:r>
          </w:p>
        </w:tc>
      </w:tr>
      <w:tr w:rsidR="00084B2B" w:rsidRPr="00084B2B" w14:paraId="746A8B78" w14:textId="77777777" w:rsidTr="0011030B">
        <w:tc>
          <w:tcPr>
            <w:tcW w:w="8201" w:type="dxa"/>
          </w:tcPr>
          <w:p w14:paraId="57D86B38" w14:textId="10B195E5" w:rsidR="00084B2B" w:rsidRPr="005176BD" w:rsidRDefault="00084B2B" w:rsidP="003B611A">
            <w:pPr>
              <w:rPr>
                <w:rFonts w:cs="Arial"/>
                <w:sz w:val="20"/>
                <w:szCs w:val="20"/>
                <w:lang w:eastAsia="en-AU"/>
              </w:rPr>
            </w:pPr>
            <w:r w:rsidRPr="005176BD">
              <w:rPr>
                <w:rFonts w:cs="Arial"/>
                <w:sz w:val="20"/>
                <w:szCs w:val="20"/>
                <w:lang w:eastAsia="en-AU"/>
              </w:rPr>
              <w:t>Associations between physical activity, medical costs and hospitalisations in older Australian women: Results from the Australian Longitudinal Study on Women’s Health. Journal of Science and Medicine in Sport, 2017</w:t>
            </w:r>
            <w:r w:rsidR="00291BE1" w:rsidRPr="005176BD">
              <w:rPr>
                <w:rFonts w:cs="Arial"/>
                <w:sz w:val="20"/>
                <w:szCs w:val="20"/>
                <w:lang w:eastAsia="en-AU"/>
              </w:rPr>
              <w:t>;</w:t>
            </w:r>
            <w:r w:rsidRPr="005176BD">
              <w:rPr>
                <w:rFonts w:cs="Arial"/>
                <w:sz w:val="20"/>
                <w:szCs w:val="20"/>
                <w:lang w:eastAsia="en-AU"/>
              </w:rPr>
              <w:t xml:space="preserve"> 21(6)</w:t>
            </w:r>
            <w:r w:rsidR="00291BE1" w:rsidRPr="005176BD">
              <w:rPr>
                <w:rFonts w:cs="Arial"/>
                <w:sz w:val="20"/>
                <w:szCs w:val="20"/>
                <w:lang w:eastAsia="en-AU"/>
              </w:rPr>
              <w:t xml:space="preserve">: </w:t>
            </w:r>
            <w:r w:rsidRPr="005176BD">
              <w:rPr>
                <w:rFonts w:cs="Arial"/>
                <w:sz w:val="20"/>
                <w:szCs w:val="20"/>
                <w:lang w:eastAsia="en-AU"/>
              </w:rPr>
              <w:t>604-608</w:t>
            </w:r>
            <w:r w:rsidR="00291BE1" w:rsidRPr="005176BD">
              <w:rPr>
                <w:rFonts w:cs="Arial"/>
                <w:sz w:val="20"/>
                <w:szCs w:val="20"/>
                <w:lang w:eastAsia="en-AU"/>
              </w:rPr>
              <w:t>.</w:t>
            </w:r>
          </w:p>
        </w:tc>
        <w:tc>
          <w:tcPr>
            <w:tcW w:w="4857" w:type="dxa"/>
          </w:tcPr>
          <w:p w14:paraId="24962C78" w14:textId="77777777" w:rsidR="00084B2B" w:rsidRPr="005176BD" w:rsidRDefault="00084B2B" w:rsidP="003B611A">
            <w:pPr>
              <w:rPr>
                <w:rFonts w:cs="Arial"/>
                <w:sz w:val="20"/>
                <w:szCs w:val="20"/>
                <w:lang w:eastAsia="en-AU"/>
              </w:rPr>
            </w:pPr>
            <w:r w:rsidRPr="005176BD">
              <w:rPr>
                <w:rFonts w:cs="Arial"/>
                <w:sz w:val="20"/>
                <w:szCs w:val="20"/>
                <w:lang w:eastAsia="en-AU"/>
              </w:rPr>
              <w:t>Peeters GMEE, Gardiner PA, Dobson AJ &amp; Brown WJ.</w:t>
            </w:r>
          </w:p>
        </w:tc>
        <w:tc>
          <w:tcPr>
            <w:tcW w:w="797" w:type="dxa"/>
          </w:tcPr>
          <w:p w14:paraId="3034CB5D" w14:textId="28F79F0E"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68263158" w14:textId="77777777" w:rsidTr="0011030B">
        <w:tc>
          <w:tcPr>
            <w:tcW w:w="8201" w:type="dxa"/>
          </w:tcPr>
          <w:p w14:paraId="36756EE2" w14:textId="5B092139" w:rsidR="00084B2B" w:rsidRPr="005176BD" w:rsidRDefault="00084B2B" w:rsidP="003B611A">
            <w:pPr>
              <w:rPr>
                <w:rFonts w:cs="Arial"/>
                <w:sz w:val="20"/>
                <w:szCs w:val="20"/>
                <w:lang w:eastAsia="en-AU"/>
              </w:rPr>
            </w:pPr>
            <w:r w:rsidRPr="005176BD">
              <w:rPr>
                <w:rFonts w:cs="Arial"/>
                <w:sz w:val="20"/>
                <w:szCs w:val="20"/>
                <w:lang w:eastAsia="en-AU"/>
              </w:rPr>
              <w:t>The relationship between SF-6D utility scores and lifestyle factors across three life-stages: Evidence from the Australian Longitudinal Study on Women’s Health. Quality of Life Research, 2017</w:t>
            </w:r>
            <w:r w:rsidR="00291BE1" w:rsidRPr="005176BD">
              <w:rPr>
                <w:rFonts w:cs="Arial"/>
                <w:sz w:val="20"/>
                <w:szCs w:val="20"/>
                <w:lang w:eastAsia="en-AU"/>
              </w:rPr>
              <w:t>;</w:t>
            </w:r>
            <w:r w:rsidRPr="005176BD">
              <w:rPr>
                <w:rFonts w:cs="Arial"/>
                <w:sz w:val="20"/>
                <w:szCs w:val="20"/>
                <w:lang w:eastAsia="en-AU"/>
              </w:rPr>
              <w:t xml:space="preserve"> 26(6)</w:t>
            </w:r>
            <w:r w:rsidR="00291BE1" w:rsidRPr="005176BD">
              <w:rPr>
                <w:rFonts w:cs="Arial"/>
                <w:sz w:val="20"/>
                <w:szCs w:val="20"/>
                <w:lang w:eastAsia="en-AU"/>
              </w:rPr>
              <w:t>:</w:t>
            </w:r>
            <w:r w:rsidRPr="005176BD">
              <w:rPr>
                <w:rFonts w:cs="Arial"/>
                <w:sz w:val="20"/>
                <w:szCs w:val="20"/>
                <w:lang w:eastAsia="en-AU"/>
              </w:rPr>
              <w:t xml:space="preserve"> 1507-1519</w:t>
            </w:r>
            <w:r w:rsidR="00291BE1" w:rsidRPr="005176BD">
              <w:rPr>
                <w:rFonts w:cs="Arial"/>
                <w:sz w:val="20"/>
                <w:szCs w:val="20"/>
                <w:lang w:eastAsia="en-AU"/>
              </w:rPr>
              <w:t>.</w:t>
            </w:r>
          </w:p>
        </w:tc>
        <w:tc>
          <w:tcPr>
            <w:tcW w:w="4857" w:type="dxa"/>
          </w:tcPr>
          <w:p w14:paraId="522BAA58" w14:textId="77777777" w:rsidR="00084B2B" w:rsidRPr="005176BD" w:rsidRDefault="00084B2B" w:rsidP="003B611A">
            <w:pPr>
              <w:rPr>
                <w:rFonts w:cs="Arial"/>
                <w:sz w:val="20"/>
                <w:szCs w:val="20"/>
                <w:lang w:eastAsia="en-AU"/>
              </w:rPr>
            </w:pPr>
            <w:r w:rsidRPr="005176BD">
              <w:rPr>
                <w:rFonts w:cs="Arial"/>
                <w:sz w:val="20"/>
                <w:szCs w:val="20"/>
                <w:lang w:eastAsia="en-AU"/>
              </w:rPr>
              <w:t xml:space="preserve">Kanesarajah J, Waller M, </w:t>
            </w:r>
            <w:proofErr w:type="spellStart"/>
            <w:r w:rsidRPr="005176BD">
              <w:rPr>
                <w:rFonts w:cs="Arial"/>
                <w:sz w:val="20"/>
                <w:szCs w:val="20"/>
                <w:lang w:eastAsia="en-AU"/>
              </w:rPr>
              <w:t>Whitty</w:t>
            </w:r>
            <w:proofErr w:type="spellEnd"/>
            <w:r w:rsidRPr="005176BD">
              <w:rPr>
                <w:rFonts w:cs="Arial"/>
                <w:sz w:val="20"/>
                <w:szCs w:val="20"/>
                <w:lang w:eastAsia="en-AU"/>
              </w:rPr>
              <w:t xml:space="preserve"> J &amp; Mishra G.</w:t>
            </w:r>
          </w:p>
        </w:tc>
        <w:tc>
          <w:tcPr>
            <w:tcW w:w="797" w:type="dxa"/>
          </w:tcPr>
          <w:p w14:paraId="7032CE6D" w14:textId="2916B955"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09081D93" w14:textId="77777777" w:rsidTr="0011030B">
        <w:tc>
          <w:tcPr>
            <w:tcW w:w="8201" w:type="dxa"/>
          </w:tcPr>
          <w:p w14:paraId="1C3FDFA7" w14:textId="5CEC4150" w:rsidR="00084B2B" w:rsidRPr="005176BD" w:rsidRDefault="00FB70EC" w:rsidP="003B611A">
            <w:pPr>
              <w:rPr>
                <w:rFonts w:cs="Arial"/>
                <w:sz w:val="20"/>
                <w:szCs w:val="20"/>
                <w:lang w:eastAsia="en-AU"/>
              </w:rPr>
            </w:pPr>
            <w:r w:rsidRPr="005176BD">
              <w:rPr>
                <w:rFonts w:cs="Arial"/>
                <w:sz w:val="20"/>
                <w:szCs w:val="20"/>
                <w:lang w:eastAsia="en-AU"/>
              </w:rPr>
              <w:t>Physical activity and quality of life in older women with a history of depressive symptoms. Preventive Medicine, 2016; 91: 299-305.</w:t>
            </w:r>
          </w:p>
        </w:tc>
        <w:tc>
          <w:tcPr>
            <w:tcW w:w="4857" w:type="dxa"/>
          </w:tcPr>
          <w:p w14:paraId="5973C59C" w14:textId="77777777" w:rsidR="00084B2B" w:rsidRPr="005176BD" w:rsidRDefault="00084B2B"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KC, van </w:t>
            </w:r>
            <w:proofErr w:type="spellStart"/>
            <w:r w:rsidRPr="005176BD">
              <w:rPr>
                <w:rFonts w:cs="Arial"/>
                <w:sz w:val="20"/>
                <w:szCs w:val="20"/>
                <w:lang w:eastAsia="en-AU"/>
              </w:rPr>
              <w:t>Gellecum</w:t>
            </w:r>
            <w:proofErr w:type="spellEnd"/>
            <w:r w:rsidRPr="005176BD">
              <w:rPr>
                <w:rFonts w:cs="Arial"/>
                <w:sz w:val="20"/>
                <w:szCs w:val="20"/>
                <w:lang w:eastAsia="en-AU"/>
              </w:rPr>
              <w:t xml:space="preserve"> YR, Burton NW, van </w:t>
            </w:r>
            <w:proofErr w:type="spellStart"/>
            <w:r w:rsidRPr="005176BD">
              <w:rPr>
                <w:rFonts w:cs="Arial"/>
                <w:sz w:val="20"/>
                <w:szCs w:val="20"/>
                <w:lang w:eastAsia="en-AU"/>
              </w:rPr>
              <w:t>Uffelen</w:t>
            </w:r>
            <w:proofErr w:type="spellEnd"/>
            <w:r w:rsidRPr="005176BD">
              <w:rPr>
                <w:rFonts w:cs="Arial"/>
                <w:sz w:val="20"/>
                <w:szCs w:val="20"/>
                <w:lang w:eastAsia="en-AU"/>
              </w:rPr>
              <w:t xml:space="preserve"> JGZ &amp; Brown W.</w:t>
            </w:r>
          </w:p>
        </w:tc>
        <w:tc>
          <w:tcPr>
            <w:tcW w:w="797" w:type="dxa"/>
          </w:tcPr>
          <w:p w14:paraId="4970D780" w14:textId="21D37734" w:rsidR="00084B2B" w:rsidRPr="005176BD" w:rsidRDefault="00F5504C" w:rsidP="003B611A">
            <w:pPr>
              <w:rPr>
                <w:rFonts w:cs="Arial"/>
                <w:sz w:val="20"/>
                <w:szCs w:val="20"/>
                <w:lang w:eastAsia="en-AU"/>
              </w:rPr>
            </w:pPr>
            <w:r w:rsidRPr="005176BD">
              <w:rPr>
                <w:rFonts w:cs="Arial"/>
                <w:sz w:val="20"/>
                <w:szCs w:val="20"/>
                <w:lang w:eastAsia="en-AU"/>
              </w:rPr>
              <w:t>8</w:t>
            </w:r>
          </w:p>
        </w:tc>
      </w:tr>
      <w:tr w:rsidR="00084B2B" w:rsidRPr="00084B2B" w14:paraId="06306251" w14:textId="77777777" w:rsidTr="0011030B">
        <w:tc>
          <w:tcPr>
            <w:tcW w:w="8201" w:type="dxa"/>
          </w:tcPr>
          <w:p w14:paraId="17633C3D" w14:textId="3C45D39B" w:rsidR="00084B2B" w:rsidRPr="005176BD" w:rsidRDefault="00FB70EC" w:rsidP="003B611A">
            <w:pPr>
              <w:rPr>
                <w:rFonts w:cs="Arial"/>
                <w:sz w:val="20"/>
                <w:szCs w:val="20"/>
                <w:lang w:eastAsia="en-AU"/>
              </w:rPr>
            </w:pPr>
            <w:r w:rsidRPr="005176BD">
              <w:rPr>
                <w:rFonts w:cs="Arial"/>
                <w:sz w:val="20"/>
                <w:szCs w:val="20"/>
                <w:lang w:eastAsia="en-AU"/>
              </w:rPr>
              <w:t xml:space="preserve"> Improvements in physical function and pain sustained for up to 10 years after knee or hip arthroplasty irrespective of mental health status before surgery:</w:t>
            </w:r>
            <w:r w:rsidR="00012F17" w:rsidRPr="005176BD">
              <w:rPr>
                <w:rFonts w:cs="Arial"/>
                <w:sz w:val="20"/>
                <w:szCs w:val="20"/>
                <w:lang w:eastAsia="en-AU"/>
              </w:rPr>
              <w:t xml:space="preserve"> </w:t>
            </w:r>
            <w:r w:rsidRPr="005176BD">
              <w:rPr>
                <w:rFonts w:cs="Arial"/>
                <w:sz w:val="20"/>
                <w:szCs w:val="20"/>
                <w:lang w:eastAsia="en-AU"/>
              </w:rPr>
              <w:t xml:space="preserve">9,737 middle-aged and 9,292 older women from the Australian Longitudinal Study on Women’s Health. </w:t>
            </w:r>
            <w:proofErr w:type="spellStart"/>
            <w:r w:rsidRPr="005176BD">
              <w:rPr>
                <w:rFonts w:cs="Arial"/>
                <w:sz w:val="20"/>
                <w:szCs w:val="20"/>
                <w:lang w:eastAsia="en-AU"/>
              </w:rPr>
              <w:t>Acta</w:t>
            </w:r>
            <w:proofErr w:type="spellEnd"/>
            <w:r w:rsidRPr="005176BD">
              <w:rPr>
                <w:rFonts w:cs="Arial"/>
                <w:sz w:val="20"/>
                <w:szCs w:val="20"/>
                <w:lang w:eastAsia="en-AU"/>
              </w:rPr>
              <w:t xml:space="preserve"> </w:t>
            </w:r>
            <w:proofErr w:type="spellStart"/>
            <w:r w:rsidRPr="005176BD">
              <w:rPr>
                <w:rFonts w:cs="Arial"/>
                <w:sz w:val="20"/>
                <w:szCs w:val="20"/>
                <w:lang w:eastAsia="en-AU"/>
              </w:rPr>
              <w:t>Orthopaedica</w:t>
            </w:r>
            <w:proofErr w:type="spellEnd"/>
            <w:r w:rsidRPr="005176BD">
              <w:rPr>
                <w:rFonts w:cs="Arial"/>
                <w:sz w:val="20"/>
                <w:szCs w:val="20"/>
                <w:lang w:eastAsia="en-AU"/>
              </w:rPr>
              <w:t>, 2017; 8(2): 158-165.</w:t>
            </w:r>
          </w:p>
        </w:tc>
        <w:tc>
          <w:tcPr>
            <w:tcW w:w="4857" w:type="dxa"/>
          </w:tcPr>
          <w:p w14:paraId="550AAD9A" w14:textId="77777777" w:rsidR="00084B2B" w:rsidRPr="005176BD" w:rsidRDefault="00084B2B" w:rsidP="003B611A">
            <w:pPr>
              <w:rPr>
                <w:rFonts w:cs="Arial"/>
                <w:sz w:val="20"/>
                <w:szCs w:val="20"/>
                <w:lang w:eastAsia="en-AU"/>
              </w:rPr>
            </w:pPr>
            <w:r w:rsidRPr="005176BD">
              <w:rPr>
                <w:rFonts w:cs="Arial"/>
                <w:sz w:val="20"/>
                <w:szCs w:val="20"/>
                <w:lang w:eastAsia="en-AU"/>
              </w:rPr>
              <w:t>Peeters G, Rainbird S, Lorimer M, Dobson A, Mishra G &amp; Graves S.</w:t>
            </w:r>
          </w:p>
        </w:tc>
        <w:tc>
          <w:tcPr>
            <w:tcW w:w="797" w:type="dxa"/>
          </w:tcPr>
          <w:p w14:paraId="15B2C4B0" w14:textId="3EB945CB" w:rsidR="00084B2B" w:rsidRPr="005176BD" w:rsidRDefault="00F5504C" w:rsidP="003B611A">
            <w:pPr>
              <w:rPr>
                <w:rFonts w:cs="Arial"/>
                <w:sz w:val="20"/>
                <w:szCs w:val="20"/>
                <w:lang w:eastAsia="en-AU"/>
              </w:rPr>
            </w:pPr>
            <w:r w:rsidRPr="005176BD">
              <w:rPr>
                <w:rFonts w:cs="Arial"/>
                <w:sz w:val="20"/>
                <w:szCs w:val="20"/>
                <w:lang w:eastAsia="en-AU"/>
              </w:rPr>
              <w:t>5</w:t>
            </w:r>
          </w:p>
        </w:tc>
      </w:tr>
      <w:tr w:rsidR="00084B2B" w:rsidRPr="00084B2B" w14:paraId="784847B4" w14:textId="77777777" w:rsidTr="0011030B">
        <w:tc>
          <w:tcPr>
            <w:tcW w:w="8201" w:type="dxa"/>
          </w:tcPr>
          <w:p w14:paraId="093870C1" w14:textId="3728FA6E" w:rsidR="00084B2B" w:rsidRPr="005176BD" w:rsidRDefault="007750D8" w:rsidP="003B611A">
            <w:pPr>
              <w:rPr>
                <w:rFonts w:cs="Arial"/>
                <w:sz w:val="20"/>
                <w:szCs w:val="20"/>
                <w:lang w:eastAsia="en-AU"/>
              </w:rPr>
            </w:pPr>
            <w:r w:rsidRPr="005176BD">
              <w:rPr>
                <w:rFonts w:cs="Arial"/>
                <w:sz w:val="20"/>
                <w:szCs w:val="20"/>
                <w:lang w:eastAsia="en-AU"/>
              </w:rPr>
              <w:t>Walking up to one hour per week maintains mobility as older women age: Findings From an Australian Longitudinal Study. Journal of Aging and Physical Activity, 2017; 25(2): 269-276.</w:t>
            </w:r>
          </w:p>
        </w:tc>
        <w:tc>
          <w:tcPr>
            <w:tcW w:w="4857" w:type="dxa"/>
          </w:tcPr>
          <w:p w14:paraId="554A5FD9" w14:textId="77777777" w:rsidR="00084B2B" w:rsidRPr="005176BD" w:rsidRDefault="00084B2B" w:rsidP="003B611A">
            <w:pPr>
              <w:rPr>
                <w:rFonts w:cs="Arial"/>
                <w:sz w:val="20"/>
                <w:szCs w:val="20"/>
                <w:lang w:eastAsia="en-AU"/>
              </w:rPr>
            </w:pPr>
            <w:r w:rsidRPr="005176BD">
              <w:rPr>
                <w:rFonts w:cs="Arial"/>
                <w:sz w:val="20"/>
                <w:szCs w:val="20"/>
                <w:lang w:eastAsia="en-AU"/>
              </w:rPr>
              <w:t xml:space="preserve">Field B, Cochrane T, Davey R &amp; </w:t>
            </w:r>
            <w:proofErr w:type="spellStart"/>
            <w:r w:rsidRPr="005176BD">
              <w:rPr>
                <w:rFonts w:cs="Arial"/>
                <w:sz w:val="20"/>
                <w:szCs w:val="20"/>
                <w:lang w:eastAsia="en-AU"/>
              </w:rPr>
              <w:t>Kinfu</w:t>
            </w:r>
            <w:proofErr w:type="spellEnd"/>
            <w:r w:rsidRPr="005176BD">
              <w:rPr>
                <w:rFonts w:cs="Arial"/>
                <w:sz w:val="20"/>
                <w:szCs w:val="20"/>
                <w:lang w:eastAsia="en-AU"/>
              </w:rPr>
              <w:t xml:space="preserve"> Y.</w:t>
            </w:r>
          </w:p>
        </w:tc>
        <w:tc>
          <w:tcPr>
            <w:tcW w:w="797" w:type="dxa"/>
          </w:tcPr>
          <w:p w14:paraId="214BE977" w14:textId="2B319847" w:rsidR="00084B2B" w:rsidRPr="005176BD" w:rsidRDefault="00084B2B" w:rsidP="003B611A">
            <w:pPr>
              <w:rPr>
                <w:rFonts w:cs="Arial"/>
                <w:sz w:val="20"/>
                <w:szCs w:val="20"/>
                <w:lang w:eastAsia="en-AU"/>
              </w:rPr>
            </w:pPr>
          </w:p>
        </w:tc>
      </w:tr>
      <w:tr w:rsidR="00084B2B" w:rsidRPr="00084B2B" w14:paraId="510FC966" w14:textId="77777777" w:rsidTr="0011030B">
        <w:tc>
          <w:tcPr>
            <w:tcW w:w="8201" w:type="dxa"/>
          </w:tcPr>
          <w:p w14:paraId="07F3BD8E" w14:textId="396CA30D" w:rsidR="00084B2B" w:rsidRPr="005176BD" w:rsidRDefault="00084B2B" w:rsidP="003B611A">
            <w:pPr>
              <w:rPr>
                <w:rFonts w:cs="Arial"/>
                <w:sz w:val="20"/>
                <w:szCs w:val="20"/>
                <w:lang w:eastAsia="en-AU"/>
              </w:rPr>
            </w:pPr>
            <w:r w:rsidRPr="005176BD">
              <w:rPr>
                <w:rFonts w:cs="Arial"/>
                <w:sz w:val="20"/>
                <w:szCs w:val="20"/>
                <w:lang w:eastAsia="en-AU"/>
              </w:rPr>
              <w:t>Change in physical function among women as they age: Findings from the Australian Longitudinal Study on Women's Health. Quality of Life Research, 2017</w:t>
            </w:r>
            <w:r w:rsidR="00291BE1" w:rsidRPr="005176BD">
              <w:rPr>
                <w:rFonts w:cs="Arial"/>
                <w:sz w:val="20"/>
                <w:szCs w:val="20"/>
                <w:lang w:eastAsia="en-AU"/>
              </w:rPr>
              <w:t>;</w:t>
            </w:r>
            <w:r w:rsidRPr="005176BD">
              <w:rPr>
                <w:rFonts w:cs="Arial"/>
                <w:sz w:val="20"/>
                <w:szCs w:val="20"/>
                <w:lang w:eastAsia="en-AU"/>
              </w:rPr>
              <w:t xml:space="preserve"> 26(4)</w:t>
            </w:r>
            <w:r w:rsidR="00291BE1" w:rsidRPr="005176BD">
              <w:rPr>
                <w:rFonts w:cs="Arial"/>
                <w:sz w:val="20"/>
                <w:szCs w:val="20"/>
                <w:lang w:eastAsia="en-AU"/>
              </w:rPr>
              <w:t xml:space="preserve">: </w:t>
            </w:r>
            <w:r w:rsidRPr="005176BD">
              <w:rPr>
                <w:rFonts w:cs="Arial"/>
                <w:sz w:val="20"/>
                <w:szCs w:val="20"/>
                <w:lang w:eastAsia="en-AU"/>
              </w:rPr>
              <w:t>981-991</w:t>
            </w:r>
            <w:r w:rsidR="00291BE1" w:rsidRPr="005176BD">
              <w:rPr>
                <w:rFonts w:cs="Arial"/>
                <w:sz w:val="20"/>
                <w:szCs w:val="20"/>
                <w:lang w:eastAsia="en-AU"/>
              </w:rPr>
              <w:t>.</w:t>
            </w:r>
          </w:p>
        </w:tc>
        <w:tc>
          <w:tcPr>
            <w:tcW w:w="4857" w:type="dxa"/>
          </w:tcPr>
          <w:p w14:paraId="2CBB9920" w14:textId="77777777" w:rsidR="00084B2B" w:rsidRPr="005176BD" w:rsidRDefault="00084B2B" w:rsidP="003B611A">
            <w:pPr>
              <w:rPr>
                <w:rFonts w:cs="Arial"/>
                <w:sz w:val="20"/>
                <w:szCs w:val="20"/>
                <w:lang w:eastAsia="en-AU"/>
              </w:rPr>
            </w:pPr>
            <w:r w:rsidRPr="005176BD">
              <w:rPr>
                <w:rFonts w:cs="Arial"/>
                <w:sz w:val="20"/>
                <w:szCs w:val="20"/>
                <w:lang w:eastAsia="en-AU"/>
              </w:rPr>
              <w:t>Leigh L, Byles J &amp; Mishra G.</w:t>
            </w:r>
          </w:p>
        </w:tc>
        <w:tc>
          <w:tcPr>
            <w:tcW w:w="797" w:type="dxa"/>
          </w:tcPr>
          <w:p w14:paraId="33EE1E5E" w14:textId="37A832E5" w:rsidR="00084B2B" w:rsidRPr="005176BD" w:rsidRDefault="00F5504C" w:rsidP="003B611A">
            <w:pPr>
              <w:rPr>
                <w:rFonts w:cs="Arial"/>
                <w:sz w:val="20"/>
                <w:szCs w:val="20"/>
                <w:lang w:eastAsia="en-AU"/>
              </w:rPr>
            </w:pPr>
            <w:r w:rsidRPr="005176BD">
              <w:rPr>
                <w:rFonts w:cs="Arial"/>
                <w:sz w:val="20"/>
                <w:szCs w:val="20"/>
                <w:lang w:eastAsia="en-AU"/>
              </w:rPr>
              <w:t>2</w:t>
            </w:r>
          </w:p>
        </w:tc>
      </w:tr>
      <w:tr w:rsidR="00084B2B" w:rsidRPr="00084B2B" w14:paraId="49ED7742" w14:textId="77777777" w:rsidTr="0011030B">
        <w:tc>
          <w:tcPr>
            <w:tcW w:w="8201" w:type="dxa"/>
          </w:tcPr>
          <w:p w14:paraId="65AE324F" w14:textId="5C38F642" w:rsidR="00084B2B" w:rsidRPr="005176BD" w:rsidRDefault="00D43962" w:rsidP="003B611A">
            <w:pPr>
              <w:rPr>
                <w:rFonts w:cs="Arial"/>
                <w:sz w:val="20"/>
                <w:szCs w:val="20"/>
                <w:lang w:eastAsia="en-AU"/>
              </w:rPr>
            </w:pPr>
            <w:r w:rsidRPr="005176BD">
              <w:rPr>
                <w:rFonts w:cs="Arial"/>
                <w:sz w:val="20"/>
                <w:szCs w:val="20"/>
                <w:lang w:eastAsia="en-AU"/>
              </w:rPr>
              <w:t>BMI</w:t>
            </w:r>
            <w:r w:rsidR="00084B2B" w:rsidRPr="005176BD">
              <w:rPr>
                <w:rFonts w:cs="Arial"/>
                <w:sz w:val="20"/>
                <w:szCs w:val="20"/>
                <w:lang w:eastAsia="en-AU"/>
              </w:rPr>
              <w:t xml:space="preserve"> and Healthy Life Expectancy in old and very old women. British Journal of Nutrition, 2016</w:t>
            </w:r>
            <w:r w:rsidR="00291BE1" w:rsidRPr="005176BD">
              <w:rPr>
                <w:rFonts w:cs="Arial"/>
                <w:sz w:val="20"/>
                <w:szCs w:val="20"/>
                <w:lang w:eastAsia="en-AU"/>
              </w:rPr>
              <w:t>;</w:t>
            </w:r>
            <w:r w:rsidR="00084B2B" w:rsidRPr="005176BD">
              <w:rPr>
                <w:rFonts w:cs="Arial"/>
                <w:sz w:val="20"/>
                <w:szCs w:val="20"/>
                <w:lang w:eastAsia="en-AU"/>
              </w:rPr>
              <w:t xml:space="preserve"> 116(4)</w:t>
            </w:r>
            <w:r w:rsidR="00291BE1" w:rsidRPr="005176BD">
              <w:rPr>
                <w:rFonts w:cs="Arial"/>
                <w:sz w:val="20"/>
                <w:szCs w:val="20"/>
                <w:lang w:eastAsia="en-AU"/>
              </w:rPr>
              <w:t xml:space="preserve">: </w:t>
            </w:r>
            <w:r w:rsidR="00084B2B" w:rsidRPr="005176BD">
              <w:rPr>
                <w:rFonts w:cs="Arial"/>
                <w:sz w:val="20"/>
                <w:szCs w:val="20"/>
                <w:lang w:eastAsia="en-AU"/>
              </w:rPr>
              <w:t>692-699</w:t>
            </w:r>
            <w:r w:rsidR="00291BE1" w:rsidRPr="005176BD">
              <w:rPr>
                <w:rFonts w:cs="Arial"/>
                <w:sz w:val="20"/>
                <w:szCs w:val="20"/>
                <w:lang w:eastAsia="en-AU"/>
              </w:rPr>
              <w:t>.</w:t>
            </w:r>
          </w:p>
        </w:tc>
        <w:tc>
          <w:tcPr>
            <w:tcW w:w="4857" w:type="dxa"/>
          </w:tcPr>
          <w:p w14:paraId="66CCDBE3" w14:textId="77777777" w:rsidR="00084B2B" w:rsidRPr="005176BD" w:rsidRDefault="00084B2B" w:rsidP="003B611A">
            <w:pPr>
              <w:rPr>
                <w:rFonts w:cs="Arial"/>
                <w:sz w:val="20"/>
                <w:szCs w:val="20"/>
                <w:lang w:eastAsia="en-AU"/>
              </w:rPr>
            </w:pPr>
            <w:r w:rsidRPr="005176BD">
              <w:rPr>
                <w:rFonts w:cs="Arial"/>
                <w:sz w:val="20"/>
                <w:szCs w:val="20"/>
                <w:lang w:eastAsia="en-AU"/>
              </w:rPr>
              <w:t>Leigh L, Jagger C &amp; Byles J.</w:t>
            </w:r>
          </w:p>
        </w:tc>
        <w:tc>
          <w:tcPr>
            <w:tcW w:w="797" w:type="dxa"/>
          </w:tcPr>
          <w:p w14:paraId="5C1C6F7A" w14:textId="4D3E6D1E" w:rsidR="00084B2B" w:rsidRPr="005176BD" w:rsidRDefault="00F5504C" w:rsidP="003B611A">
            <w:pPr>
              <w:rPr>
                <w:rFonts w:cs="Arial"/>
                <w:sz w:val="20"/>
                <w:szCs w:val="20"/>
                <w:lang w:eastAsia="en-AU"/>
              </w:rPr>
            </w:pPr>
            <w:r w:rsidRPr="005176BD">
              <w:rPr>
                <w:rFonts w:cs="Arial"/>
                <w:sz w:val="20"/>
                <w:szCs w:val="20"/>
                <w:lang w:eastAsia="en-AU"/>
              </w:rPr>
              <w:t>3</w:t>
            </w:r>
          </w:p>
        </w:tc>
      </w:tr>
      <w:tr w:rsidR="00084B2B" w:rsidRPr="00084B2B" w14:paraId="508C0280" w14:textId="77777777" w:rsidTr="0011030B">
        <w:tc>
          <w:tcPr>
            <w:tcW w:w="8201" w:type="dxa"/>
          </w:tcPr>
          <w:p w14:paraId="3604F3F2" w14:textId="3707A34F" w:rsidR="00084B2B" w:rsidRPr="005176BD" w:rsidRDefault="00084B2B" w:rsidP="003B611A">
            <w:pPr>
              <w:rPr>
                <w:rFonts w:cs="Arial"/>
                <w:sz w:val="20"/>
                <w:szCs w:val="20"/>
                <w:lang w:eastAsia="en-AU"/>
              </w:rPr>
            </w:pPr>
            <w:r w:rsidRPr="005176BD">
              <w:rPr>
                <w:rFonts w:cs="Arial"/>
                <w:sz w:val="20"/>
                <w:szCs w:val="20"/>
                <w:lang w:eastAsia="en-AU"/>
              </w:rPr>
              <w:t>Physical activity in mid-age and older women: Lessons from the Australian Longitudinal Study on Women’s Health. Kinesiology Review, 2016</w:t>
            </w:r>
            <w:r w:rsidR="00291BE1" w:rsidRPr="005176BD">
              <w:rPr>
                <w:rFonts w:cs="Arial"/>
                <w:sz w:val="20"/>
                <w:szCs w:val="20"/>
                <w:lang w:eastAsia="en-AU"/>
              </w:rPr>
              <w:t>;</w:t>
            </w:r>
            <w:r w:rsidRPr="005176BD">
              <w:rPr>
                <w:rFonts w:cs="Arial"/>
                <w:sz w:val="20"/>
                <w:szCs w:val="20"/>
                <w:lang w:eastAsia="en-AU"/>
              </w:rPr>
              <w:t xml:space="preserve"> 5(1)</w:t>
            </w:r>
            <w:r w:rsidR="00291BE1" w:rsidRPr="005176BD">
              <w:rPr>
                <w:rFonts w:cs="Arial"/>
                <w:sz w:val="20"/>
                <w:szCs w:val="20"/>
                <w:lang w:eastAsia="en-AU"/>
              </w:rPr>
              <w:t xml:space="preserve">: </w:t>
            </w:r>
            <w:r w:rsidRPr="005176BD">
              <w:rPr>
                <w:rFonts w:cs="Arial"/>
                <w:sz w:val="20"/>
                <w:szCs w:val="20"/>
                <w:lang w:eastAsia="en-AU"/>
              </w:rPr>
              <w:t>87-97</w:t>
            </w:r>
            <w:r w:rsidR="00291BE1" w:rsidRPr="005176BD">
              <w:rPr>
                <w:rFonts w:cs="Arial"/>
                <w:sz w:val="20"/>
                <w:szCs w:val="20"/>
                <w:lang w:eastAsia="en-AU"/>
              </w:rPr>
              <w:t>.</w:t>
            </w:r>
          </w:p>
        </w:tc>
        <w:tc>
          <w:tcPr>
            <w:tcW w:w="4857" w:type="dxa"/>
          </w:tcPr>
          <w:p w14:paraId="770F6400" w14:textId="77777777" w:rsidR="00084B2B" w:rsidRPr="005176BD" w:rsidRDefault="00084B2B" w:rsidP="003B611A">
            <w:pPr>
              <w:rPr>
                <w:rFonts w:cs="Arial"/>
                <w:sz w:val="20"/>
                <w:szCs w:val="20"/>
                <w:lang w:eastAsia="en-AU"/>
              </w:rPr>
            </w:pPr>
            <w:r w:rsidRPr="005176BD">
              <w:rPr>
                <w:rFonts w:cs="Arial"/>
                <w:sz w:val="20"/>
                <w:szCs w:val="20"/>
                <w:lang w:eastAsia="en-AU"/>
              </w:rPr>
              <w:t xml:space="preserve">Brown W &amp; </w:t>
            </w:r>
            <w:proofErr w:type="spellStart"/>
            <w:r w:rsidRPr="005176BD">
              <w:rPr>
                <w:rFonts w:cs="Arial"/>
                <w:sz w:val="20"/>
                <w:szCs w:val="20"/>
                <w:lang w:eastAsia="en-AU"/>
              </w:rPr>
              <w:t>Pavey</w:t>
            </w:r>
            <w:proofErr w:type="spellEnd"/>
            <w:r w:rsidRPr="005176BD">
              <w:rPr>
                <w:rFonts w:cs="Arial"/>
                <w:sz w:val="20"/>
                <w:szCs w:val="20"/>
                <w:lang w:eastAsia="en-AU"/>
              </w:rPr>
              <w:t xml:space="preserve"> T.</w:t>
            </w:r>
          </w:p>
        </w:tc>
        <w:tc>
          <w:tcPr>
            <w:tcW w:w="797" w:type="dxa"/>
          </w:tcPr>
          <w:p w14:paraId="247C5315" w14:textId="22768C55" w:rsidR="00084B2B" w:rsidRPr="005176BD" w:rsidRDefault="00F5504C" w:rsidP="003B611A">
            <w:pPr>
              <w:rPr>
                <w:rFonts w:cs="Arial"/>
                <w:sz w:val="20"/>
                <w:szCs w:val="20"/>
                <w:lang w:eastAsia="en-AU"/>
              </w:rPr>
            </w:pPr>
            <w:r w:rsidRPr="005176BD">
              <w:rPr>
                <w:rFonts w:cs="Arial"/>
                <w:sz w:val="20"/>
                <w:szCs w:val="20"/>
                <w:lang w:eastAsia="en-AU"/>
              </w:rPr>
              <w:t>4</w:t>
            </w:r>
          </w:p>
        </w:tc>
      </w:tr>
      <w:tr w:rsidR="0001154E" w:rsidRPr="00084B2B" w14:paraId="102D56F0" w14:textId="77777777" w:rsidTr="0011030B">
        <w:tc>
          <w:tcPr>
            <w:tcW w:w="8201" w:type="dxa"/>
          </w:tcPr>
          <w:p w14:paraId="392E3F02" w14:textId="4AE7B67F" w:rsidR="0001154E" w:rsidRPr="005176BD" w:rsidRDefault="0001154E" w:rsidP="003B611A">
            <w:pPr>
              <w:rPr>
                <w:rFonts w:cs="Arial"/>
                <w:sz w:val="20"/>
                <w:szCs w:val="20"/>
                <w:lang w:eastAsia="en-AU"/>
              </w:rPr>
            </w:pPr>
            <w:r w:rsidRPr="005176BD">
              <w:rPr>
                <w:rFonts w:cs="Arial"/>
                <w:sz w:val="20"/>
                <w:szCs w:val="20"/>
                <w:lang w:eastAsia="en-AU"/>
              </w:rPr>
              <w:t xml:space="preserve">Comparison of anthropometric measures as predictors of cancer incidence: A pooled collaborative analysis of 11 Australian cohorts. International Journal of Cancer, 2015; 137(7): 1699-1708. </w:t>
            </w:r>
          </w:p>
        </w:tc>
        <w:tc>
          <w:tcPr>
            <w:tcW w:w="4857" w:type="dxa"/>
          </w:tcPr>
          <w:p w14:paraId="3E33FFD3" w14:textId="5DD1DBF9" w:rsidR="0001154E" w:rsidRPr="005176BD" w:rsidRDefault="0001154E" w:rsidP="003B611A">
            <w:pPr>
              <w:rPr>
                <w:rFonts w:cs="Arial"/>
                <w:sz w:val="20"/>
                <w:szCs w:val="20"/>
                <w:lang w:eastAsia="en-AU"/>
              </w:rPr>
            </w:pPr>
            <w:r w:rsidRPr="005176BD">
              <w:rPr>
                <w:rFonts w:cs="Arial"/>
                <w:sz w:val="20"/>
                <w:szCs w:val="20"/>
                <w:lang w:eastAsia="en-AU"/>
              </w:rPr>
              <w:t xml:space="preserve">Harding J, Shaw, J, Anstey K, Adams R, </w:t>
            </w:r>
            <w:proofErr w:type="spellStart"/>
            <w:r w:rsidRPr="005176BD">
              <w:rPr>
                <w:rFonts w:cs="Arial"/>
                <w:sz w:val="20"/>
                <w:szCs w:val="20"/>
                <w:lang w:eastAsia="en-AU"/>
              </w:rPr>
              <w:t>Balkau</w:t>
            </w:r>
            <w:proofErr w:type="spellEnd"/>
            <w:r w:rsidRPr="005176BD">
              <w:rPr>
                <w:rFonts w:cs="Arial"/>
                <w:sz w:val="20"/>
                <w:szCs w:val="20"/>
                <w:lang w:eastAsia="en-AU"/>
              </w:rPr>
              <w:t xml:space="preserve"> B, Brennan-Olsen, </w:t>
            </w:r>
            <w:proofErr w:type="spellStart"/>
            <w:r w:rsidRPr="005176BD">
              <w:rPr>
                <w:rFonts w:cs="Arial"/>
                <w:sz w:val="20"/>
                <w:szCs w:val="20"/>
                <w:lang w:eastAsia="en-AU"/>
              </w:rPr>
              <w:t>Briffa</w:t>
            </w:r>
            <w:proofErr w:type="spellEnd"/>
            <w:r w:rsidRPr="005176BD">
              <w:rPr>
                <w:rFonts w:cs="Arial"/>
                <w:sz w:val="20"/>
                <w:szCs w:val="20"/>
                <w:lang w:eastAsia="en-AU"/>
              </w:rPr>
              <w:t xml:space="preserve"> T, Davis TM, Davis WA, Dobson A, Flicker L, Giles G, Grant J, Huxley R, </w:t>
            </w:r>
            <w:proofErr w:type="spellStart"/>
            <w:r w:rsidRPr="005176BD">
              <w:rPr>
                <w:rFonts w:cs="Arial"/>
                <w:sz w:val="20"/>
                <w:szCs w:val="20"/>
                <w:lang w:eastAsia="en-AU"/>
              </w:rPr>
              <w:t>Knuiman</w:t>
            </w:r>
            <w:proofErr w:type="spellEnd"/>
            <w:r w:rsidRPr="005176BD">
              <w:rPr>
                <w:rFonts w:cs="Arial"/>
                <w:sz w:val="20"/>
                <w:szCs w:val="20"/>
                <w:lang w:eastAsia="en-AU"/>
              </w:rPr>
              <w:t xml:space="preserve"> M, </w:t>
            </w:r>
            <w:proofErr w:type="spellStart"/>
            <w:r w:rsidRPr="005176BD">
              <w:rPr>
                <w:rFonts w:cs="Arial"/>
                <w:sz w:val="20"/>
                <w:szCs w:val="20"/>
                <w:lang w:eastAsia="en-AU"/>
              </w:rPr>
              <w:t>Luszcz</w:t>
            </w:r>
            <w:proofErr w:type="spellEnd"/>
            <w:r w:rsidRPr="005176BD">
              <w:rPr>
                <w:rFonts w:cs="Arial"/>
                <w:sz w:val="20"/>
                <w:szCs w:val="20"/>
                <w:lang w:eastAsia="en-AU"/>
              </w:rPr>
              <w:t xml:space="preserve"> M, </w:t>
            </w:r>
            <w:proofErr w:type="spellStart"/>
            <w:r w:rsidRPr="005176BD">
              <w:rPr>
                <w:rFonts w:cs="Arial"/>
                <w:sz w:val="20"/>
                <w:szCs w:val="20"/>
                <w:lang w:eastAsia="en-AU"/>
              </w:rPr>
              <w:t>MacInnis</w:t>
            </w:r>
            <w:proofErr w:type="spellEnd"/>
            <w:r w:rsidRPr="005176BD">
              <w:rPr>
                <w:rFonts w:cs="Arial"/>
                <w:sz w:val="20"/>
                <w:szCs w:val="20"/>
                <w:lang w:eastAsia="en-AU"/>
              </w:rPr>
              <w:t xml:space="preserve"> RJ, Mitchell P, Pasco JA, Reid C, Simmons D, Simons L, Tonkin A, Woodward M, Peeters A &amp; </w:t>
            </w:r>
            <w:proofErr w:type="spellStart"/>
            <w:r w:rsidRPr="005176BD">
              <w:rPr>
                <w:rFonts w:cs="Arial"/>
                <w:sz w:val="20"/>
                <w:szCs w:val="20"/>
                <w:lang w:eastAsia="en-AU"/>
              </w:rPr>
              <w:t>Magliano</w:t>
            </w:r>
            <w:proofErr w:type="spellEnd"/>
            <w:r w:rsidRPr="005176BD">
              <w:rPr>
                <w:rFonts w:cs="Arial"/>
                <w:sz w:val="20"/>
                <w:szCs w:val="20"/>
                <w:lang w:eastAsia="en-AU"/>
              </w:rPr>
              <w:t xml:space="preserve"> D.</w:t>
            </w:r>
          </w:p>
        </w:tc>
        <w:tc>
          <w:tcPr>
            <w:tcW w:w="797" w:type="dxa"/>
          </w:tcPr>
          <w:p w14:paraId="6BEA2228" w14:textId="7BE59F41" w:rsidR="0001154E" w:rsidRPr="005176BD" w:rsidRDefault="0001154E" w:rsidP="003B611A">
            <w:pPr>
              <w:rPr>
                <w:rFonts w:cs="Arial"/>
                <w:sz w:val="20"/>
                <w:szCs w:val="20"/>
                <w:lang w:eastAsia="en-AU"/>
              </w:rPr>
            </w:pPr>
            <w:r w:rsidRPr="005176BD">
              <w:rPr>
                <w:rFonts w:cs="Arial"/>
                <w:sz w:val="20"/>
                <w:szCs w:val="20"/>
                <w:lang w:eastAsia="en-AU"/>
              </w:rPr>
              <w:t>16</w:t>
            </w:r>
          </w:p>
        </w:tc>
      </w:tr>
      <w:tr w:rsidR="0001154E" w:rsidRPr="00084B2B" w14:paraId="0DC58388" w14:textId="77777777" w:rsidTr="0011030B">
        <w:tc>
          <w:tcPr>
            <w:tcW w:w="8201" w:type="dxa"/>
          </w:tcPr>
          <w:p w14:paraId="366CF926" w14:textId="63EB4443" w:rsidR="0001154E" w:rsidRPr="005176BD" w:rsidRDefault="00291BE1" w:rsidP="003B611A">
            <w:pPr>
              <w:rPr>
                <w:rFonts w:cs="Arial"/>
                <w:sz w:val="20"/>
                <w:szCs w:val="20"/>
                <w:lang w:eastAsia="en-AU"/>
              </w:rPr>
            </w:pPr>
            <w:r w:rsidRPr="005176BD">
              <w:rPr>
                <w:rFonts w:cs="Arial"/>
                <w:sz w:val="20"/>
                <w:szCs w:val="20"/>
                <w:lang w:eastAsia="en-AU"/>
              </w:rPr>
              <w:t>Changes in physical functioning over 6 years in older women: Effects of sitting time and physical activity. European Journal of Ageing, 2014; 11(3): 205-212.</w:t>
            </w:r>
          </w:p>
        </w:tc>
        <w:tc>
          <w:tcPr>
            <w:tcW w:w="4857" w:type="dxa"/>
          </w:tcPr>
          <w:p w14:paraId="0D9EF6FB" w14:textId="77777777" w:rsidR="0001154E" w:rsidRPr="005176BD" w:rsidRDefault="0001154E" w:rsidP="003B611A">
            <w:pPr>
              <w:rPr>
                <w:rFonts w:cs="Arial"/>
                <w:sz w:val="20"/>
                <w:szCs w:val="20"/>
                <w:lang w:eastAsia="en-AU"/>
              </w:rPr>
            </w:pPr>
            <w:r w:rsidRPr="005176BD">
              <w:rPr>
                <w:rFonts w:cs="Arial"/>
                <w:sz w:val="20"/>
                <w:szCs w:val="20"/>
                <w:lang w:eastAsia="en-AU"/>
              </w:rPr>
              <w:t>Peeters G, Lips P &amp; Brown WJ.</w:t>
            </w:r>
          </w:p>
        </w:tc>
        <w:tc>
          <w:tcPr>
            <w:tcW w:w="797" w:type="dxa"/>
          </w:tcPr>
          <w:p w14:paraId="2675BC4C" w14:textId="2A734296" w:rsidR="0001154E" w:rsidRPr="005176BD" w:rsidRDefault="0001154E" w:rsidP="003B611A">
            <w:pPr>
              <w:rPr>
                <w:rFonts w:cs="Arial"/>
                <w:sz w:val="20"/>
                <w:szCs w:val="20"/>
                <w:lang w:eastAsia="en-AU"/>
              </w:rPr>
            </w:pPr>
            <w:r w:rsidRPr="005176BD">
              <w:rPr>
                <w:rFonts w:cs="Arial"/>
                <w:sz w:val="20"/>
                <w:szCs w:val="20"/>
                <w:lang w:eastAsia="en-AU"/>
              </w:rPr>
              <w:t>6</w:t>
            </w:r>
          </w:p>
        </w:tc>
      </w:tr>
      <w:tr w:rsidR="0001154E" w:rsidRPr="00084B2B" w14:paraId="7D2A142C" w14:textId="77777777" w:rsidTr="0011030B">
        <w:tc>
          <w:tcPr>
            <w:tcW w:w="8201" w:type="dxa"/>
          </w:tcPr>
          <w:p w14:paraId="6D53BCAA" w14:textId="78799EB4" w:rsidR="0001154E" w:rsidRPr="005176BD" w:rsidRDefault="0001154E" w:rsidP="003B611A">
            <w:pPr>
              <w:rPr>
                <w:rFonts w:cs="Arial"/>
                <w:sz w:val="20"/>
                <w:szCs w:val="20"/>
                <w:lang w:eastAsia="en-AU"/>
              </w:rPr>
            </w:pPr>
            <w:r w:rsidRPr="005176BD">
              <w:rPr>
                <w:rFonts w:cs="Arial"/>
                <w:sz w:val="20"/>
                <w:szCs w:val="20"/>
                <w:lang w:eastAsia="en-AU"/>
              </w:rPr>
              <w:t xml:space="preserve">Contribution of house and garden work to the association between physical activity and well-being in young, mid-aged and older women. British Journal of Sports Medicine, </w:t>
            </w:r>
            <w:r w:rsidR="00291BE1" w:rsidRPr="005176BD">
              <w:rPr>
                <w:rFonts w:cs="Arial"/>
                <w:sz w:val="20"/>
                <w:szCs w:val="20"/>
                <w:lang w:eastAsia="en-AU"/>
              </w:rPr>
              <w:t xml:space="preserve">2014; </w:t>
            </w:r>
            <w:r w:rsidRPr="005176BD">
              <w:rPr>
                <w:rFonts w:cs="Arial"/>
                <w:sz w:val="20"/>
                <w:szCs w:val="20"/>
                <w:lang w:eastAsia="en-AU"/>
              </w:rPr>
              <w:t>48(12)</w:t>
            </w:r>
            <w:r w:rsidR="00291BE1" w:rsidRPr="005176BD">
              <w:rPr>
                <w:rFonts w:cs="Arial"/>
                <w:sz w:val="20"/>
                <w:szCs w:val="20"/>
                <w:lang w:eastAsia="en-AU"/>
              </w:rPr>
              <w:t>:</w:t>
            </w:r>
            <w:r w:rsidRPr="005176BD">
              <w:rPr>
                <w:rFonts w:cs="Arial"/>
                <w:sz w:val="20"/>
                <w:szCs w:val="20"/>
                <w:lang w:eastAsia="en-AU"/>
              </w:rPr>
              <w:t xml:space="preserve"> 996-1001.</w:t>
            </w:r>
          </w:p>
        </w:tc>
        <w:tc>
          <w:tcPr>
            <w:tcW w:w="4857" w:type="dxa"/>
          </w:tcPr>
          <w:p w14:paraId="4079B1CE" w14:textId="77777777" w:rsidR="0001154E" w:rsidRPr="005176BD" w:rsidRDefault="0001154E" w:rsidP="003B611A">
            <w:pPr>
              <w:rPr>
                <w:rFonts w:cs="Arial"/>
                <w:sz w:val="20"/>
                <w:szCs w:val="20"/>
                <w:lang w:eastAsia="en-AU"/>
              </w:rPr>
            </w:pPr>
            <w:r w:rsidRPr="005176BD">
              <w:rPr>
                <w:rFonts w:cs="Arial"/>
                <w:sz w:val="20"/>
                <w:szCs w:val="20"/>
                <w:lang w:eastAsia="en-AU"/>
              </w:rPr>
              <w:t xml:space="preserve">Peeters G, van </w:t>
            </w:r>
            <w:proofErr w:type="spellStart"/>
            <w:r w:rsidRPr="005176BD">
              <w:rPr>
                <w:rFonts w:cs="Arial"/>
                <w:sz w:val="20"/>
                <w:szCs w:val="20"/>
                <w:lang w:eastAsia="en-AU"/>
              </w:rPr>
              <w:t>Gellecum</w:t>
            </w:r>
            <w:proofErr w:type="spellEnd"/>
            <w:r w:rsidRPr="005176BD">
              <w:rPr>
                <w:rFonts w:cs="Arial"/>
                <w:sz w:val="20"/>
                <w:szCs w:val="20"/>
                <w:lang w:eastAsia="en-AU"/>
              </w:rPr>
              <w:t xml:space="preserve"> Y, van </w:t>
            </w:r>
            <w:proofErr w:type="spellStart"/>
            <w:r w:rsidRPr="005176BD">
              <w:rPr>
                <w:rFonts w:cs="Arial"/>
                <w:sz w:val="20"/>
                <w:szCs w:val="20"/>
                <w:lang w:eastAsia="en-AU"/>
              </w:rPr>
              <w:t>Uffelen</w:t>
            </w:r>
            <w:proofErr w:type="spellEnd"/>
            <w:r w:rsidRPr="005176BD">
              <w:rPr>
                <w:rFonts w:cs="Arial"/>
                <w:sz w:val="20"/>
                <w:szCs w:val="20"/>
                <w:lang w:eastAsia="en-AU"/>
              </w:rPr>
              <w:t xml:space="preserve"> J, Burton N &amp; Brown WJ.</w:t>
            </w:r>
          </w:p>
        </w:tc>
        <w:tc>
          <w:tcPr>
            <w:tcW w:w="797" w:type="dxa"/>
          </w:tcPr>
          <w:p w14:paraId="17A702FB" w14:textId="4F9CFD02" w:rsidR="0001154E" w:rsidRPr="005176BD" w:rsidRDefault="0001154E" w:rsidP="003B611A">
            <w:pPr>
              <w:rPr>
                <w:rFonts w:cs="Arial"/>
                <w:sz w:val="20"/>
                <w:szCs w:val="20"/>
                <w:lang w:eastAsia="en-AU"/>
              </w:rPr>
            </w:pPr>
            <w:r w:rsidRPr="005176BD">
              <w:rPr>
                <w:rFonts w:cs="Arial"/>
                <w:sz w:val="20"/>
                <w:szCs w:val="20"/>
                <w:lang w:eastAsia="en-AU"/>
              </w:rPr>
              <w:t>14</w:t>
            </w:r>
          </w:p>
        </w:tc>
      </w:tr>
      <w:tr w:rsidR="0001154E" w:rsidRPr="00A04D4E" w14:paraId="2CA77C5F" w14:textId="77777777" w:rsidTr="0011030B">
        <w:trPr>
          <w:trHeight w:val="441"/>
        </w:trPr>
        <w:tc>
          <w:tcPr>
            <w:tcW w:w="8201" w:type="dxa"/>
          </w:tcPr>
          <w:p w14:paraId="733EE3F5" w14:textId="654DA0D0" w:rsidR="0001154E" w:rsidRPr="005176BD" w:rsidRDefault="0001154E" w:rsidP="003B611A">
            <w:pPr>
              <w:rPr>
                <w:rFonts w:cs="Arial"/>
                <w:sz w:val="20"/>
                <w:szCs w:val="20"/>
                <w:lang w:eastAsia="en-AU"/>
              </w:rPr>
            </w:pPr>
            <w:r w:rsidRPr="005176BD">
              <w:rPr>
                <w:rFonts w:cs="Arial"/>
                <w:sz w:val="20"/>
                <w:szCs w:val="20"/>
                <w:lang w:eastAsia="en-AU"/>
              </w:rPr>
              <w:lastRenderedPageBreak/>
              <w:t>Weight gain, overweight, and obesity: Determinants and health outcomes from the Australian Longitudinal Study on Women’s Health. Current Obesity Report</w:t>
            </w:r>
            <w:r w:rsidR="00291BE1" w:rsidRPr="005176BD">
              <w:rPr>
                <w:rFonts w:cs="Arial"/>
                <w:sz w:val="20"/>
                <w:szCs w:val="20"/>
                <w:lang w:eastAsia="en-AU"/>
              </w:rPr>
              <w:t xml:space="preserve">s, </w:t>
            </w:r>
            <w:r w:rsidRPr="005176BD">
              <w:rPr>
                <w:rFonts w:cs="Arial"/>
                <w:sz w:val="20"/>
                <w:szCs w:val="20"/>
                <w:lang w:eastAsia="en-AU"/>
              </w:rPr>
              <w:t>2014</w:t>
            </w:r>
            <w:r w:rsidR="00291BE1" w:rsidRPr="005176BD">
              <w:rPr>
                <w:rFonts w:cs="Arial"/>
                <w:sz w:val="20"/>
                <w:szCs w:val="20"/>
                <w:lang w:eastAsia="en-AU"/>
              </w:rPr>
              <w:t>;</w:t>
            </w:r>
            <w:r w:rsidRPr="005176BD">
              <w:rPr>
                <w:rFonts w:cs="Arial"/>
                <w:sz w:val="20"/>
                <w:szCs w:val="20"/>
                <w:lang w:eastAsia="en-AU"/>
              </w:rPr>
              <w:t xml:space="preserve"> 3(1)</w:t>
            </w:r>
            <w:r w:rsidR="00291BE1" w:rsidRPr="005176BD">
              <w:rPr>
                <w:rFonts w:cs="Arial"/>
                <w:sz w:val="20"/>
                <w:szCs w:val="20"/>
                <w:lang w:eastAsia="en-AU"/>
              </w:rPr>
              <w:t>:</w:t>
            </w:r>
            <w:r w:rsidRPr="005176BD">
              <w:rPr>
                <w:rFonts w:cs="Arial"/>
                <w:sz w:val="20"/>
                <w:szCs w:val="20"/>
                <w:lang w:eastAsia="en-AU"/>
              </w:rPr>
              <w:t xml:space="preserve"> 46-53</w:t>
            </w:r>
            <w:r w:rsidR="00291BE1" w:rsidRPr="005176BD">
              <w:rPr>
                <w:rFonts w:cs="Arial"/>
                <w:sz w:val="20"/>
                <w:szCs w:val="20"/>
                <w:lang w:eastAsia="en-AU"/>
              </w:rPr>
              <w:t>.</w:t>
            </w:r>
          </w:p>
        </w:tc>
        <w:tc>
          <w:tcPr>
            <w:tcW w:w="4857" w:type="dxa"/>
          </w:tcPr>
          <w:p w14:paraId="4EBC2789"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Gomersall</w:t>
            </w:r>
            <w:proofErr w:type="spellEnd"/>
            <w:r w:rsidRPr="005176BD">
              <w:rPr>
                <w:rFonts w:cs="Arial"/>
                <w:sz w:val="20"/>
                <w:szCs w:val="20"/>
                <w:lang w:eastAsia="en-AU"/>
              </w:rPr>
              <w:t xml:space="preserve"> S, Dobson A &amp; Brown W</w:t>
            </w:r>
          </w:p>
        </w:tc>
        <w:tc>
          <w:tcPr>
            <w:tcW w:w="797" w:type="dxa"/>
          </w:tcPr>
          <w:p w14:paraId="2345A496" w14:textId="58CBBF29" w:rsidR="0001154E" w:rsidRPr="005176BD" w:rsidRDefault="0001154E" w:rsidP="003B611A">
            <w:pPr>
              <w:rPr>
                <w:rFonts w:cs="Arial"/>
                <w:sz w:val="20"/>
                <w:szCs w:val="20"/>
                <w:lang w:eastAsia="en-AU"/>
              </w:rPr>
            </w:pPr>
            <w:r w:rsidRPr="005176BD">
              <w:rPr>
                <w:rFonts w:cs="Arial"/>
                <w:sz w:val="20"/>
                <w:szCs w:val="20"/>
                <w:lang w:eastAsia="en-AU"/>
              </w:rPr>
              <w:t>16</w:t>
            </w:r>
          </w:p>
        </w:tc>
      </w:tr>
      <w:tr w:rsidR="0001154E" w:rsidRPr="00084B2B" w14:paraId="73A2436C" w14:textId="77777777" w:rsidTr="0011030B">
        <w:tc>
          <w:tcPr>
            <w:tcW w:w="8201" w:type="dxa"/>
          </w:tcPr>
          <w:p w14:paraId="5254D6A4" w14:textId="5B42C4B0" w:rsidR="0001154E" w:rsidRPr="005176BD" w:rsidRDefault="0001154E" w:rsidP="003B611A">
            <w:pPr>
              <w:rPr>
                <w:rFonts w:cs="Arial"/>
                <w:sz w:val="20"/>
                <w:szCs w:val="20"/>
                <w:lang w:eastAsia="en-AU"/>
              </w:rPr>
            </w:pPr>
            <w:r w:rsidRPr="005176BD">
              <w:rPr>
                <w:rFonts w:cs="Arial"/>
                <w:sz w:val="20"/>
                <w:szCs w:val="20"/>
                <w:lang w:eastAsia="en-AU"/>
              </w:rPr>
              <w:t xml:space="preserve">A life-course perspective on physical functioning in women. Bulletin of the World Health Organization, </w:t>
            </w:r>
            <w:r w:rsidR="00291BE1" w:rsidRPr="005176BD">
              <w:rPr>
                <w:rFonts w:cs="Arial"/>
                <w:sz w:val="20"/>
                <w:szCs w:val="20"/>
                <w:lang w:eastAsia="en-AU"/>
              </w:rPr>
              <w:t xml:space="preserve">2013; </w:t>
            </w:r>
            <w:r w:rsidRPr="005176BD">
              <w:rPr>
                <w:rFonts w:cs="Arial"/>
                <w:sz w:val="20"/>
                <w:szCs w:val="20"/>
                <w:lang w:eastAsia="en-AU"/>
              </w:rPr>
              <w:t>91(9): 661-670.</w:t>
            </w:r>
          </w:p>
        </w:tc>
        <w:tc>
          <w:tcPr>
            <w:tcW w:w="4857" w:type="dxa"/>
          </w:tcPr>
          <w:p w14:paraId="1BBB38C2" w14:textId="77777777" w:rsidR="0001154E" w:rsidRPr="005176BD" w:rsidRDefault="0001154E" w:rsidP="003B611A">
            <w:pPr>
              <w:rPr>
                <w:rFonts w:cs="Arial"/>
                <w:sz w:val="20"/>
                <w:szCs w:val="20"/>
                <w:lang w:eastAsia="en-AU"/>
              </w:rPr>
            </w:pPr>
            <w:r w:rsidRPr="005176BD">
              <w:rPr>
                <w:rFonts w:cs="Arial"/>
                <w:sz w:val="20"/>
                <w:szCs w:val="20"/>
                <w:lang w:eastAsia="en-AU"/>
              </w:rPr>
              <w:t xml:space="preserve">Peeters G, Dobson A, </w:t>
            </w:r>
            <w:proofErr w:type="spellStart"/>
            <w:r w:rsidRPr="005176BD">
              <w:rPr>
                <w:rFonts w:cs="Arial"/>
                <w:sz w:val="20"/>
                <w:szCs w:val="20"/>
                <w:lang w:eastAsia="en-AU"/>
              </w:rPr>
              <w:t>Deeg</w:t>
            </w:r>
            <w:proofErr w:type="spellEnd"/>
            <w:r w:rsidRPr="005176BD">
              <w:rPr>
                <w:rFonts w:cs="Arial"/>
                <w:sz w:val="20"/>
                <w:szCs w:val="20"/>
                <w:lang w:eastAsia="en-AU"/>
              </w:rPr>
              <w:t xml:space="preserve"> D &amp; Brown WJ.</w:t>
            </w:r>
          </w:p>
        </w:tc>
        <w:tc>
          <w:tcPr>
            <w:tcW w:w="797" w:type="dxa"/>
          </w:tcPr>
          <w:p w14:paraId="787D2285" w14:textId="2FD1FAAA" w:rsidR="0001154E" w:rsidRPr="005176BD" w:rsidRDefault="0001154E" w:rsidP="003B611A">
            <w:pPr>
              <w:rPr>
                <w:rFonts w:cs="Arial"/>
                <w:sz w:val="20"/>
                <w:szCs w:val="20"/>
                <w:lang w:eastAsia="en-AU"/>
              </w:rPr>
            </w:pPr>
            <w:r w:rsidRPr="005176BD">
              <w:rPr>
                <w:rFonts w:cs="Arial"/>
                <w:sz w:val="20"/>
                <w:szCs w:val="20"/>
                <w:lang w:eastAsia="en-AU"/>
              </w:rPr>
              <w:t>42</w:t>
            </w:r>
          </w:p>
        </w:tc>
      </w:tr>
      <w:tr w:rsidR="0001154E" w:rsidRPr="00084B2B" w14:paraId="4CF88B48" w14:textId="77777777" w:rsidTr="0011030B">
        <w:tc>
          <w:tcPr>
            <w:tcW w:w="8201" w:type="dxa"/>
          </w:tcPr>
          <w:p w14:paraId="330170DC" w14:textId="6D295C9E" w:rsidR="0001154E" w:rsidRPr="005176BD" w:rsidRDefault="0001154E" w:rsidP="003B611A">
            <w:pPr>
              <w:rPr>
                <w:rFonts w:cs="Arial"/>
                <w:sz w:val="20"/>
                <w:szCs w:val="20"/>
                <w:lang w:eastAsia="en-AU"/>
              </w:rPr>
            </w:pPr>
            <w:r w:rsidRPr="005176BD">
              <w:rPr>
                <w:rFonts w:cs="Arial"/>
                <w:sz w:val="20"/>
                <w:szCs w:val="20"/>
                <w:lang w:eastAsia="en-AU"/>
              </w:rPr>
              <w:t xml:space="preserve">Prevalence correlates and impact of </w:t>
            </w:r>
            <w:proofErr w:type="spellStart"/>
            <w:r w:rsidRPr="005176BD">
              <w:rPr>
                <w:rFonts w:cs="Arial"/>
                <w:sz w:val="20"/>
                <w:szCs w:val="20"/>
                <w:lang w:eastAsia="en-AU"/>
              </w:rPr>
              <w:t>fecal</w:t>
            </w:r>
            <w:proofErr w:type="spellEnd"/>
            <w:r w:rsidRPr="005176BD">
              <w:rPr>
                <w:rFonts w:cs="Arial"/>
                <w:sz w:val="20"/>
                <w:szCs w:val="20"/>
                <w:lang w:eastAsia="en-AU"/>
              </w:rPr>
              <w:t xml:space="preserve"> incontinence among older women. Diseases of the Colon and Rectum, </w:t>
            </w:r>
            <w:r w:rsidR="00291BE1" w:rsidRPr="005176BD">
              <w:rPr>
                <w:rFonts w:cs="Arial"/>
                <w:sz w:val="20"/>
                <w:szCs w:val="20"/>
                <w:lang w:eastAsia="en-AU"/>
              </w:rPr>
              <w:t xml:space="preserve">2013; </w:t>
            </w:r>
            <w:r w:rsidRPr="005176BD">
              <w:rPr>
                <w:rFonts w:cs="Arial"/>
                <w:sz w:val="20"/>
                <w:szCs w:val="20"/>
                <w:lang w:eastAsia="en-AU"/>
              </w:rPr>
              <w:t>56(9)</w:t>
            </w:r>
            <w:r w:rsidR="00291BE1" w:rsidRPr="005176BD">
              <w:rPr>
                <w:rFonts w:cs="Arial"/>
                <w:sz w:val="20"/>
                <w:szCs w:val="20"/>
                <w:lang w:eastAsia="en-AU"/>
              </w:rPr>
              <w:t>:</w:t>
            </w:r>
            <w:r w:rsidRPr="005176BD">
              <w:rPr>
                <w:rFonts w:cs="Arial"/>
                <w:sz w:val="20"/>
                <w:szCs w:val="20"/>
                <w:lang w:eastAsia="en-AU"/>
              </w:rPr>
              <w:t xml:space="preserve"> 1080-1086. </w:t>
            </w:r>
          </w:p>
        </w:tc>
        <w:tc>
          <w:tcPr>
            <w:tcW w:w="4857" w:type="dxa"/>
          </w:tcPr>
          <w:p w14:paraId="59536DAE" w14:textId="4E26EB2C" w:rsidR="0001154E" w:rsidRPr="005176BD" w:rsidRDefault="0001154E" w:rsidP="003B611A">
            <w:pPr>
              <w:rPr>
                <w:rFonts w:cs="Arial"/>
                <w:sz w:val="20"/>
                <w:szCs w:val="20"/>
                <w:lang w:eastAsia="en-AU"/>
              </w:rPr>
            </w:pPr>
            <w:proofErr w:type="spellStart"/>
            <w:r w:rsidRPr="005176BD">
              <w:rPr>
                <w:rFonts w:cs="Arial"/>
                <w:sz w:val="20"/>
                <w:szCs w:val="20"/>
                <w:lang w:eastAsia="en-AU"/>
              </w:rPr>
              <w:t>Halland</w:t>
            </w:r>
            <w:proofErr w:type="spellEnd"/>
            <w:r w:rsidRPr="005176BD">
              <w:rPr>
                <w:rFonts w:cs="Arial"/>
                <w:sz w:val="20"/>
                <w:szCs w:val="20"/>
                <w:lang w:eastAsia="en-AU"/>
              </w:rPr>
              <w:t xml:space="preserve"> M, </w:t>
            </w:r>
            <w:proofErr w:type="spellStart"/>
            <w:r w:rsidRPr="005176BD">
              <w:rPr>
                <w:rFonts w:cs="Arial"/>
                <w:sz w:val="20"/>
                <w:szCs w:val="20"/>
                <w:lang w:eastAsia="en-AU"/>
              </w:rPr>
              <w:t>Koloski</w:t>
            </w:r>
            <w:proofErr w:type="spellEnd"/>
            <w:r w:rsidRPr="005176BD">
              <w:rPr>
                <w:rFonts w:cs="Arial"/>
                <w:sz w:val="20"/>
                <w:szCs w:val="20"/>
                <w:lang w:eastAsia="en-AU"/>
              </w:rPr>
              <w:t xml:space="preserve"> N, Jones M, Byles J, </w:t>
            </w:r>
            <w:proofErr w:type="spellStart"/>
            <w:r w:rsidRPr="005176BD">
              <w:rPr>
                <w:rFonts w:cs="Arial"/>
                <w:sz w:val="20"/>
                <w:szCs w:val="20"/>
                <w:lang w:eastAsia="en-AU"/>
              </w:rPr>
              <w:t>Chiarelli</w:t>
            </w:r>
            <w:proofErr w:type="spellEnd"/>
            <w:r w:rsidRPr="005176BD">
              <w:rPr>
                <w:rFonts w:cs="Arial"/>
                <w:sz w:val="20"/>
                <w:szCs w:val="20"/>
                <w:lang w:eastAsia="en-AU"/>
              </w:rPr>
              <w:t xml:space="preserve"> P, Forder P&amp; Talley N.</w:t>
            </w:r>
          </w:p>
        </w:tc>
        <w:tc>
          <w:tcPr>
            <w:tcW w:w="797" w:type="dxa"/>
          </w:tcPr>
          <w:p w14:paraId="70A38A2B" w14:textId="283F07F0" w:rsidR="0001154E" w:rsidRPr="005176BD" w:rsidRDefault="0001154E" w:rsidP="003B611A">
            <w:pPr>
              <w:rPr>
                <w:rFonts w:cs="Arial"/>
                <w:sz w:val="20"/>
                <w:szCs w:val="20"/>
                <w:lang w:eastAsia="en-AU"/>
              </w:rPr>
            </w:pPr>
            <w:r w:rsidRPr="005176BD">
              <w:rPr>
                <w:rFonts w:cs="Arial"/>
                <w:sz w:val="20"/>
                <w:szCs w:val="20"/>
                <w:lang w:eastAsia="en-AU"/>
              </w:rPr>
              <w:t>28</w:t>
            </w:r>
          </w:p>
        </w:tc>
      </w:tr>
      <w:tr w:rsidR="0001154E" w:rsidRPr="00A04D4E" w14:paraId="74FEE8A3" w14:textId="77777777" w:rsidTr="0011030B">
        <w:tc>
          <w:tcPr>
            <w:tcW w:w="8201" w:type="dxa"/>
          </w:tcPr>
          <w:p w14:paraId="502ED86E" w14:textId="49DF1E28" w:rsidR="0001154E" w:rsidRPr="005176BD" w:rsidRDefault="0001154E" w:rsidP="003B611A">
            <w:pPr>
              <w:rPr>
                <w:rFonts w:cs="Arial"/>
                <w:sz w:val="20"/>
                <w:szCs w:val="20"/>
                <w:lang w:eastAsia="en-AU"/>
              </w:rPr>
            </w:pPr>
            <w:r w:rsidRPr="005176BD">
              <w:rPr>
                <w:rFonts w:cs="Arial"/>
                <w:sz w:val="20"/>
                <w:szCs w:val="20"/>
                <w:lang w:eastAsia="en-AU"/>
              </w:rPr>
              <w:t>Physical activity and all-cause mortality in older women and men. British Journal of Sports Medicine, 2012</w:t>
            </w:r>
            <w:r w:rsidR="00291BE1" w:rsidRPr="005176BD">
              <w:rPr>
                <w:rFonts w:cs="Arial"/>
                <w:sz w:val="20"/>
                <w:szCs w:val="20"/>
                <w:lang w:eastAsia="en-AU"/>
              </w:rPr>
              <w:t>;</w:t>
            </w:r>
            <w:r w:rsidRPr="005176BD">
              <w:rPr>
                <w:rFonts w:cs="Arial"/>
                <w:sz w:val="20"/>
                <w:szCs w:val="20"/>
                <w:lang w:eastAsia="en-AU"/>
              </w:rPr>
              <w:t xml:space="preserve"> 46(9)</w:t>
            </w:r>
            <w:r w:rsidR="00291BE1" w:rsidRPr="005176BD">
              <w:rPr>
                <w:rFonts w:cs="Arial"/>
                <w:sz w:val="20"/>
                <w:szCs w:val="20"/>
                <w:lang w:eastAsia="en-AU"/>
              </w:rPr>
              <w:t xml:space="preserve">: </w:t>
            </w:r>
            <w:r w:rsidRPr="005176BD">
              <w:rPr>
                <w:rFonts w:cs="Arial"/>
                <w:sz w:val="20"/>
                <w:szCs w:val="20"/>
                <w:lang w:eastAsia="en-AU"/>
              </w:rPr>
              <w:t xml:space="preserve">664-668. </w:t>
            </w:r>
          </w:p>
        </w:tc>
        <w:tc>
          <w:tcPr>
            <w:tcW w:w="4857" w:type="dxa"/>
          </w:tcPr>
          <w:p w14:paraId="3031D9A4" w14:textId="77777777" w:rsidR="0001154E" w:rsidRPr="005176BD" w:rsidRDefault="0001154E" w:rsidP="003B611A">
            <w:pPr>
              <w:rPr>
                <w:rFonts w:cs="Arial"/>
                <w:sz w:val="20"/>
                <w:szCs w:val="20"/>
                <w:lang w:eastAsia="en-AU"/>
              </w:rPr>
            </w:pPr>
            <w:r w:rsidRPr="005176BD">
              <w:rPr>
                <w:rFonts w:cs="Arial"/>
                <w:sz w:val="20"/>
                <w:szCs w:val="20"/>
                <w:lang w:eastAsia="en-AU"/>
              </w:rPr>
              <w:t>Brown W, McLaughlin D, Leung J, McCaul K, Flicker L, Almeida O, Hankey G, Lopez G &amp; Dobson A.</w:t>
            </w:r>
          </w:p>
        </w:tc>
        <w:tc>
          <w:tcPr>
            <w:tcW w:w="797" w:type="dxa"/>
          </w:tcPr>
          <w:p w14:paraId="03772EB7" w14:textId="47BE757F" w:rsidR="0001154E" w:rsidRPr="005176BD" w:rsidRDefault="0001154E" w:rsidP="003B611A">
            <w:pPr>
              <w:rPr>
                <w:rFonts w:cs="Arial"/>
                <w:sz w:val="20"/>
                <w:szCs w:val="20"/>
                <w:lang w:eastAsia="en-AU"/>
              </w:rPr>
            </w:pPr>
            <w:r w:rsidRPr="005176BD">
              <w:rPr>
                <w:rFonts w:cs="Arial"/>
                <w:sz w:val="20"/>
                <w:szCs w:val="20"/>
                <w:lang w:eastAsia="en-AU"/>
              </w:rPr>
              <w:t>103</w:t>
            </w:r>
          </w:p>
        </w:tc>
      </w:tr>
      <w:tr w:rsidR="0001154E" w:rsidRPr="00084B2B" w14:paraId="364B4B19" w14:textId="77777777" w:rsidTr="0011030B">
        <w:tc>
          <w:tcPr>
            <w:tcW w:w="8201" w:type="dxa"/>
          </w:tcPr>
          <w:p w14:paraId="76042624" w14:textId="612CEDC5" w:rsidR="0001154E" w:rsidRPr="005176BD" w:rsidRDefault="0001154E" w:rsidP="003B611A">
            <w:pPr>
              <w:rPr>
                <w:rFonts w:cs="Arial"/>
                <w:sz w:val="20"/>
                <w:szCs w:val="20"/>
                <w:lang w:eastAsia="en-AU"/>
              </w:rPr>
            </w:pPr>
            <w:r w:rsidRPr="005176BD">
              <w:rPr>
                <w:rFonts w:cs="Arial"/>
                <w:sz w:val="20"/>
                <w:szCs w:val="20"/>
                <w:lang w:eastAsia="en-AU"/>
              </w:rPr>
              <w:t xml:space="preserve">Validation of the Frail Scale in a cohort of older Australian women. Journal of the American Geriatrics Society, </w:t>
            </w:r>
            <w:r w:rsidR="00291BE1" w:rsidRPr="005176BD">
              <w:rPr>
                <w:rFonts w:cs="Arial"/>
                <w:sz w:val="20"/>
                <w:szCs w:val="20"/>
                <w:lang w:eastAsia="en-AU"/>
              </w:rPr>
              <w:t xml:space="preserve">2012; </w:t>
            </w:r>
            <w:r w:rsidRPr="005176BD">
              <w:rPr>
                <w:rFonts w:cs="Arial"/>
                <w:sz w:val="20"/>
                <w:szCs w:val="20"/>
                <w:lang w:eastAsia="en-AU"/>
              </w:rPr>
              <w:t>60</w:t>
            </w:r>
            <w:r w:rsidR="00291BE1" w:rsidRPr="005176BD">
              <w:rPr>
                <w:rFonts w:cs="Arial"/>
                <w:sz w:val="20"/>
                <w:szCs w:val="20"/>
                <w:lang w:eastAsia="en-AU"/>
              </w:rPr>
              <w:t>(1):</w:t>
            </w:r>
            <w:r w:rsidRPr="005176BD">
              <w:rPr>
                <w:rFonts w:cs="Arial"/>
                <w:sz w:val="20"/>
                <w:szCs w:val="20"/>
                <w:lang w:eastAsia="en-AU"/>
              </w:rPr>
              <w:t xml:space="preserve"> 171-173. </w:t>
            </w:r>
          </w:p>
        </w:tc>
        <w:tc>
          <w:tcPr>
            <w:tcW w:w="4857" w:type="dxa"/>
          </w:tcPr>
          <w:p w14:paraId="18381CE1" w14:textId="77777777" w:rsidR="0001154E" w:rsidRPr="005176BD" w:rsidRDefault="0001154E" w:rsidP="003B611A">
            <w:pPr>
              <w:rPr>
                <w:rFonts w:cs="Arial"/>
                <w:sz w:val="20"/>
                <w:szCs w:val="20"/>
                <w:lang w:eastAsia="en-AU"/>
              </w:rPr>
            </w:pPr>
            <w:r w:rsidRPr="005176BD">
              <w:rPr>
                <w:rFonts w:cs="Arial"/>
                <w:sz w:val="20"/>
                <w:szCs w:val="20"/>
                <w:lang w:eastAsia="en-AU"/>
              </w:rPr>
              <w:t>Lopez D, Flicker L &amp; Dobson A.</w:t>
            </w:r>
          </w:p>
        </w:tc>
        <w:tc>
          <w:tcPr>
            <w:tcW w:w="797" w:type="dxa"/>
          </w:tcPr>
          <w:p w14:paraId="3BB8A97F" w14:textId="416A0AE8" w:rsidR="0001154E" w:rsidRPr="005176BD" w:rsidRDefault="0001154E" w:rsidP="003B611A">
            <w:pPr>
              <w:rPr>
                <w:rFonts w:cs="Arial"/>
                <w:sz w:val="20"/>
                <w:szCs w:val="20"/>
                <w:lang w:eastAsia="en-AU"/>
              </w:rPr>
            </w:pPr>
            <w:r w:rsidRPr="005176BD">
              <w:rPr>
                <w:rFonts w:cs="Arial"/>
                <w:sz w:val="20"/>
                <w:szCs w:val="20"/>
                <w:lang w:eastAsia="en-AU"/>
              </w:rPr>
              <w:t>71</w:t>
            </w:r>
          </w:p>
        </w:tc>
      </w:tr>
      <w:tr w:rsidR="0001154E" w:rsidRPr="00084B2B" w14:paraId="76262798" w14:textId="77777777" w:rsidTr="0011030B">
        <w:tc>
          <w:tcPr>
            <w:tcW w:w="8201" w:type="dxa"/>
          </w:tcPr>
          <w:p w14:paraId="018CCF62" w14:textId="7BF1248A" w:rsidR="0001154E" w:rsidRPr="005176BD" w:rsidRDefault="0001154E" w:rsidP="003B611A">
            <w:pPr>
              <w:rPr>
                <w:rFonts w:cs="Arial"/>
                <w:sz w:val="20"/>
                <w:szCs w:val="20"/>
                <w:lang w:eastAsia="en-AU"/>
              </w:rPr>
            </w:pPr>
            <w:r w:rsidRPr="005176BD">
              <w:rPr>
                <w:rFonts w:cs="Arial"/>
                <w:sz w:val="20"/>
                <w:szCs w:val="20"/>
                <w:lang w:eastAsia="en-AU"/>
              </w:rPr>
              <w:t xml:space="preserve">Which older women could benefit from interventions to decrease sitting time and increase physical activity? Journal of the American Geriatrics Society, </w:t>
            </w:r>
            <w:r w:rsidR="00291BE1" w:rsidRPr="005176BD">
              <w:rPr>
                <w:rFonts w:cs="Arial"/>
                <w:sz w:val="20"/>
                <w:szCs w:val="20"/>
                <w:lang w:eastAsia="en-AU"/>
              </w:rPr>
              <w:t xml:space="preserve">2012; </w:t>
            </w:r>
            <w:r w:rsidRPr="005176BD">
              <w:rPr>
                <w:rFonts w:cs="Arial"/>
                <w:sz w:val="20"/>
                <w:szCs w:val="20"/>
                <w:lang w:eastAsia="en-AU"/>
              </w:rPr>
              <w:t>60</w:t>
            </w:r>
            <w:r w:rsidR="00291BE1" w:rsidRPr="005176BD">
              <w:rPr>
                <w:rFonts w:cs="Arial"/>
                <w:sz w:val="20"/>
                <w:szCs w:val="20"/>
                <w:lang w:eastAsia="en-AU"/>
              </w:rPr>
              <w:t xml:space="preserve">(2): </w:t>
            </w:r>
            <w:r w:rsidRPr="005176BD">
              <w:rPr>
                <w:rFonts w:cs="Arial"/>
                <w:sz w:val="20"/>
                <w:szCs w:val="20"/>
                <w:lang w:eastAsia="en-AU"/>
              </w:rPr>
              <w:t xml:space="preserve">393-396. </w:t>
            </w:r>
          </w:p>
        </w:tc>
        <w:tc>
          <w:tcPr>
            <w:tcW w:w="4857" w:type="dxa"/>
          </w:tcPr>
          <w:p w14:paraId="11FC9927" w14:textId="77777777" w:rsidR="0001154E" w:rsidRPr="005176BD" w:rsidRDefault="0001154E" w:rsidP="003B611A">
            <w:pPr>
              <w:rPr>
                <w:rFonts w:cs="Arial"/>
                <w:sz w:val="20"/>
                <w:szCs w:val="20"/>
                <w:lang w:eastAsia="en-AU"/>
              </w:rPr>
            </w:pPr>
            <w:r w:rsidRPr="005176BD">
              <w:rPr>
                <w:rFonts w:cs="Arial"/>
                <w:sz w:val="20"/>
                <w:szCs w:val="20"/>
                <w:lang w:eastAsia="en-AU"/>
              </w:rPr>
              <w:t xml:space="preserve">Van </w:t>
            </w:r>
            <w:proofErr w:type="spellStart"/>
            <w:r w:rsidRPr="005176BD">
              <w:rPr>
                <w:rFonts w:cs="Arial"/>
                <w:sz w:val="20"/>
                <w:szCs w:val="20"/>
                <w:lang w:eastAsia="en-AU"/>
              </w:rPr>
              <w:t>Uffelen</w:t>
            </w:r>
            <w:proofErr w:type="spellEnd"/>
            <w:r w:rsidRPr="005176BD">
              <w:rPr>
                <w:rFonts w:cs="Arial"/>
                <w:sz w:val="20"/>
                <w:szCs w:val="20"/>
                <w:lang w:eastAsia="en-AU"/>
              </w:rPr>
              <w:t xml:space="preserve"> J, </w:t>
            </w:r>
            <w:proofErr w:type="spellStart"/>
            <w:r w:rsidRPr="005176BD">
              <w:rPr>
                <w:rFonts w:cs="Arial"/>
                <w:sz w:val="20"/>
                <w:szCs w:val="20"/>
                <w:lang w:eastAsia="en-AU"/>
              </w:rPr>
              <w:t>Heesch</w:t>
            </w:r>
            <w:proofErr w:type="spellEnd"/>
            <w:r w:rsidRPr="005176BD">
              <w:rPr>
                <w:rFonts w:cs="Arial"/>
                <w:sz w:val="20"/>
                <w:szCs w:val="20"/>
                <w:lang w:eastAsia="en-AU"/>
              </w:rPr>
              <w:t xml:space="preserve"> K, van </w:t>
            </w:r>
            <w:proofErr w:type="spellStart"/>
            <w:r w:rsidRPr="005176BD">
              <w:rPr>
                <w:rFonts w:cs="Arial"/>
                <w:sz w:val="20"/>
                <w:szCs w:val="20"/>
                <w:lang w:eastAsia="en-AU"/>
              </w:rPr>
              <w:t>Gellecum</w:t>
            </w:r>
            <w:proofErr w:type="spellEnd"/>
            <w:r w:rsidRPr="005176BD">
              <w:rPr>
                <w:rFonts w:cs="Arial"/>
                <w:sz w:val="20"/>
                <w:szCs w:val="20"/>
                <w:lang w:eastAsia="en-AU"/>
              </w:rPr>
              <w:t xml:space="preserve"> Y, Burton N &amp; Brown WJ.</w:t>
            </w:r>
          </w:p>
        </w:tc>
        <w:tc>
          <w:tcPr>
            <w:tcW w:w="797" w:type="dxa"/>
          </w:tcPr>
          <w:p w14:paraId="228C29A3" w14:textId="7037E21D" w:rsidR="0001154E" w:rsidRPr="005176BD" w:rsidRDefault="0001154E" w:rsidP="003B611A">
            <w:pPr>
              <w:rPr>
                <w:rFonts w:cs="Arial"/>
                <w:sz w:val="20"/>
                <w:szCs w:val="20"/>
                <w:lang w:eastAsia="en-AU"/>
              </w:rPr>
            </w:pPr>
            <w:r w:rsidRPr="005176BD">
              <w:rPr>
                <w:rFonts w:cs="Arial"/>
                <w:sz w:val="20"/>
                <w:szCs w:val="20"/>
                <w:lang w:eastAsia="en-AU"/>
              </w:rPr>
              <w:t>8</w:t>
            </w:r>
          </w:p>
        </w:tc>
      </w:tr>
      <w:tr w:rsidR="0001154E" w:rsidRPr="00084B2B" w14:paraId="64FF7882" w14:textId="77777777" w:rsidTr="0011030B">
        <w:tc>
          <w:tcPr>
            <w:tcW w:w="8201" w:type="dxa"/>
          </w:tcPr>
          <w:p w14:paraId="30C9DE74" w14:textId="479B1E30" w:rsidR="0001154E" w:rsidRPr="005176BD" w:rsidRDefault="0001154E" w:rsidP="003B611A">
            <w:pPr>
              <w:rPr>
                <w:rFonts w:cs="Arial"/>
                <w:sz w:val="20"/>
                <w:szCs w:val="20"/>
                <w:lang w:eastAsia="en-AU"/>
              </w:rPr>
            </w:pPr>
            <w:r w:rsidRPr="005176BD">
              <w:rPr>
                <w:rFonts w:cs="Arial"/>
                <w:sz w:val="20"/>
                <w:szCs w:val="20"/>
                <w:lang w:eastAsia="en-AU"/>
              </w:rPr>
              <w:t xml:space="preserve">Dose response relationships between physical </w:t>
            </w:r>
            <w:proofErr w:type="gramStart"/>
            <w:r w:rsidRPr="005176BD">
              <w:rPr>
                <w:rFonts w:cs="Arial"/>
                <w:sz w:val="20"/>
                <w:szCs w:val="20"/>
                <w:lang w:eastAsia="en-AU"/>
              </w:rPr>
              <w:t>activity</w:t>
            </w:r>
            <w:proofErr w:type="gramEnd"/>
            <w:r w:rsidRPr="005176BD">
              <w:rPr>
                <w:rFonts w:cs="Arial"/>
                <w:sz w:val="20"/>
                <w:szCs w:val="20"/>
                <w:lang w:eastAsia="en-AU"/>
              </w:rPr>
              <w:t xml:space="preserve">, walking and health-related quality of life in mid-age and older women. Journal of Epidemiology and Community Health, </w:t>
            </w:r>
            <w:r w:rsidR="00291BE1" w:rsidRPr="005176BD">
              <w:rPr>
                <w:rFonts w:cs="Arial"/>
                <w:sz w:val="20"/>
                <w:szCs w:val="20"/>
                <w:lang w:eastAsia="en-AU"/>
              </w:rPr>
              <w:t xml:space="preserve">2012; </w:t>
            </w:r>
            <w:r w:rsidRPr="005176BD">
              <w:rPr>
                <w:rFonts w:cs="Arial"/>
                <w:sz w:val="20"/>
                <w:szCs w:val="20"/>
                <w:lang w:eastAsia="en-AU"/>
              </w:rPr>
              <w:t>65(9)</w:t>
            </w:r>
            <w:r w:rsidR="00291BE1" w:rsidRPr="005176BD">
              <w:rPr>
                <w:rFonts w:cs="Arial"/>
                <w:sz w:val="20"/>
                <w:szCs w:val="20"/>
                <w:lang w:eastAsia="en-AU"/>
              </w:rPr>
              <w:t>:</w:t>
            </w:r>
            <w:r w:rsidRPr="005176BD">
              <w:rPr>
                <w:rFonts w:cs="Arial"/>
                <w:sz w:val="20"/>
                <w:szCs w:val="20"/>
                <w:lang w:eastAsia="en-AU"/>
              </w:rPr>
              <w:t xml:space="preserve"> 807-813.</w:t>
            </w:r>
          </w:p>
        </w:tc>
        <w:tc>
          <w:tcPr>
            <w:tcW w:w="4857" w:type="dxa"/>
          </w:tcPr>
          <w:p w14:paraId="4B67DD7C"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 Burton N &amp; Brown WJ.</w:t>
            </w:r>
          </w:p>
        </w:tc>
        <w:tc>
          <w:tcPr>
            <w:tcW w:w="797" w:type="dxa"/>
          </w:tcPr>
          <w:p w14:paraId="6AA8B39D" w14:textId="5DFE9055" w:rsidR="0001154E" w:rsidRPr="005176BD" w:rsidRDefault="0001154E" w:rsidP="003B611A">
            <w:pPr>
              <w:rPr>
                <w:rFonts w:cs="Arial"/>
                <w:sz w:val="20"/>
                <w:szCs w:val="20"/>
                <w:lang w:eastAsia="en-AU"/>
              </w:rPr>
            </w:pPr>
            <w:r w:rsidRPr="005176BD">
              <w:rPr>
                <w:rFonts w:cs="Arial"/>
                <w:sz w:val="20"/>
                <w:szCs w:val="20"/>
                <w:lang w:eastAsia="en-AU"/>
              </w:rPr>
              <w:t>72</w:t>
            </w:r>
          </w:p>
        </w:tc>
      </w:tr>
      <w:tr w:rsidR="0001154E" w:rsidRPr="00084B2B" w14:paraId="031E007E" w14:textId="77777777" w:rsidTr="0011030B">
        <w:tc>
          <w:tcPr>
            <w:tcW w:w="8201" w:type="dxa"/>
          </w:tcPr>
          <w:p w14:paraId="37BEF156" w14:textId="63E8BE60" w:rsidR="0001154E" w:rsidRPr="005176BD" w:rsidRDefault="0001154E" w:rsidP="003B611A">
            <w:pPr>
              <w:rPr>
                <w:rFonts w:cs="Arial"/>
                <w:sz w:val="20"/>
                <w:szCs w:val="20"/>
                <w:lang w:eastAsia="en-AU"/>
              </w:rPr>
            </w:pPr>
            <w:r w:rsidRPr="005176BD">
              <w:rPr>
                <w:rFonts w:cs="Arial"/>
                <w:sz w:val="20"/>
                <w:szCs w:val="20"/>
                <w:lang w:eastAsia="en-AU"/>
              </w:rPr>
              <w:t xml:space="preserve">Concurrent and prospective associations between physical </w:t>
            </w:r>
            <w:proofErr w:type="gramStart"/>
            <w:r w:rsidRPr="005176BD">
              <w:rPr>
                <w:rFonts w:cs="Arial"/>
                <w:sz w:val="20"/>
                <w:szCs w:val="20"/>
                <w:lang w:eastAsia="en-AU"/>
              </w:rPr>
              <w:t>activity</w:t>
            </w:r>
            <w:proofErr w:type="gramEnd"/>
            <w:r w:rsidRPr="005176BD">
              <w:rPr>
                <w:rFonts w:cs="Arial"/>
                <w:sz w:val="20"/>
                <w:szCs w:val="20"/>
                <w:lang w:eastAsia="en-AU"/>
              </w:rPr>
              <w:t xml:space="preserve">, walking and mental health in older women. Journal of Epidemiology and Community Health, </w:t>
            </w:r>
            <w:r w:rsidR="00291BE1" w:rsidRPr="005176BD">
              <w:rPr>
                <w:rFonts w:cs="Arial"/>
                <w:sz w:val="20"/>
                <w:szCs w:val="20"/>
                <w:lang w:eastAsia="en-AU"/>
              </w:rPr>
              <w:t xml:space="preserve">2012; </w:t>
            </w:r>
            <w:r w:rsidRPr="005176BD">
              <w:rPr>
                <w:rFonts w:cs="Arial"/>
                <w:sz w:val="20"/>
                <w:szCs w:val="20"/>
                <w:lang w:eastAsia="en-AU"/>
              </w:rPr>
              <w:t>66(8)</w:t>
            </w:r>
            <w:r w:rsidR="00291BE1" w:rsidRPr="005176BD">
              <w:rPr>
                <w:rFonts w:cs="Arial"/>
                <w:sz w:val="20"/>
                <w:szCs w:val="20"/>
                <w:lang w:eastAsia="en-AU"/>
              </w:rPr>
              <w:t>:</w:t>
            </w:r>
            <w:r w:rsidRPr="005176BD">
              <w:rPr>
                <w:rFonts w:cs="Arial"/>
                <w:sz w:val="20"/>
                <w:szCs w:val="20"/>
                <w:lang w:eastAsia="en-AU"/>
              </w:rPr>
              <w:t xml:space="preserve"> 670-677.</w:t>
            </w:r>
            <w:r w:rsidR="00012F17" w:rsidRPr="005176BD">
              <w:rPr>
                <w:rFonts w:cs="Arial"/>
                <w:sz w:val="20"/>
                <w:szCs w:val="20"/>
                <w:lang w:eastAsia="en-AU"/>
              </w:rPr>
              <w:t xml:space="preserve"> </w:t>
            </w:r>
          </w:p>
        </w:tc>
        <w:tc>
          <w:tcPr>
            <w:tcW w:w="4857" w:type="dxa"/>
          </w:tcPr>
          <w:p w14:paraId="333D4F7A"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 Van </w:t>
            </w:r>
            <w:proofErr w:type="spellStart"/>
            <w:r w:rsidRPr="005176BD">
              <w:rPr>
                <w:rFonts w:cs="Arial"/>
                <w:sz w:val="20"/>
                <w:szCs w:val="20"/>
                <w:lang w:eastAsia="en-AU"/>
              </w:rPr>
              <w:t>Uffelen</w:t>
            </w:r>
            <w:proofErr w:type="spellEnd"/>
            <w:r w:rsidRPr="005176BD">
              <w:rPr>
                <w:rFonts w:cs="Arial"/>
                <w:sz w:val="20"/>
                <w:szCs w:val="20"/>
                <w:lang w:eastAsia="en-AU"/>
              </w:rPr>
              <w:t xml:space="preserve">, van </w:t>
            </w:r>
            <w:proofErr w:type="spellStart"/>
            <w:r w:rsidRPr="005176BD">
              <w:rPr>
                <w:rFonts w:cs="Arial"/>
                <w:sz w:val="20"/>
                <w:szCs w:val="20"/>
                <w:lang w:eastAsia="en-AU"/>
              </w:rPr>
              <w:t>Gellecum</w:t>
            </w:r>
            <w:proofErr w:type="spellEnd"/>
            <w:r w:rsidRPr="005176BD">
              <w:rPr>
                <w:rFonts w:cs="Arial"/>
                <w:sz w:val="20"/>
                <w:szCs w:val="20"/>
                <w:lang w:eastAsia="en-AU"/>
              </w:rPr>
              <w:t xml:space="preserve"> Y &amp; Brown WJ.</w:t>
            </w:r>
          </w:p>
        </w:tc>
        <w:tc>
          <w:tcPr>
            <w:tcW w:w="797" w:type="dxa"/>
          </w:tcPr>
          <w:p w14:paraId="521ECFFD" w14:textId="0090F252" w:rsidR="0001154E" w:rsidRPr="005176BD" w:rsidRDefault="0001154E" w:rsidP="003B611A">
            <w:pPr>
              <w:rPr>
                <w:rFonts w:cs="Arial"/>
                <w:sz w:val="20"/>
                <w:szCs w:val="20"/>
                <w:lang w:eastAsia="en-AU"/>
              </w:rPr>
            </w:pPr>
            <w:r w:rsidRPr="005176BD">
              <w:rPr>
                <w:rFonts w:cs="Arial"/>
                <w:sz w:val="20"/>
                <w:szCs w:val="20"/>
                <w:lang w:eastAsia="en-AU"/>
              </w:rPr>
              <w:t>57</w:t>
            </w:r>
          </w:p>
        </w:tc>
      </w:tr>
      <w:tr w:rsidR="0001154E" w:rsidRPr="00084B2B" w14:paraId="5331D7B7" w14:textId="77777777" w:rsidTr="0011030B">
        <w:tc>
          <w:tcPr>
            <w:tcW w:w="8201" w:type="dxa"/>
          </w:tcPr>
          <w:p w14:paraId="3105A49C" w14:textId="57C38407" w:rsidR="0001154E" w:rsidRPr="005176BD" w:rsidRDefault="0001154E" w:rsidP="003B611A">
            <w:pPr>
              <w:rPr>
                <w:rFonts w:cs="Arial"/>
                <w:sz w:val="20"/>
                <w:szCs w:val="20"/>
                <w:lang w:eastAsia="en-AU"/>
              </w:rPr>
            </w:pPr>
            <w:r w:rsidRPr="005176BD">
              <w:rPr>
                <w:rFonts w:cs="Arial"/>
                <w:sz w:val="20"/>
                <w:szCs w:val="20"/>
                <w:lang w:eastAsia="en-AU"/>
              </w:rPr>
              <w:t xml:space="preserve">Predictors and persistence of foot problems in women aged 70 years and over: </w:t>
            </w:r>
            <w:r w:rsidR="00291BE1" w:rsidRPr="005176BD">
              <w:rPr>
                <w:rFonts w:cs="Arial"/>
                <w:sz w:val="20"/>
                <w:szCs w:val="20"/>
                <w:lang w:eastAsia="en-AU"/>
              </w:rPr>
              <w:t>A</w:t>
            </w:r>
            <w:r w:rsidRPr="005176BD">
              <w:rPr>
                <w:rFonts w:cs="Arial"/>
                <w:sz w:val="20"/>
                <w:szCs w:val="20"/>
                <w:lang w:eastAsia="en-AU"/>
              </w:rPr>
              <w:t xml:space="preserve"> prospective study. Maturitas, </w:t>
            </w:r>
            <w:r w:rsidR="00291BE1" w:rsidRPr="005176BD">
              <w:rPr>
                <w:rFonts w:cs="Arial"/>
                <w:sz w:val="20"/>
                <w:szCs w:val="20"/>
                <w:lang w:eastAsia="en-AU"/>
              </w:rPr>
              <w:t xml:space="preserve">2011; </w:t>
            </w:r>
            <w:r w:rsidRPr="005176BD">
              <w:rPr>
                <w:rFonts w:cs="Arial"/>
                <w:sz w:val="20"/>
                <w:szCs w:val="20"/>
                <w:lang w:eastAsia="en-AU"/>
              </w:rPr>
              <w:t>68(1)</w:t>
            </w:r>
            <w:r w:rsidR="00291BE1" w:rsidRPr="005176BD">
              <w:rPr>
                <w:rFonts w:cs="Arial"/>
                <w:sz w:val="20"/>
                <w:szCs w:val="20"/>
                <w:lang w:eastAsia="en-AU"/>
              </w:rPr>
              <w:t>:</w:t>
            </w:r>
            <w:r w:rsidRPr="005176BD">
              <w:rPr>
                <w:rFonts w:cs="Arial"/>
                <w:sz w:val="20"/>
                <w:szCs w:val="20"/>
                <w:lang w:eastAsia="en-AU"/>
              </w:rPr>
              <w:t xml:space="preserve"> 83-87.</w:t>
            </w:r>
            <w:r w:rsidRPr="005176BD">
              <w:rPr>
                <w:rFonts w:cs="Arial"/>
                <w:sz w:val="20"/>
                <w:szCs w:val="20"/>
                <w:lang w:eastAsia="en-AU"/>
              </w:rPr>
              <w:br w:type="page"/>
            </w:r>
          </w:p>
        </w:tc>
        <w:tc>
          <w:tcPr>
            <w:tcW w:w="4857" w:type="dxa"/>
          </w:tcPr>
          <w:p w14:paraId="4088CF6A"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Menz</w:t>
            </w:r>
            <w:proofErr w:type="spellEnd"/>
            <w:r w:rsidRPr="005176BD">
              <w:rPr>
                <w:rFonts w:cs="Arial"/>
                <w:sz w:val="20"/>
                <w:szCs w:val="20"/>
                <w:lang w:eastAsia="en-AU"/>
              </w:rPr>
              <w:t xml:space="preserve"> H, Barr E &amp; Brown W.</w:t>
            </w:r>
          </w:p>
        </w:tc>
        <w:tc>
          <w:tcPr>
            <w:tcW w:w="797" w:type="dxa"/>
          </w:tcPr>
          <w:p w14:paraId="5B89DEB6" w14:textId="7628471F" w:rsidR="0001154E" w:rsidRPr="005176BD" w:rsidRDefault="0001154E" w:rsidP="003B611A">
            <w:pPr>
              <w:rPr>
                <w:rFonts w:cs="Arial"/>
                <w:sz w:val="20"/>
                <w:szCs w:val="20"/>
                <w:lang w:eastAsia="en-AU"/>
              </w:rPr>
            </w:pPr>
            <w:r w:rsidRPr="005176BD">
              <w:rPr>
                <w:rFonts w:cs="Arial"/>
                <w:sz w:val="20"/>
                <w:szCs w:val="20"/>
                <w:lang w:eastAsia="en-AU"/>
              </w:rPr>
              <w:t>39</w:t>
            </w:r>
          </w:p>
        </w:tc>
      </w:tr>
      <w:tr w:rsidR="0001154E" w:rsidRPr="00084B2B" w14:paraId="66A3E13E" w14:textId="77777777" w:rsidTr="0011030B">
        <w:tc>
          <w:tcPr>
            <w:tcW w:w="8201" w:type="dxa"/>
          </w:tcPr>
          <w:p w14:paraId="3A2D5B07" w14:textId="078BEC94" w:rsidR="0001154E" w:rsidRPr="005176BD" w:rsidRDefault="0001154E" w:rsidP="003B611A">
            <w:pPr>
              <w:rPr>
                <w:rFonts w:cs="Arial"/>
                <w:sz w:val="20"/>
                <w:szCs w:val="20"/>
                <w:lang w:eastAsia="en-AU"/>
              </w:rPr>
            </w:pPr>
            <w:r w:rsidRPr="005176BD">
              <w:rPr>
                <w:rFonts w:cs="Arial"/>
                <w:sz w:val="20"/>
                <w:szCs w:val="20"/>
                <w:lang w:eastAsia="en-AU"/>
              </w:rPr>
              <w:t xml:space="preserve">Older women and arthritis: Tracking impact over time. Australasian Journal on Ageing, </w:t>
            </w:r>
            <w:r w:rsidR="00291BE1" w:rsidRPr="005176BD">
              <w:rPr>
                <w:rFonts w:cs="Arial"/>
                <w:sz w:val="20"/>
                <w:szCs w:val="20"/>
                <w:lang w:eastAsia="en-AU"/>
              </w:rPr>
              <w:t xml:space="preserve">2010; </w:t>
            </w:r>
            <w:r w:rsidRPr="005176BD">
              <w:rPr>
                <w:rFonts w:cs="Arial"/>
                <w:sz w:val="20"/>
                <w:szCs w:val="20"/>
                <w:lang w:eastAsia="en-AU"/>
              </w:rPr>
              <w:t>29(4)</w:t>
            </w:r>
            <w:r w:rsidR="00291BE1" w:rsidRPr="005176BD">
              <w:rPr>
                <w:rFonts w:cs="Arial"/>
                <w:sz w:val="20"/>
                <w:szCs w:val="20"/>
                <w:lang w:eastAsia="en-AU"/>
              </w:rPr>
              <w:t>:</w:t>
            </w:r>
            <w:r w:rsidRPr="005176BD">
              <w:rPr>
                <w:rFonts w:cs="Arial"/>
                <w:sz w:val="20"/>
                <w:szCs w:val="20"/>
                <w:lang w:eastAsia="en-AU"/>
              </w:rPr>
              <w:t xml:space="preserve"> 155-160.</w:t>
            </w:r>
          </w:p>
        </w:tc>
        <w:tc>
          <w:tcPr>
            <w:tcW w:w="4857" w:type="dxa"/>
          </w:tcPr>
          <w:p w14:paraId="7909E352" w14:textId="77777777" w:rsidR="0001154E" w:rsidRPr="005176BD" w:rsidRDefault="0001154E" w:rsidP="003B611A">
            <w:pPr>
              <w:rPr>
                <w:rFonts w:cs="Arial"/>
                <w:sz w:val="20"/>
                <w:szCs w:val="20"/>
                <w:lang w:eastAsia="en-AU"/>
              </w:rPr>
            </w:pPr>
            <w:r w:rsidRPr="005176BD">
              <w:rPr>
                <w:rFonts w:cs="Arial"/>
                <w:sz w:val="20"/>
                <w:szCs w:val="20"/>
                <w:lang w:eastAsia="en-AU"/>
              </w:rPr>
              <w:t>Parkinson L, Gibson R, Robinson I &amp; Byles J.</w:t>
            </w:r>
          </w:p>
        </w:tc>
        <w:tc>
          <w:tcPr>
            <w:tcW w:w="797" w:type="dxa"/>
          </w:tcPr>
          <w:p w14:paraId="0B62C172" w14:textId="402FFBDD" w:rsidR="0001154E" w:rsidRPr="005176BD" w:rsidRDefault="0001154E" w:rsidP="003B611A">
            <w:pPr>
              <w:rPr>
                <w:rFonts w:cs="Arial"/>
                <w:sz w:val="20"/>
                <w:szCs w:val="20"/>
                <w:lang w:eastAsia="en-AU"/>
              </w:rPr>
            </w:pPr>
            <w:r w:rsidRPr="005176BD">
              <w:rPr>
                <w:rFonts w:cs="Arial"/>
                <w:sz w:val="20"/>
                <w:szCs w:val="20"/>
                <w:lang w:eastAsia="en-AU"/>
              </w:rPr>
              <w:t>30</w:t>
            </w:r>
          </w:p>
        </w:tc>
      </w:tr>
      <w:tr w:rsidR="00640D50" w:rsidRPr="00640D50" w14:paraId="2043E873" w14:textId="77777777" w:rsidTr="0011030B">
        <w:tc>
          <w:tcPr>
            <w:tcW w:w="8201" w:type="dxa"/>
          </w:tcPr>
          <w:p w14:paraId="13DF616A" w14:textId="77777777" w:rsidR="00640D50" w:rsidRPr="005176BD" w:rsidRDefault="00640D50" w:rsidP="003B611A">
            <w:pPr>
              <w:rPr>
                <w:rFonts w:cs="Arial"/>
                <w:sz w:val="20"/>
                <w:szCs w:val="20"/>
                <w:lang w:eastAsia="en-AU"/>
              </w:rPr>
            </w:pPr>
            <w:r w:rsidRPr="005176BD">
              <w:rPr>
                <w:rFonts w:cs="Arial"/>
                <w:sz w:val="20"/>
                <w:szCs w:val="20"/>
                <w:lang w:eastAsia="en-AU"/>
              </w:rPr>
              <w:t>Body mass index and survival in men and women aged 70 to 75 years. Journal of the American Geriatric Society, 2010; 58(2): 234-241.</w:t>
            </w:r>
          </w:p>
        </w:tc>
        <w:tc>
          <w:tcPr>
            <w:tcW w:w="4857" w:type="dxa"/>
          </w:tcPr>
          <w:p w14:paraId="7BA8D348" w14:textId="77777777" w:rsidR="00640D50" w:rsidRPr="005176BD" w:rsidRDefault="00640D50" w:rsidP="003B611A">
            <w:pPr>
              <w:rPr>
                <w:rFonts w:cs="Arial"/>
                <w:sz w:val="20"/>
                <w:szCs w:val="20"/>
                <w:lang w:eastAsia="en-AU"/>
              </w:rPr>
            </w:pPr>
            <w:r w:rsidRPr="005176BD">
              <w:rPr>
                <w:rFonts w:cs="Arial"/>
                <w:sz w:val="20"/>
                <w:szCs w:val="20"/>
                <w:lang w:eastAsia="en-AU"/>
              </w:rPr>
              <w:t xml:space="preserve">Flicker L, McCaul KA, Hankey GJ, </w:t>
            </w:r>
            <w:proofErr w:type="spellStart"/>
            <w:r w:rsidRPr="005176BD">
              <w:rPr>
                <w:rFonts w:cs="Arial"/>
                <w:sz w:val="20"/>
                <w:szCs w:val="20"/>
                <w:lang w:eastAsia="en-AU"/>
              </w:rPr>
              <w:t>Jamrozik</w:t>
            </w:r>
            <w:proofErr w:type="spellEnd"/>
            <w:r w:rsidRPr="005176BD">
              <w:rPr>
                <w:rFonts w:cs="Arial"/>
                <w:sz w:val="20"/>
                <w:szCs w:val="20"/>
                <w:lang w:eastAsia="en-AU"/>
              </w:rPr>
              <w:t xml:space="preserve"> K, Brown W, Byles J &amp; Almeida OP.</w:t>
            </w:r>
          </w:p>
        </w:tc>
        <w:tc>
          <w:tcPr>
            <w:tcW w:w="797" w:type="dxa"/>
          </w:tcPr>
          <w:p w14:paraId="16BE5EB4" w14:textId="77777777" w:rsidR="00640D50" w:rsidRPr="005176BD" w:rsidRDefault="00640D50" w:rsidP="003B611A">
            <w:pPr>
              <w:rPr>
                <w:rFonts w:cs="Arial"/>
                <w:sz w:val="20"/>
                <w:szCs w:val="20"/>
                <w:lang w:eastAsia="en-AU"/>
              </w:rPr>
            </w:pPr>
            <w:r w:rsidRPr="005176BD">
              <w:rPr>
                <w:rFonts w:cs="Arial"/>
                <w:sz w:val="20"/>
                <w:szCs w:val="20"/>
                <w:lang w:eastAsia="en-AU"/>
              </w:rPr>
              <w:t>211</w:t>
            </w:r>
          </w:p>
        </w:tc>
      </w:tr>
      <w:tr w:rsidR="0001154E" w:rsidRPr="00084B2B" w14:paraId="512D90F6" w14:textId="77777777" w:rsidTr="0011030B">
        <w:tc>
          <w:tcPr>
            <w:tcW w:w="8201" w:type="dxa"/>
          </w:tcPr>
          <w:p w14:paraId="3804F585" w14:textId="16BEE196" w:rsidR="0001154E" w:rsidRPr="005176BD" w:rsidRDefault="0001154E" w:rsidP="003B611A">
            <w:pPr>
              <w:rPr>
                <w:rFonts w:cs="Arial"/>
                <w:sz w:val="20"/>
                <w:szCs w:val="20"/>
                <w:lang w:eastAsia="en-AU"/>
              </w:rPr>
            </w:pPr>
            <w:r w:rsidRPr="005176BD">
              <w:rPr>
                <w:rFonts w:cs="Arial"/>
                <w:sz w:val="20"/>
                <w:szCs w:val="20"/>
                <w:lang w:eastAsia="en-AU"/>
              </w:rPr>
              <w:t xml:space="preserve">What is a healthy body mass index for women in their seventies? Results from the Australian Longitudinal Study on Women’s Health. Journals of Gerontology - Series A: Biological Sciences and Medical Sciences, </w:t>
            </w:r>
            <w:r w:rsidR="00291BE1" w:rsidRPr="005176BD">
              <w:rPr>
                <w:rFonts w:cs="Arial"/>
                <w:sz w:val="20"/>
                <w:szCs w:val="20"/>
                <w:lang w:eastAsia="en-AU"/>
              </w:rPr>
              <w:t xml:space="preserve">2010; </w:t>
            </w:r>
            <w:proofErr w:type="gramStart"/>
            <w:r w:rsidR="00291BE1" w:rsidRPr="005176BD">
              <w:rPr>
                <w:rFonts w:cs="Arial"/>
                <w:sz w:val="20"/>
                <w:szCs w:val="20"/>
                <w:lang w:eastAsia="en-AU"/>
              </w:rPr>
              <w:t>65A</w:t>
            </w:r>
            <w:r w:rsidRPr="005176BD">
              <w:rPr>
                <w:rFonts w:cs="Arial"/>
                <w:sz w:val="20"/>
                <w:szCs w:val="20"/>
                <w:lang w:eastAsia="en-AU"/>
              </w:rPr>
              <w:t>(</w:t>
            </w:r>
            <w:proofErr w:type="gramEnd"/>
            <w:r w:rsidRPr="005176BD">
              <w:rPr>
                <w:rFonts w:cs="Arial"/>
                <w:sz w:val="20"/>
                <w:szCs w:val="20"/>
                <w:lang w:eastAsia="en-AU"/>
              </w:rPr>
              <w:t>8)</w:t>
            </w:r>
            <w:r w:rsidR="00291BE1" w:rsidRPr="005176BD">
              <w:rPr>
                <w:rFonts w:cs="Arial"/>
                <w:sz w:val="20"/>
                <w:szCs w:val="20"/>
                <w:lang w:eastAsia="en-AU"/>
              </w:rPr>
              <w:t>:</w:t>
            </w:r>
            <w:r w:rsidRPr="005176BD">
              <w:rPr>
                <w:rFonts w:cs="Arial"/>
                <w:sz w:val="20"/>
                <w:szCs w:val="20"/>
                <w:lang w:eastAsia="en-AU"/>
              </w:rPr>
              <w:t xml:space="preserve"> 847-853.</w:t>
            </w:r>
          </w:p>
        </w:tc>
        <w:tc>
          <w:tcPr>
            <w:tcW w:w="4857" w:type="dxa"/>
          </w:tcPr>
          <w:p w14:paraId="314BBBAB" w14:textId="77777777" w:rsidR="0001154E" w:rsidRPr="005176BD" w:rsidRDefault="0001154E" w:rsidP="003B611A">
            <w:pPr>
              <w:rPr>
                <w:rFonts w:cs="Arial"/>
                <w:sz w:val="20"/>
                <w:szCs w:val="20"/>
                <w:lang w:eastAsia="en-AU"/>
              </w:rPr>
            </w:pPr>
            <w:proofErr w:type="gramStart"/>
            <w:r w:rsidRPr="005176BD">
              <w:rPr>
                <w:rFonts w:cs="Arial"/>
                <w:sz w:val="20"/>
                <w:szCs w:val="20"/>
                <w:lang w:eastAsia="en-AU"/>
              </w:rPr>
              <w:t>van</w:t>
            </w:r>
            <w:proofErr w:type="gramEnd"/>
            <w:r w:rsidRPr="005176BD">
              <w:rPr>
                <w:rFonts w:cs="Arial"/>
                <w:sz w:val="20"/>
                <w:szCs w:val="20"/>
                <w:lang w:eastAsia="en-AU"/>
              </w:rPr>
              <w:t xml:space="preserve"> </w:t>
            </w:r>
            <w:proofErr w:type="spellStart"/>
            <w:r w:rsidRPr="005176BD">
              <w:rPr>
                <w:rFonts w:cs="Arial"/>
                <w:sz w:val="20"/>
                <w:szCs w:val="20"/>
                <w:lang w:eastAsia="en-AU"/>
              </w:rPr>
              <w:t>Uffelen</w:t>
            </w:r>
            <w:proofErr w:type="spellEnd"/>
            <w:r w:rsidRPr="005176BD">
              <w:rPr>
                <w:rFonts w:cs="Arial"/>
                <w:sz w:val="20"/>
                <w:szCs w:val="20"/>
                <w:lang w:eastAsia="en-AU"/>
              </w:rPr>
              <w:t xml:space="preserve"> J, Berecki J, Brown WJ &amp; Dobson AJ.</w:t>
            </w:r>
          </w:p>
        </w:tc>
        <w:tc>
          <w:tcPr>
            <w:tcW w:w="797" w:type="dxa"/>
          </w:tcPr>
          <w:p w14:paraId="416B6C7B" w14:textId="21AB2937" w:rsidR="0001154E" w:rsidRPr="005176BD" w:rsidRDefault="0001154E" w:rsidP="003B611A">
            <w:pPr>
              <w:rPr>
                <w:rFonts w:cs="Arial"/>
                <w:sz w:val="20"/>
                <w:szCs w:val="20"/>
                <w:lang w:eastAsia="en-AU"/>
              </w:rPr>
            </w:pPr>
            <w:r w:rsidRPr="005176BD">
              <w:rPr>
                <w:rFonts w:cs="Arial"/>
                <w:sz w:val="20"/>
                <w:szCs w:val="20"/>
                <w:lang w:eastAsia="en-AU"/>
              </w:rPr>
              <w:t>25</w:t>
            </w:r>
          </w:p>
        </w:tc>
      </w:tr>
      <w:tr w:rsidR="0001154E" w:rsidRPr="00084B2B" w14:paraId="66DB1159" w14:textId="77777777" w:rsidTr="0011030B">
        <w:tc>
          <w:tcPr>
            <w:tcW w:w="8201" w:type="dxa"/>
          </w:tcPr>
          <w:p w14:paraId="5C1F04E2" w14:textId="0757B7C8" w:rsidR="0001154E" w:rsidRPr="005176BD" w:rsidRDefault="0001154E" w:rsidP="003B611A">
            <w:pPr>
              <w:rPr>
                <w:rFonts w:cs="Arial"/>
                <w:sz w:val="20"/>
                <w:szCs w:val="20"/>
                <w:lang w:eastAsia="en-AU"/>
              </w:rPr>
            </w:pPr>
            <w:r w:rsidRPr="005176BD">
              <w:rPr>
                <w:rFonts w:cs="Arial"/>
                <w:sz w:val="20"/>
                <w:szCs w:val="20"/>
                <w:lang w:eastAsia="en-AU"/>
              </w:rPr>
              <w:t xml:space="preserve">Health across generations: Findings from the Australian Longitudinal Study on Women’s Health. Biological Research for Nursing, </w:t>
            </w:r>
            <w:r w:rsidR="00291BE1" w:rsidRPr="005176BD">
              <w:rPr>
                <w:rFonts w:cs="Arial"/>
                <w:sz w:val="20"/>
                <w:szCs w:val="20"/>
                <w:lang w:eastAsia="en-AU"/>
              </w:rPr>
              <w:t xml:space="preserve">2010; </w:t>
            </w:r>
            <w:r w:rsidRPr="005176BD">
              <w:rPr>
                <w:rFonts w:cs="Arial"/>
                <w:sz w:val="20"/>
                <w:szCs w:val="20"/>
                <w:lang w:eastAsia="en-AU"/>
              </w:rPr>
              <w:t>12(2)</w:t>
            </w:r>
            <w:r w:rsidR="00291BE1" w:rsidRPr="005176BD">
              <w:rPr>
                <w:rFonts w:cs="Arial"/>
                <w:sz w:val="20"/>
                <w:szCs w:val="20"/>
                <w:lang w:eastAsia="en-AU"/>
              </w:rPr>
              <w:t xml:space="preserve">: </w:t>
            </w:r>
            <w:r w:rsidRPr="005176BD">
              <w:rPr>
                <w:rFonts w:cs="Arial"/>
                <w:sz w:val="20"/>
                <w:szCs w:val="20"/>
                <w:lang w:eastAsia="en-AU"/>
              </w:rPr>
              <w:t>162-170.</w:t>
            </w:r>
          </w:p>
        </w:tc>
        <w:tc>
          <w:tcPr>
            <w:tcW w:w="4857" w:type="dxa"/>
          </w:tcPr>
          <w:p w14:paraId="2D0B31F0" w14:textId="77777777" w:rsidR="0001154E" w:rsidRPr="005176BD" w:rsidRDefault="0001154E" w:rsidP="003B611A">
            <w:pPr>
              <w:rPr>
                <w:rFonts w:cs="Arial"/>
                <w:sz w:val="20"/>
                <w:szCs w:val="20"/>
                <w:lang w:eastAsia="en-AU"/>
              </w:rPr>
            </w:pPr>
            <w:r w:rsidRPr="005176BD">
              <w:rPr>
                <w:rFonts w:cs="Arial"/>
                <w:sz w:val="20"/>
                <w:szCs w:val="20"/>
                <w:lang w:eastAsia="en-AU"/>
              </w:rPr>
              <w:t xml:space="preserve">Lucke J, Brown W, Tooth L, Loxton D, Byles J, </w:t>
            </w:r>
            <w:proofErr w:type="spellStart"/>
            <w:r w:rsidRPr="005176BD">
              <w:rPr>
                <w:rFonts w:cs="Arial"/>
                <w:sz w:val="20"/>
                <w:szCs w:val="20"/>
                <w:lang w:eastAsia="en-AU"/>
              </w:rPr>
              <w:t>Spallek</w:t>
            </w:r>
            <w:proofErr w:type="spellEnd"/>
            <w:r w:rsidRPr="005176BD">
              <w:rPr>
                <w:rFonts w:cs="Arial"/>
                <w:sz w:val="20"/>
                <w:szCs w:val="20"/>
                <w:lang w:eastAsia="en-AU"/>
              </w:rPr>
              <w:t xml:space="preserve"> M, Powers J, Hockey R, Pachana N &amp; Dobson A.</w:t>
            </w:r>
          </w:p>
        </w:tc>
        <w:tc>
          <w:tcPr>
            <w:tcW w:w="797" w:type="dxa"/>
          </w:tcPr>
          <w:p w14:paraId="218783E1" w14:textId="3A471DAA" w:rsidR="0001154E" w:rsidRPr="005176BD" w:rsidRDefault="0001154E" w:rsidP="003B611A">
            <w:pPr>
              <w:rPr>
                <w:rFonts w:cs="Arial"/>
                <w:sz w:val="20"/>
                <w:szCs w:val="20"/>
                <w:lang w:eastAsia="en-AU"/>
              </w:rPr>
            </w:pPr>
            <w:r w:rsidRPr="005176BD">
              <w:rPr>
                <w:rFonts w:cs="Arial"/>
                <w:sz w:val="20"/>
                <w:szCs w:val="20"/>
                <w:lang w:eastAsia="en-AU"/>
              </w:rPr>
              <w:t>18</w:t>
            </w:r>
          </w:p>
        </w:tc>
      </w:tr>
      <w:tr w:rsidR="00640D50" w:rsidRPr="00640D50" w14:paraId="343DE531" w14:textId="77777777" w:rsidTr="0011030B">
        <w:tc>
          <w:tcPr>
            <w:tcW w:w="8201" w:type="dxa"/>
          </w:tcPr>
          <w:p w14:paraId="6B7EC243" w14:textId="3E161D0D" w:rsidR="00640D50" w:rsidRPr="005176BD" w:rsidRDefault="00640D50" w:rsidP="003B611A">
            <w:pPr>
              <w:rPr>
                <w:rFonts w:cs="Arial"/>
                <w:sz w:val="20"/>
                <w:szCs w:val="20"/>
                <w:lang w:eastAsia="en-AU"/>
              </w:rPr>
            </w:pPr>
            <w:r w:rsidRPr="005176BD">
              <w:rPr>
                <w:rFonts w:cs="Arial"/>
                <w:sz w:val="20"/>
                <w:szCs w:val="20"/>
                <w:lang w:eastAsia="en-AU"/>
              </w:rPr>
              <w:t>BMI and longevity in women: A time for reflection? Maturitas, 2010; 67(4): 294-295.</w:t>
            </w:r>
          </w:p>
        </w:tc>
        <w:tc>
          <w:tcPr>
            <w:tcW w:w="4857" w:type="dxa"/>
          </w:tcPr>
          <w:p w14:paraId="78EF68F7" w14:textId="3FD391C2" w:rsidR="00640D50" w:rsidRPr="005176BD" w:rsidRDefault="00640D50" w:rsidP="003B611A">
            <w:pPr>
              <w:rPr>
                <w:rFonts w:cs="Arial"/>
                <w:sz w:val="20"/>
                <w:szCs w:val="20"/>
                <w:lang w:eastAsia="en-AU"/>
              </w:rPr>
            </w:pPr>
            <w:r w:rsidRPr="005176BD">
              <w:rPr>
                <w:rFonts w:cs="Arial"/>
                <w:sz w:val="20"/>
                <w:szCs w:val="20"/>
                <w:lang w:eastAsia="en-AU"/>
              </w:rPr>
              <w:t xml:space="preserve">van </w:t>
            </w:r>
            <w:proofErr w:type="spellStart"/>
            <w:r w:rsidRPr="005176BD">
              <w:rPr>
                <w:rFonts w:cs="Arial"/>
                <w:sz w:val="20"/>
                <w:szCs w:val="20"/>
                <w:lang w:eastAsia="en-AU"/>
              </w:rPr>
              <w:t>Uffelen</w:t>
            </w:r>
            <w:proofErr w:type="spellEnd"/>
            <w:r w:rsidRPr="005176BD">
              <w:rPr>
                <w:rFonts w:cs="Arial"/>
                <w:sz w:val="20"/>
                <w:szCs w:val="20"/>
                <w:lang w:eastAsia="en-AU"/>
              </w:rPr>
              <w:t xml:space="preserve"> J &amp; Brown W.</w:t>
            </w:r>
          </w:p>
        </w:tc>
        <w:tc>
          <w:tcPr>
            <w:tcW w:w="797" w:type="dxa"/>
          </w:tcPr>
          <w:p w14:paraId="139AC9D6" w14:textId="492E98F4" w:rsidR="00640D50" w:rsidRPr="005176BD" w:rsidRDefault="00640D50" w:rsidP="003B611A">
            <w:pPr>
              <w:rPr>
                <w:rFonts w:cs="Arial"/>
                <w:sz w:val="20"/>
                <w:szCs w:val="20"/>
                <w:lang w:eastAsia="en-AU"/>
              </w:rPr>
            </w:pPr>
            <w:r w:rsidRPr="005176BD">
              <w:rPr>
                <w:rFonts w:cs="Arial"/>
                <w:sz w:val="20"/>
                <w:szCs w:val="20"/>
                <w:lang w:eastAsia="en-AU"/>
              </w:rPr>
              <w:t>3</w:t>
            </w:r>
          </w:p>
        </w:tc>
      </w:tr>
      <w:tr w:rsidR="0001154E" w:rsidRPr="00084B2B" w14:paraId="7C520F01" w14:textId="77777777" w:rsidTr="0011030B">
        <w:tc>
          <w:tcPr>
            <w:tcW w:w="8201" w:type="dxa"/>
          </w:tcPr>
          <w:p w14:paraId="7D356F86" w14:textId="78BED902" w:rsidR="0001154E" w:rsidRPr="005176BD" w:rsidRDefault="0001154E" w:rsidP="003B611A">
            <w:pPr>
              <w:rPr>
                <w:rFonts w:cs="Arial"/>
                <w:sz w:val="20"/>
                <w:szCs w:val="20"/>
                <w:lang w:eastAsia="en-AU"/>
              </w:rPr>
            </w:pPr>
            <w:r w:rsidRPr="005176BD">
              <w:rPr>
                <w:rFonts w:cs="Arial"/>
                <w:sz w:val="20"/>
                <w:szCs w:val="20"/>
                <w:lang w:eastAsia="en-AU"/>
              </w:rPr>
              <w:t xml:space="preserve">Life events and changing physical activity patterns in women at different life stages. Annals of </w:t>
            </w:r>
            <w:proofErr w:type="spellStart"/>
            <w:r w:rsidRPr="005176BD">
              <w:rPr>
                <w:rFonts w:cs="Arial"/>
                <w:sz w:val="20"/>
                <w:szCs w:val="20"/>
                <w:lang w:eastAsia="en-AU"/>
              </w:rPr>
              <w:t>Behavioral</w:t>
            </w:r>
            <w:proofErr w:type="spellEnd"/>
            <w:r w:rsidRPr="005176BD">
              <w:rPr>
                <w:rFonts w:cs="Arial"/>
                <w:sz w:val="20"/>
                <w:szCs w:val="20"/>
                <w:lang w:eastAsia="en-AU"/>
              </w:rPr>
              <w:t xml:space="preserve"> Medicine, </w:t>
            </w:r>
            <w:r w:rsidR="00291BE1" w:rsidRPr="005176BD">
              <w:rPr>
                <w:rFonts w:cs="Arial"/>
                <w:sz w:val="20"/>
                <w:szCs w:val="20"/>
                <w:lang w:eastAsia="en-AU"/>
              </w:rPr>
              <w:t xml:space="preserve">2009; </w:t>
            </w:r>
            <w:r w:rsidRPr="005176BD">
              <w:rPr>
                <w:rFonts w:cs="Arial"/>
                <w:sz w:val="20"/>
                <w:szCs w:val="20"/>
                <w:lang w:eastAsia="en-AU"/>
              </w:rPr>
              <w:t>37(3): 294-305.</w:t>
            </w:r>
          </w:p>
        </w:tc>
        <w:tc>
          <w:tcPr>
            <w:tcW w:w="4857" w:type="dxa"/>
          </w:tcPr>
          <w:p w14:paraId="060472FA" w14:textId="77777777" w:rsidR="0001154E" w:rsidRPr="005176BD" w:rsidRDefault="0001154E" w:rsidP="003B611A">
            <w:pPr>
              <w:rPr>
                <w:rFonts w:cs="Arial"/>
                <w:sz w:val="20"/>
                <w:szCs w:val="20"/>
                <w:lang w:eastAsia="en-AU"/>
              </w:rPr>
            </w:pPr>
            <w:r w:rsidRPr="005176BD">
              <w:rPr>
                <w:rFonts w:cs="Arial"/>
                <w:sz w:val="20"/>
                <w:szCs w:val="20"/>
                <w:lang w:eastAsia="en-AU"/>
              </w:rPr>
              <w:t xml:space="preserve">Brown WJ, </w:t>
            </w:r>
            <w:proofErr w:type="spellStart"/>
            <w:r w:rsidRPr="005176BD">
              <w:rPr>
                <w:rFonts w:cs="Arial"/>
                <w:sz w:val="20"/>
                <w:szCs w:val="20"/>
                <w:lang w:eastAsia="en-AU"/>
              </w:rPr>
              <w:t>Heesch</w:t>
            </w:r>
            <w:proofErr w:type="spellEnd"/>
            <w:r w:rsidRPr="005176BD">
              <w:rPr>
                <w:rFonts w:cs="Arial"/>
                <w:sz w:val="20"/>
                <w:szCs w:val="20"/>
                <w:lang w:eastAsia="en-AU"/>
              </w:rPr>
              <w:t xml:space="preserve"> K &amp; Miller Y.</w:t>
            </w:r>
          </w:p>
        </w:tc>
        <w:tc>
          <w:tcPr>
            <w:tcW w:w="797" w:type="dxa"/>
          </w:tcPr>
          <w:p w14:paraId="73BB87B5" w14:textId="20C2187B" w:rsidR="0001154E" w:rsidRPr="005176BD" w:rsidRDefault="0001154E" w:rsidP="003B611A">
            <w:pPr>
              <w:rPr>
                <w:rFonts w:cs="Arial"/>
                <w:sz w:val="20"/>
                <w:szCs w:val="20"/>
                <w:lang w:eastAsia="en-AU"/>
              </w:rPr>
            </w:pPr>
            <w:r w:rsidRPr="005176BD">
              <w:rPr>
                <w:rFonts w:cs="Arial"/>
                <w:sz w:val="20"/>
                <w:szCs w:val="20"/>
                <w:lang w:eastAsia="en-AU"/>
              </w:rPr>
              <w:t>111</w:t>
            </w:r>
          </w:p>
        </w:tc>
      </w:tr>
      <w:tr w:rsidR="0001154E" w:rsidRPr="00084B2B" w14:paraId="4C5A1140" w14:textId="77777777" w:rsidTr="0011030B">
        <w:tc>
          <w:tcPr>
            <w:tcW w:w="8201" w:type="dxa"/>
          </w:tcPr>
          <w:p w14:paraId="73169B10" w14:textId="6095A523" w:rsidR="0001154E" w:rsidRPr="005176BD" w:rsidRDefault="0001154E" w:rsidP="003B611A">
            <w:pPr>
              <w:rPr>
                <w:rFonts w:cs="Arial"/>
                <w:sz w:val="20"/>
                <w:szCs w:val="20"/>
                <w:lang w:eastAsia="en-AU"/>
              </w:rPr>
            </w:pPr>
            <w:r w:rsidRPr="005176BD">
              <w:rPr>
                <w:rFonts w:cs="Arial"/>
                <w:sz w:val="20"/>
                <w:szCs w:val="20"/>
                <w:lang w:eastAsia="en-AU"/>
              </w:rPr>
              <w:lastRenderedPageBreak/>
              <w:t xml:space="preserve">Living with urinary incontinence: A longitudinal study of older women. Age and Ageing, </w:t>
            </w:r>
            <w:r w:rsidR="00291BE1" w:rsidRPr="005176BD">
              <w:rPr>
                <w:rFonts w:cs="Arial"/>
                <w:sz w:val="20"/>
                <w:szCs w:val="20"/>
                <w:lang w:eastAsia="en-AU"/>
              </w:rPr>
              <w:t xml:space="preserve">2009; </w:t>
            </w:r>
            <w:r w:rsidRPr="005176BD">
              <w:rPr>
                <w:rFonts w:cs="Arial"/>
                <w:sz w:val="20"/>
                <w:szCs w:val="20"/>
                <w:lang w:eastAsia="en-AU"/>
              </w:rPr>
              <w:t>38(3)</w:t>
            </w:r>
            <w:r w:rsidR="00291BE1" w:rsidRPr="005176BD">
              <w:rPr>
                <w:rFonts w:cs="Arial"/>
                <w:sz w:val="20"/>
                <w:szCs w:val="20"/>
                <w:lang w:eastAsia="en-AU"/>
              </w:rPr>
              <w:t>:</w:t>
            </w:r>
            <w:r w:rsidRPr="005176BD">
              <w:rPr>
                <w:rFonts w:cs="Arial"/>
                <w:sz w:val="20"/>
                <w:szCs w:val="20"/>
                <w:lang w:eastAsia="en-AU"/>
              </w:rPr>
              <w:t xml:space="preserve"> 333-338.</w:t>
            </w:r>
          </w:p>
        </w:tc>
        <w:tc>
          <w:tcPr>
            <w:tcW w:w="4857" w:type="dxa"/>
          </w:tcPr>
          <w:p w14:paraId="45479ED6" w14:textId="77777777" w:rsidR="0001154E" w:rsidRPr="005176BD" w:rsidRDefault="0001154E" w:rsidP="003B611A">
            <w:pPr>
              <w:rPr>
                <w:rFonts w:cs="Arial"/>
                <w:sz w:val="20"/>
                <w:szCs w:val="20"/>
                <w:lang w:eastAsia="en-AU"/>
              </w:rPr>
            </w:pPr>
            <w:r w:rsidRPr="005176BD">
              <w:rPr>
                <w:rFonts w:cs="Arial"/>
                <w:sz w:val="20"/>
                <w:szCs w:val="20"/>
                <w:lang w:eastAsia="en-AU"/>
              </w:rPr>
              <w:t xml:space="preserve">Byles JE, Millar C, Sibbritt D &amp; </w:t>
            </w:r>
            <w:proofErr w:type="spellStart"/>
            <w:r w:rsidRPr="005176BD">
              <w:rPr>
                <w:rFonts w:cs="Arial"/>
                <w:sz w:val="20"/>
                <w:szCs w:val="20"/>
                <w:lang w:eastAsia="en-AU"/>
              </w:rPr>
              <w:t>Chiarelli</w:t>
            </w:r>
            <w:proofErr w:type="spellEnd"/>
            <w:r w:rsidRPr="005176BD">
              <w:rPr>
                <w:rFonts w:cs="Arial"/>
                <w:sz w:val="20"/>
                <w:szCs w:val="20"/>
                <w:lang w:eastAsia="en-AU"/>
              </w:rPr>
              <w:t xml:space="preserve"> P.</w:t>
            </w:r>
          </w:p>
        </w:tc>
        <w:tc>
          <w:tcPr>
            <w:tcW w:w="797" w:type="dxa"/>
          </w:tcPr>
          <w:p w14:paraId="67A5527A" w14:textId="62962420" w:rsidR="0001154E" w:rsidRPr="005176BD" w:rsidRDefault="0001154E" w:rsidP="003B611A">
            <w:pPr>
              <w:rPr>
                <w:rFonts w:cs="Arial"/>
                <w:sz w:val="20"/>
                <w:szCs w:val="20"/>
                <w:lang w:eastAsia="en-AU"/>
              </w:rPr>
            </w:pPr>
            <w:r w:rsidRPr="005176BD">
              <w:rPr>
                <w:rFonts w:cs="Arial"/>
                <w:sz w:val="20"/>
                <w:szCs w:val="20"/>
                <w:lang w:eastAsia="en-AU"/>
              </w:rPr>
              <w:t>71</w:t>
            </w:r>
          </w:p>
        </w:tc>
      </w:tr>
      <w:tr w:rsidR="0001154E" w:rsidRPr="00084B2B" w14:paraId="66630AD2" w14:textId="77777777" w:rsidTr="0011030B">
        <w:tc>
          <w:tcPr>
            <w:tcW w:w="8201" w:type="dxa"/>
          </w:tcPr>
          <w:p w14:paraId="3654928D" w14:textId="14F64EA0" w:rsidR="0001154E" w:rsidRPr="005176BD" w:rsidRDefault="0001154E" w:rsidP="003B611A">
            <w:pPr>
              <w:rPr>
                <w:rFonts w:cs="Arial"/>
                <w:sz w:val="20"/>
                <w:szCs w:val="20"/>
                <w:lang w:eastAsia="en-AU"/>
              </w:rPr>
            </w:pPr>
            <w:r w:rsidRPr="005176BD">
              <w:rPr>
                <w:rFonts w:cs="Arial"/>
                <w:sz w:val="20"/>
                <w:szCs w:val="20"/>
                <w:lang w:eastAsia="en-AU"/>
              </w:rPr>
              <w:t xml:space="preserve">Prospective association between physical activity and falls in community-dwelling older women. Journal of Epidemiology and Community Health, </w:t>
            </w:r>
            <w:r w:rsidR="00291BE1" w:rsidRPr="005176BD">
              <w:rPr>
                <w:rFonts w:cs="Arial"/>
                <w:sz w:val="20"/>
                <w:szCs w:val="20"/>
                <w:lang w:eastAsia="en-AU"/>
              </w:rPr>
              <w:t xml:space="preserve">2008; </w:t>
            </w:r>
            <w:r w:rsidRPr="005176BD">
              <w:rPr>
                <w:rFonts w:cs="Arial"/>
                <w:sz w:val="20"/>
                <w:szCs w:val="20"/>
                <w:lang w:eastAsia="en-AU"/>
              </w:rPr>
              <w:t>62(5)</w:t>
            </w:r>
            <w:r w:rsidR="00291BE1" w:rsidRPr="005176BD">
              <w:rPr>
                <w:rFonts w:cs="Arial"/>
                <w:sz w:val="20"/>
                <w:szCs w:val="20"/>
                <w:lang w:eastAsia="en-AU"/>
              </w:rPr>
              <w:t>:</w:t>
            </w:r>
            <w:r w:rsidRPr="005176BD">
              <w:rPr>
                <w:rFonts w:cs="Arial"/>
                <w:sz w:val="20"/>
                <w:szCs w:val="20"/>
                <w:lang w:eastAsia="en-AU"/>
              </w:rPr>
              <w:t xml:space="preserve"> 421-426.</w:t>
            </w:r>
          </w:p>
        </w:tc>
        <w:tc>
          <w:tcPr>
            <w:tcW w:w="4857" w:type="dxa"/>
          </w:tcPr>
          <w:p w14:paraId="6586FDF1"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Heesch</w:t>
            </w:r>
            <w:proofErr w:type="spellEnd"/>
            <w:r w:rsidRPr="005176BD">
              <w:rPr>
                <w:rFonts w:cs="Arial"/>
                <w:sz w:val="20"/>
                <w:szCs w:val="20"/>
                <w:lang w:eastAsia="en-AU"/>
              </w:rPr>
              <w:t xml:space="preserve"> K, Byles J &amp; Brown WJ.</w:t>
            </w:r>
          </w:p>
        </w:tc>
        <w:tc>
          <w:tcPr>
            <w:tcW w:w="797" w:type="dxa"/>
          </w:tcPr>
          <w:p w14:paraId="06C8F4C6" w14:textId="49FFCC55" w:rsidR="0001154E" w:rsidRPr="005176BD" w:rsidRDefault="0001154E" w:rsidP="003B611A">
            <w:pPr>
              <w:rPr>
                <w:rFonts w:cs="Arial"/>
                <w:sz w:val="20"/>
                <w:szCs w:val="20"/>
                <w:lang w:eastAsia="en-AU"/>
              </w:rPr>
            </w:pPr>
            <w:r w:rsidRPr="005176BD">
              <w:rPr>
                <w:rFonts w:cs="Arial"/>
                <w:sz w:val="20"/>
                <w:szCs w:val="20"/>
                <w:lang w:eastAsia="en-AU"/>
              </w:rPr>
              <w:t>88</w:t>
            </w:r>
          </w:p>
        </w:tc>
      </w:tr>
      <w:tr w:rsidR="0001154E" w:rsidRPr="00084B2B" w14:paraId="7EBC43A2" w14:textId="77777777" w:rsidTr="0011030B">
        <w:tc>
          <w:tcPr>
            <w:tcW w:w="8201" w:type="dxa"/>
          </w:tcPr>
          <w:p w14:paraId="00A311A7" w14:textId="778CC400" w:rsidR="0001154E" w:rsidRPr="005176BD" w:rsidRDefault="0001154E" w:rsidP="003B611A">
            <w:pPr>
              <w:rPr>
                <w:rFonts w:cs="Arial"/>
                <w:sz w:val="20"/>
                <w:szCs w:val="20"/>
                <w:lang w:eastAsia="en-AU"/>
              </w:rPr>
            </w:pPr>
            <w:r w:rsidRPr="005176BD">
              <w:rPr>
                <w:rFonts w:cs="Arial"/>
                <w:sz w:val="20"/>
                <w:szCs w:val="20"/>
                <w:lang w:eastAsia="en-AU"/>
              </w:rPr>
              <w:t xml:space="preserve">Do walking and leisure-time physical activity protect against arthritis in older women? Journal of Epidemiology and Community Health, </w:t>
            </w:r>
            <w:r w:rsidR="00291BE1" w:rsidRPr="005176BD">
              <w:rPr>
                <w:rFonts w:cs="Arial"/>
                <w:sz w:val="20"/>
                <w:szCs w:val="20"/>
                <w:lang w:eastAsia="en-AU"/>
              </w:rPr>
              <w:t xml:space="preserve">2008; </w:t>
            </w:r>
            <w:r w:rsidRPr="005176BD">
              <w:rPr>
                <w:rFonts w:cs="Arial"/>
                <w:sz w:val="20"/>
                <w:szCs w:val="20"/>
                <w:lang w:eastAsia="en-AU"/>
              </w:rPr>
              <w:t>62(12)</w:t>
            </w:r>
            <w:r w:rsidR="00291BE1" w:rsidRPr="005176BD">
              <w:rPr>
                <w:rFonts w:cs="Arial"/>
                <w:sz w:val="20"/>
                <w:szCs w:val="20"/>
                <w:lang w:eastAsia="en-AU"/>
              </w:rPr>
              <w:t>:</w:t>
            </w:r>
            <w:r w:rsidRPr="005176BD">
              <w:rPr>
                <w:rFonts w:cs="Arial"/>
                <w:sz w:val="20"/>
                <w:szCs w:val="20"/>
                <w:lang w:eastAsia="en-AU"/>
              </w:rPr>
              <w:t xml:space="preserve"> 1086-1091.</w:t>
            </w:r>
          </w:p>
        </w:tc>
        <w:tc>
          <w:tcPr>
            <w:tcW w:w="4857" w:type="dxa"/>
          </w:tcPr>
          <w:p w14:paraId="0AE8F4B6" w14:textId="77777777" w:rsidR="0001154E" w:rsidRPr="005176BD" w:rsidRDefault="0001154E" w:rsidP="003B611A">
            <w:pPr>
              <w:rPr>
                <w:rFonts w:cs="Arial"/>
                <w:sz w:val="20"/>
                <w:szCs w:val="20"/>
                <w:lang w:eastAsia="en-AU"/>
              </w:rPr>
            </w:pPr>
            <w:proofErr w:type="spellStart"/>
            <w:r w:rsidRPr="005176BD">
              <w:rPr>
                <w:rFonts w:cs="Arial"/>
                <w:sz w:val="20"/>
                <w:szCs w:val="20"/>
                <w:lang w:eastAsia="en-AU"/>
              </w:rPr>
              <w:t>Heescsh</w:t>
            </w:r>
            <w:proofErr w:type="spellEnd"/>
            <w:r w:rsidRPr="005176BD">
              <w:rPr>
                <w:rFonts w:cs="Arial"/>
                <w:sz w:val="20"/>
                <w:szCs w:val="20"/>
                <w:lang w:eastAsia="en-AU"/>
              </w:rPr>
              <w:t xml:space="preserve"> K &amp; Brown WJ.</w:t>
            </w:r>
          </w:p>
        </w:tc>
        <w:tc>
          <w:tcPr>
            <w:tcW w:w="797" w:type="dxa"/>
          </w:tcPr>
          <w:p w14:paraId="260090B5" w14:textId="68E088A9" w:rsidR="0001154E" w:rsidRPr="005176BD" w:rsidRDefault="0001154E" w:rsidP="003B611A">
            <w:pPr>
              <w:rPr>
                <w:rFonts w:cs="Arial"/>
                <w:sz w:val="20"/>
                <w:szCs w:val="20"/>
                <w:lang w:eastAsia="en-AU"/>
              </w:rPr>
            </w:pPr>
            <w:r w:rsidRPr="005176BD">
              <w:rPr>
                <w:rFonts w:cs="Arial"/>
                <w:sz w:val="20"/>
                <w:szCs w:val="20"/>
                <w:lang w:eastAsia="en-AU"/>
              </w:rPr>
              <w:t>14</w:t>
            </w:r>
          </w:p>
        </w:tc>
      </w:tr>
      <w:tr w:rsidR="0001154E" w:rsidRPr="00084B2B" w14:paraId="2F1F48F2" w14:textId="77777777" w:rsidTr="0011030B">
        <w:tc>
          <w:tcPr>
            <w:tcW w:w="8201" w:type="dxa"/>
          </w:tcPr>
          <w:p w14:paraId="177B982D" w14:textId="42306984" w:rsidR="0001154E" w:rsidRPr="005176BD" w:rsidRDefault="0001154E" w:rsidP="003B611A">
            <w:pPr>
              <w:rPr>
                <w:rFonts w:cs="Arial"/>
                <w:sz w:val="20"/>
                <w:szCs w:val="20"/>
                <w:lang w:eastAsia="en-AU"/>
              </w:rPr>
            </w:pPr>
            <w:r w:rsidRPr="005176BD">
              <w:rPr>
                <w:rFonts w:cs="Arial"/>
                <w:sz w:val="20"/>
                <w:szCs w:val="20"/>
                <w:lang w:eastAsia="en-AU"/>
              </w:rPr>
              <w:t xml:space="preserve">Updating the evidence on physical activity and health in women. American Journal of Preventive Medicine, </w:t>
            </w:r>
            <w:r w:rsidR="00291BE1" w:rsidRPr="005176BD">
              <w:rPr>
                <w:rFonts w:cs="Arial"/>
                <w:sz w:val="20"/>
                <w:szCs w:val="20"/>
                <w:lang w:eastAsia="en-AU"/>
              </w:rPr>
              <w:t xml:space="preserve">2007; </w:t>
            </w:r>
            <w:r w:rsidRPr="005176BD">
              <w:rPr>
                <w:rFonts w:cs="Arial"/>
                <w:sz w:val="20"/>
                <w:szCs w:val="20"/>
                <w:lang w:eastAsia="en-AU"/>
              </w:rPr>
              <w:t>33(5)</w:t>
            </w:r>
            <w:r w:rsidR="00291BE1" w:rsidRPr="005176BD">
              <w:rPr>
                <w:rFonts w:cs="Arial"/>
                <w:sz w:val="20"/>
                <w:szCs w:val="20"/>
                <w:lang w:eastAsia="en-AU"/>
              </w:rPr>
              <w:t>:</w:t>
            </w:r>
            <w:r w:rsidRPr="005176BD">
              <w:rPr>
                <w:rFonts w:cs="Arial"/>
                <w:sz w:val="20"/>
                <w:szCs w:val="20"/>
                <w:lang w:eastAsia="en-AU"/>
              </w:rPr>
              <w:t xml:space="preserve"> 404-411. e25</w:t>
            </w:r>
          </w:p>
        </w:tc>
        <w:tc>
          <w:tcPr>
            <w:tcW w:w="4857" w:type="dxa"/>
          </w:tcPr>
          <w:p w14:paraId="7B89AB05" w14:textId="77777777" w:rsidR="0001154E" w:rsidRPr="005176BD" w:rsidRDefault="0001154E" w:rsidP="003B611A">
            <w:pPr>
              <w:rPr>
                <w:rFonts w:cs="Arial"/>
                <w:sz w:val="20"/>
                <w:szCs w:val="20"/>
                <w:lang w:eastAsia="en-AU"/>
              </w:rPr>
            </w:pPr>
            <w:r w:rsidRPr="005176BD">
              <w:rPr>
                <w:rFonts w:cs="Arial"/>
                <w:sz w:val="20"/>
                <w:szCs w:val="20"/>
                <w:lang w:eastAsia="en-AU"/>
              </w:rPr>
              <w:t>Brown WJ, Burton N &amp; Rowan P.</w:t>
            </w:r>
          </w:p>
        </w:tc>
        <w:tc>
          <w:tcPr>
            <w:tcW w:w="797" w:type="dxa"/>
          </w:tcPr>
          <w:p w14:paraId="6B72D341" w14:textId="0E621D21" w:rsidR="0001154E" w:rsidRPr="005176BD" w:rsidRDefault="0001154E" w:rsidP="003B611A">
            <w:pPr>
              <w:rPr>
                <w:rFonts w:cs="Arial"/>
                <w:sz w:val="20"/>
                <w:szCs w:val="20"/>
                <w:lang w:eastAsia="en-AU"/>
              </w:rPr>
            </w:pPr>
            <w:r w:rsidRPr="005176BD">
              <w:rPr>
                <w:rFonts w:cs="Arial"/>
                <w:sz w:val="20"/>
                <w:szCs w:val="20"/>
                <w:lang w:eastAsia="en-AU"/>
              </w:rPr>
              <w:t>199</w:t>
            </w:r>
          </w:p>
        </w:tc>
      </w:tr>
      <w:tr w:rsidR="0001154E" w:rsidRPr="00084B2B" w14:paraId="36B90F44" w14:textId="77777777" w:rsidTr="0011030B">
        <w:tc>
          <w:tcPr>
            <w:tcW w:w="8201" w:type="dxa"/>
          </w:tcPr>
          <w:p w14:paraId="5E3E27C8" w14:textId="7B42FD1F" w:rsidR="0001154E" w:rsidRPr="005176BD" w:rsidRDefault="0001154E" w:rsidP="003B611A">
            <w:pPr>
              <w:rPr>
                <w:rFonts w:cs="Arial"/>
                <w:sz w:val="20"/>
                <w:szCs w:val="20"/>
                <w:lang w:eastAsia="en-AU"/>
              </w:rPr>
            </w:pPr>
            <w:r w:rsidRPr="005176BD">
              <w:rPr>
                <w:rFonts w:cs="Arial"/>
                <w:sz w:val="20"/>
                <w:szCs w:val="20"/>
                <w:lang w:eastAsia="en-AU"/>
              </w:rPr>
              <w:t xml:space="preserve">'There's more to life than just walking': Older women's ways of staying healthy and happy. Journal of Aging and Physical Activity, </w:t>
            </w:r>
            <w:r w:rsidR="00291BE1" w:rsidRPr="005176BD">
              <w:rPr>
                <w:rFonts w:cs="Arial"/>
                <w:sz w:val="20"/>
                <w:szCs w:val="20"/>
                <w:lang w:eastAsia="en-AU"/>
              </w:rPr>
              <w:t xml:space="preserve">2006; </w:t>
            </w:r>
            <w:r w:rsidRPr="005176BD">
              <w:rPr>
                <w:rFonts w:cs="Arial"/>
                <w:sz w:val="20"/>
                <w:szCs w:val="20"/>
                <w:lang w:eastAsia="en-AU"/>
              </w:rPr>
              <w:t>14(4)</w:t>
            </w:r>
            <w:r w:rsidR="00291BE1" w:rsidRPr="005176BD">
              <w:rPr>
                <w:rFonts w:cs="Arial"/>
                <w:sz w:val="20"/>
                <w:szCs w:val="20"/>
                <w:lang w:eastAsia="en-AU"/>
              </w:rPr>
              <w:t>:</w:t>
            </w:r>
            <w:r w:rsidRPr="005176BD">
              <w:rPr>
                <w:rFonts w:cs="Arial"/>
                <w:sz w:val="20"/>
                <w:szCs w:val="20"/>
                <w:lang w:eastAsia="en-AU"/>
              </w:rPr>
              <w:t xml:space="preserve"> 380-391. </w:t>
            </w:r>
          </w:p>
        </w:tc>
        <w:tc>
          <w:tcPr>
            <w:tcW w:w="4857" w:type="dxa"/>
          </w:tcPr>
          <w:p w14:paraId="11890285" w14:textId="77777777" w:rsidR="0001154E" w:rsidRPr="005176BD" w:rsidRDefault="0001154E" w:rsidP="003B611A">
            <w:pPr>
              <w:rPr>
                <w:rFonts w:cs="Arial"/>
                <w:sz w:val="20"/>
                <w:szCs w:val="20"/>
                <w:lang w:eastAsia="en-AU"/>
              </w:rPr>
            </w:pPr>
            <w:r w:rsidRPr="005176BD">
              <w:rPr>
                <w:rFonts w:cs="Arial"/>
                <w:sz w:val="20"/>
                <w:szCs w:val="20"/>
                <w:lang w:eastAsia="en-AU"/>
              </w:rPr>
              <w:t>Adamson L &amp; Parker G.</w:t>
            </w:r>
          </w:p>
        </w:tc>
        <w:tc>
          <w:tcPr>
            <w:tcW w:w="797" w:type="dxa"/>
          </w:tcPr>
          <w:p w14:paraId="50325A25" w14:textId="6C185C1E" w:rsidR="0001154E" w:rsidRPr="005176BD" w:rsidRDefault="0001154E" w:rsidP="003B611A">
            <w:pPr>
              <w:rPr>
                <w:rFonts w:cs="Arial"/>
                <w:sz w:val="20"/>
                <w:szCs w:val="20"/>
                <w:lang w:eastAsia="en-AU"/>
              </w:rPr>
            </w:pPr>
            <w:r w:rsidRPr="005176BD">
              <w:rPr>
                <w:rFonts w:cs="Arial"/>
                <w:sz w:val="20"/>
                <w:szCs w:val="20"/>
                <w:lang w:eastAsia="en-AU"/>
              </w:rPr>
              <w:t>27</w:t>
            </w:r>
          </w:p>
        </w:tc>
      </w:tr>
      <w:tr w:rsidR="0001154E" w:rsidRPr="00084B2B" w14:paraId="4D9A03BD" w14:textId="77777777" w:rsidTr="0011030B">
        <w:tc>
          <w:tcPr>
            <w:tcW w:w="8201" w:type="dxa"/>
          </w:tcPr>
          <w:p w14:paraId="748B64AA" w14:textId="1D37EACB" w:rsidR="0001154E" w:rsidRPr="005176BD" w:rsidRDefault="0001154E" w:rsidP="003B611A">
            <w:pPr>
              <w:rPr>
                <w:rFonts w:cs="Arial"/>
                <w:sz w:val="20"/>
                <w:szCs w:val="20"/>
                <w:lang w:eastAsia="en-AU"/>
              </w:rPr>
            </w:pPr>
            <w:r w:rsidRPr="005176BD">
              <w:rPr>
                <w:rFonts w:cs="Arial"/>
                <w:sz w:val="20"/>
                <w:szCs w:val="20"/>
                <w:lang w:eastAsia="en-AU"/>
              </w:rPr>
              <w:t xml:space="preserve">Never too late: Older people's perceptions of physical activity. Health Promotion Journal of Australia, </w:t>
            </w:r>
            <w:r w:rsidR="00291BE1" w:rsidRPr="005176BD">
              <w:rPr>
                <w:rFonts w:cs="Arial"/>
                <w:sz w:val="20"/>
                <w:szCs w:val="20"/>
                <w:lang w:eastAsia="en-AU"/>
              </w:rPr>
              <w:t xml:space="preserve">1999; </w:t>
            </w:r>
            <w:r w:rsidRPr="005176BD">
              <w:rPr>
                <w:rFonts w:cs="Arial"/>
                <w:sz w:val="20"/>
                <w:szCs w:val="20"/>
                <w:lang w:eastAsia="en-AU"/>
              </w:rPr>
              <w:t>9(1)</w:t>
            </w:r>
            <w:r w:rsidR="00291BE1" w:rsidRPr="005176BD">
              <w:rPr>
                <w:rFonts w:cs="Arial"/>
                <w:sz w:val="20"/>
                <w:szCs w:val="20"/>
                <w:lang w:eastAsia="en-AU"/>
              </w:rPr>
              <w:t>:</w:t>
            </w:r>
            <w:r w:rsidRPr="005176BD">
              <w:rPr>
                <w:rFonts w:cs="Arial"/>
                <w:sz w:val="20"/>
                <w:szCs w:val="20"/>
                <w:lang w:eastAsia="en-AU"/>
              </w:rPr>
              <w:t xml:space="preserve"> 55-63.</w:t>
            </w:r>
          </w:p>
        </w:tc>
        <w:tc>
          <w:tcPr>
            <w:tcW w:w="4857" w:type="dxa"/>
          </w:tcPr>
          <w:p w14:paraId="22A1BA1B" w14:textId="77777777" w:rsidR="0001154E" w:rsidRPr="005176BD" w:rsidRDefault="0001154E" w:rsidP="003B611A">
            <w:pPr>
              <w:rPr>
                <w:rFonts w:cs="Arial"/>
                <w:sz w:val="20"/>
                <w:szCs w:val="20"/>
                <w:lang w:eastAsia="en-AU"/>
              </w:rPr>
            </w:pPr>
            <w:r w:rsidRPr="005176BD">
              <w:rPr>
                <w:rFonts w:cs="Arial"/>
                <w:sz w:val="20"/>
                <w:szCs w:val="20"/>
                <w:lang w:eastAsia="en-AU"/>
              </w:rPr>
              <w:t>Brown WJ.</w:t>
            </w:r>
          </w:p>
        </w:tc>
        <w:tc>
          <w:tcPr>
            <w:tcW w:w="797" w:type="dxa"/>
          </w:tcPr>
          <w:p w14:paraId="316D6A76" w14:textId="5CE56D5F" w:rsidR="0001154E" w:rsidRPr="005176BD" w:rsidRDefault="0001154E" w:rsidP="003B611A">
            <w:pPr>
              <w:rPr>
                <w:rFonts w:cs="Arial"/>
                <w:sz w:val="20"/>
                <w:szCs w:val="20"/>
                <w:lang w:eastAsia="en-AU"/>
              </w:rPr>
            </w:pPr>
            <w:r w:rsidRPr="005176BD">
              <w:rPr>
                <w:rFonts w:cs="Arial"/>
                <w:sz w:val="20"/>
                <w:szCs w:val="20"/>
                <w:lang w:eastAsia="en-AU"/>
              </w:rPr>
              <w:t>27</w:t>
            </w:r>
          </w:p>
        </w:tc>
      </w:tr>
    </w:tbl>
    <w:p w14:paraId="73B8DA60" w14:textId="77777777" w:rsidR="00404D78" w:rsidRDefault="00404D78" w:rsidP="00404D78">
      <w:pPr>
        <w:rPr>
          <w:rFonts w:ascii="Times New Roman" w:hAnsi="Times New Roman" w:cs="Times New Roman"/>
        </w:rPr>
        <w:sectPr w:rsidR="00404D78">
          <w:pgSz w:w="16838" w:h="11906" w:orient="landscape"/>
          <w:pgMar w:top="1440" w:right="1440" w:bottom="1440" w:left="1440" w:header="708" w:footer="708" w:gutter="0"/>
          <w:cols w:space="708"/>
          <w:docGrid w:linePitch="360"/>
        </w:sectPr>
      </w:pPr>
    </w:p>
    <w:p w14:paraId="15586192" w14:textId="4273E650" w:rsidR="00345FD1" w:rsidRPr="00012F17" w:rsidRDefault="00345FD1" w:rsidP="00012F17">
      <w:pPr>
        <w:pStyle w:val="Heading1"/>
        <w:spacing w:before="480" w:after="0"/>
        <w:rPr>
          <w:rFonts w:asciiTheme="minorHAnsi" w:hAnsiTheme="minorHAnsi"/>
          <w:b/>
          <w:sz w:val="28"/>
        </w:rPr>
      </w:pPr>
      <w:bookmarkStart w:id="87" w:name="_Toc530561296"/>
      <w:bookmarkStart w:id="88" w:name="_Toc389225871"/>
      <w:r>
        <w:lastRenderedPageBreak/>
        <w:t xml:space="preserve">APPENDIX </w:t>
      </w:r>
      <w:r w:rsidR="00F424C4">
        <w:t>B</w:t>
      </w:r>
      <w:r>
        <w:t>: REPORTS PREPARED USING 1921-26 COHORT DATA</w:t>
      </w:r>
      <w:bookmarkEnd w:id="87"/>
    </w:p>
    <w:p w14:paraId="7BF80E15" w14:textId="3A3378BD" w:rsidR="00426E0C" w:rsidRPr="005160B6" w:rsidRDefault="00345FD1" w:rsidP="00D3035E">
      <w:pPr>
        <w:pStyle w:val="Heading2"/>
        <w:ind w:left="540"/>
      </w:pPr>
      <w:bookmarkStart w:id="89" w:name="_Toc530561297"/>
      <w:r>
        <w:t xml:space="preserve">Major Reports (2006 – </w:t>
      </w:r>
      <w:r w:rsidR="00426E0C">
        <w:t>2018</w:t>
      </w:r>
      <w:r>
        <w:t>)</w:t>
      </w:r>
      <w:bookmarkEnd w:id="89"/>
    </w:p>
    <w:p w14:paraId="2BDBA3A8" w14:textId="1AB6791C" w:rsidR="00426E0C" w:rsidRPr="006E0F45" w:rsidRDefault="00426E0C" w:rsidP="00020D3F">
      <w:pPr>
        <w:pStyle w:val="ListParagraph"/>
        <w:numPr>
          <w:ilvl w:val="0"/>
          <w:numId w:val="18"/>
        </w:numPr>
        <w:spacing w:afterAutospacing="0" w:line="276" w:lineRule="auto"/>
        <w:ind w:left="714" w:hanging="357"/>
        <w:contextualSpacing w:val="0"/>
        <w:rPr>
          <w:rFonts w:ascii="Arial" w:hAnsi="Arial" w:cs="Arial"/>
          <w:sz w:val="22"/>
          <w:szCs w:val="22"/>
        </w:rPr>
      </w:pPr>
      <w:r w:rsidRPr="006E0F45">
        <w:rPr>
          <w:rFonts w:ascii="Arial" w:hAnsi="Arial" w:cs="Arial"/>
          <w:sz w:val="22"/>
          <w:szCs w:val="22"/>
        </w:rPr>
        <w:t>From child care to elder care: Findings from the Australian Longitudinal Study on Women’s Health. (2018). Tooth L, Loxton D, Chan H, Coombe J, Dobson A, Hockey R, Townsend N, Byles J &amp; Mishra G. Report prepared for the Australian G</w:t>
      </w:r>
      <w:r w:rsidR="00012F17" w:rsidRPr="006E0F45">
        <w:rPr>
          <w:rFonts w:ascii="Arial" w:hAnsi="Arial" w:cs="Arial"/>
          <w:sz w:val="22"/>
          <w:szCs w:val="22"/>
        </w:rPr>
        <w:t>overnment Department of Health.</w:t>
      </w:r>
    </w:p>
    <w:p w14:paraId="6C089F72" w14:textId="7597A908" w:rsidR="00426E0C" w:rsidRPr="006E0F45" w:rsidRDefault="00592779" w:rsidP="00020D3F">
      <w:pPr>
        <w:numPr>
          <w:ilvl w:val="0"/>
          <w:numId w:val="8"/>
        </w:numPr>
        <w:spacing w:before="0" w:beforeAutospacing="0"/>
        <w:rPr>
          <w:rFonts w:cs="Arial"/>
        </w:rPr>
      </w:pPr>
      <w:hyperlink r:id="rId54" w:history="1">
        <w:r w:rsidR="00426E0C" w:rsidRPr="00055BA9">
          <w:rPr>
            <w:rStyle w:val="Hyperlink"/>
            <w:rFonts w:ascii="Arial" w:hAnsi="Arial" w:cs="Arial"/>
          </w:rPr>
          <w:t xml:space="preserve">Use, access to, and impact of Medicare services for Australian women: </w:t>
        </w:r>
        <w:r w:rsidR="00426E0C" w:rsidRPr="00055BA9">
          <w:rPr>
            <w:rStyle w:val="Hyperlink"/>
            <w:rFonts w:ascii="Arial" w:hAnsi="Arial" w:cs="Arial"/>
            <w:bCs/>
          </w:rPr>
          <w:t>Findings from the Australian Longitudinal Study on Women’s Health.</w:t>
        </w:r>
      </w:hyperlink>
      <w:r w:rsidR="00426E0C" w:rsidRPr="006E0F45">
        <w:rPr>
          <w:rFonts w:cs="Arial"/>
          <w:bCs/>
        </w:rPr>
        <w:t xml:space="preserve"> (2017). Byles J, Mishra G, Hockey R, Adane A, Chan H, Dolja-Gore X, Forder P, Harris M, Majeed T, Loxton D and Tooth L.</w:t>
      </w:r>
      <w:r w:rsidR="00012F17" w:rsidRPr="006E0F45">
        <w:rPr>
          <w:rFonts w:cs="Arial"/>
          <w:bCs/>
        </w:rPr>
        <w:t xml:space="preserve"> </w:t>
      </w:r>
      <w:r w:rsidR="00426E0C" w:rsidRPr="006E0F45">
        <w:rPr>
          <w:rFonts w:cs="Arial"/>
        </w:rPr>
        <w:t>Report prepared for the Australian Government Department of Health</w:t>
      </w:r>
      <w:r w:rsidR="00012F17" w:rsidRPr="006E0F45">
        <w:rPr>
          <w:rFonts w:cs="Arial"/>
        </w:rPr>
        <w:t>.</w:t>
      </w:r>
    </w:p>
    <w:p w14:paraId="59188446" w14:textId="397A3459" w:rsidR="00C11198" w:rsidRPr="006E0F45" w:rsidRDefault="00592779" w:rsidP="00020D3F">
      <w:pPr>
        <w:numPr>
          <w:ilvl w:val="0"/>
          <w:numId w:val="8"/>
        </w:numPr>
        <w:rPr>
          <w:rFonts w:cs="Arial"/>
        </w:rPr>
      </w:pPr>
      <w:hyperlink r:id="rId55" w:history="1">
        <w:r w:rsidR="00426E0C" w:rsidRPr="00055BA9">
          <w:rPr>
            <w:rStyle w:val="Hyperlink"/>
            <w:rFonts w:ascii="Arial" w:hAnsi="Arial" w:cs="Arial"/>
          </w:rPr>
          <w:t xml:space="preserve">Future health service use and cost: Insights from the </w:t>
        </w:r>
        <w:r w:rsidR="00426E0C" w:rsidRPr="00055BA9">
          <w:rPr>
            <w:rStyle w:val="Hyperlink"/>
            <w:rFonts w:ascii="Arial" w:hAnsi="Arial" w:cs="Arial"/>
            <w:bCs/>
          </w:rPr>
          <w:t>Australian Longitudinal Study on Women’s Health</w:t>
        </w:r>
      </w:hyperlink>
      <w:r w:rsidR="00426E0C" w:rsidRPr="00055BA9">
        <w:rPr>
          <w:rFonts w:cs="Arial"/>
          <w:bCs/>
          <w:u w:val="single"/>
        </w:rPr>
        <w:t>.</w:t>
      </w:r>
      <w:r w:rsidR="00426E0C" w:rsidRPr="006E0F45">
        <w:rPr>
          <w:rFonts w:cs="Arial"/>
          <w:bCs/>
        </w:rPr>
        <w:t xml:space="preserve"> (2016). Mishra G, Chan H, Hockey R, Waller M, Kanesarajah J, Byles J &amp; Dobson A. </w:t>
      </w:r>
      <w:r w:rsidR="00426E0C" w:rsidRPr="006E0F45">
        <w:rPr>
          <w:rFonts w:cs="Arial"/>
        </w:rPr>
        <w:t>Report prepared for the Australian Government Department of Health.</w:t>
      </w:r>
    </w:p>
    <w:p w14:paraId="2237D502" w14:textId="3F06F4BA" w:rsidR="00C11198" w:rsidRPr="006E0F45" w:rsidRDefault="00592779" w:rsidP="00020D3F">
      <w:pPr>
        <w:numPr>
          <w:ilvl w:val="0"/>
          <w:numId w:val="8"/>
        </w:numPr>
        <w:rPr>
          <w:rFonts w:cs="Arial"/>
        </w:rPr>
      </w:pPr>
      <w:hyperlink r:id="rId56" w:history="1">
        <w:r w:rsidR="00C11198" w:rsidRPr="00055BA9">
          <w:rPr>
            <w:rStyle w:val="Hyperlink"/>
            <w:rFonts w:ascii="Arial" w:hAnsi="Arial" w:cs="Arial"/>
          </w:rPr>
          <w:t>Chronic conditions, physical function and health care use: Findings from the Australian Longitudinal Study on Women’s Health.</w:t>
        </w:r>
      </w:hyperlink>
      <w:r w:rsidR="00C11198" w:rsidRPr="006E0F45">
        <w:rPr>
          <w:rFonts w:cs="Arial"/>
        </w:rPr>
        <w:t xml:space="preserve"> (2015).</w:t>
      </w:r>
      <w:r w:rsidR="00012F17" w:rsidRPr="006E0F45">
        <w:rPr>
          <w:rFonts w:cs="Arial"/>
        </w:rPr>
        <w:t xml:space="preserve"> </w:t>
      </w:r>
      <w:r w:rsidR="00C11198" w:rsidRPr="006E0F45">
        <w:rPr>
          <w:rFonts w:cs="Arial"/>
        </w:rPr>
        <w:t>Byles J, Hockey R, McLaughlin D, Dobson A, Brown W, Loxton D &amp; Mishra G.</w:t>
      </w:r>
      <w:r w:rsidR="00012F17" w:rsidRPr="006E0F45">
        <w:rPr>
          <w:rFonts w:cs="Arial"/>
        </w:rPr>
        <w:t xml:space="preserve"> </w:t>
      </w:r>
      <w:r w:rsidR="00C11198" w:rsidRPr="006E0F45">
        <w:rPr>
          <w:rFonts w:cs="Arial"/>
        </w:rPr>
        <w:t>Report prepared for the Australian Government Department of Health.</w:t>
      </w:r>
    </w:p>
    <w:p w14:paraId="7DC5974A" w14:textId="5C4BC2AF" w:rsidR="00345FD1" w:rsidRPr="006E0F45" w:rsidRDefault="00592779" w:rsidP="00020D3F">
      <w:pPr>
        <w:numPr>
          <w:ilvl w:val="0"/>
          <w:numId w:val="8"/>
        </w:numPr>
        <w:rPr>
          <w:rFonts w:cs="Arial"/>
        </w:rPr>
      </w:pPr>
      <w:hyperlink r:id="rId57" w:history="1">
        <w:r w:rsidR="00345FD1" w:rsidRPr="00055BA9">
          <w:rPr>
            <w:rStyle w:val="Hyperlink"/>
            <w:rFonts w:ascii="Arial" w:hAnsi="Arial" w:cs="Arial"/>
            <w:bCs/>
          </w:rPr>
          <w:t>Mental Health: Findings from the Australian Longitudinal Study on Women’s Health</w:t>
        </w:r>
      </w:hyperlink>
      <w:r w:rsidR="00345FD1" w:rsidRPr="00055BA9">
        <w:rPr>
          <w:rFonts w:cs="Arial"/>
          <w:u w:val="single"/>
        </w:rPr>
        <w:t>.</w:t>
      </w:r>
      <w:r w:rsidR="00345FD1" w:rsidRPr="006E0F45">
        <w:rPr>
          <w:rFonts w:cs="Arial"/>
        </w:rPr>
        <w:t xml:space="preserve"> (2013). Holden L, Dobson A, Byles J, Loxton D, Dolja-Gore X, Hockey R, Lee C, Chojenta C,</w:t>
      </w:r>
      <w:r w:rsidR="00012F17" w:rsidRPr="006E0F45">
        <w:rPr>
          <w:rFonts w:cs="Arial"/>
        </w:rPr>
        <w:t xml:space="preserve"> </w:t>
      </w:r>
      <w:r w:rsidR="00345FD1" w:rsidRPr="006E0F45">
        <w:rPr>
          <w:rFonts w:cs="Arial"/>
        </w:rPr>
        <w:t>Reilly N, Mishra G, McLaughlin D, Pachana N, Tooth L &amp; Harris M. Major report prepared for the Australian Government Department of Health and Ageing.</w:t>
      </w:r>
    </w:p>
    <w:p w14:paraId="2049E580" w14:textId="3C8098A4" w:rsidR="00345FD1" w:rsidRPr="006E0F45" w:rsidRDefault="00592779" w:rsidP="00020D3F">
      <w:pPr>
        <w:numPr>
          <w:ilvl w:val="0"/>
          <w:numId w:val="8"/>
        </w:numPr>
        <w:rPr>
          <w:rFonts w:cs="Arial"/>
        </w:rPr>
      </w:pPr>
      <w:hyperlink r:id="rId58" w:history="1">
        <w:r w:rsidR="00345FD1" w:rsidRPr="00055BA9">
          <w:rPr>
            <w:rStyle w:val="Hyperlink"/>
            <w:rFonts w:ascii="Arial" w:hAnsi="Arial" w:cs="Arial"/>
            <w:bCs/>
          </w:rPr>
          <w:t>Adherence to health guidelines: Findings from the Australian Longitudinal Study on Women’s Health</w:t>
        </w:r>
      </w:hyperlink>
      <w:r w:rsidR="00345FD1" w:rsidRPr="00055BA9">
        <w:rPr>
          <w:rFonts w:cs="Arial"/>
          <w:bCs/>
          <w:u w:val="single"/>
        </w:rPr>
        <w:t>.</w:t>
      </w:r>
      <w:r w:rsidR="00345FD1" w:rsidRPr="006E0F45">
        <w:rPr>
          <w:rFonts w:cs="Arial"/>
          <w:bCs/>
        </w:rPr>
        <w:t xml:space="preserve"> </w:t>
      </w:r>
      <w:r w:rsidR="00345FD1" w:rsidRPr="006E0F45">
        <w:rPr>
          <w:rFonts w:cs="Arial"/>
        </w:rPr>
        <w:t>(2012). Dobson A, Byles J, Brown W, Mishra G, Loxton D, Hockey R, Powers J, C Chojen</w:t>
      </w:r>
      <w:r w:rsidR="00012F17" w:rsidRPr="006E0F45">
        <w:rPr>
          <w:rFonts w:cs="Arial"/>
        </w:rPr>
        <w:t>ta, Hure A, Leigh L, Anderson A.</w:t>
      </w:r>
    </w:p>
    <w:p w14:paraId="4DF61D77" w14:textId="7E3D276B" w:rsidR="00345FD1" w:rsidRPr="006E0F45" w:rsidRDefault="00592779" w:rsidP="00020D3F">
      <w:pPr>
        <w:numPr>
          <w:ilvl w:val="0"/>
          <w:numId w:val="8"/>
        </w:numPr>
        <w:rPr>
          <w:rFonts w:cs="Arial"/>
        </w:rPr>
      </w:pPr>
      <w:hyperlink r:id="rId59" w:history="1">
        <w:r w:rsidR="00345FD1" w:rsidRPr="00055BA9">
          <w:rPr>
            <w:rStyle w:val="Hyperlink"/>
            <w:rFonts w:ascii="Arial" w:hAnsi="Arial" w:cs="Arial"/>
            <w:bCs/>
          </w:rPr>
          <w:t>Rural, remote and regional differences in women’s health: Findings from the Australian Longitudinal Study on Women’s Health</w:t>
        </w:r>
      </w:hyperlink>
      <w:r w:rsidR="00345FD1" w:rsidRPr="00055BA9">
        <w:rPr>
          <w:rFonts w:cs="Arial"/>
          <w:bCs/>
          <w:u w:val="single"/>
        </w:rPr>
        <w:t>.</w:t>
      </w:r>
      <w:r w:rsidR="00345FD1" w:rsidRPr="006E0F45">
        <w:rPr>
          <w:rFonts w:cs="Arial"/>
        </w:rPr>
        <w:t xml:space="preserve"> (2011). Dobson A, Byles J, Dolja-Gore X, Fitzgerald D, Hockey R, Loxton D, McLaughlin D, Pachana N, Powers J, Rich J, Sibbritt D and Leigh Tooth. Major report prepared for the Australian Government D</w:t>
      </w:r>
      <w:r w:rsidR="00012F17" w:rsidRPr="006E0F45">
        <w:rPr>
          <w:rFonts w:cs="Arial"/>
        </w:rPr>
        <w:t>epartment of Health and Ageing.</w:t>
      </w:r>
    </w:p>
    <w:p w14:paraId="1113EDDC" w14:textId="68ECD5FB" w:rsidR="00345FD1" w:rsidRPr="006E0F45" w:rsidRDefault="00592779" w:rsidP="00020D3F">
      <w:pPr>
        <w:numPr>
          <w:ilvl w:val="0"/>
          <w:numId w:val="8"/>
        </w:numPr>
        <w:rPr>
          <w:rFonts w:cs="Arial"/>
        </w:rPr>
      </w:pPr>
      <w:hyperlink r:id="rId60" w:history="1">
        <w:r w:rsidR="00345FD1" w:rsidRPr="00055BA9">
          <w:rPr>
            <w:rStyle w:val="Hyperlink"/>
            <w:rFonts w:ascii="Arial" w:hAnsi="Arial" w:cs="Arial"/>
            <w:bCs/>
          </w:rPr>
          <w:t>Women, health and ageing: Findings from the Australian Longitudinal Study on Women’s Health.</w:t>
        </w:r>
      </w:hyperlink>
      <w:r w:rsidR="00345FD1" w:rsidRPr="006E0F45">
        <w:rPr>
          <w:rFonts w:cs="Arial"/>
        </w:rPr>
        <w:t xml:space="preserve"> (2010). Byles J, Pachana N, Tooth L, Loxton D, Berecki J, Hockey R, McLaughlin D &amp; Powers J. Major Report prepared for the Australian Government D</w:t>
      </w:r>
      <w:r w:rsidR="00012F17" w:rsidRPr="006E0F45">
        <w:rPr>
          <w:rFonts w:cs="Arial"/>
        </w:rPr>
        <w:t>epartment of Health and Ageing.</w:t>
      </w:r>
    </w:p>
    <w:p w14:paraId="34150A55" w14:textId="5EED1DCA" w:rsidR="00345FD1" w:rsidRPr="006E0F45" w:rsidRDefault="00592779" w:rsidP="00020D3F">
      <w:pPr>
        <w:numPr>
          <w:ilvl w:val="0"/>
          <w:numId w:val="8"/>
        </w:numPr>
        <w:rPr>
          <w:rFonts w:cs="Arial"/>
        </w:rPr>
      </w:pPr>
      <w:hyperlink r:id="rId61" w:history="1">
        <w:r w:rsidR="00345FD1" w:rsidRPr="00055BA9">
          <w:rPr>
            <w:rStyle w:val="Hyperlink"/>
            <w:rFonts w:ascii="Arial" w:hAnsi="Arial" w:cs="Arial"/>
            <w:bCs/>
          </w:rPr>
          <w:t>Use and costs of medications and other health care resources: Findings from the Australian Longitudinal Study on Women's Health.</w:t>
        </w:r>
      </w:hyperlink>
      <w:r w:rsidR="00345FD1" w:rsidRPr="006E0F45">
        <w:rPr>
          <w:rFonts w:cs="Arial"/>
        </w:rPr>
        <w:t xml:space="preserve"> (2008). Byles J, Loxton D, Berecki J, Dolja-Gore X, Gibson R, Hockey R, Robinson I, Parkinson L, Adamson L, Lucke J, Powers J, Young A &amp; Dobson A.</w:t>
      </w:r>
      <w:r w:rsidR="00012F17" w:rsidRPr="006E0F45">
        <w:rPr>
          <w:rFonts w:cs="Arial"/>
        </w:rPr>
        <w:t xml:space="preserve"> </w:t>
      </w:r>
      <w:r w:rsidR="00345FD1" w:rsidRPr="006E0F45">
        <w:rPr>
          <w:rFonts w:cs="Arial"/>
        </w:rPr>
        <w:t>Major report prepared for the Australian Government Department of Health and Ageing.</w:t>
      </w:r>
    </w:p>
    <w:p w14:paraId="263A1F3F" w14:textId="65970A34" w:rsidR="00345FD1" w:rsidRPr="006E0F45" w:rsidRDefault="00592779" w:rsidP="00020D3F">
      <w:pPr>
        <w:numPr>
          <w:ilvl w:val="0"/>
          <w:numId w:val="8"/>
        </w:numPr>
        <w:rPr>
          <w:rFonts w:cs="Arial"/>
        </w:rPr>
      </w:pPr>
      <w:hyperlink r:id="rId62" w:history="1">
        <w:r w:rsidR="00345FD1" w:rsidRPr="00055BA9">
          <w:rPr>
            <w:rStyle w:val="Hyperlink"/>
            <w:rFonts w:ascii="Arial" w:hAnsi="Arial" w:cs="Arial"/>
            <w:bCs/>
          </w:rPr>
          <w:t>Women's weight: Findings from the Australian Longitudinal Study on Women's Health</w:t>
        </w:r>
      </w:hyperlink>
      <w:r w:rsidR="00345FD1" w:rsidRPr="00055BA9">
        <w:rPr>
          <w:rFonts w:cs="Arial"/>
          <w:u w:val="single"/>
        </w:rPr>
        <w:t>.</w:t>
      </w:r>
      <w:r w:rsidR="00345FD1" w:rsidRPr="006E0F45">
        <w:rPr>
          <w:rFonts w:cs="Arial"/>
        </w:rPr>
        <w:t xml:space="preserve"> (2007). Adamson L, Brown W, Byles J, Chojenta C, Dobson A, Fitzgerald D, Hockey R, Loxton D, Powers J, </w:t>
      </w:r>
      <w:proofErr w:type="spellStart"/>
      <w:r w:rsidR="00012F17" w:rsidRPr="006E0F45">
        <w:rPr>
          <w:rFonts w:cs="Arial"/>
        </w:rPr>
        <w:t>Spallek</w:t>
      </w:r>
      <w:proofErr w:type="spellEnd"/>
      <w:r w:rsidR="00012F17" w:rsidRPr="006E0F45">
        <w:rPr>
          <w:rFonts w:cs="Arial"/>
        </w:rPr>
        <w:t xml:space="preserve"> M, Waters B &amp; Watson M.</w:t>
      </w:r>
    </w:p>
    <w:p w14:paraId="492E4A84" w14:textId="60625AA9" w:rsidR="00345FD1" w:rsidRPr="009667F3" w:rsidRDefault="00592779" w:rsidP="00020D3F">
      <w:pPr>
        <w:numPr>
          <w:ilvl w:val="0"/>
          <w:numId w:val="8"/>
        </w:numPr>
        <w:rPr>
          <w:rFonts w:cs="Arial"/>
        </w:rPr>
      </w:pPr>
      <w:hyperlink r:id="rId63" w:history="1">
        <w:r w:rsidR="00345FD1" w:rsidRPr="00055BA9">
          <w:rPr>
            <w:rStyle w:val="Hyperlink"/>
            <w:rFonts w:ascii="Arial" w:hAnsi="Arial" w:cs="Arial"/>
            <w:bCs/>
          </w:rPr>
          <w:t xml:space="preserve">Trends in </w:t>
        </w:r>
        <w:r w:rsidR="00426E0C" w:rsidRPr="00055BA9">
          <w:rPr>
            <w:rStyle w:val="Hyperlink"/>
            <w:rFonts w:ascii="Arial" w:hAnsi="Arial" w:cs="Arial"/>
            <w:bCs/>
          </w:rPr>
          <w:t>w</w:t>
        </w:r>
        <w:r w:rsidR="00345FD1" w:rsidRPr="00055BA9">
          <w:rPr>
            <w:rStyle w:val="Hyperlink"/>
            <w:rFonts w:ascii="Arial" w:hAnsi="Arial" w:cs="Arial"/>
            <w:bCs/>
          </w:rPr>
          <w:t xml:space="preserve">omen’s </w:t>
        </w:r>
        <w:r w:rsidR="00426E0C" w:rsidRPr="00055BA9">
          <w:rPr>
            <w:rStyle w:val="Hyperlink"/>
            <w:rFonts w:ascii="Arial" w:hAnsi="Arial" w:cs="Arial"/>
            <w:bCs/>
          </w:rPr>
          <w:t>h</w:t>
        </w:r>
        <w:r w:rsidR="00345FD1" w:rsidRPr="00055BA9">
          <w:rPr>
            <w:rStyle w:val="Hyperlink"/>
            <w:rFonts w:ascii="Arial" w:hAnsi="Arial" w:cs="Arial"/>
            <w:bCs/>
          </w:rPr>
          <w:t>ealth: Results from the ALSWH – Priority conditions, risk factors and health behaviours</w:t>
        </w:r>
      </w:hyperlink>
      <w:r w:rsidR="00345FD1" w:rsidRPr="00055BA9">
        <w:rPr>
          <w:rFonts w:cs="Arial"/>
          <w:u w:val="single"/>
        </w:rPr>
        <w:t>.</w:t>
      </w:r>
      <w:r w:rsidR="00345FD1" w:rsidRPr="006E0F45">
        <w:rPr>
          <w:rFonts w:cs="Arial"/>
        </w:rPr>
        <w:t xml:space="preserve"> (2</w:t>
      </w:r>
      <w:r w:rsidR="00345FD1" w:rsidRPr="009667F3">
        <w:rPr>
          <w:rFonts w:cs="Arial"/>
        </w:rPr>
        <w:t xml:space="preserve">006). Brown W, Byles J, </w:t>
      </w:r>
      <w:proofErr w:type="spellStart"/>
      <w:r w:rsidR="00345FD1" w:rsidRPr="009667F3">
        <w:rPr>
          <w:rFonts w:cs="Arial"/>
        </w:rPr>
        <w:t>Carrigan</w:t>
      </w:r>
      <w:proofErr w:type="spellEnd"/>
      <w:r w:rsidR="00345FD1" w:rsidRPr="009667F3">
        <w:rPr>
          <w:rFonts w:cs="Arial"/>
        </w:rPr>
        <w:t xml:space="preserve"> G, Dobson A, Dolja-Gore X, Gibson R, Hockey R, Powers J, Russell A, </w:t>
      </w:r>
      <w:proofErr w:type="spellStart"/>
      <w:r w:rsidR="00345FD1" w:rsidRPr="009667F3">
        <w:rPr>
          <w:rFonts w:cs="Arial"/>
        </w:rPr>
        <w:t>Spallek</w:t>
      </w:r>
      <w:proofErr w:type="spellEnd"/>
      <w:r w:rsidR="00345FD1" w:rsidRPr="009667F3">
        <w:rPr>
          <w:rFonts w:cs="Arial"/>
        </w:rPr>
        <w:t xml:space="preserve"> M &amp; Young A. Major report prepared for the Australian Government D</w:t>
      </w:r>
      <w:r w:rsidR="00012F17" w:rsidRPr="009667F3">
        <w:rPr>
          <w:rFonts w:cs="Arial"/>
        </w:rPr>
        <w:t>epartment of Health and Ageing.</w:t>
      </w:r>
    </w:p>
    <w:p w14:paraId="70889328" w14:textId="066300A9" w:rsidR="005B689E" w:rsidRPr="005B689E" w:rsidRDefault="00345FD1" w:rsidP="00D3035E">
      <w:pPr>
        <w:pStyle w:val="Heading2"/>
        <w:ind w:left="540"/>
      </w:pPr>
      <w:bookmarkStart w:id="90" w:name="_Toc530561298"/>
      <w:r w:rsidRPr="00FC2B60">
        <w:t>OTHER REPORTS</w:t>
      </w:r>
      <w:bookmarkEnd w:id="90"/>
    </w:p>
    <w:p w14:paraId="3958143C" w14:textId="5CF3A918" w:rsidR="005B689E" w:rsidRPr="005B689E" w:rsidRDefault="005B689E" w:rsidP="005B689E">
      <w:r w:rsidRPr="005B689E">
        <w:rPr>
          <w:b/>
        </w:rPr>
        <w:t>Health service use at the end of life by older Australian women with chronic conditions.</w:t>
      </w:r>
      <w:r w:rsidR="00012F17">
        <w:rPr>
          <w:b/>
        </w:rPr>
        <w:t xml:space="preserve"> </w:t>
      </w:r>
      <w:r w:rsidRPr="005B689E">
        <w:t xml:space="preserve">Dobson A, Waller M, Forder P, Dolja-Gore X, Hockey R, </w:t>
      </w:r>
      <w:proofErr w:type="gramStart"/>
      <w:r w:rsidRPr="005B689E">
        <w:t>Byles</w:t>
      </w:r>
      <w:proofErr w:type="gramEnd"/>
      <w:r w:rsidRPr="005B689E">
        <w:t xml:space="preserve"> J &amp; Mishra G.</w:t>
      </w:r>
      <w:r w:rsidR="00012F17">
        <w:t xml:space="preserve"> </w:t>
      </w:r>
      <w:r w:rsidRPr="005B689E">
        <w:t xml:space="preserve">Report prepared for the </w:t>
      </w:r>
      <w:r w:rsidRPr="007E0320">
        <w:t>Australian Government Department of Health</w:t>
      </w:r>
      <w:r w:rsidRPr="005B689E">
        <w:t>.</w:t>
      </w:r>
      <w:r w:rsidR="00012F17">
        <w:t xml:space="preserve"> </w:t>
      </w:r>
      <w:r w:rsidRPr="005B689E">
        <w:t>May 2018</w:t>
      </w:r>
      <w:r w:rsidR="00012F17">
        <w:t>.</w:t>
      </w:r>
    </w:p>
    <w:p w14:paraId="030D05FC" w14:textId="0DBF2527" w:rsidR="005B689E" w:rsidRPr="007E0320" w:rsidRDefault="005B689E" w:rsidP="005B689E">
      <w:r w:rsidRPr="005B689E">
        <w:rPr>
          <w:b/>
        </w:rPr>
        <w:t>Needs of spouse carers of World War II veterans before and after widowhood.</w:t>
      </w:r>
      <w:r w:rsidRPr="005B689E">
        <w:t xml:space="preserve"> Tooth L, Hockey R, Dobson A, </w:t>
      </w:r>
      <w:proofErr w:type="spellStart"/>
      <w:r w:rsidRPr="005B689E">
        <w:t>Treloar</w:t>
      </w:r>
      <w:proofErr w:type="spellEnd"/>
      <w:r w:rsidRPr="005B689E">
        <w:t xml:space="preserve"> S &amp; McClintock C.</w:t>
      </w:r>
      <w:r w:rsidR="00012F17">
        <w:t xml:space="preserve"> </w:t>
      </w:r>
      <w:r w:rsidRPr="005B689E">
        <w:t xml:space="preserve">Report prepared for the </w:t>
      </w:r>
      <w:r w:rsidRPr="007E0320">
        <w:t>Department of Veterans Affairs</w:t>
      </w:r>
      <w:r w:rsidR="00012F17" w:rsidRPr="007E0320">
        <w:t>. May 2011.</w:t>
      </w:r>
    </w:p>
    <w:p w14:paraId="25AB5344" w14:textId="38995293" w:rsidR="005B689E" w:rsidRPr="007E0320" w:rsidRDefault="005B689E" w:rsidP="005B689E">
      <w:r w:rsidRPr="005B689E">
        <w:rPr>
          <w:b/>
        </w:rPr>
        <w:t>Carrying the load: Transitions, needs, and service use of Australian women carers.</w:t>
      </w:r>
      <w:r w:rsidR="00012F17">
        <w:t xml:space="preserve"> </w:t>
      </w:r>
      <w:r w:rsidRPr="005B689E">
        <w:t xml:space="preserve">McKenzie S, Tooth L, Lucke J &amp; Dobson A. Report prepared for the </w:t>
      </w:r>
      <w:r w:rsidRPr="007E0320">
        <w:t>Australian Government Department of Health &amp; Ageing</w:t>
      </w:r>
      <w:r w:rsidR="00012F17" w:rsidRPr="007E0320">
        <w:t>. October 2009.</w:t>
      </w:r>
    </w:p>
    <w:p w14:paraId="38A60C75" w14:textId="77777777" w:rsidR="005B689E" w:rsidRPr="007E0320" w:rsidRDefault="005B689E" w:rsidP="005B689E">
      <w:r w:rsidRPr="005B689E">
        <w:rPr>
          <w:b/>
        </w:rPr>
        <w:t xml:space="preserve">Transitions into and out of caring and their effects on health and use of community services in women born between 1921 and 1926. </w:t>
      </w:r>
      <w:r w:rsidRPr="005B689E">
        <w:t xml:space="preserve">McKenzie S, Tooth L, Lucke J, Hockey R &amp; Dobson A. Report prepared for the </w:t>
      </w:r>
      <w:r w:rsidRPr="007E0320">
        <w:t>Australian Government Department of Health &amp; Ageing.</w:t>
      </w:r>
      <w:r w:rsidRPr="007E0320">
        <w:rPr>
          <w:b/>
        </w:rPr>
        <w:t xml:space="preserve"> </w:t>
      </w:r>
      <w:r w:rsidRPr="007E0320">
        <w:t>September 2009.</w:t>
      </w:r>
    </w:p>
    <w:p w14:paraId="5538AA30" w14:textId="77777777" w:rsidR="005B689E" w:rsidRPr="007E0320" w:rsidRDefault="005B689E" w:rsidP="005B689E">
      <w:r w:rsidRPr="005B689E">
        <w:rPr>
          <w:b/>
        </w:rPr>
        <w:t>Caring for carers: Caring and use of services in women carers born between 1921 and 1926.</w:t>
      </w:r>
      <w:r w:rsidRPr="005B689E">
        <w:t xml:space="preserve"> McKenzie S, Tooth L, Lucke J, </w:t>
      </w:r>
      <w:proofErr w:type="spellStart"/>
      <w:r w:rsidRPr="005B689E">
        <w:t>Mendis</w:t>
      </w:r>
      <w:proofErr w:type="spellEnd"/>
      <w:r w:rsidRPr="005B689E">
        <w:t xml:space="preserve"> S &amp; Dobson A. Report prepared for the </w:t>
      </w:r>
      <w:r w:rsidRPr="007E0320">
        <w:t>Australian Government Department of Health &amp; Ageing. May 2009.</w:t>
      </w:r>
    </w:p>
    <w:p w14:paraId="79E5CA6D" w14:textId="3A1A834C" w:rsidR="005B689E" w:rsidRPr="007E0320" w:rsidRDefault="005B689E" w:rsidP="005B689E">
      <w:r w:rsidRPr="005B689E">
        <w:rPr>
          <w:b/>
        </w:rPr>
        <w:t>Women's experiences of paid work and planning for retirement.</w:t>
      </w:r>
      <w:r w:rsidRPr="005B689E">
        <w:t xml:space="preserve"> Warner-Smith P, Powers J &amp; Hampson A. Report prepared for the</w:t>
      </w:r>
      <w:r w:rsidRPr="007E0320">
        <w:t xml:space="preserve"> Office for Women, Department of Families, Community Services and Indigenous Affairs. 2007</w:t>
      </w:r>
      <w:r w:rsidR="00012F17" w:rsidRPr="007E0320">
        <w:t>.</w:t>
      </w:r>
    </w:p>
    <w:p w14:paraId="7F93B360" w14:textId="5D730232" w:rsidR="005B689E" w:rsidRPr="005B689E" w:rsidRDefault="005B689E" w:rsidP="005B689E">
      <w:r w:rsidRPr="005B689E">
        <w:rPr>
          <w:b/>
        </w:rPr>
        <w:t>Depression among women in the Australian Longitudinal Study on Women's Health.</w:t>
      </w:r>
      <w:r w:rsidRPr="005B689E">
        <w:t xml:space="preserve"> Byles J, Robinson I, Gibson R, Parkinson L, </w:t>
      </w:r>
      <w:proofErr w:type="gramStart"/>
      <w:r w:rsidRPr="005B689E">
        <w:t>Loxton</w:t>
      </w:r>
      <w:proofErr w:type="gramEnd"/>
      <w:r w:rsidRPr="005B689E">
        <w:t xml:space="preserve"> D &amp; Young A. Report prepared for the </w:t>
      </w:r>
      <w:r w:rsidRPr="007E0320">
        <w:t>Hunter Medical Research Institute</w:t>
      </w:r>
      <w:r w:rsidR="00012F17" w:rsidRPr="007E0320">
        <w:t>.</w:t>
      </w:r>
    </w:p>
    <w:p w14:paraId="483ACE5B" w14:textId="1AFE92E6" w:rsidR="005B689E" w:rsidRPr="005B689E" w:rsidRDefault="005B689E" w:rsidP="005B689E">
      <w:pPr>
        <w:spacing w:after="0" w:line="240" w:lineRule="auto"/>
      </w:pPr>
      <w:r w:rsidRPr="005B689E">
        <w:rPr>
          <w:b/>
        </w:rPr>
        <w:t xml:space="preserve">Physical activity and health in mid age and older Australian women. </w:t>
      </w:r>
      <w:r w:rsidRPr="005B689E">
        <w:t xml:space="preserve">Brown WJ, Burton N &amp; </w:t>
      </w:r>
      <w:proofErr w:type="spellStart"/>
      <w:r w:rsidRPr="005B689E">
        <w:t>Heesch</w:t>
      </w:r>
      <w:proofErr w:type="spellEnd"/>
      <w:r w:rsidRPr="005B689E">
        <w:t xml:space="preserve"> K. Report prepared for the </w:t>
      </w:r>
      <w:r w:rsidRPr="007E0320">
        <w:t>Office for Women, Department of Families, Housing, Communities and Indigenous Affairs.</w:t>
      </w:r>
      <w:r w:rsidR="00012F17" w:rsidRPr="007E0320">
        <w:t xml:space="preserve"> </w:t>
      </w:r>
      <w:r w:rsidRPr="005B689E">
        <w:t>July</w:t>
      </w:r>
      <w:r w:rsidR="00012F17">
        <w:t xml:space="preserve"> 2007. ISBN: 978-1-921380-77-8.</w:t>
      </w:r>
    </w:p>
    <w:p w14:paraId="130B5E84" w14:textId="77777777" w:rsidR="005B689E" w:rsidRPr="005B689E" w:rsidRDefault="005B689E" w:rsidP="005B689E">
      <w:r w:rsidRPr="005B689E">
        <w:rPr>
          <w:b/>
        </w:rPr>
        <w:t>Women and arthritis: The burden of suffering for older Australian women</w:t>
      </w:r>
      <w:r w:rsidRPr="005B689E">
        <w:t xml:space="preserve">. Parkinson L, Byles J, Gibson R &amp; Robinson I. Report prepared for the </w:t>
      </w:r>
      <w:r w:rsidRPr="007E0320">
        <w:t xml:space="preserve">Hunter Medical Research Institute. </w:t>
      </w:r>
      <w:r w:rsidRPr="005B689E">
        <w:t>March 2007.</w:t>
      </w:r>
    </w:p>
    <w:p w14:paraId="36359F2F" w14:textId="301CF682" w:rsidR="005B689E" w:rsidRPr="007E0320" w:rsidRDefault="005B689E" w:rsidP="005B689E">
      <w:r w:rsidRPr="005B689E">
        <w:rPr>
          <w:b/>
        </w:rPr>
        <w:t>Report on the provision of data to the Office for Women.</w:t>
      </w:r>
      <w:r w:rsidR="00012F17">
        <w:t xml:space="preserve"> </w:t>
      </w:r>
      <w:r w:rsidRPr="005B689E">
        <w:t xml:space="preserve">Loxton D, Powers J, Young A &amp; Wood A. Report prepared for the </w:t>
      </w:r>
      <w:r w:rsidRPr="007E0320">
        <w:t>Office for Women, Department of Family and Community Services. 2005</w:t>
      </w:r>
      <w:r w:rsidR="00012F17" w:rsidRPr="007E0320">
        <w:t>.</w:t>
      </w:r>
    </w:p>
    <w:p w14:paraId="42288E83" w14:textId="77777777" w:rsidR="005B689E" w:rsidRPr="005B689E" w:rsidRDefault="005B689E" w:rsidP="005B689E">
      <w:r w:rsidRPr="005B689E">
        <w:rPr>
          <w:b/>
        </w:rPr>
        <w:lastRenderedPageBreak/>
        <w:t>Australian women and alcohol consumption 1996-2003.</w:t>
      </w:r>
      <w:r w:rsidRPr="005B689E">
        <w:t xml:space="preserve"> Young </w:t>
      </w:r>
      <w:proofErr w:type="gramStart"/>
      <w:r w:rsidRPr="005B689E">
        <w:t>A</w:t>
      </w:r>
      <w:proofErr w:type="gramEnd"/>
      <w:r w:rsidRPr="005B689E">
        <w:t xml:space="preserve"> &amp; Powers J. Report prepared for th</w:t>
      </w:r>
      <w:r w:rsidRPr="007E0320">
        <w:t>e Australian Government Department of Health &amp; Ageing. Nove</w:t>
      </w:r>
      <w:r w:rsidRPr="005B689E">
        <w:t>mber 2004.</w:t>
      </w:r>
    </w:p>
    <w:p w14:paraId="28F01986" w14:textId="5D9C3BA5" w:rsidR="005B689E" w:rsidRPr="007E0320" w:rsidRDefault="005B689E" w:rsidP="005B689E">
      <w:r w:rsidRPr="005B689E">
        <w:rPr>
          <w:b/>
        </w:rPr>
        <w:t>Changes report: Transition in selected variables, surveys 1, 2 &amp; 3</w:t>
      </w:r>
      <w:r w:rsidRPr="005B689E">
        <w:t xml:space="preserve">. Bell S, Ford J, Lee C, Russell A &amp; </w:t>
      </w:r>
      <w:proofErr w:type="spellStart"/>
      <w:r w:rsidRPr="005B689E">
        <w:t>Svensson</w:t>
      </w:r>
      <w:proofErr w:type="spellEnd"/>
      <w:r w:rsidRPr="005B689E">
        <w:t xml:space="preserve"> A. Report prepared for </w:t>
      </w:r>
      <w:r w:rsidRPr="007E0320">
        <w:t>the Australian Government Department of Health &amp; Ageing</w:t>
      </w:r>
      <w:r w:rsidR="00012F17" w:rsidRPr="007E0320">
        <w:t>.</w:t>
      </w:r>
    </w:p>
    <w:p w14:paraId="1E0FECAB" w14:textId="615534CC" w:rsidR="005B689E" w:rsidRPr="007E0320" w:rsidRDefault="005B689E" w:rsidP="005B689E">
      <w:r w:rsidRPr="005B689E">
        <w:rPr>
          <w:b/>
        </w:rPr>
        <w:t>Changes report 2: Examples from the Australian Longitudinal Study on Women's Health for analysing longitudinal data.</w:t>
      </w:r>
      <w:r w:rsidRPr="005B689E">
        <w:t xml:space="preserve"> Ford J, Dobson A, Young </w:t>
      </w:r>
      <w:proofErr w:type="gramStart"/>
      <w:r w:rsidRPr="005B689E">
        <w:t>A</w:t>
      </w:r>
      <w:proofErr w:type="gramEnd"/>
      <w:r w:rsidRPr="005B689E">
        <w:t xml:space="preserve">, </w:t>
      </w:r>
      <w:proofErr w:type="spellStart"/>
      <w:r w:rsidRPr="005B689E">
        <w:t>Wheway</w:t>
      </w:r>
      <w:proofErr w:type="spellEnd"/>
      <w:r w:rsidRPr="005B689E">
        <w:t xml:space="preserve"> V &amp; Powers J.</w:t>
      </w:r>
      <w:r w:rsidR="00012F17">
        <w:t xml:space="preserve"> </w:t>
      </w:r>
      <w:r w:rsidRPr="005B689E">
        <w:t xml:space="preserve">Report prepared for the </w:t>
      </w:r>
      <w:r w:rsidRPr="007E0320">
        <w:t>Australian Government Department of Health &amp; Ageing</w:t>
      </w:r>
      <w:r w:rsidR="00012F17" w:rsidRPr="007E0320">
        <w:t>.</w:t>
      </w:r>
    </w:p>
    <w:p w14:paraId="63F71E6E" w14:textId="18A09FC1" w:rsidR="005B689E" w:rsidRPr="005B689E" w:rsidRDefault="005B689E" w:rsidP="005B689E">
      <w:r w:rsidRPr="005B689E">
        <w:rPr>
          <w:b/>
        </w:rPr>
        <w:t>Report on selected variables from survey 2 of the younger, mid aged &amp; older cohorts of the Australian Longitudinal Study on Women's Health.</w:t>
      </w:r>
      <w:r w:rsidRPr="005B689E">
        <w:t xml:space="preserve"> Powers J &amp; </w:t>
      </w:r>
      <w:proofErr w:type="spellStart"/>
      <w:r w:rsidRPr="005B689E">
        <w:t>Howlett</w:t>
      </w:r>
      <w:proofErr w:type="spellEnd"/>
      <w:r w:rsidRPr="005B689E">
        <w:t xml:space="preserve"> M. Report prepared for </w:t>
      </w:r>
      <w:r w:rsidRPr="007E0320">
        <w:t>Women's Health in the North</w:t>
      </w:r>
      <w:r w:rsidR="00012F17" w:rsidRPr="007E0320">
        <w:t>.</w:t>
      </w:r>
    </w:p>
    <w:p w14:paraId="1A5758A6" w14:textId="254BBB0C" w:rsidR="005B689E" w:rsidRPr="005B689E" w:rsidRDefault="005B689E" w:rsidP="005B689E">
      <w:r w:rsidRPr="005B689E">
        <w:rPr>
          <w:b/>
        </w:rPr>
        <w:t>Characteristics of Australian women with incontinence according to incontinence severity and treatment-seeking behaviour: Results from the Australian Longitudinal Study on Women's Health.</w:t>
      </w:r>
      <w:r w:rsidRPr="005B689E">
        <w:t xml:space="preserve"> Miller Y. Report prepared for </w:t>
      </w:r>
      <w:r w:rsidRPr="007E0320">
        <w:t>Eli Lily.</w:t>
      </w:r>
      <w:r w:rsidRPr="005B689E">
        <w:t xml:space="preserve"> 2004</w:t>
      </w:r>
      <w:r w:rsidR="00012F17">
        <w:t>.</w:t>
      </w:r>
    </w:p>
    <w:p w14:paraId="23F0A75B" w14:textId="77777777" w:rsidR="005B689E" w:rsidRPr="007E0320" w:rsidRDefault="005B689E" w:rsidP="005B689E">
      <w:r w:rsidRPr="005B689E">
        <w:rPr>
          <w:b/>
        </w:rPr>
        <w:t>Women's waterworks: Managing early stress incontinence through women's health clinics</w:t>
      </w:r>
      <w:r w:rsidRPr="005B689E">
        <w:t xml:space="preserve">. Lee C, Johnson C &amp; </w:t>
      </w:r>
      <w:proofErr w:type="spellStart"/>
      <w:r w:rsidRPr="005B689E">
        <w:t>Chiarelli</w:t>
      </w:r>
      <w:proofErr w:type="spellEnd"/>
      <w:r w:rsidRPr="005B689E">
        <w:t xml:space="preserve"> P. Report prepared for </w:t>
      </w:r>
      <w:r w:rsidRPr="007E0320">
        <w:t>Family Planning Australia Health. March 2003.</w:t>
      </w:r>
    </w:p>
    <w:p w14:paraId="625119BC" w14:textId="6D503FF0" w:rsidR="005B689E" w:rsidRPr="005B689E" w:rsidRDefault="005B689E" w:rsidP="005B689E">
      <w:r w:rsidRPr="005B689E">
        <w:rPr>
          <w:b/>
        </w:rPr>
        <w:t>Incontinence substudy of The Australian Longitudinal Study on Women's Health: Willingness to pay for treatment.</w:t>
      </w:r>
      <w:r w:rsidRPr="005B689E">
        <w:t xml:space="preserve"> Miller Y.</w:t>
      </w:r>
      <w:r w:rsidR="00012F17">
        <w:t xml:space="preserve"> </w:t>
      </w:r>
      <w:r w:rsidRPr="005B689E">
        <w:t>November 2002.</w:t>
      </w:r>
    </w:p>
    <w:p w14:paraId="5C552CAB" w14:textId="6771311F" w:rsidR="005B689E" w:rsidRPr="005B689E" w:rsidRDefault="005B689E" w:rsidP="005B689E">
      <w:r w:rsidRPr="005B689E">
        <w:rPr>
          <w:b/>
        </w:rPr>
        <w:t>Report on incontinence in Australian women: Following up participants in the Australian Longitudinal Study on Women's Health who reported 'leaking urine’</w:t>
      </w:r>
      <w:r w:rsidRPr="005B689E">
        <w:t xml:space="preserve">. Brown W, Miller Y, Smith N, </w:t>
      </w:r>
      <w:proofErr w:type="spellStart"/>
      <w:r w:rsidRPr="005B689E">
        <w:t>Chiarelli</w:t>
      </w:r>
      <w:proofErr w:type="spellEnd"/>
      <w:r w:rsidRPr="005B689E">
        <w:t xml:space="preserve"> P, Russell A &amp; Dobson A.2001</w:t>
      </w:r>
      <w:r w:rsidR="00012F17">
        <w:t>.</w:t>
      </w:r>
    </w:p>
    <w:p w14:paraId="4A9F8120" w14:textId="6D7AFF5B" w:rsidR="005B689E" w:rsidRPr="005B689E" w:rsidRDefault="005B689E" w:rsidP="005B689E">
      <w:r w:rsidRPr="005B689E">
        <w:rPr>
          <w:b/>
        </w:rPr>
        <w:t>Screening participant rates on non-English speaking backgrounds: Results from the Australian Longitudinal Study on Women's Health.</w:t>
      </w:r>
      <w:r w:rsidRPr="005B689E">
        <w:t xml:space="preserve"> Report prepared for </w:t>
      </w:r>
      <w:proofErr w:type="spellStart"/>
      <w:r w:rsidRPr="005B689E">
        <w:rPr>
          <w:u w:val="single"/>
        </w:rPr>
        <w:t>Breastscreen</w:t>
      </w:r>
      <w:proofErr w:type="spellEnd"/>
      <w:r w:rsidRPr="005B689E">
        <w:rPr>
          <w:u w:val="single"/>
        </w:rPr>
        <w:t xml:space="preserve"> </w:t>
      </w:r>
      <w:r w:rsidRPr="007E0320">
        <w:t>Queensland and Queensland Health. 200</w:t>
      </w:r>
      <w:r w:rsidRPr="005B689E">
        <w:t>1</w:t>
      </w:r>
      <w:r w:rsidR="00012F17">
        <w:t>.</w:t>
      </w:r>
    </w:p>
    <w:p w14:paraId="64297CC5" w14:textId="06A2D6C9" w:rsidR="005B689E" w:rsidRPr="005B689E" w:rsidRDefault="005B689E" w:rsidP="005B689E">
      <w:r w:rsidRPr="005B689E">
        <w:rPr>
          <w:b/>
        </w:rPr>
        <w:t>Changes in physical and mental health associated with urinary incontinence in older Australian women.</w:t>
      </w:r>
      <w:r w:rsidRPr="005B689E">
        <w:t xml:space="preserve"> Smith N.</w:t>
      </w:r>
      <w:r w:rsidR="00012F17">
        <w:t xml:space="preserve"> November 2000.</w:t>
      </w:r>
    </w:p>
    <w:p w14:paraId="3D1E925D" w14:textId="3A5B36C5" w:rsidR="005B689E" w:rsidRDefault="005B689E">
      <w:r w:rsidRPr="005B689E">
        <w:rPr>
          <w:b/>
        </w:rPr>
        <w:t>Ad hoc analyses for the Office for Older Australians: Australian Longitudinal Study on Women's Health</w:t>
      </w:r>
      <w:r w:rsidRPr="005B689E">
        <w:t>.</w:t>
      </w:r>
      <w:r w:rsidR="00012F17">
        <w:t xml:space="preserve"> </w:t>
      </w:r>
      <w:r w:rsidRPr="005B689E">
        <w:t>Report prepared f</w:t>
      </w:r>
      <w:r w:rsidR="007E0320">
        <w:t>4</w:t>
      </w:r>
      <w:r w:rsidRPr="005B689E">
        <w:t>eptember 2000.</w:t>
      </w:r>
      <w:bookmarkEnd w:id="88"/>
      <w:r>
        <w:br w:type="page"/>
      </w:r>
    </w:p>
    <w:p w14:paraId="642C710F" w14:textId="7D403FB7" w:rsidR="005B689E" w:rsidRPr="005B689E" w:rsidRDefault="005B689E" w:rsidP="00B87C9D">
      <w:pPr>
        <w:pStyle w:val="Heading1"/>
      </w:pPr>
      <w:bookmarkStart w:id="91" w:name="_Toc399767211"/>
      <w:bookmarkStart w:id="92" w:name="_Ref399767447"/>
      <w:bookmarkStart w:id="93" w:name="_Toc530561299"/>
      <w:r w:rsidRPr="005B689E">
        <w:lastRenderedPageBreak/>
        <w:t>APPENDIX C: 1921-26 cohort participation details, Six Monthly Follow-Up Survey (</w:t>
      </w:r>
      <w:r w:rsidR="00B15EF6">
        <w:t xml:space="preserve">to </w:t>
      </w:r>
      <w:r w:rsidRPr="005B689E">
        <w:t>May 2018).</w:t>
      </w:r>
      <w:bookmarkEnd w:id="91"/>
      <w:bookmarkEnd w:id="92"/>
      <w:bookmarkEnd w:id="93"/>
    </w:p>
    <w:p w14:paraId="6172F2B0" w14:textId="5A24E3DF" w:rsidR="00FF49D9" w:rsidRDefault="00B15EF6" w:rsidP="00B15EF6">
      <w:pPr>
        <w:pStyle w:val="Caption"/>
      </w:pPr>
      <w:r>
        <w:t xml:space="preserve">Table </w:t>
      </w:r>
      <w:r w:rsidR="00100A77">
        <w:rPr>
          <w:noProof/>
        </w:rPr>
        <w:fldChar w:fldCharType="begin"/>
      </w:r>
      <w:r w:rsidR="00100A77">
        <w:rPr>
          <w:noProof/>
        </w:rPr>
        <w:instrText xml:space="preserve"> STYLEREF 1 \s </w:instrText>
      </w:r>
      <w:r w:rsidR="00100A77">
        <w:rPr>
          <w:noProof/>
        </w:rPr>
        <w:fldChar w:fldCharType="separate"/>
      </w:r>
      <w:r w:rsidR="00592779">
        <w:rPr>
          <w:noProof/>
        </w:rPr>
        <w:t>8</w:t>
      </w:r>
      <w:r w:rsidR="00100A77">
        <w:rPr>
          <w:noProof/>
        </w:rPr>
        <w:fldChar w:fldCharType="end"/>
      </w:r>
      <w:r>
        <w:noBreakHyphen/>
      </w:r>
      <w:r w:rsidR="00100A77">
        <w:rPr>
          <w:noProof/>
        </w:rPr>
        <w:fldChar w:fldCharType="begin"/>
      </w:r>
      <w:r w:rsidR="00100A77">
        <w:rPr>
          <w:noProof/>
        </w:rPr>
        <w:instrText xml:space="preserve"> SEQ Table \* ARABIC \s 1 </w:instrText>
      </w:r>
      <w:r w:rsidR="00100A77">
        <w:rPr>
          <w:noProof/>
        </w:rPr>
        <w:fldChar w:fldCharType="separate"/>
      </w:r>
      <w:r w:rsidR="00592779">
        <w:rPr>
          <w:noProof/>
        </w:rPr>
        <w:t>1</w:t>
      </w:r>
      <w:r w:rsidR="00100A77">
        <w:rPr>
          <w:noProof/>
        </w:rPr>
        <w:fldChar w:fldCharType="end"/>
      </w:r>
      <w:r>
        <w:t xml:space="preserve"> Response rates for six monthly follow-up surveys at 22</w:t>
      </w:r>
      <w:r w:rsidRPr="00B15EF6">
        <w:rPr>
          <w:vertAlign w:val="superscript"/>
        </w:rPr>
        <w:t>nd</w:t>
      </w:r>
      <w:r>
        <w:t xml:space="preserve"> August 2018</w:t>
      </w:r>
    </w:p>
    <w:tbl>
      <w:tblPr>
        <w:tblStyle w:val="TableGrid"/>
        <w:tblW w:w="0" w:type="auto"/>
        <w:tblLook w:val="04A0" w:firstRow="1" w:lastRow="0" w:firstColumn="1" w:lastColumn="0" w:noHBand="0" w:noVBand="1"/>
        <w:tblCaption w:val="Table 8-1"/>
        <w:tblDescription w:val="Response rates for six monthly follow-up surveys at 22nd August 2018"/>
      </w:tblPr>
      <w:tblGrid>
        <w:gridCol w:w="1435"/>
        <w:gridCol w:w="1800"/>
        <w:gridCol w:w="1800"/>
        <w:gridCol w:w="1395"/>
        <w:gridCol w:w="1268"/>
      </w:tblGrid>
      <w:tr w:rsidR="00003CE3" w:rsidRPr="00FF49D9" w14:paraId="16C6758F" w14:textId="77777777" w:rsidTr="00091A0A">
        <w:trPr>
          <w:tblHeader/>
        </w:trPr>
        <w:tc>
          <w:tcPr>
            <w:tcW w:w="1435" w:type="dxa"/>
            <w:tcBorders>
              <w:bottom w:val="single" w:sz="4" w:space="0" w:color="000000" w:themeColor="text1"/>
              <w:right w:val="single" w:sz="4" w:space="0" w:color="auto"/>
            </w:tcBorders>
            <w:shd w:val="clear" w:color="auto" w:fill="E5DFEC" w:themeFill="accent4" w:themeFillTint="33"/>
          </w:tcPr>
          <w:p w14:paraId="24F6B3C6" w14:textId="0D5940EA" w:rsidR="00003CE3" w:rsidRPr="00FF49D9" w:rsidRDefault="00003CE3" w:rsidP="00003CE3">
            <w:r w:rsidRPr="00FF49D9">
              <w:t>Survey</w:t>
            </w:r>
          </w:p>
        </w:tc>
        <w:tc>
          <w:tcPr>
            <w:tcW w:w="1800" w:type="dxa"/>
            <w:tcBorders>
              <w:left w:val="single" w:sz="4" w:space="0" w:color="auto"/>
              <w:bottom w:val="single" w:sz="4" w:space="0" w:color="000000" w:themeColor="text1"/>
              <w:right w:val="nil"/>
            </w:tcBorders>
            <w:shd w:val="clear" w:color="auto" w:fill="E5DFEC" w:themeFill="accent4" w:themeFillTint="33"/>
            <w:vAlign w:val="center"/>
          </w:tcPr>
          <w:p w14:paraId="14325801" w14:textId="4C59A17A" w:rsidR="00003CE3" w:rsidRPr="00FF49D9" w:rsidRDefault="00003CE3" w:rsidP="00003CE3">
            <w:r w:rsidRPr="00003CE3">
              <w:t>Total Completed</w:t>
            </w:r>
            <w:r>
              <w:t xml:space="preserve"> (N)</w:t>
            </w:r>
          </w:p>
        </w:tc>
        <w:tc>
          <w:tcPr>
            <w:tcW w:w="1800" w:type="dxa"/>
            <w:tcBorders>
              <w:left w:val="nil"/>
              <w:bottom w:val="single" w:sz="4" w:space="0" w:color="000000" w:themeColor="text1"/>
              <w:right w:val="single" w:sz="4" w:space="0" w:color="auto"/>
            </w:tcBorders>
            <w:shd w:val="clear" w:color="auto" w:fill="E5DFEC" w:themeFill="accent4" w:themeFillTint="33"/>
            <w:vAlign w:val="center"/>
          </w:tcPr>
          <w:p w14:paraId="275B73E5" w14:textId="5FF31CF2" w:rsidR="00003CE3" w:rsidRPr="00FF49D9" w:rsidRDefault="00003CE3" w:rsidP="00003CE3">
            <w:r>
              <w:t>Total Completed (%)</w:t>
            </w:r>
          </w:p>
        </w:tc>
        <w:tc>
          <w:tcPr>
            <w:tcW w:w="1395" w:type="dxa"/>
            <w:tcBorders>
              <w:left w:val="single" w:sz="4" w:space="0" w:color="auto"/>
              <w:bottom w:val="single" w:sz="4" w:space="0" w:color="000000" w:themeColor="text1"/>
              <w:right w:val="nil"/>
            </w:tcBorders>
            <w:shd w:val="clear" w:color="auto" w:fill="E5DFEC" w:themeFill="accent4" w:themeFillTint="33"/>
            <w:vAlign w:val="center"/>
          </w:tcPr>
          <w:p w14:paraId="548FFDF6" w14:textId="08649DDE" w:rsidR="00003CE3" w:rsidRPr="00FF49D9" w:rsidRDefault="00003CE3" w:rsidP="00003CE3">
            <w:r w:rsidRPr="00003CE3">
              <w:t xml:space="preserve">Total </w:t>
            </w:r>
            <w:r>
              <w:t>Mailed (N)</w:t>
            </w:r>
          </w:p>
        </w:tc>
        <w:tc>
          <w:tcPr>
            <w:tcW w:w="1268" w:type="dxa"/>
            <w:tcBorders>
              <w:left w:val="nil"/>
              <w:bottom w:val="single" w:sz="4" w:space="0" w:color="000000" w:themeColor="text1"/>
            </w:tcBorders>
            <w:shd w:val="clear" w:color="auto" w:fill="E5DFEC" w:themeFill="accent4" w:themeFillTint="33"/>
            <w:vAlign w:val="center"/>
          </w:tcPr>
          <w:p w14:paraId="1541C244" w14:textId="404AD6E4" w:rsidR="00003CE3" w:rsidRPr="00FF49D9" w:rsidRDefault="00003CE3" w:rsidP="00003CE3">
            <w:r w:rsidRPr="00003CE3">
              <w:t>Total Mailed</w:t>
            </w:r>
            <w:r>
              <w:t xml:space="preserve"> (%)</w:t>
            </w:r>
          </w:p>
        </w:tc>
      </w:tr>
      <w:tr w:rsidR="00003CE3" w:rsidRPr="00FF49D9" w14:paraId="48F22F61" w14:textId="77777777" w:rsidTr="00091A0A">
        <w:tc>
          <w:tcPr>
            <w:tcW w:w="1435" w:type="dxa"/>
            <w:tcBorders>
              <w:right w:val="single" w:sz="4" w:space="0" w:color="auto"/>
            </w:tcBorders>
          </w:tcPr>
          <w:p w14:paraId="5698B408" w14:textId="355754A6" w:rsidR="00003CE3" w:rsidRPr="00FF49D9" w:rsidRDefault="00003CE3" w:rsidP="00003CE3">
            <w:r>
              <w:t>First</w:t>
            </w:r>
          </w:p>
        </w:tc>
        <w:tc>
          <w:tcPr>
            <w:tcW w:w="1800" w:type="dxa"/>
            <w:tcBorders>
              <w:left w:val="single" w:sz="4" w:space="0" w:color="auto"/>
              <w:right w:val="nil"/>
            </w:tcBorders>
            <w:vAlign w:val="center"/>
          </w:tcPr>
          <w:p w14:paraId="7E47ACED" w14:textId="77777777" w:rsidR="00003CE3" w:rsidRPr="00FF49D9" w:rsidRDefault="00003CE3" w:rsidP="00020D3F">
            <w:pPr>
              <w:jc w:val="right"/>
            </w:pPr>
            <w:r>
              <w:t>3,855</w:t>
            </w:r>
          </w:p>
        </w:tc>
        <w:tc>
          <w:tcPr>
            <w:tcW w:w="1800" w:type="dxa"/>
            <w:tcBorders>
              <w:left w:val="nil"/>
              <w:right w:val="single" w:sz="4" w:space="0" w:color="auto"/>
            </w:tcBorders>
            <w:vAlign w:val="center"/>
          </w:tcPr>
          <w:p w14:paraId="3B3F82E1" w14:textId="3B5144AE" w:rsidR="00003CE3" w:rsidRPr="00FF49D9" w:rsidRDefault="00003CE3" w:rsidP="00020D3F">
            <w:pPr>
              <w:jc w:val="right"/>
            </w:pPr>
            <w:r>
              <w:t>82</w:t>
            </w:r>
          </w:p>
        </w:tc>
        <w:tc>
          <w:tcPr>
            <w:tcW w:w="1395" w:type="dxa"/>
            <w:tcBorders>
              <w:left w:val="single" w:sz="4" w:space="0" w:color="auto"/>
              <w:right w:val="nil"/>
            </w:tcBorders>
            <w:vAlign w:val="center"/>
          </w:tcPr>
          <w:p w14:paraId="6490FB50" w14:textId="029C0A5F" w:rsidR="00003CE3" w:rsidRPr="00FF49D9" w:rsidRDefault="00003CE3" w:rsidP="00020D3F">
            <w:pPr>
              <w:jc w:val="right"/>
            </w:pPr>
            <w:r>
              <w:t>4,707</w:t>
            </w:r>
          </w:p>
        </w:tc>
        <w:tc>
          <w:tcPr>
            <w:tcW w:w="1268" w:type="dxa"/>
            <w:tcBorders>
              <w:left w:val="nil"/>
            </w:tcBorders>
            <w:vAlign w:val="center"/>
          </w:tcPr>
          <w:p w14:paraId="0E8CC1C4" w14:textId="231864DA" w:rsidR="00003CE3" w:rsidRPr="00FF49D9" w:rsidRDefault="00003CE3" w:rsidP="00020D3F">
            <w:pPr>
              <w:jc w:val="right"/>
            </w:pPr>
            <w:r>
              <w:t>100</w:t>
            </w:r>
          </w:p>
        </w:tc>
      </w:tr>
      <w:tr w:rsidR="00020D3F" w:rsidRPr="00FF49D9" w14:paraId="2F16FA88" w14:textId="77777777" w:rsidTr="00091A0A">
        <w:tc>
          <w:tcPr>
            <w:tcW w:w="1435" w:type="dxa"/>
            <w:tcBorders>
              <w:right w:val="single" w:sz="4" w:space="0" w:color="auto"/>
            </w:tcBorders>
          </w:tcPr>
          <w:p w14:paraId="06978EF5" w14:textId="3ACECCCB" w:rsidR="00020D3F" w:rsidRDefault="00020D3F" w:rsidP="00020D3F">
            <w:r>
              <w:t>Second</w:t>
            </w:r>
          </w:p>
        </w:tc>
        <w:tc>
          <w:tcPr>
            <w:tcW w:w="1800" w:type="dxa"/>
            <w:tcBorders>
              <w:left w:val="single" w:sz="4" w:space="0" w:color="auto"/>
              <w:right w:val="nil"/>
            </w:tcBorders>
            <w:vAlign w:val="center"/>
          </w:tcPr>
          <w:p w14:paraId="7F53F1F1" w14:textId="04BB3F4B" w:rsidR="00020D3F" w:rsidRDefault="00020D3F" w:rsidP="00020D3F">
            <w:pPr>
              <w:jc w:val="right"/>
            </w:pPr>
            <w:r>
              <w:t>3,390</w:t>
            </w:r>
          </w:p>
        </w:tc>
        <w:tc>
          <w:tcPr>
            <w:tcW w:w="1800" w:type="dxa"/>
            <w:tcBorders>
              <w:left w:val="nil"/>
              <w:right w:val="single" w:sz="4" w:space="0" w:color="auto"/>
            </w:tcBorders>
            <w:vAlign w:val="center"/>
          </w:tcPr>
          <w:p w14:paraId="52759972" w14:textId="7D07075D" w:rsidR="00020D3F" w:rsidRDefault="00020D3F" w:rsidP="00020D3F">
            <w:pPr>
              <w:jc w:val="right"/>
            </w:pPr>
            <w:r>
              <w:t>90</w:t>
            </w:r>
          </w:p>
        </w:tc>
        <w:tc>
          <w:tcPr>
            <w:tcW w:w="1395" w:type="dxa"/>
            <w:tcBorders>
              <w:left w:val="single" w:sz="4" w:space="0" w:color="auto"/>
              <w:right w:val="nil"/>
            </w:tcBorders>
            <w:vAlign w:val="center"/>
          </w:tcPr>
          <w:p w14:paraId="048C7DAA" w14:textId="412176C5" w:rsidR="00020D3F" w:rsidRDefault="00020D3F" w:rsidP="00020D3F">
            <w:pPr>
              <w:jc w:val="right"/>
            </w:pPr>
            <w:r>
              <w:t>3,778</w:t>
            </w:r>
          </w:p>
        </w:tc>
        <w:tc>
          <w:tcPr>
            <w:tcW w:w="1268" w:type="dxa"/>
            <w:tcBorders>
              <w:left w:val="nil"/>
            </w:tcBorders>
            <w:vAlign w:val="center"/>
          </w:tcPr>
          <w:p w14:paraId="1CBD8EAB" w14:textId="54C89AD7" w:rsidR="00020D3F" w:rsidRDefault="00020D3F" w:rsidP="00020D3F">
            <w:pPr>
              <w:jc w:val="right"/>
            </w:pPr>
            <w:r>
              <w:t>100</w:t>
            </w:r>
          </w:p>
        </w:tc>
      </w:tr>
      <w:tr w:rsidR="00020D3F" w:rsidRPr="00FF49D9" w14:paraId="765E95AB" w14:textId="77777777" w:rsidTr="00091A0A">
        <w:tc>
          <w:tcPr>
            <w:tcW w:w="1435" w:type="dxa"/>
            <w:tcBorders>
              <w:right w:val="single" w:sz="4" w:space="0" w:color="auto"/>
            </w:tcBorders>
          </w:tcPr>
          <w:p w14:paraId="4B32DD32" w14:textId="2D89E019" w:rsidR="00020D3F" w:rsidRDefault="00020D3F" w:rsidP="00020D3F">
            <w:r>
              <w:t>Third</w:t>
            </w:r>
          </w:p>
        </w:tc>
        <w:tc>
          <w:tcPr>
            <w:tcW w:w="1800" w:type="dxa"/>
            <w:tcBorders>
              <w:left w:val="single" w:sz="4" w:space="0" w:color="auto"/>
              <w:right w:val="nil"/>
            </w:tcBorders>
            <w:vAlign w:val="center"/>
          </w:tcPr>
          <w:p w14:paraId="795C9DA1" w14:textId="6117076B" w:rsidR="00020D3F" w:rsidRDefault="00020D3F" w:rsidP="00020D3F">
            <w:pPr>
              <w:jc w:val="right"/>
            </w:pPr>
            <w:r>
              <w:t>2,987</w:t>
            </w:r>
          </w:p>
        </w:tc>
        <w:tc>
          <w:tcPr>
            <w:tcW w:w="1800" w:type="dxa"/>
            <w:tcBorders>
              <w:left w:val="nil"/>
              <w:right w:val="single" w:sz="4" w:space="0" w:color="auto"/>
            </w:tcBorders>
            <w:vAlign w:val="center"/>
          </w:tcPr>
          <w:p w14:paraId="71181ADA" w14:textId="7819A243" w:rsidR="00020D3F" w:rsidRDefault="00020D3F" w:rsidP="00020D3F">
            <w:pPr>
              <w:jc w:val="right"/>
            </w:pPr>
            <w:r>
              <w:t>90</w:t>
            </w:r>
          </w:p>
        </w:tc>
        <w:tc>
          <w:tcPr>
            <w:tcW w:w="1395" w:type="dxa"/>
            <w:tcBorders>
              <w:left w:val="single" w:sz="4" w:space="0" w:color="auto"/>
              <w:right w:val="nil"/>
            </w:tcBorders>
            <w:vAlign w:val="center"/>
          </w:tcPr>
          <w:p w14:paraId="44CB16A7" w14:textId="3150C5E7" w:rsidR="00020D3F" w:rsidRDefault="00020D3F" w:rsidP="00020D3F">
            <w:pPr>
              <w:jc w:val="right"/>
            </w:pPr>
            <w:r>
              <w:t>3,324</w:t>
            </w:r>
          </w:p>
        </w:tc>
        <w:tc>
          <w:tcPr>
            <w:tcW w:w="1268" w:type="dxa"/>
            <w:tcBorders>
              <w:left w:val="nil"/>
            </w:tcBorders>
            <w:vAlign w:val="center"/>
          </w:tcPr>
          <w:p w14:paraId="3E30EF71" w14:textId="0BC7AD2A" w:rsidR="00020D3F" w:rsidRDefault="00020D3F" w:rsidP="00020D3F">
            <w:pPr>
              <w:jc w:val="right"/>
            </w:pPr>
            <w:r>
              <w:t>100</w:t>
            </w:r>
          </w:p>
        </w:tc>
      </w:tr>
      <w:tr w:rsidR="00020D3F" w:rsidRPr="00FF49D9" w14:paraId="305E7697" w14:textId="77777777" w:rsidTr="00091A0A">
        <w:tc>
          <w:tcPr>
            <w:tcW w:w="1435" w:type="dxa"/>
            <w:tcBorders>
              <w:right w:val="single" w:sz="4" w:space="0" w:color="auto"/>
            </w:tcBorders>
          </w:tcPr>
          <w:p w14:paraId="0CE3BCD1" w14:textId="1C64AAAD" w:rsidR="00020D3F" w:rsidRDefault="00020D3F" w:rsidP="00020D3F">
            <w:r>
              <w:t>Fourth</w:t>
            </w:r>
          </w:p>
        </w:tc>
        <w:tc>
          <w:tcPr>
            <w:tcW w:w="1800" w:type="dxa"/>
            <w:tcBorders>
              <w:left w:val="single" w:sz="4" w:space="0" w:color="auto"/>
              <w:right w:val="nil"/>
            </w:tcBorders>
            <w:vAlign w:val="center"/>
          </w:tcPr>
          <w:p w14:paraId="17CF6064" w14:textId="5EEC75D9" w:rsidR="00020D3F" w:rsidRDefault="00020D3F" w:rsidP="00020D3F">
            <w:pPr>
              <w:jc w:val="right"/>
            </w:pPr>
            <w:r>
              <w:t>2,609</w:t>
            </w:r>
          </w:p>
        </w:tc>
        <w:tc>
          <w:tcPr>
            <w:tcW w:w="1800" w:type="dxa"/>
            <w:tcBorders>
              <w:left w:val="nil"/>
              <w:right w:val="single" w:sz="4" w:space="0" w:color="auto"/>
            </w:tcBorders>
            <w:vAlign w:val="center"/>
          </w:tcPr>
          <w:p w14:paraId="09B1943A" w14:textId="2DBBBF3D" w:rsidR="00020D3F" w:rsidRDefault="00020D3F" w:rsidP="00020D3F">
            <w:pPr>
              <w:jc w:val="right"/>
            </w:pPr>
            <w:r>
              <w:t>90</w:t>
            </w:r>
          </w:p>
        </w:tc>
        <w:tc>
          <w:tcPr>
            <w:tcW w:w="1395" w:type="dxa"/>
            <w:tcBorders>
              <w:left w:val="single" w:sz="4" w:space="0" w:color="auto"/>
              <w:right w:val="nil"/>
            </w:tcBorders>
            <w:vAlign w:val="center"/>
          </w:tcPr>
          <w:p w14:paraId="7C903BE0" w14:textId="322E1CAB" w:rsidR="00020D3F" w:rsidRDefault="00020D3F" w:rsidP="00020D3F">
            <w:pPr>
              <w:jc w:val="right"/>
            </w:pPr>
            <w:r>
              <w:t>2,905</w:t>
            </w:r>
          </w:p>
        </w:tc>
        <w:tc>
          <w:tcPr>
            <w:tcW w:w="1268" w:type="dxa"/>
            <w:tcBorders>
              <w:left w:val="nil"/>
            </w:tcBorders>
            <w:vAlign w:val="center"/>
          </w:tcPr>
          <w:p w14:paraId="4455F32A" w14:textId="38B370D8" w:rsidR="00020D3F" w:rsidRDefault="00020D3F" w:rsidP="00020D3F">
            <w:pPr>
              <w:jc w:val="right"/>
            </w:pPr>
            <w:r>
              <w:t>100</w:t>
            </w:r>
          </w:p>
        </w:tc>
      </w:tr>
      <w:tr w:rsidR="00020D3F" w:rsidRPr="00FF49D9" w14:paraId="1017796D" w14:textId="77777777" w:rsidTr="00091A0A">
        <w:tc>
          <w:tcPr>
            <w:tcW w:w="1435" w:type="dxa"/>
            <w:tcBorders>
              <w:right w:val="single" w:sz="4" w:space="0" w:color="auto"/>
            </w:tcBorders>
          </w:tcPr>
          <w:p w14:paraId="4008D589" w14:textId="39E09064" w:rsidR="00020D3F" w:rsidRDefault="00020D3F" w:rsidP="00020D3F">
            <w:r>
              <w:t>Fifth</w:t>
            </w:r>
          </w:p>
        </w:tc>
        <w:tc>
          <w:tcPr>
            <w:tcW w:w="1800" w:type="dxa"/>
            <w:tcBorders>
              <w:left w:val="single" w:sz="4" w:space="0" w:color="auto"/>
              <w:right w:val="nil"/>
            </w:tcBorders>
            <w:vAlign w:val="center"/>
          </w:tcPr>
          <w:p w14:paraId="2DF4B4AC" w14:textId="4463D7F8" w:rsidR="00020D3F" w:rsidRDefault="00020D3F" w:rsidP="00020D3F">
            <w:pPr>
              <w:jc w:val="right"/>
            </w:pPr>
            <w:r>
              <w:t>2,289</w:t>
            </w:r>
          </w:p>
        </w:tc>
        <w:tc>
          <w:tcPr>
            <w:tcW w:w="1800" w:type="dxa"/>
            <w:tcBorders>
              <w:left w:val="nil"/>
              <w:right w:val="single" w:sz="4" w:space="0" w:color="auto"/>
            </w:tcBorders>
            <w:vAlign w:val="center"/>
          </w:tcPr>
          <w:p w14:paraId="1FC40467" w14:textId="412E8BDE" w:rsidR="00020D3F" w:rsidRDefault="00020D3F" w:rsidP="00020D3F">
            <w:pPr>
              <w:jc w:val="right"/>
            </w:pPr>
            <w:r>
              <w:t>90</w:t>
            </w:r>
          </w:p>
        </w:tc>
        <w:tc>
          <w:tcPr>
            <w:tcW w:w="1395" w:type="dxa"/>
            <w:tcBorders>
              <w:left w:val="single" w:sz="4" w:space="0" w:color="auto"/>
              <w:right w:val="nil"/>
            </w:tcBorders>
            <w:vAlign w:val="center"/>
          </w:tcPr>
          <w:p w14:paraId="3DE995B2" w14:textId="259036F9" w:rsidR="00020D3F" w:rsidRDefault="00020D3F" w:rsidP="00020D3F">
            <w:pPr>
              <w:jc w:val="right"/>
            </w:pPr>
            <w:r>
              <w:t>2,532</w:t>
            </w:r>
          </w:p>
        </w:tc>
        <w:tc>
          <w:tcPr>
            <w:tcW w:w="1268" w:type="dxa"/>
            <w:tcBorders>
              <w:left w:val="nil"/>
            </w:tcBorders>
            <w:vAlign w:val="center"/>
          </w:tcPr>
          <w:p w14:paraId="4520A2EF" w14:textId="1C5AB3DF" w:rsidR="00020D3F" w:rsidRDefault="00020D3F" w:rsidP="00020D3F">
            <w:pPr>
              <w:jc w:val="right"/>
            </w:pPr>
            <w:r>
              <w:t>100</w:t>
            </w:r>
          </w:p>
        </w:tc>
      </w:tr>
      <w:tr w:rsidR="00020D3F" w:rsidRPr="00FF49D9" w14:paraId="52DF56EE" w14:textId="77777777" w:rsidTr="00091A0A">
        <w:tc>
          <w:tcPr>
            <w:tcW w:w="1435" w:type="dxa"/>
            <w:tcBorders>
              <w:right w:val="single" w:sz="4" w:space="0" w:color="auto"/>
            </w:tcBorders>
          </w:tcPr>
          <w:p w14:paraId="02B49B41" w14:textId="11C1620E" w:rsidR="00020D3F" w:rsidRDefault="00020D3F" w:rsidP="00020D3F">
            <w:r>
              <w:t>Sixth</w:t>
            </w:r>
          </w:p>
        </w:tc>
        <w:tc>
          <w:tcPr>
            <w:tcW w:w="1800" w:type="dxa"/>
            <w:tcBorders>
              <w:left w:val="single" w:sz="4" w:space="0" w:color="auto"/>
              <w:right w:val="nil"/>
            </w:tcBorders>
            <w:vAlign w:val="center"/>
          </w:tcPr>
          <w:p w14:paraId="65B4C2EF" w14:textId="654B807C" w:rsidR="00020D3F" w:rsidRDefault="00020D3F" w:rsidP="00020D3F">
            <w:pPr>
              <w:jc w:val="right"/>
            </w:pPr>
            <w:r>
              <w:t>2,003</w:t>
            </w:r>
          </w:p>
        </w:tc>
        <w:tc>
          <w:tcPr>
            <w:tcW w:w="1800" w:type="dxa"/>
            <w:tcBorders>
              <w:left w:val="nil"/>
              <w:right w:val="single" w:sz="4" w:space="0" w:color="auto"/>
            </w:tcBorders>
            <w:vAlign w:val="center"/>
          </w:tcPr>
          <w:p w14:paraId="62A73F1D" w14:textId="2A4E6F33" w:rsidR="00020D3F" w:rsidRDefault="00020D3F" w:rsidP="00020D3F">
            <w:pPr>
              <w:jc w:val="right"/>
            </w:pPr>
            <w:r>
              <w:t>89</w:t>
            </w:r>
          </w:p>
        </w:tc>
        <w:tc>
          <w:tcPr>
            <w:tcW w:w="1395" w:type="dxa"/>
            <w:tcBorders>
              <w:left w:val="single" w:sz="4" w:space="0" w:color="auto"/>
              <w:right w:val="nil"/>
            </w:tcBorders>
            <w:vAlign w:val="center"/>
          </w:tcPr>
          <w:p w14:paraId="452D28C8" w14:textId="4FD0374F" w:rsidR="00020D3F" w:rsidRDefault="00020D3F" w:rsidP="00020D3F">
            <w:pPr>
              <w:jc w:val="right"/>
            </w:pPr>
            <w:r>
              <w:t>2,240</w:t>
            </w:r>
          </w:p>
        </w:tc>
        <w:tc>
          <w:tcPr>
            <w:tcW w:w="1268" w:type="dxa"/>
            <w:tcBorders>
              <w:left w:val="nil"/>
            </w:tcBorders>
            <w:vAlign w:val="center"/>
          </w:tcPr>
          <w:p w14:paraId="7082540C" w14:textId="2482C2A6" w:rsidR="00020D3F" w:rsidRDefault="00020D3F" w:rsidP="00020D3F">
            <w:pPr>
              <w:jc w:val="right"/>
            </w:pPr>
            <w:r>
              <w:t>100</w:t>
            </w:r>
          </w:p>
        </w:tc>
      </w:tr>
      <w:tr w:rsidR="00020D3F" w:rsidRPr="00FF49D9" w14:paraId="43660D80" w14:textId="77777777" w:rsidTr="00091A0A">
        <w:tc>
          <w:tcPr>
            <w:tcW w:w="1435" w:type="dxa"/>
            <w:tcBorders>
              <w:right w:val="single" w:sz="4" w:space="0" w:color="auto"/>
            </w:tcBorders>
          </w:tcPr>
          <w:p w14:paraId="1A8DF587" w14:textId="2086B3D1" w:rsidR="00020D3F" w:rsidRDefault="00020D3F" w:rsidP="00020D3F">
            <w:r>
              <w:t>Seventh</w:t>
            </w:r>
          </w:p>
        </w:tc>
        <w:tc>
          <w:tcPr>
            <w:tcW w:w="1800" w:type="dxa"/>
            <w:tcBorders>
              <w:left w:val="single" w:sz="4" w:space="0" w:color="auto"/>
              <w:right w:val="nil"/>
            </w:tcBorders>
            <w:vAlign w:val="center"/>
          </w:tcPr>
          <w:p w14:paraId="53110BFE" w14:textId="64AD6C21" w:rsidR="00020D3F" w:rsidRDefault="00020D3F" w:rsidP="00020D3F">
            <w:pPr>
              <w:jc w:val="right"/>
            </w:pPr>
            <w:r>
              <w:t>1,745</w:t>
            </w:r>
          </w:p>
        </w:tc>
        <w:tc>
          <w:tcPr>
            <w:tcW w:w="1800" w:type="dxa"/>
            <w:tcBorders>
              <w:left w:val="nil"/>
              <w:right w:val="single" w:sz="4" w:space="0" w:color="auto"/>
            </w:tcBorders>
            <w:vAlign w:val="center"/>
          </w:tcPr>
          <w:p w14:paraId="5005E1D8" w14:textId="083E3CD6" w:rsidR="00020D3F" w:rsidRDefault="00020D3F" w:rsidP="00020D3F">
            <w:pPr>
              <w:jc w:val="right"/>
            </w:pPr>
            <w:r>
              <w:t>89</w:t>
            </w:r>
          </w:p>
        </w:tc>
        <w:tc>
          <w:tcPr>
            <w:tcW w:w="1395" w:type="dxa"/>
            <w:tcBorders>
              <w:left w:val="single" w:sz="4" w:space="0" w:color="auto"/>
              <w:right w:val="nil"/>
            </w:tcBorders>
            <w:vAlign w:val="center"/>
          </w:tcPr>
          <w:p w14:paraId="0CB5FBC1" w14:textId="2773B829" w:rsidR="00020D3F" w:rsidRDefault="00020D3F" w:rsidP="00020D3F">
            <w:pPr>
              <w:jc w:val="right"/>
            </w:pPr>
            <w:r>
              <w:t>1,959</w:t>
            </w:r>
          </w:p>
        </w:tc>
        <w:tc>
          <w:tcPr>
            <w:tcW w:w="1268" w:type="dxa"/>
            <w:tcBorders>
              <w:left w:val="nil"/>
            </w:tcBorders>
            <w:vAlign w:val="center"/>
          </w:tcPr>
          <w:p w14:paraId="3C87DE40" w14:textId="273F24F2" w:rsidR="00020D3F" w:rsidRDefault="00020D3F" w:rsidP="00020D3F">
            <w:pPr>
              <w:jc w:val="right"/>
            </w:pPr>
            <w:r>
              <w:t>100</w:t>
            </w:r>
          </w:p>
        </w:tc>
      </w:tr>
      <w:tr w:rsidR="00020D3F" w:rsidRPr="00FF49D9" w14:paraId="23A35DEE" w14:textId="77777777" w:rsidTr="00091A0A">
        <w:tc>
          <w:tcPr>
            <w:tcW w:w="1435" w:type="dxa"/>
            <w:tcBorders>
              <w:right w:val="single" w:sz="4" w:space="0" w:color="auto"/>
            </w:tcBorders>
          </w:tcPr>
          <w:p w14:paraId="20FC86B3" w14:textId="5A70D116" w:rsidR="00020D3F" w:rsidRDefault="00020D3F" w:rsidP="00020D3F">
            <w:r>
              <w:t>Eighth</w:t>
            </w:r>
          </w:p>
        </w:tc>
        <w:tc>
          <w:tcPr>
            <w:tcW w:w="1800" w:type="dxa"/>
            <w:tcBorders>
              <w:left w:val="single" w:sz="4" w:space="0" w:color="auto"/>
              <w:right w:val="nil"/>
            </w:tcBorders>
            <w:vAlign w:val="center"/>
          </w:tcPr>
          <w:p w14:paraId="12C85387" w14:textId="593DB753" w:rsidR="00020D3F" w:rsidRDefault="00020D3F" w:rsidP="00020D3F">
            <w:pPr>
              <w:jc w:val="right"/>
            </w:pPr>
            <w:r>
              <w:t>1,512</w:t>
            </w:r>
          </w:p>
        </w:tc>
        <w:tc>
          <w:tcPr>
            <w:tcW w:w="1800" w:type="dxa"/>
            <w:tcBorders>
              <w:left w:val="nil"/>
              <w:right w:val="single" w:sz="4" w:space="0" w:color="auto"/>
            </w:tcBorders>
            <w:vAlign w:val="center"/>
          </w:tcPr>
          <w:p w14:paraId="2A3914FF" w14:textId="099C0595" w:rsidR="00020D3F" w:rsidRDefault="00020D3F" w:rsidP="00020D3F">
            <w:pPr>
              <w:jc w:val="right"/>
            </w:pPr>
            <w:r>
              <w:t>90</w:t>
            </w:r>
          </w:p>
        </w:tc>
        <w:tc>
          <w:tcPr>
            <w:tcW w:w="1395" w:type="dxa"/>
            <w:tcBorders>
              <w:left w:val="single" w:sz="4" w:space="0" w:color="auto"/>
              <w:right w:val="nil"/>
            </w:tcBorders>
            <w:vAlign w:val="center"/>
          </w:tcPr>
          <w:p w14:paraId="6AE741E4" w14:textId="7BEC845C" w:rsidR="00020D3F" w:rsidRDefault="00020D3F" w:rsidP="00020D3F">
            <w:pPr>
              <w:jc w:val="right"/>
            </w:pPr>
            <w:r>
              <w:t>1,681</w:t>
            </w:r>
          </w:p>
        </w:tc>
        <w:tc>
          <w:tcPr>
            <w:tcW w:w="1268" w:type="dxa"/>
            <w:tcBorders>
              <w:left w:val="nil"/>
            </w:tcBorders>
            <w:vAlign w:val="center"/>
          </w:tcPr>
          <w:p w14:paraId="44D7BE11" w14:textId="0CCE6F0B" w:rsidR="00020D3F" w:rsidRDefault="00020D3F" w:rsidP="00020D3F">
            <w:pPr>
              <w:jc w:val="right"/>
            </w:pPr>
            <w:r>
              <w:t>100</w:t>
            </w:r>
          </w:p>
        </w:tc>
      </w:tr>
      <w:tr w:rsidR="00020D3F" w:rsidRPr="00FF49D9" w14:paraId="3111196C" w14:textId="77777777" w:rsidTr="00091A0A">
        <w:tc>
          <w:tcPr>
            <w:tcW w:w="1435" w:type="dxa"/>
            <w:tcBorders>
              <w:right w:val="single" w:sz="4" w:space="0" w:color="auto"/>
            </w:tcBorders>
          </w:tcPr>
          <w:p w14:paraId="120CE3D2" w14:textId="704D0BA5" w:rsidR="00020D3F" w:rsidRDefault="00020D3F" w:rsidP="00020D3F">
            <w:r>
              <w:t>Ninth</w:t>
            </w:r>
          </w:p>
        </w:tc>
        <w:tc>
          <w:tcPr>
            <w:tcW w:w="1800" w:type="dxa"/>
            <w:tcBorders>
              <w:left w:val="single" w:sz="4" w:space="0" w:color="auto"/>
              <w:right w:val="nil"/>
            </w:tcBorders>
            <w:vAlign w:val="center"/>
          </w:tcPr>
          <w:p w14:paraId="138CACA9" w14:textId="2E5B4952" w:rsidR="00020D3F" w:rsidRDefault="00020D3F" w:rsidP="00020D3F">
            <w:pPr>
              <w:jc w:val="right"/>
            </w:pPr>
            <w:r>
              <w:t>1,336</w:t>
            </w:r>
          </w:p>
        </w:tc>
        <w:tc>
          <w:tcPr>
            <w:tcW w:w="1800" w:type="dxa"/>
            <w:tcBorders>
              <w:left w:val="nil"/>
              <w:right w:val="single" w:sz="4" w:space="0" w:color="auto"/>
            </w:tcBorders>
            <w:vAlign w:val="center"/>
          </w:tcPr>
          <w:p w14:paraId="16C879CF" w14:textId="2F122098" w:rsidR="00020D3F" w:rsidRDefault="00020D3F" w:rsidP="00020D3F">
            <w:pPr>
              <w:jc w:val="right"/>
            </w:pPr>
            <w:r>
              <w:t>91</w:t>
            </w:r>
          </w:p>
        </w:tc>
        <w:tc>
          <w:tcPr>
            <w:tcW w:w="1395" w:type="dxa"/>
            <w:tcBorders>
              <w:left w:val="single" w:sz="4" w:space="0" w:color="auto"/>
              <w:right w:val="nil"/>
            </w:tcBorders>
            <w:vAlign w:val="center"/>
          </w:tcPr>
          <w:p w14:paraId="23F5A656" w14:textId="6A0A659A" w:rsidR="00020D3F" w:rsidRDefault="00020D3F" w:rsidP="00020D3F">
            <w:pPr>
              <w:jc w:val="right"/>
            </w:pPr>
            <w:r>
              <w:t>1,464</w:t>
            </w:r>
          </w:p>
        </w:tc>
        <w:tc>
          <w:tcPr>
            <w:tcW w:w="1268" w:type="dxa"/>
            <w:tcBorders>
              <w:left w:val="nil"/>
            </w:tcBorders>
            <w:vAlign w:val="center"/>
          </w:tcPr>
          <w:p w14:paraId="21FAE432" w14:textId="4E237B68" w:rsidR="00020D3F" w:rsidRDefault="00020D3F" w:rsidP="00020D3F">
            <w:pPr>
              <w:jc w:val="right"/>
            </w:pPr>
            <w:r>
              <w:t>100</w:t>
            </w:r>
          </w:p>
        </w:tc>
      </w:tr>
      <w:tr w:rsidR="00020D3F" w:rsidRPr="00FF49D9" w14:paraId="415FE1FB" w14:textId="77777777" w:rsidTr="00091A0A">
        <w:tc>
          <w:tcPr>
            <w:tcW w:w="1435" w:type="dxa"/>
            <w:tcBorders>
              <w:right w:val="single" w:sz="4" w:space="0" w:color="auto"/>
            </w:tcBorders>
          </w:tcPr>
          <w:p w14:paraId="4AD47935" w14:textId="51E3E7BA" w:rsidR="00020D3F" w:rsidRDefault="00020D3F" w:rsidP="00020D3F">
            <w:r>
              <w:t>Tenth</w:t>
            </w:r>
          </w:p>
        </w:tc>
        <w:tc>
          <w:tcPr>
            <w:tcW w:w="1800" w:type="dxa"/>
            <w:tcBorders>
              <w:left w:val="single" w:sz="4" w:space="0" w:color="auto"/>
              <w:right w:val="nil"/>
            </w:tcBorders>
            <w:vAlign w:val="center"/>
          </w:tcPr>
          <w:p w14:paraId="543AB2D4" w14:textId="27A129F4" w:rsidR="00020D3F" w:rsidRDefault="00020D3F" w:rsidP="00020D3F">
            <w:pPr>
              <w:jc w:val="right"/>
            </w:pPr>
            <w:r>
              <w:t>1,150</w:t>
            </w:r>
          </w:p>
        </w:tc>
        <w:tc>
          <w:tcPr>
            <w:tcW w:w="1800" w:type="dxa"/>
            <w:tcBorders>
              <w:left w:val="nil"/>
              <w:right w:val="single" w:sz="4" w:space="0" w:color="auto"/>
            </w:tcBorders>
            <w:vAlign w:val="center"/>
          </w:tcPr>
          <w:p w14:paraId="6AEB6147" w14:textId="0781CCE0" w:rsidR="00020D3F" w:rsidRDefault="00020D3F" w:rsidP="00020D3F">
            <w:pPr>
              <w:jc w:val="right"/>
            </w:pPr>
            <w:r>
              <w:t>89</w:t>
            </w:r>
          </w:p>
        </w:tc>
        <w:tc>
          <w:tcPr>
            <w:tcW w:w="1395" w:type="dxa"/>
            <w:tcBorders>
              <w:left w:val="single" w:sz="4" w:space="0" w:color="auto"/>
              <w:right w:val="nil"/>
            </w:tcBorders>
            <w:vAlign w:val="center"/>
          </w:tcPr>
          <w:p w14:paraId="62FFE112" w14:textId="5396084D" w:rsidR="00020D3F" w:rsidRDefault="00020D3F" w:rsidP="00020D3F">
            <w:pPr>
              <w:jc w:val="right"/>
            </w:pPr>
            <w:r>
              <w:t>1,288</w:t>
            </w:r>
          </w:p>
        </w:tc>
        <w:tc>
          <w:tcPr>
            <w:tcW w:w="1268" w:type="dxa"/>
            <w:tcBorders>
              <w:left w:val="nil"/>
            </w:tcBorders>
            <w:vAlign w:val="center"/>
          </w:tcPr>
          <w:p w14:paraId="0D6A482F" w14:textId="0150073B" w:rsidR="00020D3F" w:rsidRDefault="00020D3F" w:rsidP="00020D3F">
            <w:pPr>
              <w:jc w:val="right"/>
            </w:pPr>
            <w:r>
              <w:t>100</w:t>
            </w:r>
          </w:p>
        </w:tc>
      </w:tr>
      <w:tr w:rsidR="00020D3F" w:rsidRPr="00FF49D9" w14:paraId="4DB7EA76" w14:textId="77777777" w:rsidTr="00091A0A">
        <w:tc>
          <w:tcPr>
            <w:tcW w:w="1435" w:type="dxa"/>
            <w:tcBorders>
              <w:right w:val="single" w:sz="4" w:space="0" w:color="auto"/>
            </w:tcBorders>
          </w:tcPr>
          <w:p w14:paraId="588DB43E" w14:textId="31632F43" w:rsidR="00020D3F" w:rsidRDefault="00020D3F" w:rsidP="00020D3F">
            <w:r>
              <w:t>Eleventh</w:t>
            </w:r>
          </w:p>
        </w:tc>
        <w:tc>
          <w:tcPr>
            <w:tcW w:w="1800" w:type="dxa"/>
            <w:tcBorders>
              <w:left w:val="single" w:sz="4" w:space="0" w:color="auto"/>
              <w:right w:val="nil"/>
            </w:tcBorders>
            <w:vAlign w:val="center"/>
          </w:tcPr>
          <w:p w14:paraId="4F48A356" w14:textId="45C60C20" w:rsidR="00020D3F" w:rsidRDefault="00020D3F" w:rsidP="00020D3F">
            <w:pPr>
              <w:jc w:val="right"/>
            </w:pPr>
            <w:r>
              <w:t>978</w:t>
            </w:r>
          </w:p>
        </w:tc>
        <w:tc>
          <w:tcPr>
            <w:tcW w:w="1800" w:type="dxa"/>
            <w:tcBorders>
              <w:left w:val="nil"/>
              <w:right w:val="single" w:sz="4" w:space="0" w:color="auto"/>
            </w:tcBorders>
            <w:vAlign w:val="center"/>
          </w:tcPr>
          <w:p w14:paraId="30AEFAE7" w14:textId="4AED6281" w:rsidR="00020D3F" w:rsidRDefault="00020D3F" w:rsidP="00020D3F">
            <w:pPr>
              <w:jc w:val="right"/>
            </w:pPr>
            <w:r>
              <w:t>89</w:t>
            </w:r>
          </w:p>
        </w:tc>
        <w:tc>
          <w:tcPr>
            <w:tcW w:w="1395" w:type="dxa"/>
            <w:tcBorders>
              <w:left w:val="single" w:sz="4" w:space="0" w:color="auto"/>
              <w:right w:val="nil"/>
            </w:tcBorders>
            <w:vAlign w:val="center"/>
          </w:tcPr>
          <w:p w14:paraId="43DC2F88" w14:textId="51354D8F" w:rsidR="00020D3F" w:rsidRDefault="00020D3F" w:rsidP="00020D3F">
            <w:pPr>
              <w:jc w:val="right"/>
            </w:pPr>
            <w:r>
              <w:t>1,098</w:t>
            </w:r>
          </w:p>
        </w:tc>
        <w:tc>
          <w:tcPr>
            <w:tcW w:w="1268" w:type="dxa"/>
            <w:tcBorders>
              <w:left w:val="nil"/>
            </w:tcBorders>
            <w:vAlign w:val="center"/>
          </w:tcPr>
          <w:p w14:paraId="71185669" w14:textId="643FBC51" w:rsidR="00020D3F" w:rsidRDefault="00020D3F" w:rsidP="00020D3F">
            <w:pPr>
              <w:jc w:val="right"/>
            </w:pPr>
            <w:r>
              <w:t>100</w:t>
            </w:r>
          </w:p>
        </w:tc>
      </w:tr>
      <w:tr w:rsidR="00020D3F" w:rsidRPr="00FF49D9" w14:paraId="06AD0D09" w14:textId="77777777" w:rsidTr="00091A0A">
        <w:tc>
          <w:tcPr>
            <w:tcW w:w="1435" w:type="dxa"/>
            <w:tcBorders>
              <w:right w:val="single" w:sz="4" w:space="0" w:color="auto"/>
            </w:tcBorders>
          </w:tcPr>
          <w:p w14:paraId="7E699F23" w14:textId="0B1563B0" w:rsidR="00020D3F" w:rsidRDefault="00020D3F" w:rsidP="00020D3F">
            <w:r>
              <w:t>Twelfth</w:t>
            </w:r>
          </w:p>
        </w:tc>
        <w:tc>
          <w:tcPr>
            <w:tcW w:w="1800" w:type="dxa"/>
            <w:tcBorders>
              <w:left w:val="single" w:sz="4" w:space="0" w:color="auto"/>
              <w:right w:val="nil"/>
            </w:tcBorders>
            <w:vAlign w:val="center"/>
          </w:tcPr>
          <w:p w14:paraId="350AEEE3" w14:textId="7ADC80F0" w:rsidR="00020D3F" w:rsidRDefault="00020D3F" w:rsidP="00020D3F">
            <w:pPr>
              <w:jc w:val="right"/>
            </w:pPr>
            <w:r>
              <w:t>774</w:t>
            </w:r>
          </w:p>
        </w:tc>
        <w:tc>
          <w:tcPr>
            <w:tcW w:w="1800" w:type="dxa"/>
            <w:tcBorders>
              <w:left w:val="nil"/>
              <w:right w:val="single" w:sz="4" w:space="0" w:color="auto"/>
            </w:tcBorders>
            <w:vAlign w:val="center"/>
          </w:tcPr>
          <w:p w14:paraId="7F7B46F7" w14:textId="043025E9" w:rsidR="00020D3F" w:rsidRDefault="00020D3F" w:rsidP="00020D3F">
            <w:pPr>
              <w:jc w:val="right"/>
            </w:pPr>
            <w:r>
              <w:t>88</w:t>
            </w:r>
          </w:p>
        </w:tc>
        <w:tc>
          <w:tcPr>
            <w:tcW w:w="1395" w:type="dxa"/>
            <w:tcBorders>
              <w:left w:val="single" w:sz="4" w:space="0" w:color="auto"/>
              <w:right w:val="nil"/>
            </w:tcBorders>
            <w:vAlign w:val="center"/>
          </w:tcPr>
          <w:p w14:paraId="375E5D07" w14:textId="3B115D28" w:rsidR="00020D3F" w:rsidRDefault="00020D3F" w:rsidP="00020D3F">
            <w:pPr>
              <w:jc w:val="right"/>
            </w:pPr>
            <w:r>
              <w:t>883</w:t>
            </w:r>
          </w:p>
        </w:tc>
        <w:tc>
          <w:tcPr>
            <w:tcW w:w="1268" w:type="dxa"/>
            <w:tcBorders>
              <w:left w:val="nil"/>
            </w:tcBorders>
            <w:vAlign w:val="center"/>
          </w:tcPr>
          <w:p w14:paraId="3A23B394" w14:textId="65FCACB9" w:rsidR="00020D3F" w:rsidRDefault="00020D3F" w:rsidP="00020D3F">
            <w:pPr>
              <w:jc w:val="right"/>
            </w:pPr>
            <w:r>
              <w:t>100</w:t>
            </w:r>
          </w:p>
        </w:tc>
      </w:tr>
      <w:tr w:rsidR="00020D3F" w:rsidRPr="00FF49D9" w14:paraId="1307165D" w14:textId="77777777" w:rsidTr="00091A0A">
        <w:tc>
          <w:tcPr>
            <w:tcW w:w="1435" w:type="dxa"/>
            <w:tcBorders>
              <w:right w:val="single" w:sz="4" w:space="0" w:color="auto"/>
            </w:tcBorders>
          </w:tcPr>
          <w:p w14:paraId="5044CCFB" w14:textId="2DD6E48E" w:rsidR="00020D3F" w:rsidRDefault="00020D3F" w:rsidP="00020D3F">
            <w:r>
              <w:t>Thirteenth</w:t>
            </w:r>
          </w:p>
        </w:tc>
        <w:tc>
          <w:tcPr>
            <w:tcW w:w="1800" w:type="dxa"/>
            <w:tcBorders>
              <w:left w:val="single" w:sz="4" w:space="0" w:color="auto"/>
              <w:right w:val="nil"/>
            </w:tcBorders>
            <w:vAlign w:val="center"/>
          </w:tcPr>
          <w:p w14:paraId="7A78A321" w14:textId="3E02DF12" w:rsidR="00020D3F" w:rsidRDefault="00020D3F" w:rsidP="00020D3F">
            <w:pPr>
              <w:jc w:val="right"/>
            </w:pPr>
            <w:r>
              <w:t>551</w:t>
            </w:r>
          </w:p>
        </w:tc>
        <w:tc>
          <w:tcPr>
            <w:tcW w:w="1800" w:type="dxa"/>
            <w:tcBorders>
              <w:left w:val="nil"/>
              <w:right w:val="single" w:sz="4" w:space="0" w:color="auto"/>
            </w:tcBorders>
            <w:vAlign w:val="center"/>
          </w:tcPr>
          <w:p w14:paraId="0117230D" w14:textId="43E6526A" w:rsidR="00020D3F" w:rsidRDefault="00020D3F" w:rsidP="00020D3F">
            <w:pPr>
              <w:jc w:val="right"/>
            </w:pPr>
            <w:r>
              <w:t>88</w:t>
            </w:r>
          </w:p>
        </w:tc>
        <w:tc>
          <w:tcPr>
            <w:tcW w:w="1395" w:type="dxa"/>
            <w:tcBorders>
              <w:left w:val="single" w:sz="4" w:space="0" w:color="auto"/>
              <w:right w:val="nil"/>
            </w:tcBorders>
            <w:vAlign w:val="center"/>
          </w:tcPr>
          <w:p w14:paraId="6FA85926" w14:textId="62647D60" w:rsidR="00020D3F" w:rsidRDefault="00020D3F" w:rsidP="00020D3F">
            <w:pPr>
              <w:jc w:val="right"/>
            </w:pPr>
            <w:r>
              <w:t>632</w:t>
            </w:r>
          </w:p>
        </w:tc>
        <w:tc>
          <w:tcPr>
            <w:tcW w:w="1268" w:type="dxa"/>
            <w:tcBorders>
              <w:left w:val="nil"/>
            </w:tcBorders>
            <w:vAlign w:val="center"/>
          </w:tcPr>
          <w:p w14:paraId="28710630" w14:textId="771227BD" w:rsidR="00020D3F" w:rsidRDefault="00020D3F" w:rsidP="00020D3F">
            <w:pPr>
              <w:jc w:val="right"/>
            </w:pPr>
            <w:r>
              <w:t>100</w:t>
            </w:r>
          </w:p>
        </w:tc>
      </w:tr>
      <w:tr w:rsidR="00020D3F" w:rsidRPr="00FF49D9" w14:paraId="210D8825" w14:textId="77777777" w:rsidTr="00091A0A">
        <w:tc>
          <w:tcPr>
            <w:tcW w:w="1435" w:type="dxa"/>
            <w:tcBorders>
              <w:right w:val="single" w:sz="4" w:space="0" w:color="auto"/>
            </w:tcBorders>
          </w:tcPr>
          <w:p w14:paraId="3B3424B1" w14:textId="51E10279" w:rsidR="00020D3F" w:rsidRDefault="00020D3F" w:rsidP="00020D3F">
            <w:r>
              <w:t>Fourteenth</w:t>
            </w:r>
          </w:p>
        </w:tc>
        <w:tc>
          <w:tcPr>
            <w:tcW w:w="1800" w:type="dxa"/>
            <w:tcBorders>
              <w:left w:val="single" w:sz="4" w:space="0" w:color="auto"/>
              <w:right w:val="nil"/>
            </w:tcBorders>
            <w:vAlign w:val="center"/>
          </w:tcPr>
          <w:p w14:paraId="5A707B42" w14:textId="0B7DF8B0" w:rsidR="00020D3F" w:rsidRDefault="00020D3F" w:rsidP="00020D3F">
            <w:pPr>
              <w:jc w:val="right"/>
            </w:pPr>
            <w:r>
              <w:t>257</w:t>
            </w:r>
          </w:p>
        </w:tc>
        <w:tc>
          <w:tcPr>
            <w:tcW w:w="1800" w:type="dxa"/>
            <w:tcBorders>
              <w:left w:val="nil"/>
              <w:right w:val="single" w:sz="4" w:space="0" w:color="auto"/>
            </w:tcBorders>
            <w:vAlign w:val="center"/>
          </w:tcPr>
          <w:p w14:paraId="28356E77" w14:textId="4D4EF3D3" w:rsidR="00020D3F" w:rsidRDefault="00020D3F" w:rsidP="00020D3F">
            <w:pPr>
              <w:jc w:val="right"/>
            </w:pPr>
            <w:r>
              <w:t>87</w:t>
            </w:r>
          </w:p>
        </w:tc>
        <w:tc>
          <w:tcPr>
            <w:tcW w:w="1395" w:type="dxa"/>
            <w:tcBorders>
              <w:left w:val="single" w:sz="4" w:space="0" w:color="auto"/>
              <w:right w:val="nil"/>
            </w:tcBorders>
            <w:vAlign w:val="center"/>
          </w:tcPr>
          <w:p w14:paraId="24DB9CC1" w14:textId="25CE441A" w:rsidR="00020D3F" w:rsidRDefault="00020D3F" w:rsidP="00020D3F">
            <w:pPr>
              <w:jc w:val="right"/>
            </w:pPr>
            <w:r>
              <w:t>306</w:t>
            </w:r>
          </w:p>
        </w:tc>
        <w:tc>
          <w:tcPr>
            <w:tcW w:w="1268" w:type="dxa"/>
            <w:tcBorders>
              <w:left w:val="nil"/>
            </w:tcBorders>
            <w:vAlign w:val="center"/>
          </w:tcPr>
          <w:p w14:paraId="18196392" w14:textId="32F1980E" w:rsidR="00020D3F" w:rsidRDefault="00020D3F" w:rsidP="00020D3F">
            <w:pPr>
              <w:jc w:val="right"/>
            </w:pPr>
            <w:r>
              <w:t>100</w:t>
            </w:r>
          </w:p>
        </w:tc>
      </w:tr>
    </w:tbl>
    <w:p w14:paraId="28DE2E52" w14:textId="77777777" w:rsidR="007E0320" w:rsidRPr="006E0F45" w:rsidRDefault="007E0320" w:rsidP="00D3035E">
      <w:pPr>
        <w:spacing w:before="0" w:beforeAutospacing="0" w:after="0" w:afterAutospacing="0"/>
        <w:rPr>
          <w:sz w:val="16"/>
        </w:rPr>
      </w:pPr>
    </w:p>
    <w:sectPr w:rsidR="007E0320" w:rsidRPr="006E0F45" w:rsidSect="000E5752">
      <w:footerReference w:type="default" r:id="rId6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4813E" w16cid:durableId="1F4CEC6C"/>
  <w16cid:commentId w16cid:paraId="58CF49DD" w16cid:durableId="1F4D0594"/>
  <w16cid:commentId w16cid:paraId="265B599C" w16cid:durableId="1F4CD740"/>
  <w16cid:commentId w16cid:paraId="7CB0097D" w16cid:durableId="1F4CD9FD"/>
  <w16cid:commentId w16cid:paraId="18DDD59E" w16cid:durableId="1F4CD742"/>
  <w16cid:commentId w16cid:paraId="3E7F31EC" w16cid:durableId="1F4CDA3E"/>
  <w16cid:commentId w16cid:paraId="02BF35C6" w16cid:durableId="1F4CD743"/>
  <w16cid:commentId w16cid:paraId="65E51798" w16cid:durableId="1F4CD744"/>
  <w16cid:commentId w16cid:paraId="0095B4B2" w16cid:durableId="1F4CDB13"/>
  <w16cid:commentId w16cid:paraId="19B5A4C8" w16cid:durableId="1F4CD745"/>
  <w16cid:commentId w16cid:paraId="5B2B9139" w16cid:durableId="1F4CD746"/>
  <w16cid:commentId w16cid:paraId="2B9B3DCE" w16cid:durableId="1F4CD747"/>
  <w16cid:commentId w16cid:paraId="3200040D" w16cid:durableId="1F4CD748"/>
  <w16cid:commentId w16cid:paraId="59A22542" w16cid:durableId="1F4CD749"/>
  <w16cid:commentId w16cid:paraId="5656BF87" w16cid:durableId="1F4CDCF1"/>
  <w16cid:commentId w16cid:paraId="6A87F77F" w16cid:durableId="1F4CE2E2"/>
  <w16cid:commentId w16cid:paraId="25C84374" w16cid:durableId="1F4CD74A"/>
  <w16cid:commentId w16cid:paraId="76759C2F" w16cid:durableId="1F4CD74B"/>
  <w16cid:commentId w16cid:paraId="292FCD2B" w16cid:durableId="1F4CD74C"/>
  <w16cid:commentId w16cid:paraId="0A313E50" w16cid:durableId="1F4CD74D"/>
  <w16cid:commentId w16cid:paraId="1E30478D" w16cid:durableId="1F4CD74E"/>
  <w16cid:commentId w16cid:paraId="6F7C0256" w16cid:durableId="1F4CE776"/>
  <w16cid:commentId w16cid:paraId="164E3646" w16cid:durableId="1F4CE780"/>
  <w16cid:commentId w16cid:paraId="374BEDA0" w16cid:durableId="1F4CE791"/>
  <w16cid:commentId w16cid:paraId="69985E2F" w16cid:durableId="1F4CE797"/>
  <w16cid:commentId w16cid:paraId="71A4D280" w16cid:durableId="1F4CE79E"/>
  <w16cid:commentId w16cid:paraId="5025D0EB" w16cid:durableId="1F4CE7A1"/>
  <w16cid:commentId w16cid:paraId="0EC641D0" w16cid:durableId="1F4CD74F"/>
  <w16cid:commentId w16cid:paraId="41436B94" w16cid:durableId="1F4CD750"/>
  <w16cid:commentId w16cid:paraId="4A6E4FBF" w16cid:durableId="1F4CD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8EC2" w14:textId="77777777" w:rsidR="00D661FD" w:rsidRDefault="00D661FD" w:rsidP="00BC48B0">
      <w:pPr>
        <w:spacing w:after="0" w:line="240" w:lineRule="auto"/>
      </w:pPr>
      <w:r>
        <w:separator/>
      </w:r>
    </w:p>
  </w:endnote>
  <w:endnote w:type="continuationSeparator" w:id="0">
    <w:p w14:paraId="34FE9C04" w14:textId="77777777" w:rsidR="00D661FD" w:rsidRDefault="00D661FD" w:rsidP="00BC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8C7B" w14:textId="77777777" w:rsidR="009B61A4" w:rsidRDefault="009B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971946"/>
      <w:docPartObj>
        <w:docPartGallery w:val="Page Numbers (Bottom of Page)"/>
        <w:docPartUnique/>
      </w:docPartObj>
    </w:sdtPr>
    <w:sdtEndPr>
      <w:rPr>
        <w:noProof/>
      </w:rPr>
    </w:sdtEndPr>
    <w:sdtContent>
      <w:p w14:paraId="0CFF93AF" w14:textId="731B3073" w:rsidR="00D661FD" w:rsidRDefault="00D661FD" w:rsidP="00CA5AD6">
        <w:pPr>
          <w:pStyle w:val="Footer"/>
          <w:jc w:val="center"/>
        </w:pPr>
        <w:r>
          <w:fldChar w:fldCharType="begin"/>
        </w:r>
        <w:r>
          <w:instrText xml:space="preserve"> PAGE   \* MERGEFORMAT </w:instrText>
        </w:r>
        <w:r>
          <w:fldChar w:fldCharType="separate"/>
        </w:r>
        <w:r w:rsidR="00592779">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AA71" w14:textId="77777777" w:rsidR="009B61A4" w:rsidRDefault="009B61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02074"/>
      <w:docPartObj>
        <w:docPartGallery w:val="Page Numbers (Bottom of Page)"/>
        <w:docPartUnique/>
      </w:docPartObj>
    </w:sdtPr>
    <w:sdtEndPr>
      <w:rPr>
        <w:noProof/>
      </w:rPr>
    </w:sdtEndPr>
    <w:sdtContent>
      <w:p w14:paraId="2EF7D747" w14:textId="3CD5BF61" w:rsidR="00D661FD" w:rsidRDefault="00D661FD" w:rsidP="006E0F45">
        <w:pPr>
          <w:pStyle w:val="Footer"/>
          <w:jc w:val="center"/>
        </w:pPr>
        <w:r>
          <w:fldChar w:fldCharType="begin"/>
        </w:r>
        <w:r>
          <w:instrText xml:space="preserve"> PAGE   \* MERGEFORMAT </w:instrText>
        </w:r>
        <w:r>
          <w:fldChar w:fldCharType="separate"/>
        </w:r>
        <w:r w:rsidR="00592779">
          <w:rPr>
            <w:noProof/>
          </w:rPr>
          <w:t>84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A035" w14:textId="77777777" w:rsidR="00D661FD" w:rsidRDefault="00D661FD" w:rsidP="00BC48B0">
      <w:pPr>
        <w:spacing w:after="0" w:line="240" w:lineRule="auto"/>
      </w:pPr>
      <w:r>
        <w:separator/>
      </w:r>
    </w:p>
  </w:footnote>
  <w:footnote w:type="continuationSeparator" w:id="0">
    <w:p w14:paraId="7C9945F9" w14:textId="77777777" w:rsidR="00D661FD" w:rsidRDefault="00D661FD" w:rsidP="00BC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A43A" w14:textId="77777777" w:rsidR="009B61A4" w:rsidRDefault="009B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23E" w14:textId="77777777" w:rsidR="009B61A4" w:rsidRDefault="009B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77E1" w14:textId="77777777" w:rsidR="009B61A4" w:rsidRDefault="009B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B9B"/>
    <w:multiLevelType w:val="hybridMultilevel"/>
    <w:tmpl w:val="145A14A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070160C5"/>
    <w:multiLevelType w:val="hybridMultilevel"/>
    <w:tmpl w:val="820C7A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C1719A"/>
    <w:multiLevelType w:val="hybridMultilevel"/>
    <w:tmpl w:val="EA72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16BE8"/>
    <w:multiLevelType w:val="multilevel"/>
    <w:tmpl w:val="395CCA10"/>
    <w:styleLink w:val="Style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301BF2"/>
    <w:multiLevelType w:val="hybridMultilevel"/>
    <w:tmpl w:val="AE94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F1B19"/>
    <w:multiLevelType w:val="hybridMultilevel"/>
    <w:tmpl w:val="743A4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55BF3"/>
    <w:multiLevelType w:val="hybridMultilevel"/>
    <w:tmpl w:val="93B03BEA"/>
    <w:lvl w:ilvl="0" w:tplc="F06E4BAE">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7E66706"/>
    <w:multiLevelType w:val="multilevel"/>
    <w:tmpl w:val="295AEAA6"/>
    <w:lvl w:ilvl="0">
      <w:start w:val="1"/>
      <w:numFmt w:val="decimal"/>
      <w:pStyle w:val="Heading1"/>
      <w:lvlText w:val="%1"/>
      <w:lvlJc w:val="left"/>
      <w:pPr>
        <w:ind w:left="432" w:hanging="432"/>
      </w:pPr>
      <w:rPr>
        <w:rFonts w:ascii="Century Gothic" w:hAnsi="Century Gothic" w:hint="default"/>
        <w:b w:val="0"/>
        <w:sz w:val="32"/>
        <w:szCs w:val="32"/>
      </w:rPr>
    </w:lvl>
    <w:lvl w:ilvl="1">
      <w:start w:val="1"/>
      <w:numFmt w:val="decimal"/>
      <w:pStyle w:val="Heading2"/>
      <w:lvlText w:val="%1.%2"/>
      <w:lvlJc w:val="left"/>
      <w:pPr>
        <w:ind w:left="936" w:hanging="576"/>
      </w:pPr>
      <w:rPr>
        <w:b/>
      </w:rPr>
    </w:lvl>
    <w:lvl w:ilvl="2">
      <w:start w:val="1"/>
      <w:numFmt w:val="decimal"/>
      <w:pStyle w:val="Heading3"/>
      <w:lvlText w:val="%1.%2.%3"/>
      <w:lvlJc w:val="left"/>
      <w:pPr>
        <w:ind w:left="965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C5D191E"/>
    <w:multiLevelType w:val="hybridMultilevel"/>
    <w:tmpl w:val="6DDC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9F00BD"/>
    <w:multiLevelType w:val="hybridMultilevel"/>
    <w:tmpl w:val="2C480E0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15:restartNumberingAfterBreak="0">
    <w:nsid w:val="394C61CD"/>
    <w:multiLevelType w:val="multilevel"/>
    <w:tmpl w:val="395CCA10"/>
    <w:styleLink w:val="Style1"/>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rFonts w:asciiTheme="majorHAnsi" w:hAnsiTheme="majorHAnsi"/>
        <w:b/>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C2219B4"/>
    <w:multiLevelType w:val="hybridMultilevel"/>
    <w:tmpl w:val="9E9682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D8A1825"/>
    <w:multiLevelType w:val="hybridMultilevel"/>
    <w:tmpl w:val="F738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2E2604"/>
    <w:multiLevelType w:val="hybridMultilevel"/>
    <w:tmpl w:val="3E64C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F650C6"/>
    <w:multiLevelType w:val="hybridMultilevel"/>
    <w:tmpl w:val="0218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0D35C3"/>
    <w:multiLevelType w:val="hybridMultilevel"/>
    <w:tmpl w:val="613A4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860DE"/>
    <w:multiLevelType w:val="hybridMultilevel"/>
    <w:tmpl w:val="D17A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B6062B"/>
    <w:multiLevelType w:val="hybridMultilevel"/>
    <w:tmpl w:val="A70E3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16"/>
  </w:num>
  <w:num w:numId="5">
    <w:abstractNumId w:val="12"/>
  </w:num>
  <w:num w:numId="6">
    <w:abstractNumId w:val="5"/>
  </w:num>
  <w:num w:numId="7">
    <w:abstractNumId w:val="0"/>
  </w:num>
  <w:num w:numId="8">
    <w:abstractNumId w:val="9"/>
  </w:num>
  <w:num w:numId="9">
    <w:abstractNumId w:val="6"/>
  </w:num>
  <w:num w:numId="10">
    <w:abstractNumId w:val="15"/>
  </w:num>
  <w:num w:numId="11">
    <w:abstractNumId w:val="17"/>
  </w:num>
  <w:num w:numId="12">
    <w:abstractNumId w:val="4"/>
  </w:num>
  <w:num w:numId="13">
    <w:abstractNumId w:val="13"/>
  </w:num>
  <w:num w:numId="14">
    <w:abstractNumId w:val="2"/>
  </w:num>
  <w:num w:numId="15">
    <w:abstractNumId w:val="10"/>
  </w:num>
  <w:num w:numId="16">
    <w:abstractNumId w:val="3"/>
  </w:num>
  <w:num w:numId="17">
    <w:abstractNumId w:val="8"/>
  </w:num>
  <w:num w:numId="18">
    <w:abstractNumId w:val="14"/>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85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NjMzMjU2NTIxMLdQ0lEKTi0uzszPAykwrAUAkw8gZywAAAA="/>
  </w:docVars>
  <w:rsids>
    <w:rsidRoot w:val="001C11D0"/>
    <w:rsid w:val="00001A13"/>
    <w:rsid w:val="00003CE3"/>
    <w:rsid w:val="0001154E"/>
    <w:rsid w:val="00012F17"/>
    <w:rsid w:val="00020D3F"/>
    <w:rsid w:val="00022DD9"/>
    <w:rsid w:val="00032343"/>
    <w:rsid w:val="00033C75"/>
    <w:rsid w:val="0004085C"/>
    <w:rsid w:val="000446C5"/>
    <w:rsid w:val="000451F0"/>
    <w:rsid w:val="0005099E"/>
    <w:rsid w:val="00050C81"/>
    <w:rsid w:val="00055915"/>
    <w:rsid w:val="00055BA9"/>
    <w:rsid w:val="00057810"/>
    <w:rsid w:val="0006314B"/>
    <w:rsid w:val="0006501F"/>
    <w:rsid w:val="00066799"/>
    <w:rsid w:val="0006784C"/>
    <w:rsid w:val="00067B49"/>
    <w:rsid w:val="00071042"/>
    <w:rsid w:val="0007134D"/>
    <w:rsid w:val="0007184E"/>
    <w:rsid w:val="00071929"/>
    <w:rsid w:val="00075F00"/>
    <w:rsid w:val="00077081"/>
    <w:rsid w:val="000776A9"/>
    <w:rsid w:val="00077DF3"/>
    <w:rsid w:val="00080ACA"/>
    <w:rsid w:val="00084424"/>
    <w:rsid w:val="00084B2B"/>
    <w:rsid w:val="00091A0A"/>
    <w:rsid w:val="00094318"/>
    <w:rsid w:val="00094B69"/>
    <w:rsid w:val="00097671"/>
    <w:rsid w:val="000A37B1"/>
    <w:rsid w:val="000C21B6"/>
    <w:rsid w:val="000C768B"/>
    <w:rsid w:val="000D237E"/>
    <w:rsid w:val="000D41EC"/>
    <w:rsid w:val="000D49EA"/>
    <w:rsid w:val="000D7484"/>
    <w:rsid w:val="000E0984"/>
    <w:rsid w:val="000E459D"/>
    <w:rsid w:val="000E5752"/>
    <w:rsid w:val="000F59FB"/>
    <w:rsid w:val="000F5A0F"/>
    <w:rsid w:val="00100A77"/>
    <w:rsid w:val="00104883"/>
    <w:rsid w:val="00105FF7"/>
    <w:rsid w:val="00106039"/>
    <w:rsid w:val="00106B5C"/>
    <w:rsid w:val="00106D5F"/>
    <w:rsid w:val="00107FB5"/>
    <w:rsid w:val="0011030B"/>
    <w:rsid w:val="00111171"/>
    <w:rsid w:val="00116B46"/>
    <w:rsid w:val="00130145"/>
    <w:rsid w:val="00133AD5"/>
    <w:rsid w:val="00143E02"/>
    <w:rsid w:val="0014629A"/>
    <w:rsid w:val="00146785"/>
    <w:rsid w:val="001520A6"/>
    <w:rsid w:val="001535D0"/>
    <w:rsid w:val="00154FDA"/>
    <w:rsid w:val="00155CDD"/>
    <w:rsid w:val="00157905"/>
    <w:rsid w:val="001601B4"/>
    <w:rsid w:val="00160BA7"/>
    <w:rsid w:val="00160BF0"/>
    <w:rsid w:val="00164899"/>
    <w:rsid w:val="00165718"/>
    <w:rsid w:val="00166F01"/>
    <w:rsid w:val="00170E83"/>
    <w:rsid w:val="00171547"/>
    <w:rsid w:val="00172052"/>
    <w:rsid w:val="001759AF"/>
    <w:rsid w:val="00177915"/>
    <w:rsid w:val="00177D0C"/>
    <w:rsid w:val="001801E0"/>
    <w:rsid w:val="001806E7"/>
    <w:rsid w:val="00181D48"/>
    <w:rsid w:val="00185B48"/>
    <w:rsid w:val="00185E36"/>
    <w:rsid w:val="001900DE"/>
    <w:rsid w:val="00193A8E"/>
    <w:rsid w:val="001954C8"/>
    <w:rsid w:val="001A0D02"/>
    <w:rsid w:val="001A1E4A"/>
    <w:rsid w:val="001A604C"/>
    <w:rsid w:val="001A659B"/>
    <w:rsid w:val="001B6400"/>
    <w:rsid w:val="001B6966"/>
    <w:rsid w:val="001C11D0"/>
    <w:rsid w:val="001C3333"/>
    <w:rsid w:val="001C44C3"/>
    <w:rsid w:val="001D0F33"/>
    <w:rsid w:val="001D5FFB"/>
    <w:rsid w:val="001E0DA2"/>
    <w:rsid w:val="001E2F1B"/>
    <w:rsid w:val="001E4857"/>
    <w:rsid w:val="001E7F3F"/>
    <w:rsid w:val="001F3831"/>
    <w:rsid w:val="001F7198"/>
    <w:rsid w:val="00200334"/>
    <w:rsid w:val="002025F7"/>
    <w:rsid w:val="00211DB9"/>
    <w:rsid w:val="00214321"/>
    <w:rsid w:val="0021550B"/>
    <w:rsid w:val="0022397F"/>
    <w:rsid w:val="002256F2"/>
    <w:rsid w:val="00232ED6"/>
    <w:rsid w:val="00233A63"/>
    <w:rsid w:val="00234507"/>
    <w:rsid w:val="00234780"/>
    <w:rsid w:val="002418C6"/>
    <w:rsid w:val="00242469"/>
    <w:rsid w:val="00243F39"/>
    <w:rsid w:val="00245884"/>
    <w:rsid w:val="00250FB7"/>
    <w:rsid w:val="00252CA5"/>
    <w:rsid w:val="00252D1C"/>
    <w:rsid w:val="0025770F"/>
    <w:rsid w:val="0026297E"/>
    <w:rsid w:val="00264A42"/>
    <w:rsid w:val="00272320"/>
    <w:rsid w:val="002724FD"/>
    <w:rsid w:val="00272FD4"/>
    <w:rsid w:val="00276CD2"/>
    <w:rsid w:val="00281AA0"/>
    <w:rsid w:val="00284EAC"/>
    <w:rsid w:val="00287127"/>
    <w:rsid w:val="0029015F"/>
    <w:rsid w:val="002919B9"/>
    <w:rsid w:val="00291BE1"/>
    <w:rsid w:val="00294341"/>
    <w:rsid w:val="00294996"/>
    <w:rsid w:val="002A2276"/>
    <w:rsid w:val="002A3687"/>
    <w:rsid w:val="002A3B00"/>
    <w:rsid w:val="002B2E38"/>
    <w:rsid w:val="002B56A7"/>
    <w:rsid w:val="002C17BC"/>
    <w:rsid w:val="002C6643"/>
    <w:rsid w:val="002D155A"/>
    <w:rsid w:val="002D1C2A"/>
    <w:rsid w:val="002D38F2"/>
    <w:rsid w:val="002D75AA"/>
    <w:rsid w:val="002E5E4D"/>
    <w:rsid w:val="002F01F3"/>
    <w:rsid w:val="002F3E46"/>
    <w:rsid w:val="002F5332"/>
    <w:rsid w:val="002F6F64"/>
    <w:rsid w:val="0030309D"/>
    <w:rsid w:val="0030711C"/>
    <w:rsid w:val="003135A2"/>
    <w:rsid w:val="00320B36"/>
    <w:rsid w:val="003261FC"/>
    <w:rsid w:val="003279A1"/>
    <w:rsid w:val="003361EA"/>
    <w:rsid w:val="00340AE2"/>
    <w:rsid w:val="00340B0D"/>
    <w:rsid w:val="00345FD1"/>
    <w:rsid w:val="00351706"/>
    <w:rsid w:val="00351F18"/>
    <w:rsid w:val="003534C4"/>
    <w:rsid w:val="003571B5"/>
    <w:rsid w:val="0036047B"/>
    <w:rsid w:val="003743FE"/>
    <w:rsid w:val="00374438"/>
    <w:rsid w:val="00380713"/>
    <w:rsid w:val="00380EEE"/>
    <w:rsid w:val="0038194F"/>
    <w:rsid w:val="00381F0E"/>
    <w:rsid w:val="00382791"/>
    <w:rsid w:val="00394B6B"/>
    <w:rsid w:val="003A3E55"/>
    <w:rsid w:val="003A4EB1"/>
    <w:rsid w:val="003A6BE6"/>
    <w:rsid w:val="003A7359"/>
    <w:rsid w:val="003B4A68"/>
    <w:rsid w:val="003B611A"/>
    <w:rsid w:val="003B6371"/>
    <w:rsid w:val="003B64F6"/>
    <w:rsid w:val="003B6B1B"/>
    <w:rsid w:val="003B7603"/>
    <w:rsid w:val="003C18BA"/>
    <w:rsid w:val="003C2548"/>
    <w:rsid w:val="003C3798"/>
    <w:rsid w:val="003D06FB"/>
    <w:rsid w:val="003D0829"/>
    <w:rsid w:val="003D6BF4"/>
    <w:rsid w:val="003E0D26"/>
    <w:rsid w:val="003E17BC"/>
    <w:rsid w:val="003E2299"/>
    <w:rsid w:val="003F798B"/>
    <w:rsid w:val="00400A9F"/>
    <w:rsid w:val="004033CD"/>
    <w:rsid w:val="00404D78"/>
    <w:rsid w:val="00406AED"/>
    <w:rsid w:val="00422FAC"/>
    <w:rsid w:val="00423B03"/>
    <w:rsid w:val="00423E39"/>
    <w:rsid w:val="00426E0C"/>
    <w:rsid w:val="00427F04"/>
    <w:rsid w:val="00431815"/>
    <w:rsid w:val="0043482A"/>
    <w:rsid w:val="00444094"/>
    <w:rsid w:val="00446681"/>
    <w:rsid w:val="004518EE"/>
    <w:rsid w:val="00460392"/>
    <w:rsid w:val="004622E6"/>
    <w:rsid w:val="00463778"/>
    <w:rsid w:val="004670F2"/>
    <w:rsid w:val="00473268"/>
    <w:rsid w:val="00480F93"/>
    <w:rsid w:val="004817E2"/>
    <w:rsid w:val="004909A9"/>
    <w:rsid w:val="0049124A"/>
    <w:rsid w:val="00491CD5"/>
    <w:rsid w:val="0049771C"/>
    <w:rsid w:val="004979FE"/>
    <w:rsid w:val="004A014C"/>
    <w:rsid w:val="004A0F7C"/>
    <w:rsid w:val="004A35AD"/>
    <w:rsid w:val="004A48A7"/>
    <w:rsid w:val="004A677D"/>
    <w:rsid w:val="004A763C"/>
    <w:rsid w:val="004B6F0E"/>
    <w:rsid w:val="004C5187"/>
    <w:rsid w:val="004C5924"/>
    <w:rsid w:val="004D74C4"/>
    <w:rsid w:val="004E0A90"/>
    <w:rsid w:val="004E181C"/>
    <w:rsid w:val="004E2109"/>
    <w:rsid w:val="004E5D18"/>
    <w:rsid w:val="004E6844"/>
    <w:rsid w:val="004E6C78"/>
    <w:rsid w:val="004F0138"/>
    <w:rsid w:val="004F374A"/>
    <w:rsid w:val="004F4247"/>
    <w:rsid w:val="004F72B7"/>
    <w:rsid w:val="00503DA8"/>
    <w:rsid w:val="0050500C"/>
    <w:rsid w:val="005068B4"/>
    <w:rsid w:val="0051060B"/>
    <w:rsid w:val="00510782"/>
    <w:rsid w:val="005160B6"/>
    <w:rsid w:val="00516174"/>
    <w:rsid w:val="005176BD"/>
    <w:rsid w:val="00521CBD"/>
    <w:rsid w:val="005225DF"/>
    <w:rsid w:val="00522FC0"/>
    <w:rsid w:val="005249D4"/>
    <w:rsid w:val="00526E63"/>
    <w:rsid w:val="00531A49"/>
    <w:rsid w:val="00533227"/>
    <w:rsid w:val="005336ED"/>
    <w:rsid w:val="00534F15"/>
    <w:rsid w:val="00536588"/>
    <w:rsid w:val="0053698C"/>
    <w:rsid w:val="00546BD4"/>
    <w:rsid w:val="00552756"/>
    <w:rsid w:val="00552DDF"/>
    <w:rsid w:val="00555C4E"/>
    <w:rsid w:val="00560943"/>
    <w:rsid w:val="0056141B"/>
    <w:rsid w:val="00561E37"/>
    <w:rsid w:val="00563236"/>
    <w:rsid w:val="0056401E"/>
    <w:rsid w:val="00564E36"/>
    <w:rsid w:val="00566627"/>
    <w:rsid w:val="00572B4D"/>
    <w:rsid w:val="00575FFE"/>
    <w:rsid w:val="00580A44"/>
    <w:rsid w:val="00581E83"/>
    <w:rsid w:val="0058221B"/>
    <w:rsid w:val="00583B55"/>
    <w:rsid w:val="0059197F"/>
    <w:rsid w:val="00591BEC"/>
    <w:rsid w:val="00592779"/>
    <w:rsid w:val="00594300"/>
    <w:rsid w:val="0059488D"/>
    <w:rsid w:val="005951C9"/>
    <w:rsid w:val="005A55FF"/>
    <w:rsid w:val="005B18D6"/>
    <w:rsid w:val="005B5435"/>
    <w:rsid w:val="005B689E"/>
    <w:rsid w:val="005C55D2"/>
    <w:rsid w:val="005C62BE"/>
    <w:rsid w:val="005D4FA2"/>
    <w:rsid w:val="005D6647"/>
    <w:rsid w:val="005E1822"/>
    <w:rsid w:val="005E469B"/>
    <w:rsid w:val="0060036C"/>
    <w:rsid w:val="00600C93"/>
    <w:rsid w:val="00600D9D"/>
    <w:rsid w:val="00602411"/>
    <w:rsid w:val="00612A82"/>
    <w:rsid w:val="00612F1A"/>
    <w:rsid w:val="00615C49"/>
    <w:rsid w:val="0062079D"/>
    <w:rsid w:val="0062181F"/>
    <w:rsid w:val="00624576"/>
    <w:rsid w:val="00624A2C"/>
    <w:rsid w:val="006311FB"/>
    <w:rsid w:val="00634EC7"/>
    <w:rsid w:val="00635BEE"/>
    <w:rsid w:val="00636D75"/>
    <w:rsid w:val="00640D50"/>
    <w:rsid w:val="00651B87"/>
    <w:rsid w:val="00651EAD"/>
    <w:rsid w:val="00663924"/>
    <w:rsid w:val="0066396B"/>
    <w:rsid w:val="006640AF"/>
    <w:rsid w:val="00666BFF"/>
    <w:rsid w:val="00667605"/>
    <w:rsid w:val="00671615"/>
    <w:rsid w:val="006732FF"/>
    <w:rsid w:val="00675A28"/>
    <w:rsid w:val="006856AF"/>
    <w:rsid w:val="00690CAB"/>
    <w:rsid w:val="00690D14"/>
    <w:rsid w:val="00691EC0"/>
    <w:rsid w:val="006935C9"/>
    <w:rsid w:val="00694A04"/>
    <w:rsid w:val="00695530"/>
    <w:rsid w:val="0069574A"/>
    <w:rsid w:val="00695844"/>
    <w:rsid w:val="00697B12"/>
    <w:rsid w:val="006A1183"/>
    <w:rsid w:val="006A6F66"/>
    <w:rsid w:val="006B2FD1"/>
    <w:rsid w:val="006B3EEE"/>
    <w:rsid w:val="006B4FDF"/>
    <w:rsid w:val="006C01F0"/>
    <w:rsid w:val="006C08C7"/>
    <w:rsid w:val="006C2682"/>
    <w:rsid w:val="006C4595"/>
    <w:rsid w:val="006C4681"/>
    <w:rsid w:val="006D1DF7"/>
    <w:rsid w:val="006D7D82"/>
    <w:rsid w:val="006E0F45"/>
    <w:rsid w:val="006E2EFA"/>
    <w:rsid w:val="006F148B"/>
    <w:rsid w:val="006F4C19"/>
    <w:rsid w:val="00700836"/>
    <w:rsid w:val="00717593"/>
    <w:rsid w:val="007276E4"/>
    <w:rsid w:val="00732347"/>
    <w:rsid w:val="007323FD"/>
    <w:rsid w:val="00733F83"/>
    <w:rsid w:val="007402D3"/>
    <w:rsid w:val="00741D66"/>
    <w:rsid w:val="00742DFC"/>
    <w:rsid w:val="00742F26"/>
    <w:rsid w:val="0074414D"/>
    <w:rsid w:val="00744776"/>
    <w:rsid w:val="00744AEC"/>
    <w:rsid w:val="007454FD"/>
    <w:rsid w:val="0075021B"/>
    <w:rsid w:val="007553F3"/>
    <w:rsid w:val="00767AC2"/>
    <w:rsid w:val="00767FB7"/>
    <w:rsid w:val="00770768"/>
    <w:rsid w:val="0077231A"/>
    <w:rsid w:val="007750D8"/>
    <w:rsid w:val="00777821"/>
    <w:rsid w:val="007838BF"/>
    <w:rsid w:val="00783C9F"/>
    <w:rsid w:val="0079443D"/>
    <w:rsid w:val="00795933"/>
    <w:rsid w:val="007A011B"/>
    <w:rsid w:val="007A0424"/>
    <w:rsid w:val="007B1709"/>
    <w:rsid w:val="007B30D4"/>
    <w:rsid w:val="007B37F9"/>
    <w:rsid w:val="007B408C"/>
    <w:rsid w:val="007B5694"/>
    <w:rsid w:val="007C14CC"/>
    <w:rsid w:val="007C2A37"/>
    <w:rsid w:val="007C5E04"/>
    <w:rsid w:val="007D13E6"/>
    <w:rsid w:val="007D53BA"/>
    <w:rsid w:val="007D573D"/>
    <w:rsid w:val="007D6EA7"/>
    <w:rsid w:val="007D70DE"/>
    <w:rsid w:val="007D72C1"/>
    <w:rsid w:val="007E0320"/>
    <w:rsid w:val="007E52CA"/>
    <w:rsid w:val="007E7B7F"/>
    <w:rsid w:val="007F5E78"/>
    <w:rsid w:val="00801869"/>
    <w:rsid w:val="00803001"/>
    <w:rsid w:val="0081500B"/>
    <w:rsid w:val="0081725A"/>
    <w:rsid w:val="008207C8"/>
    <w:rsid w:val="0082295A"/>
    <w:rsid w:val="008243F3"/>
    <w:rsid w:val="00836344"/>
    <w:rsid w:val="00836E85"/>
    <w:rsid w:val="00840A5D"/>
    <w:rsid w:val="008475FD"/>
    <w:rsid w:val="008507A1"/>
    <w:rsid w:val="008517CE"/>
    <w:rsid w:val="00852CA8"/>
    <w:rsid w:val="008563EC"/>
    <w:rsid w:val="00866006"/>
    <w:rsid w:val="008726E5"/>
    <w:rsid w:val="0087580A"/>
    <w:rsid w:val="008760F3"/>
    <w:rsid w:val="00881E02"/>
    <w:rsid w:val="008864F3"/>
    <w:rsid w:val="008929B9"/>
    <w:rsid w:val="008A43C0"/>
    <w:rsid w:val="008B29AB"/>
    <w:rsid w:val="008B64D9"/>
    <w:rsid w:val="008B7D9E"/>
    <w:rsid w:val="008C3234"/>
    <w:rsid w:val="008C603E"/>
    <w:rsid w:val="008D0D27"/>
    <w:rsid w:val="008D5FE1"/>
    <w:rsid w:val="008D7083"/>
    <w:rsid w:val="008D77C4"/>
    <w:rsid w:val="008E2516"/>
    <w:rsid w:val="008E4CE8"/>
    <w:rsid w:val="008E62E8"/>
    <w:rsid w:val="008F3670"/>
    <w:rsid w:val="008F455A"/>
    <w:rsid w:val="00901CEF"/>
    <w:rsid w:val="00903146"/>
    <w:rsid w:val="00903C5C"/>
    <w:rsid w:val="00904756"/>
    <w:rsid w:val="0090614F"/>
    <w:rsid w:val="00916859"/>
    <w:rsid w:val="0092052D"/>
    <w:rsid w:val="0092216D"/>
    <w:rsid w:val="00922DFC"/>
    <w:rsid w:val="0092795F"/>
    <w:rsid w:val="009349CA"/>
    <w:rsid w:val="00935426"/>
    <w:rsid w:val="00936BCB"/>
    <w:rsid w:val="00937E4C"/>
    <w:rsid w:val="00945776"/>
    <w:rsid w:val="009475C7"/>
    <w:rsid w:val="009531B4"/>
    <w:rsid w:val="00953D67"/>
    <w:rsid w:val="00956EF3"/>
    <w:rsid w:val="00957908"/>
    <w:rsid w:val="00961A38"/>
    <w:rsid w:val="00962A52"/>
    <w:rsid w:val="009667F3"/>
    <w:rsid w:val="009736A0"/>
    <w:rsid w:val="00975C76"/>
    <w:rsid w:val="00985038"/>
    <w:rsid w:val="009866E2"/>
    <w:rsid w:val="009868C9"/>
    <w:rsid w:val="00994523"/>
    <w:rsid w:val="009A7725"/>
    <w:rsid w:val="009B1F92"/>
    <w:rsid w:val="009B2D2B"/>
    <w:rsid w:val="009B3CDE"/>
    <w:rsid w:val="009B458C"/>
    <w:rsid w:val="009B4D09"/>
    <w:rsid w:val="009B566B"/>
    <w:rsid w:val="009B58B7"/>
    <w:rsid w:val="009B61A4"/>
    <w:rsid w:val="009B7E05"/>
    <w:rsid w:val="009C003D"/>
    <w:rsid w:val="009C748B"/>
    <w:rsid w:val="009D2DC5"/>
    <w:rsid w:val="009D4393"/>
    <w:rsid w:val="009D447F"/>
    <w:rsid w:val="009E1394"/>
    <w:rsid w:val="009E2B6F"/>
    <w:rsid w:val="009E3352"/>
    <w:rsid w:val="009E3F8E"/>
    <w:rsid w:val="009F4734"/>
    <w:rsid w:val="00A01698"/>
    <w:rsid w:val="00A0340E"/>
    <w:rsid w:val="00A035B1"/>
    <w:rsid w:val="00A070FD"/>
    <w:rsid w:val="00A10485"/>
    <w:rsid w:val="00A11418"/>
    <w:rsid w:val="00A13FA2"/>
    <w:rsid w:val="00A16A26"/>
    <w:rsid w:val="00A36E1F"/>
    <w:rsid w:val="00A41FD8"/>
    <w:rsid w:val="00A42717"/>
    <w:rsid w:val="00A43D80"/>
    <w:rsid w:val="00A44E2A"/>
    <w:rsid w:val="00A467BA"/>
    <w:rsid w:val="00A50BF7"/>
    <w:rsid w:val="00A50D87"/>
    <w:rsid w:val="00A533E4"/>
    <w:rsid w:val="00A5358C"/>
    <w:rsid w:val="00A535ED"/>
    <w:rsid w:val="00A5441E"/>
    <w:rsid w:val="00A579DD"/>
    <w:rsid w:val="00A60B75"/>
    <w:rsid w:val="00A74271"/>
    <w:rsid w:val="00A941A5"/>
    <w:rsid w:val="00AA24E6"/>
    <w:rsid w:val="00AA79F4"/>
    <w:rsid w:val="00AB681B"/>
    <w:rsid w:val="00AC0C59"/>
    <w:rsid w:val="00AC1097"/>
    <w:rsid w:val="00AC6207"/>
    <w:rsid w:val="00AC64E9"/>
    <w:rsid w:val="00AC7F15"/>
    <w:rsid w:val="00AD1672"/>
    <w:rsid w:val="00AD1D6A"/>
    <w:rsid w:val="00AD2E36"/>
    <w:rsid w:val="00AD69DD"/>
    <w:rsid w:val="00AE286B"/>
    <w:rsid w:val="00AE362D"/>
    <w:rsid w:val="00AE6D7E"/>
    <w:rsid w:val="00AF2A70"/>
    <w:rsid w:val="00AF2C53"/>
    <w:rsid w:val="00AF378C"/>
    <w:rsid w:val="00AF4B86"/>
    <w:rsid w:val="00B0336D"/>
    <w:rsid w:val="00B04764"/>
    <w:rsid w:val="00B0514A"/>
    <w:rsid w:val="00B102A4"/>
    <w:rsid w:val="00B1195A"/>
    <w:rsid w:val="00B13CE3"/>
    <w:rsid w:val="00B15EF6"/>
    <w:rsid w:val="00B1744B"/>
    <w:rsid w:val="00B20BA3"/>
    <w:rsid w:val="00B2380B"/>
    <w:rsid w:val="00B26F8A"/>
    <w:rsid w:val="00B309D3"/>
    <w:rsid w:val="00B32CFF"/>
    <w:rsid w:val="00B32D1A"/>
    <w:rsid w:val="00B414E6"/>
    <w:rsid w:val="00B43DDD"/>
    <w:rsid w:val="00B44AE2"/>
    <w:rsid w:val="00B50176"/>
    <w:rsid w:val="00B5118D"/>
    <w:rsid w:val="00B53367"/>
    <w:rsid w:val="00B53F3F"/>
    <w:rsid w:val="00B56176"/>
    <w:rsid w:val="00B56695"/>
    <w:rsid w:val="00B6261F"/>
    <w:rsid w:val="00B6303E"/>
    <w:rsid w:val="00B63CAA"/>
    <w:rsid w:val="00B813C3"/>
    <w:rsid w:val="00B83E0F"/>
    <w:rsid w:val="00B8425B"/>
    <w:rsid w:val="00B84521"/>
    <w:rsid w:val="00B85C77"/>
    <w:rsid w:val="00B87C9D"/>
    <w:rsid w:val="00B923A9"/>
    <w:rsid w:val="00B925E4"/>
    <w:rsid w:val="00B93724"/>
    <w:rsid w:val="00B94ABB"/>
    <w:rsid w:val="00B94D78"/>
    <w:rsid w:val="00B94FEE"/>
    <w:rsid w:val="00BA2AEF"/>
    <w:rsid w:val="00BA31AA"/>
    <w:rsid w:val="00BA6742"/>
    <w:rsid w:val="00BB0F5F"/>
    <w:rsid w:val="00BB2365"/>
    <w:rsid w:val="00BB6C3A"/>
    <w:rsid w:val="00BC14EA"/>
    <w:rsid w:val="00BC3825"/>
    <w:rsid w:val="00BC48B0"/>
    <w:rsid w:val="00BC6C81"/>
    <w:rsid w:val="00BC6DA3"/>
    <w:rsid w:val="00BE245D"/>
    <w:rsid w:val="00BE49A1"/>
    <w:rsid w:val="00BE53A4"/>
    <w:rsid w:val="00BE55D5"/>
    <w:rsid w:val="00BE745B"/>
    <w:rsid w:val="00BF2D29"/>
    <w:rsid w:val="00C00602"/>
    <w:rsid w:val="00C00CC6"/>
    <w:rsid w:val="00C02AAF"/>
    <w:rsid w:val="00C03347"/>
    <w:rsid w:val="00C044A3"/>
    <w:rsid w:val="00C11198"/>
    <w:rsid w:val="00C11897"/>
    <w:rsid w:val="00C2425F"/>
    <w:rsid w:val="00C25CD2"/>
    <w:rsid w:val="00C31FBB"/>
    <w:rsid w:val="00C3682F"/>
    <w:rsid w:val="00C41DB0"/>
    <w:rsid w:val="00C46755"/>
    <w:rsid w:val="00C548D8"/>
    <w:rsid w:val="00C54F1E"/>
    <w:rsid w:val="00C5516F"/>
    <w:rsid w:val="00C55B89"/>
    <w:rsid w:val="00C630D0"/>
    <w:rsid w:val="00C660FD"/>
    <w:rsid w:val="00C6726F"/>
    <w:rsid w:val="00C6739F"/>
    <w:rsid w:val="00C6779F"/>
    <w:rsid w:val="00C739C4"/>
    <w:rsid w:val="00C75859"/>
    <w:rsid w:val="00C773DF"/>
    <w:rsid w:val="00C826C6"/>
    <w:rsid w:val="00C86D40"/>
    <w:rsid w:val="00C91399"/>
    <w:rsid w:val="00C91842"/>
    <w:rsid w:val="00C96B3F"/>
    <w:rsid w:val="00CA5AD6"/>
    <w:rsid w:val="00CA706D"/>
    <w:rsid w:val="00CA7697"/>
    <w:rsid w:val="00CB0437"/>
    <w:rsid w:val="00CB5827"/>
    <w:rsid w:val="00CC0447"/>
    <w:rsid w:val="00CD3871"/>
    <w:rsid w:val="00CD6875"/>
    <w:rsid w:val="00CE1093"/>
    <w:rsid w:val="00CE592E"/>
    <w:rsid w:val="00CE641C"/>
    <w:rsid w:val="00CE6C5D"/>
    <w:rsid w:val="00CF0274"/>
    <w:rsid w:val="00CF3600"/>
    <w:rsid w:val="00CF6E5E"/>
    <w:rsid w:val="00D000CB"/>
    <w:rsid w:val="00D07C0C"/>
    <w:rsid w:val="00D11A08"/>
    <w:rsid w:val="00D14A83"/>
    <w:rsid w:val="00D15E10"/>
    <w:rsid w:val="00D22723"/>
    <w:rsid w:val="00D2309F"/>
    <w:rsid w:val="00D248CE"/>
    <w:rsid w:val="00D3035E"/>
    <w:rsid w:val="00D30F0C"/>
    <w:rsid w:val="00D3312E"/>
    <w:rsid w:val="00D335DD"/>
    <w:rsid w:val="00D353A1"/>
    <w:rsid w:val="00D372ED"/>
    <w:rsid w:val="00D42039"/>
    <w:rsid w:val="00D43962"/>
    <w:rsid w:val="00D461F1"/>
    <w:rsid w:val="00D46516"/>
    <w:rsid w:val="00D47D5D"/>
    <w:rsid w:val="00D51965"/>
    <w:rsid w:val="00D521DE"/>
    <w:rsid w:val="00D522BF"/>
    <w:rsid w:val="00D60A78"/>
    <w:rsid w:val="00D661FD"/>
    <w:rsid w:val="00D715C3"/>
    <w:rsid w:val="00D74CDB"/>
    <w:rsid w:val="00D76BF9"/>
    <w:rsid w:val="00D80AE5"/>
    <w:rsid w:val="00D8268D"/>
    <w:rsid w:val="00D85144"/>
    <w:rsid w:val="00D9141F"/>
    <w:rsid w:val="00D9309F"/>
    <w:rsid w:val="00D96529"/>
    <w:rsid w:val="00DA113F"/>
    <w:rsid w:val="00DA2645"/>
    <w:rsid w:val="00DA3855"/>
    <w:rsid w:val="00DA6C88"/>
    <w:rsid w:val="00DB1551"/>
    <w:rsid w:val="00DB1B22"/>
    <w:rsid w:val="00DB1D68"/>
    <w:rsid w:val="00DB66F6"/>
    <w:rsid w:val="00DB6E32"/>
    <w:rsid w:val="00DC0603"/>
    <w:rsid w:val="00DC49CA"/>
    <w:rsid w:val="00DC7B2A"/>
    <w:rsid w:val="00DD0B46"/>
    <w:rsid w:val="00DD4D47"/>
    <w:rsid w:val="00DD5C38"/>
    <w:rsid w:val="00DE7446"/>
    <w:rsid w:val="00DF05E7"/>
    <w:rsid w:val="00DF553B"/>
    <w:rsid w:val="00DF7758"/>
    <w:rsid w:val="00E00694"/>
    <w:rsid w:val="00E054C7"/>
    <w:rsid w:val="00E06E42"/>
    <w:rsid w:val="00E14BB0"/>
    <w:rsid w:val="00E1526F"/>
    <w:rsid w:val="00E1704D"/>
    <w:rsid w:val="00E209EE"/>
    <w:rsid w:val="00E22565"/>
    <w:rsid w:val="00E25372"/>
    <w:rsid w:val="00E26042"/>
    <w:rsid w:val="00E40449"/>
    <w:rsid w:val="00E50366"/>
    <w:rsid w:val="00E5164E"/>
    <w:rsid w:val="00E52122"/>
    <w:rsid w:val="00E536DC"/>
    <w:rsid w:val="00E563C1"/>
    <w:rsid w:val="00E64051"/>
    <w:rsid w:val="00E67225"/>
    <w:rsid w:val="00E76B2B"/>
    <w:rsid w:val="00E76F7C"/>
    <w:rsid w:val="00E83C14"/>
    <w:rsid w:val="00E843B7"/>
    <w:rsid w:val="00E8553E"/>
    <w:rsid w:val="00E90470"/>
    <w:rsid w:val="00E916C5"/>
    <w:rsid w:val="00E929B6"/>
    <w:rsid w:val="00E95F02"/>
    <w:rsid w:val="00E96236"/>
    <w:rsid w:val="00EA00B8"/>
    <w:rsid w:val="00EA194F"/>
    <w:rsid w:val="00EA3DBF"/>
    <w:rsid w:val="00EA3DF4"/>
    <w:rsid w:val="00EA4618"/>
    <w:rsid w:val="00EA4890"/>
    <w:rsid w:val="00EA5233"/>
    <w:rsid w:val="00EB158C"/>
    <w:rsid w:val="00EB15A9"/>
    <w:rsid w:val="00EB1CD8"/>
    <w:rsid w:val="00EB1EB2"/>
    <w:rsid w:val="00EB3950"/>
    <w:rsid w:val="00EB5432"/>
    <w:rsid w:val="00EC19EE"/>
    <w:rsid w:val="00EC55CA"/>
    <w:rsid w:val="00EC62AA"/>
    <w:rsid w:val="00ED669B"/>
    <w:rsid w:val="00ED6A5A"/>
    <w:rsid w:val="00ED77C8"/>
    <w:rsid w:val="00ED7BAB"/>
    <w:rsid w:val="00EE2A19"/>
    <w:rsid w:val="00EE5123"/>
    <w:rsid w:val="00EE5183"/>
    <w:rsid w:val="00EE67E5"/>
    <w:rsid w:val="00EE794D"/>
    <w:rsid w:val="00EF3B46"/>
    <w:rsid w:val="00EF7FAB"/>
    <w:rsid w:val="00F13E9E"/>
    <w:rsid w:val="00F16279"/>
    <w:rsid w:val="00F16A90"/>
    <w:rsid w:val="00F2072A"/>
    <w:rsid w:val="00F21927"/>
    <w:rsid w:val="00F24216"/>
    <w:rsid w:val="00F2455F"/>
    <w:rsid w:val="00F245EB"/>
    <w:rsid w:val="00F25ADF"/>
    <w:rsid w:val="00F32190"/>
    <w:rsid w:val="00F328D6"/>
    <w:rsid w:val="00F32F50"/>
    <w:rsid w:val="00F337BA"/>
    <w:rsid w:val="00F37C56"/>
    <w:rsid w:val="00F40F7A"/>
    <w:rsid w:val="00F41841"/>
    <w:rsid w:val="00F424C4"/>
    <w:rsid w:val="00F425DF"/>
    <w:rsid w:val="00F52A92"/>
    <w:rsid w:val="00F542C9"/>
    <w:rsid w:val="00F5504C"/>
    <w:rsid w:val="00F61181"/>
    <w:rsid w:val="00F66929"/>
    <w:rsid w:val="00F67A3D"/>
    <w:rsid w:val="00F67BF8"/>
    <w:rsid w:val="00F86020"/>
    <w:rsid w:val="00F937F4"/>
    <w:rsid w:val="00F9724B"/>
    <w:rsid w:val="00F97A78"/>
    <w:rsid w:val="00F97B58"/>
    <w:rsid w:val="00FA3C6F"/>
    <w:rsid w:val="00FA5679"/>
    <w:rsid w:val="00FA72C1"/>
    <w:rsid w:val="00FB1E09"/>
    <w:rsid w:val="00FB70EC"/>
    <w:rsid w:val="00FB712F"/>
    <w:rsid w:val="00FB7804"/>
    <w:rsid w:val="00FC3CC8"/>
    <w:rsid w:val="00FC44E2"/>
    <w:rsid w:val="00FC5A11"/>
    <w:rsid w:val="00FD1B66"/>
    <w:rsid w:val="00FE1524"/>
    <w:rsid w:val="00FF1016"/>
    <w:rsid w:val="00FF3A3F"/>
    <w:rsid w:val="00FF47B5"/>
    <w:rsid w:val="00FF49D9"/>
    <w:rsid w:val="00FF6670"/>
    <w:rsid w:val="00FF7F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9CDBCB"/>
  <w15:docId w15:val="{1646AE41-CC08-471C-A27B-5D1D9DEB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16"/>
    <w:pPr>
      <w:spacing w:before="100" w:beforeAutospacing="1" w:after="100" w:afterAutospacing="1"/>
    </w:pPr>
    <w:rPr>
      <w:rFonts w:ascii="Arial" w:hAnsi="Arial"/>
    </w:rPr>
  </w:style>
  <w:style w:type="paragraph" w:styleId="Heading1">
    <w:name w:val="heading 1"/>
    <w:basedOn w:val="Normal"/>
    <w:next w:val="Normal"/>
    <w:link w:val="Heading1Char"/>
    <w:uiPriority w:val="9"/>
    <w:qFormat/>
    <w:rsid w:val="005A55FF"/>
    <w:pPr>
      <w:keepNext/>
      <w:keepLines/>
      <w:numPr>
        <w:numId w:val="1"/>
      </w:numPr>
      <w:ind w:left="431" w:hanging="431"/>
      <w:outlineLvl w:val="0"/>
    </w:pPr>
    <w:rPr>
      <w:rFonts w:ascii="Century Gothic" w:eastAsiaTheme="majorEastAsia" w:hAnsi="Century Gothic" w:cstheme="majorBidi"/>
      <w:bCs/>
      <w:caps/>
      <w:color w:val="652D86"/>
      <w:sz w:val="32"/>
      <w:szCs w:val="28"/>
    </w:rPr>
  </w:style>
  <w:style w:type="paragraph" w:styleId="Heading2">
    <w:name w:val="heading 2"/>
    <w:basedOn w:val="Normal"/>
    <w:next w:val="Normal"/>
    <w:link w:val="Heading2Char"/>
    <w:uiPriority w:val="9"/>
    <w:unhideWhenUsed/>
    <w:qFormat/>
    <w:rsid w:val="005A55FF"/>
    <w:pPr>
      <w:keepNext/>
      <w:keepLines/>
      <w:numPr>
        <w:ilvl w:val="1"/>
        <w:numId w:val="1"/>
      </w:numPr>
      <w:spacing w:line="240" w:lineRule="auto"/>
      <w:outlineLvl w:val="1"/>
    </w:pPr>
    <w:rPr>
      <w:rFonts w:ascii="Century Gothic" w:eastAsiaTheme="majorEastAsia" w:hAnsi="Century Gothic" w:cstheme="majorBidi"/>
      <w:b/>
      <w:bCs/>
      <w:color w:val="652D86"/>
      <w:sz w:val="28"/>
      <w:szCs w:val="26"/>
    </w:rPr>
  </w:style>
  <w:style w:type="paragraph" w:styleId="Heading3">
    <w:name w:val="heading 3"/>
    <w:basedOn w:val="Normal"/>
    <w:next w:val="Normal"/>
    <w:link w:val="Heading3Char"/>
    <w:uiPriority w:val="9"/>
    <w:unhideWhenUsed/>
    <w:qFormat/>
    <w:rsid w:val="005A55FF"/>
    <w:pPr>
      <w:keepNext/>
      <w:keepLines/>
      <w:numPr>
        <w:ilvl w:val="2"/>
        <w:numId w:val="1"/>
      </w:numPr>
      <w:ind w:left="720"/>
      <w:outlineLvl w:val="2"/>
    </w:pPr>
    <w:rPr>
      <w:rFonts w:ascii="Century Gothic" w:eastAsiaTheme="majorEastAsia" w:hAnsi="Century Gothic" w:cstheme="majorBidi"/>
      <w:bCs/>
      <w:sz w:val="24"/>
    </w:rPr>
  </w:style>
  <w:style w:type="paragraph" w:styleId="Heading4">
    <w:name w:val="heading 4"/>
    <w:basedOn w:val="Normal"/>
    <w:next w:val="Normal"/>
    <w:link w:val="Heading4Char"/>
    <w:uiPriority w:val="99"/>
    <w:unhideWhenUsed/>
    <w:qFormat/>
    <w:rsid w:val="001C11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1C11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1C11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1C11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1C11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1C11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B6B1B"/>
    <w:pPr>
      <w:spacing w:before="3800" w:beforeAutospacing="0" w:after="480" w:afterAutospacing="0" w:line="240" w:lineRule="auto"/>
      <w:contextualSpacing/>
    </w:pPr>
    <w:rPr>
      <w:rFonts w:ascii="Century Gothic" w:eastAsiaTheme="majorEastAsia" w:hAnsi="Century Gothic" w:cstheme="majorBidi"/>
      <w:color w:val="652D86"/>
      <w:spacing w:val="5"/>
      <w:kern w:val="28"/>
      <w:sz w:val="56"/>
      <w:szCs w:val="52"/>
    </w:rPr>
  </w:style>
  <w:style w:type="character" w:customStyle="1" w:styleId="TitleChar">
    <w:name w:val="Title Char"/>
    <w:basedOn w:val="DefaultParagraphFont"/>
    <w:link w:val="Title"/>
    <w:uiPriority w:val="99"/>
    <w:rsid w:val="003B6B1B"/>
    <w:rPr>
      <w:rFonts w:ascii="Century Gothic" w:eastAsiaTheme="majorEastAsia" w:hAnsi="Century Gothic" w:cstheme="majorBidi"/>
      <w:color w:val="652D86"/>
      <w:spacing w:val="5"/>
      <w:kern w:val="28"/>
      <w:sz w:val="56"/>
      <w:szCs w:val="52"/>
    </w:rPr>
  </w:style>
  <w:style w:type="character" w:customStyle="1" w:styleId="Heading1Char">
    <w:name w:val="Heading 1 Char"/>
    <w:basedOn w:val="DefaultParagraphFont"/>
    <w:link w:val="Heading1"/>
    <w:uiPriority w:val="9"/>
    <w:rsid w:val="005A55FF"/>
    <w:rPr>
      <w:rFonts w:ascii="Century Gothic" w:eastAsiaTheme="majorEastAsia" w:hAnsi="Century Gothic" w:cstheme="majorBidi"/>
      <w:bCs/>
      <w:caps/>
      <w:color w:val="652D86"/>
      <w:sz w:val="32"/>
      <w:szCs w:val="28"/>
    </w:rPr>
  </w:style>
  <w:style w:type="character" w:customStyle="1" w:styleId="Heading2Char">
    <w:name w:val="Heading 2 Char"/>
    <w:basedOn w:val="DefaultParagraphFont"/>
    <w:link w:val="Heading2"/>
    <w:uiPriority w:val="9"/>
    <w:rsid w:val="005A55FF"/>
    <w:rPr>
      <w:rFonts w:ascii="Century Gothic" w:eastAsiaTheme="majorEastAsia" w:hAnsi="Century Gothic" w:cstheme="majorBidi"/>
      <w:b/>
      <w:bCs/>
      <w:color w:val="652D86"/>
      <w:sz w:val="28"/>
      <w:szCs w:val="26"/>
    </w:rPr>
  </w:style>
  <w:style w:type="character" w:customStyle="1" w:styleId="Heading3Char">
    <w:name w:val="Heading 3 Char"/>
    <w:basedOn w:val="DefaultParagraphFont"/>
    <w:link w:val="Heading3"/>
    <w:uiPriority w:val="9"/>
    <w:rsid w:val="005A55FF"/>
    <w:rPr>
      <w:rFonts w:ascii="Century Gothic" w:eastAsiaTheme="majorEastAsia" w:hAnsi="Century Gothic" w:cstheme="majorBidi"/>
      <w:bCs/>
      <w:sz w:val="24"/>
    </w:rPr>
  </w:style>
  <w:style w:type="character" w:customStyle="1" w:styleId="Heading4Char">
    <w:name w:val="Heading 4 Char"/>
    <w:basedOn w:val="DefaultParagraphFont"/>
    <w:link w:val="Heading4"/>
    <w:uiPriority w:val="99"/>
    <w:rsid w:val="001C11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1C11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1C11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1C11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1C11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1C11D0"/>
    <w:rPr>
      <w:rFonts w:asciiTheme="majorHAnsi" w:eastAsiaTheme="majorEastAsia" w:hAnsiTheme="majorHAnsi" w:cstheme="majorBidi"/>
      <w:i/>
      <w:iCs/>
      <w:color w:val="404040" w:themeColor="text1" w:themeTint="BF"/>
      <w:sz w:val="20"/>
      <w:szCs w:val="20"/>
    </w:rPr>
  </w:style>
  <w:style w:type="paragraph" w:customStyle="1" w:styleId="Default">
    <w:name w:val="Default"/>
    <w:uiPriority w:val="99"/>
    <w:rsid w:val="00BC48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B0"/>
  </w:style>
  <w:style w:type="paragraph" w:styleId="Footer">
    <w:name w:val="footer"/>
    <w:basedOn w:val="Normal"/>
    <w:link w:val="FooterChar"/>
    <w:uiPriority w:val="99"/>
    <w:unhideWhenUsed/>
    <w:rsid w:val="00BC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B0"/>
  </w:style>
  <w:style w:type="paragraph" w:styleId="BalloonText">
    <w:name w:val="Balloon Text"/>
    <w:basedOn w:val="Normal"/>
    <w:link w:val="BalloonTextChar"/>
    <w:uiPriority w:val="99"/>
    <w:unhideWhenUsed/>
    <w:rsid w:val="0024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3F39"/>
    <w:rPr>
      <w:rFonts w:ascii="Tahoma" w:hAnsi="Tahoma" w:cs="Tahoma"/>
      <w:sz w:val="16"/>
      <w:szCs w:val="16"/>
    </w:rPr>
  </w:style>
  <w:style w:type="paragraph" w:customStyle="1" w:styleId="Questionbox">
    <w:name w:val="Question box"/>
    <w:basedOn w:val="Normal"/>
    <w:uiPriority w:val="99"/>
    <w:qFormat/>
    <w:rsid w:val="001F7198"/>
    <w:pPr>
      <w:shd w:val="clear" w:color="auto" w:fill="CCC0D9" w:themeFill="accent4" w:themeFillTint="66"/>
      <w:spacing w:before="80" w:after="80"/>
    </w:pPr>
  </w:style>
  <w:style w:type="paragraph" w:customStyle="1" w:styleId="Char">
    <w:name w:val="Char"/>
    <w:basedOn w:val="Normal"/>
    <w:uiPriority w:val="99"/>
    <w:rsid w:val="00FB1E09"/>
    <w:pPr>
      <w:spacing w:after="160"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8475FD"/>
    <w:pPr>
      <w:spacing w:after="0" w:line="240" w:lineRule="auto"/>
      <w:ind w:left="720"/>
      <w:contextualSpacing/>
    </w:pPr>
    <w:rPr>
      <w:rFonts w:ascii="Times New Roman" w:eastAsia="Times New Roman" w:hAnsi="Times New Roman" w:cs="Times New Roman"/>
      <w:sz w:val="24"/>
      <w:szCs w:val="24"/>
      <w:lang w:eastAsia="en-AU"/>
    </w:rPr>
  </w:style>
  <w:style w:type="paragraph" w:styleId="Caption">
    <w:name w:val="caption"/>
    <w:basedOn w:val="Normal"/>
    <w:next w:val="Normal"/>
    <w:link w:val="CaptionChar"/>
    <w:uiPriority w:val="99"/>
    <w:qFormat/>
    <w:rsid w:val="00803001"/>
    <w:pPr>
      <w:spacing w:before="160" w:after="80" w:line="240" w:lineRule="auto"/>
    </w:pPr>
    <w:rPr>
      <w:rFonts w:eastAsia="Times New Roman" w:cs="Times New Roman"/>
      <w:b/>
      <w:bCs/>
      <w:szCs w:val="20"/>
      <w:lang w:eastAsia="en-AU"/>
    </w:rPr>
  </w:style>
  <w:style w:type="character" w:customStyle="1" w:styleId="CaptionChar">
    <w:name w:val="Caption Char"/>
    <w:basedOn w:val="DefaultParagraphFont"/>
    <w:link w:val="Caption"/>
    <w:uiPriority w:val="99"/>
    <w:rsid w:val="00803001"/>
    <w:rPr>
      <w:rFonts w:eastAsia="Times New Roman" w:cs="Times New Roman"/>
      <w:b/>
      <w:bCs/>
      <w:szCs w:val="20"/>
      <w:lang w:eastAsia="en-AU"/>
    </w:rPr>
  </w:style>
  <w:style w:type="character" w:styleId="CommentReference">
    <w:name w:val="annotation reference"/>
    <w:basedOn w:val="DefaultParagraphFont"/>
    <w:uiPriority w:val="99"/>
    <w:unhideWhenUsed/>
    <w:rsid w:val="000E5752"/>
    <w:rPr>
      <w:sz w:val="16"/>
      <w:szCs w:val="16"/>
    </w:rPr>
  </w:style>
  <w:style w:type="paragraph" w:styleId="CommentText">
    <w:name w:val="annotation text"/>
    <w:basedOn w:val="Normal"/>
    <w:link w:val="CommentTextChar"/>
    <w:uiPriority w:val="99"/>
    <w:unhideWhenUsed/>
    <w:rsid w:val="000E5752"/>
    <w:pPr>
      <w:spacing w:line="240" w:lineRule="auto"/>
    </w:pPr>
    <w:rPr>
      <w:sz w:val="20"/>
      <w:szCs w:val="20"/>
    </w:rPr>
  </w:style>
  <w:style w:type="character" w:customStyle="1" w:styleId="CommentTextChar">
    <w:name w:val="Comment Text Char"/>
    <w:basedOn w:val="DefaultParagraphFont"/>
    <w:link w:val="CommentText"/>
    <w:uiPriority w:val="99"/>
    <w:rsid w:val="000E5752"/>
    <w:rPr>
      <w:sz w:val="20"/>
      <w:szCs w:val="20"/>
    </w:rPr>
  </w:style>
  <w:style w:type="paragraph" w:styleId="CommentSubject">
    <w:name w:val="annotation subject"/>
    <w:basedOn w:val="CommentText"/>
    <w:next w:val="CommentText"/>
    <w:link w:val="CommentSubjectChar"/>
    <w:uiPriority w:val="99"/>
    <w:unhideWhenUsed/>
    <w:rsid w:val="000E5752"/>
    <w:rPr>
      <w:b/>
      <w:bCs/>
    </w:rPr>
  </w:style>
  <w:style w:type="character" w:customStyle="1" w:styleId="CommentSubjectChar">
    <w:name w:val="Comment Subject Char"/>
    <w:basedOn w:val="CommentTextChar"/>
    <w:link w:val="CommentSubject"/>
    <w:uiPriority w:val="99"/>
    <w:rsid w:val="000E5752"/>
    <w:rPr>
      <w:b/>
      <w:bCs/>
      <w:sz w:val="20"/>
      <w:szCs w:val="20"/>
    </w:rPr>
  </w:style>
  <w:style w:type="paragraph" w:styleId="BodyText">
    <w:name w:val="Body Text"/>
    <w:basedOn w:val="Normal"/>
    <w:link w:val="BodyTextChar"/>
    <w:uiPriority w:val="99"/>
    <w:rsid w:val="00404D78"/>
    <w:rPr>
      <w:rFonts w:ascii="Calibri" w:eastAsiaTheme="minorEastAsia" w:hAnsi="Calibri" w:cs="Calibri"/>
      <w:b/>
      <w:bCs/>
      <w:i/>
      <w:iCs/>
    </w:rPr>
  </w:style>
  <w:style w:type="character" w:customStyle="1" w:styleId="BodyTextChar">
    <w:name w:val="Body Text Char"/>
    <w:basedOn w:val="DefaultParagraphFont"/>
    <w:link w:val="BodyText"/>
    <w:uiPriority w:val="99"/>
    <w:rsid w:val="00404D78"/>
    <w:rPr>
      <w:rFonts w:ascii="Calibri" w:eastAsiaTheme="minorEastAsia" w:hAnsi="Calibri" w:cs="Calibri"/>
      <w:b/>
      <w:bCs/>
      <w:i/>
      <w:iCs/>
    </w:rPr>
  </w:style>
  <w:style w:type="paragraph" w:styleId="BodyText2">
    <w:name w:val="Body Text 2"/>
    <w:basedOn w:val="Normal"/>
    <w:link w:val="BodyText2Char"/>
    <w:uiPriority w:val="99"/>
    <w:unhideWhenUsed/>
    <w:rsid w:val="00404D78"/>
    <w:pPr>
      <w:spacing w:after="120" w:line="480" w:lineRule="auto"/>
    </w:pPr>
  </w:style>
  <w:style w:type="character" w:customStyle="1" w:styleId="BodyText2Char">
    <w:name w:val="Body Text 2 Char"/>
    <w:basedOn w:val="DefaultParagraphFont"/>
    <w:link w:val="BodyText2"/>
    <w:uiPriority w:val="99"/>
    <w:rsid w:val="00404D78"/>
  </w:style>
  <w:style w:type="paragraph" w:styleId="BodyText3">
    <w:name w:val="Body Text 3"/>
    <w:basedOn w:val="Normal"/>
    <w:link w:val="BodyText3Char"/>
    <w:uiPriority w:val="99"/>
    <w:unhideWhenUsed/>
    <w:rsid w:val="00404D78"/>
    <w:pPr>
      <w:spacing w:after="120"/>
    </w:pPr>
    <w:rPr>
      <w:sz w:val="16"/>
      <w:szCs w:val="16"/>
    </w:rPr>
  </w:style>
  <w:style w:type="character" w:customStyle="1" w:styleId="BodyText3Char">
    <w:name w:val="Body Text 3 Char"/>
    <w:basedOn w:val="DefaultParagraphFont"/>
    <w:link w:val="BodyText3"/>
    <w:uiPriority w:val="99"/>
    <w:semiHidden/>
    <w:rsid w:val="00404D78"/>
    <w:rPr>
      <w:sz w:val="16"/>
      <w:szCs w:val="16"/>
    </w:rPr>
  </w:style>
  <w:style w:type="paragraph" w:customStyle="1" w:styleId="smalllink">
    <w:name w:val="smalllink"/>
    <w:basedOn w:val="Normal"/>
    <w:uiPriority w:val="99"/>
    <w:rsid w:val="00404D78"/>
    <w:pPr>
      <w:spacing w:line="240" w:lineRule="auto"/>
    </w:pPr>
    <w:rPr>
      <w:rFonts w:ascii="Calibri" w:eastAsiaTheme="minorEastAsia" w:hAnsi="Calibri"/>
      <w:sz w:val="24"/>
      <w:szCs w:val="24"/>
      <w:lang w:eastAsia="en-AU"/>
    </w:rPr>
  </w:style>
  <w:style w:type="character" w:styleId="Hyperlink">
    <w:name w:val="Hyperlink"/>
    <w:basedOn w:val="DefaultParagraphFont"/>
    <w:uiPriority w:val="99"/>
    <w:rsid w:val="00A035B1"/>
    <w:rPr>
      <w:rFonts w:ascii="Calibri" w:hAnsi="Calibri" w:cs="Times New Roman"/>
      <w:color w:val="0000FF"/>
      <w:sz w:val="22"/>
      <w:u w:val="single"/>
    </w:rPr>
  </w:style>
  <w:style w:type="character" w:customStyle="1" w:styleId="correspondence-addressover">
    <w:name w:val="correspondence-address_over"/>
    <w:basedOn w:val="DefaultParagraphFont"/>
    <w:uiPriority w:val="99"/>
    <w:rsid w:val="00404D78"/>
    <w:rPr>
      <w:rFonts w:ascii="Times New Roman" w:hAnsi="Times New Roman" w:cs="Times New Roman"/>
    </w:rPr>
  </w:style>
  <w:style w:type="table" w:styleId="TableGrid">
    <w:name w:val="Table Grid"/>
    <w:basedOn w:val="TableNormal"/>
    <w:uiPriority w:val="39"/>
    <w:rsid w:val="00D227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207C8"/>
    <w:pPr>
      <w:spacing w:line="240" w:lineRule="auto"/>
    </w:pPr>
    <w:rPr>
      <w:rFonts w:ascii="Times" w:eastAsiaTheme="minorEastAsia" w:hAnsi="Times" w:cs="Times New Roman"/>
      <w:sz w:val="20"/>
      <w:szCs w:val="20"/>
    </w:rPr>
  </w:style>
  <w:style w:type="paragraph" w:styleId="TOCHeading">
    <w:name w:val="TOC Heading"/>
    <w:basedOn w:val="Heading1"/>
    <w:next w:val="Normal"/>
    <w:uiPriority w:val="39"/>
    <w:unhideWhenUsed/>
    <w:qFormat/>
    <w:rsid w:val="00A0340E"/>
    <w:pPr>
      <w:numPr>
        <w:numId w:val="0"/>
      </w:numPr>
      <w:spacing w:before="120" w:line="240" w:lineRule="auto"/>
      <w:outlineLvl w:val="9"/>
    </w:pPr>
    <w:rPr>
      <w:color w:val="auto"/>
      <w:lang w:val="en-US" w:eastAsia="ja-JP"/>
    </w:rPr>
  </w:style>
  <w:style w:type="paragraph" w:styleId="TOC1">
    <w:name w:val="toc 1"/>
    <w:basedOn w:val="Normal"/>
    <w:next w:val="Normal"/>
    <w:autoRedefine/>
    <w:uiPriority w:val="39"/>
    <w:unhideWhenUsed/>
    <w:rsid w:val="00A035B1"/>
    <w:pPr>
      <w:tabs>
        <w:tab w:val="left" w:pos="440"/>
        <w:tab w:val="right" w:leader="dot" w:pos="9016"/>
      </w:tabs>
      <w:spacing w:after="40" w:line="240" w:lineRule="auto"/>
      <w:ind w:left="510" w:hanging="510"/>
    </w:pPr>
    <w:rPr>
      <w:b/>
      <w:noProof/>
    </w:rPr>
  </w:style>
  <w:style w:type="paragraph" w:styleId="TOC3">
    <w:name w:val="toc 3"/>
    <w:basedOn w:val="Normal"/>
    <w:next w:val="Normal"/>
    <w:autoRedefine/>
    <w:uiPriority w:val="39"/>
    <w:unhideWhenUsed/>
    <w:rsid w:val="00A0340E"/>
    <w:pPr>
      <w:tabs>
        <w:tab w:val="left" w:pos="1320"/>
        <w:tab w:val="right" w:leader="dot" w:pos="9015"/>
      </w:tabs>
      <w:spacing w:before="60" w:beforeAutospacing="0" w:after="60" w:afterAutospacing="0" w:line="240" w:lineRule="auto"/>
      <w:ind w:left="442"/>
    </w:pPr>
  </w:style>
  <w:style w:type="paragraph" w:styleId="TOC2">
    <w:name w:val="toc 2"/>
    <w:basedOn w:val="Normal"/>
    <w:next w:val="Normal"/>
    <w:autoRedefine/>
    <w:uiPriority w:val="39"/>
    <w:unhideWhenUsed/>
    <w:rsid w:val="00FF3A3F"/>
    <w:pPr>
      <w:spacing w:after="40" w:line="240" w:lineRule="auto"/>
      <w:ind w:left="221"/>
    </w:pPr>
  </w:style>
  <w:style w:type="paragraph" w:styleId="Subtitle">
    <w:name w:val="Subtitle"/>
    <w:basedOn w:val="Normal"/>
    <w:next w:val="Normal"/>
    <w:link w:val="SubtitleChar"/>
    <w:uiPriority w:val="11"/>
    <w:qFormat/>
    <w:rsid w:val="00602411"/>
    <w:pPr>
      <w:numPr>
        <w:ilvl w:val="1"/>
      </w:numPr>
      <w:spacing w:before="6000" w:beforeAutospacing="0"/>
    </w:pPr>
    <w:rPr>
      <w:rFonts w:ascii="Century Gothic" w:eastAsiaTheme="minorEastAsia" w:hAnsi="Century Gothic"/>
      <w:color w:val="5A5A5A" w:themeColor="text1" w:themeTint="A5"/>
      <w:spacing w:val="15"/>
      <w:sz w:val="40"/>
    </w:rPr>
  </w:style>
  <w:style w:type="character" w:customStyle="1" w:styleId="SubtitleChar">
    <w:name w:val="Subtitle Char"/>
    <w:basedOn w:val="DefaultParagraphFont"/>
    <w:link w:val="Subtitle"/>
    <w:uiPriority w:val="11"/>
    <w:rsid w:val="00602411"/>
    <w:rPr>
      <w:rFonts w:ascii="Century Gothic" w:eastAsiaTheme="minorEastAsia" w:hAnsi="Century Gothic"/>
      <w:color w:val="5A5A5A" w:themeColor="text1" w:themeTint="A5"/>
      <w:spacing w:val="15"/>
      <w:sz w:val="40"/>
    </w:rPr>
  </w:style>
  <w:style w:type="numbering" w:customStyle="1" w:styleId="Style1">
    <w:name w:val="Style1"/>
    <w:uiPriority w:val="99"/>
    <w:rsid w:val="00154FDA"/>
    <w:pPr>
      <w:numPr>
        <w:numId w:val="15"/>
      </w:numPr>
    </w:pPr>
  </w:style>
  <w:style w:type="numbering" w:customStyle="1" w:styleId="Style2">
    <w:name w:val="Style2"/>
    <w:uiPriority w:val="99"/>
    <w:rsid w:val="00FA5679"/>
    <w:pPr>
      <w:numPr>
        <w:numId w:val="16"/>
      </w:numPr>
    </w:pPr>
  </w:style>
  <w:style w:type="numbering" w:customStyle="1" w:styleId="NoList1">
    <w:name w:val="No List1"/>
    <w:next w:val="NoList"/>
    <w:uiPriority w:val="99"/>
    <w:semiHidden/>
    <w:unhideWhenUsed/>
    <w:rsid w:val="00084B2B"/>
  </w:style>
  <w:style w:type="table" w:customStyle="1" w:styleId="TableGrid1">
    <w:name w:val="Table Grid1"/>
    <w:basedOn w:val="TableNormal"/>
    <w:next w:val="TableGrid"/>
    <w:uiPriority w:val="39"/>
    <w:rsid w:val="00084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84B2B"/>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84B2B"/>
    <w:pPr>
      <w:spacing w:after="0" w:line="240" w:lineRule="auto"/>
    </w:pPr>
    <w:rPr>
      <w:rFonts w:cs="Times New Roman"/>
      <w:b/>
      <w:szCs w:val="24"/>
    </w:rPr>
  </w:style>
  <w:style w:type="character" w:customStyle="1" w:styleId="TableHeadingChar">
    <w:name w:val="Table Heading Char"/>
    <w:basedOn w:val="DefaultParagraphFont"/>
    <w:link w:val="TableHeading"/>
    <w:rsid w:val="00084B2B"/>
    <w:rPr>
      <w:rFonts w:cs="Times New Roman"/>
      <w:b/>
      <w:szCs w:val="24"/>
    </w:rPr>
  </w:style>
  <w:style w:type="table" w:customStyle="1" w:styleId="TableGrid2">
    <w:name w:val="Table Grid2"/>
    <w:basedOn w:val="TableNormal"/>
    <w:next w:val="TableGrid"/>
    <w:uiPriority w:val="39"/>
    <w:rsid w:val="005B68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52122"/>
    <w:rPr>
      <w:color w:val="800080" w:themeColor="followedHyperlink"/>
      <w:u w:val="single"/>
    </w:rPr>
  </w:style>
  <w:style w:type="character" w:styleId="SubtleReference">
    <w:name w:val="Subtle Reference"/>
    <w:basedOn w:val="DefaultParagraphFont"/>
    <w:uiPriority w:val="31"/>
    <w:qFormat/>
    <w:rsid w:val="00D80AE5"/>
    <w:rPr>
      <w:smallCaps/>
      <w:color w:val="5A5A5A" w:themeColor="text1" w:themeTint="A5"/>
    </w:rPr>
  </w:style>
  <w:style w:type="character" w:styleId="IntenseReference">
    <w:name w:val="Intense Reference"/>
    <w:basedOn w:val="DefaultParagraphFont"/>
    <w:uiPriority w:val="32"/>
    <w:qFormat/>
    <w:rsid w:val="00D80AE5"/>
    <w:rPr>
      <w:b/>
      <w:bCs/>
      <w:smallCaps/>
      <w:color w:val="4F81BD" w:themeColor="accent1"/>
      <w:spacing w:val="5"/>
    </w:rPr>
  </w:style>
  <w:style w:type="table" w:customStyle="1" w:styleId="TableGrid81">
    <w:name w:val="Table Grid81"/>
    <w:basedOn w:val="TableNormal"/>
    <w:next w:val="TableGrid"/>
    <w:uiPriority w:val="59"/>
    <w:rsid w:val="00B8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24">
      <w:bodyDiv w:val="1"/>
      <w:marLeft w:val="0"/>
      <w:marRight w:val="0"/>
      <w:marTop w:val="0"/>
      <w:marBottom w:val="0"/>
      <w:divBdr>
        <w:top w:val="none" w:sz="0" w:space="0" w:color="auto"/>
        <w:left w:val="none" w:sz="0" w:space="0" w:color="auto"/>
        <w:bottom w:val="none" w:sz="0" w:space="0" w:color="auto"/>
        <w:right w:val="none" w:sz="0" w:space="0" w:color="auto"/>
      </w:divBdr>
    </w:div>
    <w:div w:id="65616254">
      <w:bodyDiv w:val="1"/>
      <w:marLeft w:val="0"/>
      <w:marRight w:val="0"/>
      <w:marTop w:val="0"/>
      <w:marBottom w:val="0"/>
      <w:divBdr>
        <w:top w:val="none" w:sz="0" w:space="0" w:color="auto"/>
        <w:left w:val="none" w:sz="0" w:space="0" w:color="auto"/>
        <w:bottom w:val="none" w:sz="0" w:space="0" w:color="auto"/>
        <w:right w:val="none" w:sz="0" w:space="0" w:color="auto"/>
      </w:divBdr>
    </w:div>
    <w:div w:id="84152105">
      <w:bodyDiv w:val="1"/>
      <w:marLeft w:val="0"/>
      <w:marRight w:val="0"/>
      <w:marTop w:val="0"/>
      <w:marBottom w:val="0"/>
      <w:divBdr>
        <w:top w:val="none" w:sz="0" w:space="0" w:color="auto"/>
        <w:left w:val="none" w:sz="0" w:space="0" w:color="auto"/>
        <w:bottom w:val="none" w:sz="0" w:space="0" w:color="auto"/>
        <w:right w:val="none" w:sz="0" w:space="0" w:color="auto"/>
      </w:divBdr>
    </w:div>
    <w:div w:id="111482881">
      <w:bodyDiv w:val="1"/>
      <w:marLeft w:val="0"/>
      <w:marRight w:val="0"/>
      <w:marTop w:val="0"/>
      <w:marBottom w:val="0"/>
      <w:divBdr>
        <w:top w:val="none" w:sz="0" w:space="0" w:color="auto"/>
        <w:left w:val="none" w:sz="0" w:space="0" w:color="auto"/>
        <w:bottom w:val="none" w:sz="0" w:space="0" w:color="auto"/>
        <w:right w:val="none" w:sz="0" w:space="0" w:color="auto"/>
      </w:divBdr>
    </w:div>
    <w:div w:id="118884060">
      <w:bodyDiv w:val="1"/>
      <w:marLeft w:val="0"/>
      <w:marRight w:val="0"/>
      <w:marTop w:val="0"/>
      <w:marBottom w:val="0"/>
      <w:divBdr>
        <w:top w:val="none" w:sz="0" w:space="0" w:color="auto"/>
        <w:left w:val="none" w:sz="0" w:space="0" w:color="auto"/>
        <w:bottom w:val="none" w:sz="0" w:space="0" w:color="auto"/>
        <w:right w:val="none" w:sz="0" w:space="0" w:color="auto"/>
      </w:divBdr>
    </w:div>
    <w:div w:id="154103752">
      <w:bodyDiv w:val="1"/>
      <w:marLeft w:val="0"/>
      <w:marRight w:val="0"/>
      <w:marTop w:val="0"/>
      <w:marBottom w:val="0"/>
      <w:divBdr>
        <w:top w:val="none" w:sz="0" w:space="0" w:color="auto"/>
        <w:left w:val="none" w:sz="0" w:space="0" w:color="auto"/>
        <w:bottom w:val="none" w:sz="0" w:space="0" w:color="auto"/>
        <w:right w:val="none" w:sz="0" w:space="0" w:color="auto"/>
      </w:divBdr>
    </w:div>
    <w:div w:id="189033125">
      <w:bodyDiv w:val="1"/>
      <w:marLeft w:val="0"/>
      <w:marRight w:val="0"/>
      <w:marTop w:val="0"/>
      <w:marBottom w:val="0"/>
      <w:divBdr>
        <w:top w:val="none" w:sz="0" w:space="0" w:color="auto"/>
        <w:left w:val="none" w:sz="0" w:space="0" w:color="auto"/>
        <w:bottom w:val="none" w:sz="0" w:space="0" w:color="auto"/>
        <w:right w:val="none" w:sz="0" w:space="0" w:color="auto"/>
      </w:divBdr>
    </w:div>
    <w:div w:id="323171863">
      <w:bodyDiv w:val="1"/>
      <w:marLeft w:val="0"/>
      <w:marRight w:val="0"/>
      <w:marTop w:val="0"/>
      <w:marBottom w:val="0"/>
      <w:divBdr>
        <w:top w:val="none" w:sz="0" w:space="0" w:color="auto"/>
        <w:left w:val="none" w:sz="0" w:space="0" w:color="auto"/>
        <w:bottom w:val="none" w:sz="0" w:space="0" w:color="auto"/>
        <w:right w:val="none" w:sz="0" w:space="0" w:color="auto"/>
      </w:divBdr>
    </w:div>
    <w:div w:id="339892427">
      <w:bodyDiv w:val="1"/>
      <w:marLeft w:val="0"/>
      <w:marRight w:val="0"/>
      <w:marTop w:val="0"/>
      <w:marBottom w:val="0"/>
      <w:divBdr>
        <w:top w:val="none" w:sz="0" w:space="0" w:color="auto"/>
        <w:left w:val="none" w:sz="0" w:space="0" w:color="auto"/>
        <w:bottom w:val="none" w:sz="0" w:space="0" w:color="auto"/>
        <w:right w:val="none" w:sz="0" w:space="0" w:color="auto"/>
      </w:divBdr>
    </w:div>
    <w:div w:id="383257315">
      <w:bodyDiv w:val="1"/>
      <w:marLeft w:val="0"/>
      <w:marRight w:val="0"/>
      <w:marTop w:val="0"/>
      <w:marBottom w:val="0"/>
      <w:divBdr>
        <w:top w:val="none" w:sz="0" w:space="0" w:color="auto"/>
        <w:left w:val="none" w:sz="0" w:space="0" w:color="auto"/>
        <w:bottom w:val="none" w:sz="0" w:space="0" w:color="auto"/>
        <w:right w:val="none" w:sz="0" w:space="0" w:color="auto"/>
      </w:divBdr>
    </w:div>
    <w:div w:id="429861539">
      <w:bodyDiv w:val="1"/>
      <w:marLeft w:val="0"/>
      <w:marRight w:val="0"/>
      <w:marTop w:val="0"/>
      <w:marBottom w:val="0"/>
      <w:divBdr>
        <w:top w:val="none" w:sz="0" w:space="0" w:color="auto"/>
        <w:left w:val="none" w:sz="0" w:space="0" w:color="auto"/>
        <w:bottom w:val="none" w:sz="0" w:space="0" w:color="auto"/>
        <w:right w:val="none" w:sz="0" w:space="0" w:color="auto"/>
      </w:divBdr>
    </w:div>
    <w:div w:id="454064090">
      <w:bodyDiv w:val="1"/>
      <w:marLeft w:val="0"/>
      <w:marRight w:val="0"/>
      <w:marTop w:val="0"/>
      <w:marBottom w:val="0"/>
      <w:divBdr>
        <w:top w:val="none" w:sz="0" w:space="0" w:color="auto"/>
        <w:left w:val="none" w:sz="0" w:space="0" w:color="auto"/>
        <w:bottom w:val="none" w:sz="0" w:space="0" w:color="auto"/>
        <w:right w:val="none" w:sz="0" w:space="0" w:color="auto"/>
      </w:divBdr>
    </w:div>
    <w:div w:id="496045373">
      <w:bodyDiv w:val="1"/>
      <w:marLeft w:val="0"/>
      <w:marRight w:val="0"/>
      <w:marTop w:val="0"/>
      <w:marBottom w:val="0"/>
      <w:divBdr>
        <w:top w:val="none" w:sz="0" w:space="0" w:color="auto"/>
        <w:left w:val="none" w:sz="0" w:space="0" w:color="auto"/>
        <w:bottom w:val="none" w:sz="0" w:space="0" w:color="auto"/>
        <w:right w:val="none" w:sz="0" w:space="0" w:color="auto"/>
      </w:divBdr>
    </w:div>
    <w:div w:id="556629918">
      <w:bodyDiv w:val="1"/>
      <w:marLeft w:val="0"/>
      <w:marRight w:val="0"/>
      <w:marTop w:val="0"/>
      <w:marBottom w:val="0"/>
      <w:divBdr>
        <w:top w:val="none" w:sz="0" w:space="0" w:color="auto"/>
        <w:left w:val="none" w:sz="0" w:space="0" w:color="auto"/>
        <w:bottom w:val="none" w:sz="0" w:space="0" w:color="auto"/>
        <w:right w:val="none" w:sz="0" w:space="0" w:color="auto"/>
      </w:divBdr>
    </w:div>
    <w:div w:id="607741375">
      <w:bodyDiv w:val="1"/>
      <w:marLeft w:val="0"/>
      <w:marRight w:val="0"/>
      <w:marTop w:val="0"/>
      <w:marBottom w:val="0"/>
      <w:divBdr>
        <w:top w:val="none" w:sz="0" w:space="0" w:color="auto"/>
        <w:left w:val="none" w:sz="0" w:space="0" w:color="auto"/>
        <w:bottom w:val="none" w:sz="0" w:space="0" w:color="auto"/>
        <w:right w:val="none" w:sz="0" w:space="0" w:color="auto"/>
      </w:divBdr>
    </w:div>
    <w:div w:id="645624346">
      <w:bodyDiv w:val="1"/>
      <w:marLeft w:val="0"/>
      <w:marRight w:val="0"/>
      <w:marTop w:val="0"/>
      <w:marBottom w:val="0"/>
      <w:divBdr>
        <w:top w:val="none" w:sz="0" w:space="0" w:color="auto"/>
        <w:left w:val="none" w:sz="0" w:space="0" w:color="auto"/>
        <w:bottom w:val="none" w:sz="0" w:space="0" w:color="auto"/>
        <w:right w:val="none" w:sz="0" w:space="0" w:color="auto"/>
      </w:divBdr>
    </w:div>
    <w:div w:id="658463641">
      <w:bodyDiv w:val="1"/>
      <w:marLeft w:val="0"/>
      <w:marRight w:val="0"/>
      <w:marTop w:val="0"/>
      <w:marBottom w:val="0"/>
      <w:divBdr>
        <w:top w:val="none" w:sz="0" w:space="0" w:color="auto"/>
        <w:left w:val="none" w:sz="0" w:space="0" w:color="auto"/>
        <w:bottom w:val="none" w:sz="0" w:space="0" w:color="auto"/>
        <w:right w:val="none" w:sz="0" w:space="0" w:color="auto"/>
      </w:divBdr>
    </w:div>
    <w:div w:id="693381737">
      <w:bodyDiv w:val="1"/>
      <w:marLeft w:val="0"/>
      <w:marRight w:val="0"/>
      <w:marTop w:val="0"/>
      <w:marBottom w:val="0"/>
      <w:divBdr>
        <w:top w:val="none" w:sz="0" w:space="0" w:color="auto"/>
        <w:left w:val="none" w:sz="0" w:space="0" w:color="auto"/>
        <w:bottom w:val="none" w:sz="0" w:space="0" w:color="auto"/>
        <w:right w:val="none" w:sz="0" w:space="0" w:color="auto"/>
      </w:divBdr>
    </w:div>
    <w:div w:id="697238495">
      <w:bodyDiv w:val="1"/>
      <w:marLeft w:val="0"/>
      <w:marRight w:val="0"/>
      <w:marTop w:val="0"/>
      <w:marBottom w:val="0"/>
      <w:divBdr>
        <w:top w:val="none" w:sz="0" w:space="0" w:color="auto"/>
        <w:left w:val="none" w:sz="0" w:space="0" w:color="auto"/>
        <w:bottom w:val="none" w:sz="0" w:space="0" w:color="auto"/>
        <w:right w:val="none" w:sz="0" w:space="0" w:color="auto"/>
      </w:divBdr>
    </w:div>
    <w:div w:id="808594910">
      <w:bodyDiv w:val="1"/>
      <w:marLeft w:val="0"/>
      <w:marRight w:val="0"/>
      <w:marTop w:val="0"/>
      <w:marBottom w:val="0"/>
      <w:divBdr>
        <w:top w:val="none" w:sz="0" w:space="0" w:color="auto"/>
        <w:left w:val="none" w:sz="0" w:space="0" w:color="auto"/>
        <w:bottom w:val="none" w:sz="0" w:space="0" w:color="auto"/>
        <w:right w:val="none" w:sz="0" w:space="0" w:color="auto"/>
      </w:divBdr>
    </w:div>
    <w:div w:id="821510376">
      <w:bodyDiv w:val="1"/>
      <w:marLeft w:val="0"/>
      <w:marRight w:val="0"/>
      <w:marTop w:val="0"/>
      <w:marBottom w:val="0"/>
      <w:divBdr>
        <w:top w:val="none" w:sz="0" w:space="0" w:color="auto"/>
        <w:left w:val="none" w:sz="0" w:space="0" w:color="auto"/>
        <w:bottom w:val="none" w:sz="0" w:space="0" w:color="auto"/>
        <w:right w:val="none" w:sz="0" w:space="0" w:color="auto"/>
      </w:divBdr>
    </w:div>
    <w:div w:id="927344268">
      <w:bodyDiv w:val="1"/>
      <w:marLeft w:val="0"/>
      <w:marRight w:val="0"/>
      <w:marTop w:val="0"/>
      <w:marBottom w:val="0"/>
      <w:divBdr>
        <w:top w:val="none" w:sz="0" w:space="0" w:color="auto"/>
        <w:left w:val="none" w:sz="0" w:space="0" w:color="auto"/>
        <w:bottom w:val="none" w:sz="0" w:space="0" w:color="auto"/>
        <w:right w:val="none" w:sz="0" w:space="0" w:color="auto"/>
      </w:divBdr>
    </w:div>
    <w:div w:id="989795247">
      <w:bodyDiv w:val="1"/>
      <w:marLeft w:val="0"/>
      <w:marRight w:val="0"/>
      <w:marTop w:val="0"/>
      <w:marBottom w:val="0"/>
      <w:divBdr>
        <w:top w:val="none" w:sz="0" w:space="0" w:color="auto"/>
        <w:left w:val="none" w:sz="0" w:space="0" w:color="auto"/>
        <w:bottom w:val="none" w:sz="0" w:space="0" w:color="auto"/>
        <w:right w:val="none" w:sz="0" w:space="0" w:color="auto"/>
      </w:divBdr>
    </w:div>
    <w:div w:id="1110202667">
      <w:bodyDiv w:val="1"/>
      <w:marLeft w:val="0"/>
      <w:marRight w:val="0"/>
      <w:marTop w:val="0"/>
      <w:marBottom w:val="0"/>
      <w:divBdr>
        <w:top w:val="none" w:sz="0" w:space="0" w:color="auto"/>
        <w:left w:val="none" w:sz="0" w:space="0" w:color="auto"/>
        <w:bottom w:val="none" w:sz="0" w:space="0" w:color="auto"/>
        <w:right w:val="none" w:sz="0" w:space="0" w:color="auto"/>
      </w:divBdr>
      <w:divsChild>
        <w:div w:id="389966757">
          <w:marLeft w:val="0"/>
          <w:marRight w:val="0"/>
          <w:marTop w:val="0"/>
          <w:marBottom w:val="0"/>
          <w:divBdr>
            <w:top w:val="none" w:sz="0" w:space="0" w:color="auto"/>
            <w:left w:val="none" w:sz="0" w:space="0" w:color="auto"/>
            <w:bottom w:val="none" w:sz="0" w:space="0" w:color="auto"/>
            <w:right w:val="none" w:sz="0" w:space="0" w:color="auto"/>
          </w:divBdr>
          <w:divsChild>
            <w:div w:id="18970683">
              <w:marLeft w:val="0"/>
              <w:marRight w:val="0"/>
              <w:marTop w:val="0"/>
              <w:marBottom w:val="0"/>
              <w:divBdr>
                <w:top w:val="none" w:sz="0" w:space="0" w:color="auto"/>
                <w:left w:val="none" w:sz="0" w:space="0" w:color="auto"/>
                <w:bottom w:val="none" w:sz="0" w:space="0" w:color="auto"/>
                <w:right w:val="none" w:sz="0" w:space="0" w:color="auto"/>
              </w:divBdr>
              <w:divsChild>
                <w:div w:id="229922932">
                  <w:marLeft w:val="0"/>
                  <w:marRight w:val="0"/>
                  <w:marTop w:val="0"/>
                  <w:marBottom w:val="0"/>
                  <w:divBdr>
                    <w:top w:val="none" w:sz="0" w:space="0" w:color="auto"/>
                    <w:left w:val="none" w:sz="0" w:space="0" w:color="auto"/>
                    <w:bottom w:val="none" w:sz="0" w:space="0" w:color="auto"/>
                    <w:right w:val="none" w:sz="0" w:space="0" w:color="auto"/>
                  </w:divBdr>
                  <w:divsChild>
                    <w:div w:id="2536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327">
      <w:bodyDiv w:val="1"/>
      <w:marLeft w:val="0"/>
      <w:marRight w:val="0"/>
      <w:marTop w:val="0"/>
      <w:marBottom w:val="0"/>
      <w:divBdr>
        <w:top w:val="none" w:sz="0" w:space="0" w:color="auto"/>
        <w:left w:val="none" w:sz="0" w:space="0" w:color="auto"/>
        <w:bottom w:val="none" w:sz="0" w:space="0" w:color="auto"/>
        <w:right w:val="none" w:sz="0" w:space="0" w:color="auto"/>
      </w:divBdr>
    </w:div>
    <w:div w:id="1269198701">
      <w:bodyDiv w:val="1"/>
      <w:marLeft w:val="0"/>
      <w:marRight w:val="0"/>
      <w:marTop w:val="0"/>
      <w:marBottom w:val="0"/>
      <w:divBdr>
        <w:top w:val="none" w:sz="0" w:space="0" w:color="auto"/>
        <w:left w:val="none" w:sz="0" w:space="0" w:color="auto"/>
        <w:bottom w:val="none" w:sz="0" w:space="0" w:color="auto"/>
        <w:right w:val="none" w:sz="0" w:space="0" w:color="auto"/>
      </w:divBdr>
    </w:div>
    <w:div w:id="1303733684">
      <w:bodyDiv w:val="1"/>
      <w:marLeft w:val="0"/>
      <w:marRight w:val="0"/>
      <w:marTop w:val="0"/>
      <w:marBottom w:val="0"/>
      <w:divBdr>
        <w:top w:val="none" w:sz="0" w:space="0" w:color="auto"/>
        <w:left w:val="none" w:sz="0" w:space="0" w:color="auto"/>
        <w:bottom w:val="none" w:sz="0" w:space="0" w:color="auto"/>
        <w:right w:val="none" w:sz="0" w:space="0" w:color="auto"/>
      </w:divBdr>
    </w:div>
    <w:div w:id="1364477967">
      <w:bodyDiv w:val="1"/>
      <w:marLeft w:val="0"/>
      <w:marRight w:val="0"/>
      <w:marTop w:val="0"/>
      <w:marBottom w:val="0"/>
      <w:divBdr>
        <w:top w:val="none" w:sz="0" w:space="0" w:color="auto"/>
        <w:left w:val="none" w:sz="0" w:space="0" w:color="auto"/>
        <w:bottom w:val="none" w:sz="0" w:space="0" w:color="auto"/>
        <w:right w:val="none" w:sz="0" w:space="0" w:color="auto"/>
      </w:divBdr>
    </w:div>
    <w:div w:id="1588225788">
      <w:bodyDiv w:val="1"/>
      <w:marLeft w:val="0"/>
      <w:marRight w:val="0"/>
      <w:marTop w:val="0"/>
      <w:marBottom w:val="0"/>
      <w:divBdr>
        <w:top w:val="none" w:sz="0" w:space="0" w:color="auto"/>
        <w:left w:val="none" w:sz="0" w:space="0" w:color="auto"/>
        <w:bottom w:val="none" w:sz="0" w:space="0" w:color="auto"/>
        <w:right w:val="none" w:sz="0" w:space="0" w:color="auto"/>
      </w:divBdr>
    </w:div>
    <w:div w:id="1607807068">
      <w:bodyDiv w:val="1"/>
      <w:marLeft w:val="0"/>
      <w:marRight w:val="0"/>
      <w:marTop w:val="0"/>
      <w:marBottom w:val="0"/>
      <w:divBdr>
        <w:top w:val="none" w:sz="0" w:space="0" w:color="auto"/>
        <w:left w:val="none" w:sz="0" w:space="0" w:color="auto"/>
        <w:bottom w:val="none" w:sz="0" w:space="0" w:color="auto"/>
        <w:right w:val="none" w:sz="0" w:space="0" w:color="auto"/>
      </w:divBdr>
    </w:div>
    <w:div w:id="1763069041">
      <w:bodyDiv w:val="1"/>
      <w:marLeft w:val="0"/>
      <w:marRight w:val="0"/>
      <w:marTop w:val="0"/>
      <w:marBottom w:val="0"/>
      <w:divBdr>
        <w:top w:val="none" w:sz="0" w:space="0" w:color="auto"/>
        <w:left w:val="none" w:sz="0" w:space="0" w:color="auto"/>
        <w:bottom w:val="none" w:sz="0" w:space="0" w:color="auto"/>
        <w:right w:val="none" w:sz="0" w:space="0" w:color="auto"/>
      </w:divBdr>
      <w:divsChild>
        <w:div w:id="8720816">
          <w:marLeft w:val="0"/>
          <w:marRight w:val="0"/>
          <w:marTop w:val="0"/>
          <w:marBottom w:val="0"/>
          <w:divBdr>
            <w:top w:val="none" w:sz="0" w:space="0" w:color="auto"/>
            <w:left w:val="none" w:sz="0" w:space="0" w:color="auto"/>
            <w:bottom w:val="none" w:sz="0" w:space="0" w:color="auto"/>
            <w:right w:val="none" w:sz="0" w:space="0" w:color="auto"/>
          </w:divBdr>
        </w:div>
        <w:div w:id="47387759">
          <w:marLeft w:val="0"/>
          <w:marRight w:val="0"/>
          <w:marTop w:val="0"/>
          <w:marBottom w:val="0"/>
          <w:divBdr>
            <w:top w:val="none" w:sz="0" w:space="0" w:color="auto"/>
            <w:left w:val="none" w:sz="0" w:space="0" w:color="auto"/>
            <w:bottom w:val="none" w:sz="0" w:space="0" w:color="auto"/>
            <w:right w:val="none" w:sz="0" w:space="0" w:color="auto"/>
          </w:divBdr>
        </w:div>
        <w:div w:id="62073894">
          <w:marLeft w:val="0"/>
          <w:marRight w:val="0"/>
          <w:marTop w:val="0"/>
          <w:marBottom w:val="0"/>
          <w:divBdr>
            <w:top w:val="none" w:sz="0" w:space="0" w:color="auto"/>
            <w:left w:val="none" w:sz="0" w:space="0" w:color="auto"/>
            <w:bottom w:val="none" w:sz="0" w:space="0" w:color="auto"/>
            <w:right w:val="none" w:sz="0" w:space="0" w:color="auto"/>
          </w:divBdr>
        </w:div>
        <w:div w:id="64382422">
          <w:marLeft w:val="0"/>
          <w:marRight w:val="0"/>
          <w:marTop w:val="0"/>
          <w:marBottom w:val="0"/>
          <w:divBdr>
            <w:top w:val="none" w:sz="0" w:space="0" w:color="auto"/>
            <w:left w:val="none" w:sz="0" w:space="0" w:color="auto"/>
            <w:bottom w:val="none" w:sz="0" w:space="0" w:color="auto"/>
            <w:right w:val="none" w:sz="0" w:space="0" w:color="auto"/>
          </w:divBdr>
        </w:div>
        <w:div w:id="66417141">
          <w:marLeft w:val="0"/>
          <w:marRight w:val="0"/>
          <w:marTop w:val="0"/>
          <w:marBottom w:val="0"/>
          <w:divBdr>
            <w:top w:val="none" w:sz="0" w:space="0" w:color="auto"/>
            <w:left w:val="none" w:sz="0" w:space="0" w:color="auto"/>
            <w:bottom w:val="none" w:sz="0" w:space="0" w:color="auto"/>
            <w:right w:val="none" w:sz="0" w:space="0" w:color="auto"/>
          </w:divBdr>
        </w:div>
        <w:div w:id="104231441">
          <w:marLeft w:val="0"/>
          <w:marRight w:val="0"/>
          <w:marTop w:val="0"/>
          <w:marBottom w:val="0"/>
          <w:divBdr>
            <w:top w:val="none" w:sz="0" w:space="0" w:color="auto"/>
            <w:left w:val="none" w:sz="0" w:space="0" w:color="auto"/>
            <w:bottom w:val="none" w:sz="0" w:space="0" w:color="auto"/>
            <w:right w:val="none" w:sz="0" w:space="0" w:color="auto"/>
          </w:divBdr>
        </w:div>
        <w:div w:id="111872003">
          <w:marLeft w:val="0"/>
          <w:marRight w:val="0"/>
          <w:marTop w:val="0"/>
          <w:marBottom w:val="0"/>
          <w:divBdr>
            <w:top w:val="none" w:sz="0" w:space="0" w:color="auto"/>
            <w:left w:val="none" w:sz="0" w:space="0" w:color="auto"/>
            <w:bottom w:val="none" w:sz="0" w:space="0" w:color="auto"/>
            <w:right w:val="none" w:sz="0" w:space="0" w:color="auto"/>
          </w:divBdr>
        </w:div>
        <w:div w:id="126821665">
          <w:marLeft w:val="0"/>
          <w:marRight w:val="0"/>
          <w:marTop w:val="0"/>
          <w:marBottom w:val="0"/>
          <w:divBdr>
            <w:top w:val="none" w:sz="0" w:space="0" w:color="auto"/>
            <w:left w:val="none" w:sz="0" w:space="0" w:color="auto"/>
            <w:bottom w:val="none" w:sz="0" w:space="0" w:color="auto"/>
            <w:right w:val="none" w:sz="0" w:space="0" w:color="auto"/>
          </w:divBdr>
        </w:div>
        <w:div w:id="139886268">
          <w:marLeft w:val="0"/>
          <w:marRight w:val="0"/>
          <w:marTop w:val="0"/>
          <w:marBottom w:val="0"/>
          <w:divBdr>
            <w:top w:val="none" w:sz="0" w:space="0" w:color="auto"/>
            <w:left w:val="none" w:sz="0" w:space="0" w:color="auto"/>
            <w:bottom w:val="none" w:sz="0" w:space="0" w:color="auto"/>
            <w:right w:val="none" w:sz="0" w:space="0" w:color="auto"/>
          </w:divBdr>
        </w:div>
        <w:div w:id="179517635">
          <w:marLeft w:val="0"/>
          <w:marRight w:val="0"/>
          <w:marTop w:val="0"/>
          <w:marBottom w:val="0"/>
          <w:divBdr>
            <w:top w:val="none" w:sz="0" w:space="0" w:color="auto"/>
            <w:left w:val="none" w:sz="0" w:space="0" w:color="auto"/>
            <w:bottom w:val="none" w:sz="0" w:space="0" w:color="auto"/>
            <w:right w:val="none" w:sz="0" w:space="0" w:color="auto"/>
          </w:divBdr>
        </w:div>
        <w:div w:id="180515275">
          <w:marLeft w:val="0"/>
          <w:marRight w:val="0"/>
          <w:marTop w:val="0"/>
          <w:marBottom w:val="0"/>
          <w:divBdr>
            <w:top w:val="none" w:sz="0" w:space="0" w:color="auto"/>
            <w:left w:val="none" w:sz="0" w:space="0" w:color="auto"/>
            <w:bottom w:val="none" w:sz="0" w:space="0" w:color="auto"/>
            <w:right w:val="none" w:sz="0" w:space="0" w:color="auto"/>
          </w:divBdr>
        </w:div>
        <w:div w:id="186722174">
          <w:marLeft w:val="0"/>
          <w:marRight w:val="0"/>
          <w:marTop w:val="0"/>
          <w:marBottom w:val="0"/>
          <w:divBdr>
            <w:top w:val="none" w:sz="0" w:space="0" w:color="auto"/>
            <w:left w:val="none" w:sz="0" w:space="0" w:color="auto"/>
            <w:bottom w:val="none" w:sz="0" w:space="0" w:color="auto"/>
            <w:right w:val="none" w:sz="0" w:space="0" w:color="auto"/>
          </w:divBdr>
        </w:div>
        <w:div w:id="224923296">
          <w:marLeft w:val="0"/>
          <w:marRight w:val="0"/>
          <w:marTop w:val="0"/>
          <w:marBottom w:val="0"/>
          <w:divBdr>
            <w:top w:val="none" w:sz="0" w:space="0" w:color="auto"/>
            <w:left w:val="none" w:sz="0" w:space="0" w:color="auto"/>
            <w:bottom w:val="none" w:sz="0" w:space="0" w:color="auto"/>
            <w:right w:val="none" w:sz="0" w:space="0" w:color="auto"/>
          </w:divBdr>
        </w:div>
        <w:div w:id="238364731">
          <w:marLeft w:val="0"/>
          <w:marRight w:val="0"/>
          <w:marTop w:val="0"/>
          <w:marBottom w:val="0"/>
          <w:divBdr>
            <w:top w:val="none" w:sz="0" w:space="0" w:color="auto"/>
            <w:left w:val="none" w:sz="0" w:space="0" w:color="auto"/>
            <w:bottom w:val="none" w:sz="0" w:space="0" w:color="auto"/>
            <w:right w:val="none" w:sz="0" w:space="0" w:color="auto"/>
          </w:divBdr>
        </w:div>
        <w:div w:id="269774991">
          <w:marLeft w:val="0"/>
          <w:marRight w:val="0"/>
          <w:marTop w:val="0"/>
          <w:marBottom w:val="0"/>
          <w:divBdr>
            <w:top w:val="none" w:sz="0" w:space="0" w:color="auto"/>
            <w:left w:val="none" w:sz="0" w:space="0" w:color="auto"/>
            <w:bottom w:val="none" w:sz="0" w:space="0" w:color="auto"/>
            <w:right w:val="none" w:sz="0" w:space="0" w:color="auto"/>
          </w:divBdr>
        </w:div>
        <w:div w:id="284850446">
          <w:marLeft w:val="0"/>
          <w:marRight w:val="0"/>
          <w:marTop w:val="0"/>
          <w:marBottom w:val="0"/>
          <w:divBdr>
            <w:top w:val="none" w:sz="0" w:space="0" w:color="auto"/>
            <w:left w:val="none" w:sz="0" w:space="0" w:color="auto"/>
            <w:bottom w:val="none" w:sz="0" w:space="0" w:color="auto"/>
            <w:right w:val="none" w:sz="0" w:space="0" w:color="auto"/>
          </w:divBdr>
        </w:div>
        <w:div w:id="285357094">
          <w:marLeft w:val="0"/>
          <w:marRight w:val="0"/>
          <w:marTop w:val="0"/>
          <w:marBottom w:val="0"/>
          <w:divBdr>
            <w:top w:val="none" w:sz="0" w:space="0" w:color="auto"/>
            <w:left w:val="none" w:sz="0" w:space="0" w:color="auto"/>
            <w:bottom w:val="none" w:sz="0" w:space="0" w:color="auto"/>
            <w:right w:val="none" w:sz="0" w:space="0" w:color="auto"/>
          </w:divBdr>
        </w:div>
        <w:div w:id="358360549">
          <w:marLeft w:val="0"/>
          <w:marRight w:val="0"/>
          <w:marTop w:val="0"/>
          <w:marBottom w:val="0"/>
          <w:divBdr>
            <w:top w:val="none" w:sz="0" w:space="0" w:color="auto"/>
            <w:left w:val="none" w:sz="0" w:space="0" w:color="auto"/>
            <w:bottom w:val="none" w:sz="0" w:space="0" w:color="auto"/>
            <w:right w:val="none" w:sz="0" w:space="0" w:color="auto"/>
          </w:divBdr>
        </w:div>
        <w:div w:id="370113624">
          <w:marLeft w:val="0"/>
          <w:marRight w:val="0"/>
          <w:marTop w:val="0"/>
          <w:marBottom w:val="0"/>
          <w:divBdr>
            <w:top w:val="none" w:sz="0" w:space="0" w:color="auto"/>
            <w:left w:val="none" w:sz="0" w:space="0" w:color="auto"/>
            <w:bottom w:val="none" w:sz="0" w:space="0" w:color="auto"/>
            <w:right w:val="none" w:sz="0" w:space="0" w:color="auto"/>
          </w:divBdr>
        </w:div>
        <w:div w:id="389422791">
          <w:marLeft w:val="0"/>
          <w:marRight w:val="0"/>
          <w:marTop w:val="0"/>
          <w:marBottom w:val="0"/>
          <w:divBdr>
            <w:top w:val="none" w:sz="0" w:space="0" w:color="auto"/>
            <w:left w:val="none" w:sz="0" w:space="0" w:color="auto"/>
            <w:bottom w:val="none" w:sz="0" w:space="0" w:color="auto"/>
            <w:right w:val="none" w:sz="0" w:space="0" w:color="auto"/>
          </w:divBdr>
        </w:div>
        <w:div w:id="392241194">
          <w:marLeft w:val="0"/>
          <w:marRight w:val="0"/>
          <w:marTop w:val="0"/>
          <w:marBottom w:val="0"/>
          <w:divBdr>
            <w:top w:val="none" w:sz="0" w:space="0" w:color="auto"/>
            <w:left w:val="none" w:sz="0" w:space="0" w:color="auto"/>
            <w:bottom w:val="none" w:sz="0" w:space="0" w:color="auto"/>
            <w:right w:val="none" w:sz="0" w:space="0" w:color="auto"/>
          </w:divBdr>
        </w:div>
        <w:div w:id="395472811">
          <w:marLeft w:val="0"/>
          <w:marRight w:val="0"/>
          <w:marTop w:val="0"/>
          <w:marBottom w:val="0"/>
          <w:divBdr>
            <w:top w:val="none" w:sz="0" w:space="0" w:color="auto"/>
            <w:left w:val="none" w:sz="0" w:space="0" w:color="auto"/>
            <w:bottom w:val="none" w:sz="0" w:space="0" w:color="auto"/>
            <w:right w:val="none" w:sz="0" w:space="0" w:color="auto"/>
          </w:divBdr>
        </w:div>
        <w:div w:id="395783599">
          <w:marLeft w:val="0"/>
          <w:marRight w:val="0"/>
          <w:marTop w:val="0"/>
          <w:marBottom w:val="0"/>
          <w:divBdr>
            <w:top w:val="none" w:sz="0" w:space="0" w:color="auto"/>
            <w:left w:val="none" w:sz="0" w:space="0" w:color="auto"/>
            <w:bottom w:val="none" w:sz="0" w:space="0" w:color="auto"/>
            <w:right w:val="none" w:sz="0" w:space="0" w:color="auto"/>
          </w:divBdr>
        </w:div>
        <w:div w:id="412358954">
          <w:marLeft w:val="0"/>
          <w:marRight w:val="0"/>
          <w:marTop w:val="0"/>
          <w:marBottom w:val="0"/>
          <w:divBdr>
            <w:top w:val="none" w:sz="0" w:space="0" w:color="auto"/>
            <w:left w:val="none" w:sz="0" w:space="0" w:color="auto"/>
            <w:bottom w:val="none" w:sz="0" w:space="0" w:color="auto"/>
            <w:right w:val="none" w:sz="0" w:space="0" w:color="auto"/>
          </w:divBdr>
        </w:div>
        <w:div w:id="416171857">
          <w:marLeft w:val="0"/>
          <w:marRight w:val="0"/>
          <w:marTop w:val="0"/>
          <w:marBottom w:val="0"/>
          <w:divBdr>
            <w:top w:val="none" w:sz="0" w:space="0" w:color="auto"/>
            <w:left w:val="none" w:sz="0" w:space="0" w:color="auto"/>
            <w:bottom w:val="none" w:sz="0" w:space="0" w:color="auto"/>
            <w:right w:val="none" w:sz="0" w:space="0" w:color="auto"/>
          </w:divBdr>
        </w:div>
        <w:div w:id="465702594">
          <w:marLeft w:val="0"/>
          <w:marRight w:val="0"/>
          <w:marTop w:val="0"/>
          <w:marBottom w:val="0"/>
          <w:divBdr>
            <w:top w:val="none" w:sz="0" w:space="0" w:color="auto"/>
            <w:left w:val="none" w:sz="0" w:space="0" w:color="auto"/>
            <w:bottom w:val="none" w:sz="0" w:space="0" w:color="auto"/>
            <w:right w:val="none" w:sz="0" w:space="0" w:color="auto"/>
          </w:divBdr>
        </w:div>
        <w:div w:id="518274390">
          <w:marLeft w:val="0"/>
          <w:marRight w:val="0"/>
          <w:marTop w:val="0"/>
          <w:marBottom w:val="0"/>
          <w:divBdr>
            <w:top w:val="none" w:sz="0" w:space="0" w:color="auto"/>
            <w:left w:val="none" w:sz="0" w:space="0" w:color="auto"/>
            <w:bottom w:val="none" w:sz="0" w:space="0" w:color="auto"/>
            <w:right w:val="none" w:sz="0" w:space="0" w:color="auto"/>
          </w:divBdr>
        </w:div>
        <w:div w:id="553006578">
          <w:marLeft w:val="0"/>
          <w:marRight w:val="0"/>
          <w:marTop w:val="0"/>
          <w:marBottom w:val="0"/>
          <w:divBdr>
            <w:top w:val="none" w:sz="0" w:space="0" w:color="auto"/>
            <w:left w:val="none" w:sz="0" w:space="0" w:color="auto"/>
            <w:bottom w:val="none" w:sz="0" w:space="0" w:color="auto"/>
            <w:right w:val="none" w:sz="0" w:space="0" w:color="auto"/>
          </w:divBdr>
        </w:div>
        <w:div w:id="568806846">
          <w:marLeft w:val="0"/>
          <w:marRight w:val="0"/>
          <w:marTop w:val="0"/>
          <w:marBottom w:val="0"/>
          <w:divBdr>
            <w:top w:val="none" w:sz="0" w:space="0" w:color="auto"/>
            <w:left w:val="none" w:sz="0" w:space="0" w:color="auto"/>
            <w:bottom w:val="none" w:sz="0" w:space="0" w:color="auto"/>
            <w:right w:val="none" w:sz="0" w:space="0" w:color="auto"/>
          </w:divBdr>
        </w:div>
        <w:div w:id="575432665">
          <w:marLeft w:val="0"/>
          <w:marRight w:val="0"/>
          <w:marTop w:val="0"/>
          <w:marBottom w:val="0"/>
          <w:divBdr>
            <w:top w:val="none" w:sz="0" w:space="0" w:color="auto"/>
            <w:left w:val="none" w:sz="0" w:space="0" w:color="auto"/>
            <w:bottom w:val="none" w:sz="0" w:space="0" w:color="auto"/>
            <w:right w:val="none" w:sz="0" w:space="0" w:color="auto"/>
          </w:divBdr>
        </w:div>
        <w:div w:id="583807041">
          <w:marLeft w:val="0"/>
          <w:marRight w:val="0"/>
          <w:marTop w:val="0"/>
          <w:marBottom w:val="0"/>
          <w:divBdr>
            <w:top w:val="none" w:sz="0" w:space="0" w:color="auto"/>
            <w:left w:val="none" w:sz="0" w:space="0" w:color="auto"/>
            <w:bottom w:val="none" w:sz="0" w:space="0" w:color="auto"/>
            <w:right w:val="none" w:sz="0" w:space="0" w:color="auto"/>
          </w:divBdr>
        </w:div>
        <w:div w:id="599145638">
          <w:marLeft w:val="0"/>
          <w:marRight w:val="0"/>
          <w:marTop w:val="0"/>
          <w:marBottom w:val="0"/>
          <w:divBdr>
            <w:top w:val="none" w:sz="0" w:space="0" w:color="auto"/>
            <w:left w:val="none" w:sz="0" w:space="0" w:color="auto"/>
            <w:bottom w:val="none" w:sz="0" w:space="0" w:color="auto"/>
            <w:right w:val="none" w:sz="0" w:space="0" w:color="auto"/>
          </w:divBdr>
        </w:div>
        <w:div w:id="607127209">
          <w:marLeft w:val="0"/>
          <w:marRight w:val="0"/>
          <w:marTop w:val="0"/>
          <w:marBottom w:val="0"/>
          <w:divBdr>
            <w:top w:val="none" w:sz="0" w:space="0" w:color="auto"/>
            <w:left w:val="none" w:sz="0" w:space="0" w:color="auto"/>
            <w:bottom w:val="none" w:sz="0" w:space="0" w:color="auto"/>
            <w:right w:val="none" w:sz="0" w:space="0" w:color="auto"/>
          </w:divBdr>
        </w:div>
        <w:div w:id="629752297">
          <w:marLeft w:val="0"/>
          <w:marRight w:val="0"/>
          <w:marTop w:val="0"/>
          <w:marBottom w:val="0"/>
          <w:divBdr>
            <w:top w:val="none" w:sz="0" w:space="0" w:color="auto"/>
            <w:left w:val="none" w:sz="0" w:space="0" w:color="auto"/>
            <w:bottom w:val="none" w:sz="0" w:space="0" w:color="auto"/>
            <w:right w:val="none" w:sz="0" w:space="0" w:color="auto"/>
          </w:divBdr>
        </w:div>
        <w:div w:id="652568908">
          <w:marLeft w:val="0"/>
          <w:marRight w:val="0"/>
          <w:marTop w:val="0"/>
          <w:marBottom w:val="0"/>
          <w:divBdr>
            <w:top w:val="none" w:sz="0" w:space="0" w:color="auto"/>
            <w:left w:val="none" w:sz="0" w:space="0" w:color="auto"/>
            <w:bottom w:val="none" w:sz="0" w:space="0" w:color="auto"/>
            <w:right w:val="none" w:sz="0" w:space="0" w:color="auto"/>
          </w:divBdr>
        </w:div>
        <w:div w:id="654452464">
          <w:marLeft w:val="0"/>
          <w:marRight w:val="0"/>
          <w:marTop w:val="0"/>
          <w:marBottom w:val="0"/>
          <w:divBdr>
            <w:top w:val="none" w:sz="0" w:space="0" w:color="auto"/>
            <w:left w:val="none" w:sz="0" w:space="0" w:color="auto"/>
            <w:bottom w:val="none" w:sz="0" w:space="0" w:color="auto"/>
            <w:right w:val="none" w:sz="0" w:space="0" w:color="auto"/>
          </w:divBdr>
        </w:div>
        <w:div w:id="660700554">
          <w:marLeft w:val="0"/>
          <w:marRight w:val="0"/>
          <w:marTop w:val="0"/>
          <w:marBottom w:val="0"/>
          <w:divBdr>
            <w:top w:val="none" w:sz="0" w:space="0" w:color="auto"/>
            <w:left w:val="none" w:sz="0" w:space="0" w:color="auto"/>
            <w:bottom w:val="none" w:sz="0" w:space="0" w:color="auto"/>
            <w:right w:val="none" w:sz="0" w:space="0" w:color="auto"/>
          </w:divBdr>
        </w:div>
        <w:div w:id="662900369">
          <w:marLeft w:val="0"/>
          <w:marRight w:val="0"/>
          <w:marTop w:val="0"/>
          <w:marBottom w:val="0"/>
          <w:divBdr>
            <w:top w:val="none" w:sz="0" w:space="0" w:color="auto"/>
            <w:left w:val="none" w:sz="0" w:space="0" w:color="auto"/>
            <w:bottom w:val="none" w:sz="0" w:space="0" w:color="auto"/>
            <w:right w:val="none" w:sz="0" w:space="0" w:color="auto"/>
          </w:divBdr>
        </w:div>
        <w:div w:id="677732881">
          <w:marLeft w:val="0"/>
          <w:marRight w:val="0"/>
          <w:marTop w:val="0"/>
          <w:marBottom w:val="0"/>
          <w:divBdr>
            <w:top w:val="none" w:sz="0" w:space="0" w:color="auto"/>
            <w:left w:val="none" w:sz="0" w:space="0" w:color="auto"/>
            <w:bottom w:val="none" w:sz="0" w:space="0" w:color="auto"/>
            <w:right w:val="none" w:sz="0" w:space="0" w:color="auto"/>
          </w:divBdr>
        </w:div>
        <w:div w:id="697974971">
          <w:marLeft w:val="0"/>
          <w:marRight w:val="0"/>
          <w:marTop w:val="0"/>
          <w:marBottom w:val="0"/>
          <w:divBdr>
            <w:top w:val="none" w:sz="0" w:space="0" w:color="auto"/>
            <w:left w:val="none" w:sz="0" w:space="0" w:color="auto"/>
            <w:bottom w:val="none" w:sz="0" w:space="0" w:color="auto"/>
            <w:right w:val="none" w:sz="0" w:space="0" w:color="auto"/>
          </w:divBdr>
        </w:div>
        <w:div w:id="701322866">
          <w:marLeft w:val="0"/>
          <w:marRight w:val="0"/>
          <w:marTop w:val="0"/>
          <w:marBottom w:val="0"/>
          <w:divBdr>
            <w:top w:val="none" w:sz="0" w:space="0" w:color="auto"/>
            <w:left w:val="none" w:sz="0" w:space="0" w:color="auto"/>
            <w:bottom w:val="none" w:sz="0" w:space="0" w:color="auto"/>
            <w:right w:val="none" w:sz="0" w:space="0" w:color="auto"/>
          </w:divBdr>
        </w:div>
        <w:div w:id="726028517">
          <w:marLeft w:val="0"/>
          <w:marRight w:val="0"/>
          <w:marTop w:val="0"/>
          <w:marBottom w:val="0"/>
          <w:divBdr>
            <w:top w:val="none" w:sz="0" w:space="0" w:color="auto"/>
            <w:left w:val="none" w:sz="0" w:space="0" w:color="auto"/>
            <w:bottom w:val="none" w:sz="0" w:space="0" w:color="auto"/>
            <w:right w:val="none" w:sz="0" w:space="0" w:color="auto"/>
          </w:divBdr>
        </w:div>
        <w:div w:id="750005619">
          <w:marLeft w:val="0"/>
          <w:marRight w:val="0"/>
          <w:marTop w:val="0"/>
          <w:marBottom w:val="0"/>
          <w:divBdr>
            <w:top w:val="none" w:sz="0" w:space="0" w:color="auto"/>
            <w:left w:val="none" w:sz="0" w:space="0" w:color="auto"/>
            <w:bottom w:val="none" w:sz="0" w:space="0" w:color="auto"/>
            <w:right w:val="none" w:sz="0" w:space="0" w:color="auto"/>
          </w:divBdr>
        </w:div>
        <w:div w:id="751007173">
          <w:marLeft w:val="0"/>
          <w:marRight w:val="0"/>
          <w:marTop w:val="0"/>
          <w:marBottom w:val="0"/>
          <w:divBdr>
            <w:top w:val="none" w:sz="0" w:space="0" w:color="auto"/>
            <w:left w:val="none" w:sz="0" w:space="0" w:color="auto"/>
            <w:bottom w:val="none" w:sz="0" w:space="0" w:color="auto"/>
            <w:right w:val="none" w:sz="0" w:space="0" w:color="auto"/>
          </w:divBdr>
        </w:div>
        <w:div w:id="759060294">
          <w:marLeft w:val="0"/>
          <w:marRight w:val="0"/>
          <w:marTop w:val="0"/>
          <w:marBottom w:val="0"/>
          <w:divBdr>
            <w:top w:val="none" w:sz="0" w:space="0" w:color="auto"/>
            <w:left w:val="none" w:sz="0" w:space="0" w:color="auto"/>
            <w:bottom w:val="none" w:sz="0" w:space="0" w:color="auto"/>
            <w:right w:val="none" w:sz="0" w:space="0" w:color="auto"/>
          </w:divBdr>
        </w:div>
        <w:div w:id="771360541">
          <w:marLeft w:val="0"/>
          <w:marRight w:val="0"/>
          <w:marTop w:val="0"/>
          <w:marBottom w:val="0"/>
          <w:divBdr>
            <w:top w:val="none" w:sz="0" w:space="0" w:color="auto"/>
            <w:left w:val="none" w:sz="0" w:space="0" w:color="auto"/>
            <w:bottom w:val="none" w:sz="0" w:space="0" w:color="auto"/>
            <w:right w:val="none" w:sz="0" w:space="0" w:color="auto"/>
          </w:divBdr>
        </w:div>
        <w:div w:id="814496072">
          <w:marLeft w:val="0"/>
          <w:marRight w:val="0"/>
          <w:marTop w:val="0"/>
          <w:marBottom w:val="0"/>
          <w:divBdr>
            <w:top w:val="none" w:sz="0" w:space="0" w:color="auto"/>
            <w:left w:val="none" w:sz="0" w:space="0" w:color="auto"/>
            <w:bottom w:val="none" w:sz="0" w:space="0" w:color="auto"/>
            <w:right w:val="none" w:sz="0" w:space="0" w:color="auto"/>
          </w:divBdr>
        </w:div>
        <w:div w:id="814641128">
          <w:marLeft w:val="0"/>
          <w:marRight w:val="0"/>
          <w:marTop w:val="0"/>
          <w:marBottom w:val="0"/>
          <w:divBdr>
            <w:top w:val="none" w:sz="0" w:space="0" w:color="auto"/>
            <w:left w:val="none" w:sz="0" w:space="0" w:color="auto"/>
            <w:bottom w:val="none" w:sz="0" w:space="0" w:color="auto"/>
            <w:right w:val="none" w:sz="0" w:space="0" w:color="auto"/>
          </w:divBdr>
        </w:div>
        <w:div w:id="820732353">
          <w:marLeft w:val="0"/>
          <w:marRight w:val="0"/>
          <w:marTop w:val="0"/>
          <w:marBottom w:val="0"/>
          <w:divBdr>
            <w:top w:val="none" w:sz="0" w:space="0" w:color="auto"/>
            <w:left w:val="none" w:sz="0" w:space="0" w:color="auto"/>
            <w:bottom w:val="none" w:sz="0" w:space="0" w:color="auto"/>
            <w:right w:val="none" w:sz="0" w:space="0" w:color="auto"/>
          </w:divBdr>
        </w:div>
        <w:div w:id="821770023">
          <w:marLeft w:val="0"/>
          <w:marRight w:val="0"/>
          <w:marTop w:val="0"/>
          <w:marBottom w:val="0"/>
          <w:divBdr>
            <w:top w:val="none" w:sz="0" w:space="0" w:color="auto"/>
            <w:left w:val="none" w:sz="0" w:space="0" w:color="auto"/>
            <w:bottom w:val="none" w:sz="0" w:space="0" w:color="auto"/>
            <w:right w:val="none" w:sz="0" w:space="0" w:color="auto"/>
          </w:divBdr>
        </w:div>
        <w:div w:id="823010714">
          <w:marLeft w:val="0"/>
          <w:marRight w:val="0"/>
          <w:marTop w:val="0"/>
          <w:marBottom w:val="0"/>
          <w:divBdr>
            <w:top w:val="none" w:sz="0" w:space="0" w:color="auto"/>
            <w:left w:val="none" w:sz="0" w:space="0" w:color="auto"/>
            <w:bottom w:val="none" w:sz="0" w:space="0" w:color="auto"/>
            <w:right w:val="none" w:sz="0" w:space="0" w:color="auto"/>
          </w:divBdr>
        </w:div>
        <w:div w:id="825824298">
          <w:marLeft w:val="0"/>
          <w:marRight w:val="0"/>
          <w:marTop w:val="0"/>
          <w:marBottom w:val="0"/>
          <w:divBdr>
            <w:top w:val="none" w:sz="0" w:space="0" w:color="auto"/>
            <w:left w:val="none" w:sz="0" w:space="0" w:color="auto"/>
            <w:bottom w:val="none" w:sz="0" w:space="0" w:color="auto"/>
            <w:right w:val="none" w:sz="0" w:space="0" w:color="auto"/>
          </w:divBdr>
        </w:div>
        <w:div w:id="835071302">
          <w:marLeft w:val="0"/>
          <w:marRight w:val="0"/>
          <w:marTop w:val="0"/>
          <w:marBottom w:val="0"/>
          <w:divBdr>
            <w:top w:val="none" w:sz="0" w:space="0" w:color="auto"/>
            <w:left w:val="none" w:sz="0" w:space="0" w:color="auto"/>
            <w:bottom w:val="none" w:sz="0" w:space="0" w:color="auto"/>
            <w:right w:val="none" w:sz="0" w:space="0" w:color="auto"/>
          </w:divBdr>
        </w:div>
        <w:div w:id="842083413">
          <w:marLeft w:val="0"/>
          <w:marRight w:val="0"/>
          <w:marTop w:val="0"/>
          <w:marBottom w:val="0"/>
          <w:divBdr>
            <w:top w:val="none" w:sz="0" w:space="0" w:color="auto"/>
            <w:left w:val="none" w:sz="0" w:space="0" w:color="auto"/>
            <w:bottom w:val="none" w:sz="0" w:space="0" w:color="auto"/>
            <w:right w:val="none" w:sz="0" w:space="0" w:color="auto"/>
          </w:divBdr>
        </w:div>
        <w:div w:id="863636634">
          <w:marLeft w:val="0"/>
          <w:marRight w:val="0"/>
          <w:marTop w:val="0"/>
          <w:marBottom w:val="0"/>
          <w:divBdr>
            <w:top w:val="none" w:sz="0" w:space="0" w:color="auto"/>
            <w:left w:val="none" w:sz="0" w:space="0" w:color="auto"/>
            <w:bottom w:val="none" w:sz="0" w:space="0" w:color="auto"/>
            <w:right w:val="none" w:sz="0" w:space="0" w:color="auto"/>
          </w:divBdr>
        </w:div>
        <w:div w:id="874269838">
          <w:marLeft w:val="0"/>
          <w:marRight w:val="0"/>
          <w:marTop w:val="0"/>
          <w:marBottom w:val="0"/>
          <w:divBdr>
            <w:top w:val="none" w:sz="0" w:space="0" w:color="auto"/>
            <w:left w:val="none" w:sz="0" w:space="0" w:color="auto"/>
            <w:bottom w:val="none" w:sz="0" w:space="0" w:color="auto"/>
            <w:right w:val="none" w:sz="0" w:space="0" w:color="auto"/>
          </w:divBdr>
        </w:div>
        <w:div w:id="915210984">
          <w:marLeft w:val="0"/>
          <w:marRight w:val="0"/>
          <w:marTop w:val="0"/>
          <w:marBottom w:val="0"/>
          <w:divBdr>
            <w:top w:val="none" w:sz="0" w:space="0" w:color="auto"/>
            <w:left w:val="none" w:sz="0" w:space="0" w:color="auto"/>
            <w:bottom w:val="none" w:sz="0" w:space="0" w:color="auto"/>
            <w:right w:val="none" w:sz="0" w:space="0" w:color="auto"/>
          </w:divBdr>
        </w:div>
        <w:div w:id="946233065">
          <w:marLeft w:val="0"/>
          <w:marRight w:val="0"/>
          <w:marTop w:val="0"/>
          <w:marBottom w:val="0"/>
          <w:divBdr>
            <w:top w:val="none" w:sz="0" w:space="0" w:color="auto"/>
            <w:left w:val="none" w:sz="0" w:space="0" w:color="auto"/>
            <w:bottom w:val="none" w:sz="0" w:space="0" w:color="auto"/>
            <w:right w:val="none" w:sz="0" w:space="0" w:color="auto"/>
          </w:divBdr>
        </w:div>
        <w:div w:id="970862230">
          <w:marLeft w:val="0"/>
          <w:marRight w:val="0"/>
          <w:marTop w:val="0"/>
          <w:marBottom w:val="0"/>
          <w:divBdr>
            <w:top w:val="none" w:sz="0" w:space="0" w:color="auto"/>
            <w:left w:val="none" w:sz="0" w:space="0" w:color="auto"/>
            <w:bottom w:val="none" w:sz="0" w:space="0" w:color="auto"/>
            <w:right w:val="none" w:sz="0" w:space="0" w:color="auto"/>
          </w:divBdr>
        </w:div>
        <w:div w:id="989476472">
          <w:marLeft w:val="0"/>
          <w:marRight w:val="0"/>
          <w:marTop w:val="0"/>
          <w:marBottom w:val="0"/>
          <w:divBdr>
            <w:top w:val="none" w:sz="0" w:space="0" w:color="auto"/>
            <w:left w:val="none" w:sz="0" w:space="0" w:color="auto"/>
            <w:bottom w:val="none" w:sz="0" w:space="0" w:color="auto"/>
            <w:right w:val="none" w:sz="0" w:space="0" w:color="auto"/>
          </w:divBdr>
        </w:div>
        <w:div w:id="989940679">
          <w:marLeft w:val="0"/>
          <w:marRight w:val="0"/>
          <w:marTop w:val="0"/>
          <w:marBottom w:val="0"/>
          <w:divBdr>
            <w:top w:val="none" w:sz="0" w:space="0" w:color="auto"/>
            <w:left w:val="none" w:sz="0" w:space="0" w:color="auto"/>
            <w:bottom w:val="none" w:sz="0" w:space="0" w:color="auto"/>
            <w:right w:val="none" w:sz="0" w:space="0" w:color="auto"/>
          </w:divBdr>
        </w:div>
        <w:div w:id="1014309274">
          <w:marLeft w:val="0"/>
          <w:marRight w:val="0"/>
          <w:marTop w:val="0"/>
          <w:marBottom w:val="0"/>
          <w:divBdr>
            <w:top w:val="none" w:sz="0" w:space="0" w:color="auto"/>
            <w:left w:val="none" w:sz="0" w:space="0" w:color="auto"/>
            <w:bottom w:val="none" w:sz="0" w:space="0" w:color="auto"/>
            <w:right w:val="none" w:sz="0" w:space="0" w:color="auto"/>
          </w:divBdr>
        </w:div>
        <w:div w:id="1040714396">
          <w:marLeft w:val="0"/>
          <w:marRight w:val="0"/>
          <w:marTop w:val="0"/>
          <w:marBottom w:val="0"/>
          <w:divBdr>
            <w:top w:val="none" w:sz="0" w:space="0" w:color="auto"/>
            <w:left w:val="none" w:sz="0" w:space="0" w:color="auto"/>
            <w:bottom w:val="none" w:sz="0" w:space="0" w:color="auto"/>
            <w:right w:val="none" w:sz="0" w:space="0" w:color="auto"/>
          </w:divBdr>
        </w:div>
        <w:div w:id="1043291527">
          <w:marLeft w:val="0"/>
          <w:marRight w:val="0"/>
          <w:marTop w:val="0"/>
          <w:marBottom w:val="0"/>
          <w:divBdr>
            <w:top w:val="none" w:sz="0" w:space="0" w:color="auto"/>
            <w:left w:val="none" w:sz="0" w:space="0" w:color="auto"/>
            <w:bottom w:val="none" w:sz="0" w:space="0" w:color="auto"/>
            <w:right w:val="none" w:sz="0" w:space="0" w:color="auto"/>
          </w:divBdr>
        </w:div>
        <w:div w:id="1046642625">
          <w:marLeft w:val="0"/>
          <w:marRight w:val="0"/>
          <w:marTop w:val="0"/>
          <w:marBottom w:val="0"/>
          <w:divBdr>
            <w:top w:val="none" w:sz="0" w:space="0" w:color="auto"/>
            <w:left w:val="none" w:sz="0" w:space="0" w:color="auto"/>
            <w:bottom w:val="none" w:sz="0" w:space="0" w:color="auto"/>
            <w:right w:val="none" w:sz="0" w:space="0" w:color="auto"/>
          </w:divBdr>
        </w:div>
        <w:div w:id="1047099184">
          <w:marLeft w:val="0"/>
          <w:marRight w:val="0"/>
          <w:marTop w:val="0"/>
          <w:marBottom w:val="0"/>
          <w:divBdr>
            <w:top w:val="none" w:sz="0" w:space="0" w:color="auto"/>
            <w:left w:val="none" w:sz="0" w:space="0" w:color="auto"/>
            <w:bottom w:val="none" w:sz="0" w:space="0" w:color="auto"/>
            <w:right w:val="none" w:sz="0" w:space="0" w:color="auto"/>
          </w:divBdr>
        </w:div>
        <w:div w:id="1052121493">
          <w:marLeft w:val="0"/>
          <w:marRight w:val="0"/>
          <w:marTop w:val="0"/>
          <w:marBottom w:val="0"/>
          <w:divBdr>
            <w:top w:val="none" w:sz="0" w:space="0" w:color="auto"/>
            <w:left w:val="none" w:sz="0" w:space="0" w:color="auto"/>
            <w:bottom w:val="none" w:sz="0" w:space="0" w:color="auto"/>
            <w:right w:val="none" w:sz="0" w:space="0" w:color="auto"/>
          </w:divBdr>
        </w:div>
        <w:div w:id="1065447547">
          <w:marLeft w:val="0"/>
          <w:marRight w:val="0"/>
          <w:marTop w:val="0"/>
          <w:marBottom w:val="0"/>
          <w:divBdr>
            <w:top w:val="none" w:sz="0" w:space="0" w:color="auto"/>
            <w:left w:val="none" w:sz="0" w:space="0" w:color="auto"/>
            <w:bottom w:val="none" w:sz="0" w:space="0" w:color="auto"/>
            <w:right w:val="none" w:sz="0" w:space="0" w:color="auto"/>
          </w:divBdr>
        </w:div>
        <w:div w:id="1067454892">
          <w:marLeft w:val="0"/>
          <w:marRight w:val="0"/>
          <w:marTop w:val="0"/>
          <w:marBottom w:val="0"/>
          <w:divBdr>
            <w:top w:val="none" w:sz="0" w:space="0" w:color="auto"/>
            <w:left w:val="none" w:sz="0" w:space="0" w:color="auto"/>
            <w:bottom w:val="none" w:sz="0" w:space="0" w:color="auto"/>
            <w:right w:val="none" w:sz="0" w:space="0" w:color="auto"/>
          </w:divBdr>
        </w:div>
        <w:div w:id="1097093700">
          <w:marLeft w:val="0"/>
          <w:marRight w:val="0"/>
          <w:marTop w:val="0"/>
          <w:marBottom w:val="0"/>
          <w:divBdr>
            <w:top w:val="none" w:sz="0" w:space="0" w:color="auto"/>
            <w:left w:val="none" w:sz="0" w:space="0" w:color="auto"/>
            <w:bottom w:val="none" w:sz="0" w:space="0" w:color="auto"/>
            <w:right w:val="none" w:sz="0" w:space="0" w:color="auto"/>
          </w:divBdr>
        </w:div>
        <w:div w:id="1144153980">
          <w:marLeft w:val="0"/>
          <w:marRight w:val="0"/>
          <w:marTop w:val="0"/>
          <w:marBottom w:val="0"/>
          <w:divBdr>
            <w:top w:val="none" w:sz="0" w:space="0" w:color="auto"/>
            <w:left w:val="none" w:sz="0" w:space="0" w:color="auto"/>
            <w:bottom w:val="none" w:sz="0" w:space="0" w:color="auto"/>
            <w:right w:val="none" w:sz="0" w:space="0" w:color="auto"/>
          </w:divBdr>
        </w:div>
        <w:div w:id="1178234195">
          <w:marLeft w:val="0"/>
          <w:marRight w:val="0"/>
          <w:marTop w:val="0"/>
          <w:marBottom w:val="0"/>
          <w:divBdr>
            <w:top w:val="none" w:sz="0" w:space="0" w:color="auto"/>
            <w:left w:val="none" w:sz="0" w:space="0" w:color="auto"/>
            <w:bottom w:val="none" w:sz="0" w:space="0" w:color="auto"/>
            <w:right w:val="none" w:sz="0" w:space="0" w:color="auto"/>
          </w:divBdr>
        </w:div>
        <w:div w:id="1191652486">
          <w:marLeft w:val="0"/>
          <w:marRight w:val="0"/>
          <w:marTop w:val="0"/>
          <w:marBottom w:val="0"/>
          <w:divBdr>
            <w:top w:val="none" w:sz="0" w:space="0" w:color="auto"/>
            <w:left w:val="none" w:sz="0" w:space="0" w:color="auto"/>
            <w:bottom w:val="none" w:sz="0" w:space="0" w:color="auto"/>
            <w:right w:val="none" w:sz="0" w:space="0" w:color="auto"/>
          </w:divBdr>
        </w:div>
        <w:div w:id="1205875456">
          <w:marLeft w:val="0"/>
          <w:marRight w:val="0"/>
          <w:marTop w:val="0"/>
          <w:marBottom w:val="0"/>
          <w:divBdr>
            <w:top w:val="none" w:sz="0" w:space="0" w:color="auto"/>
            <w:left w:val="none" w:sz="0" w:space="0" w:color="auto"/>
            <w:bottom w:val="none" w:sz="0" w:space="0" w:color="auto"/>
            <w:right w:val="none" w:sz="0" w:space="0" w:color="auto"/>
          </w:divBdr>
        </w:div>
        <w:div w:id="1233348236">
          <w:marLeft w:val="0"/>
          <w:marRight w:val="0"/>
          <w:marTop w:val="0"/>
          <w:marBottom w:val="0"/>
          <w:divBdr>
            <w:top w:val="none" w:sz="0" w:space="0" w:color="auto"/>
            <w:left w:val="none" w:sz="0" w:space="0" w:color="auto"/>
            <w:bottom w:val="none" w:sz="0" w:space="0" w:color="auto"/>
            <w:right w:val="none" w:sz="0" w:space="0" w:color="auto"/>
          </w:divBdr>
        </w:div>
        <w:div w:id="1244609452">
          <w:marLeft w:val="0"/>
          <w:marRight w:val="0"/>
          <w:marTop w:val="0"/>
          <w:marBottom w:val="0"/>
          <w:divBdr>
            <w:top w:val="none" w:sz="0" w:space="0" w:color="auto"/>
            <w:left w:val="none" w:sz="0" w:space="0" w:color="auto"/>
            <w:bottom w:val="none" w:sz="0" w:space="0" w:color="auto"/>
            <w:right w:val="none" w:sz="0" w:space="0" w:color="auto"/>
          </w:divBdr>
        </w:div>
        <w:div w:id="1282149277">
          <w:marLeft w:val="0"/>
          <w:marRight w:val="0"/>
          <w:marTop w:val="0"/>
          <w:marBottom w:val="0"/>
          <w:divBdr>
            <w:top w:val="none" w:sz="0" w:space="0" w:color="auto"/>
            <w:left w:val="none" w:sz="0" w:space="0" w:color="auto"/>
            <w:bottom w:val="none" w:sz="0" w:space="0" w:color="auto"/>
            <w:right w:val="none" w:sz="0" w:space="0" w:color="auto"/>
          </w:divBdr>
        </w:div>
        <w:div w:id="1311714414">
          <w:marLeft w:val="0"/>
          <w:marRight w:val="0"/>
          <w:marTop w:val="0"/>
          <w:marBottom w:val="0"/>
          <w:divBdr>
            <w:top w:val="none" w:sz="0" w:space="0" w:color="auto"/>
            <w:left w:val="none" w:sz="0" w:space="0" w:color="auto"/>
            <w:bottom w:val="none" w:sz="0" w:space="0" w:color="auto"/>
            <w:right w:val="none" w:sz="0" w:space="0" w:color="auto"/>
          </w:divBdr>
        </w:div>
        <w:div w:id="1320839943">
          <w:marLeft w:val="0"/>
          <w:marRight w:val="0"/>
          <w:marTop w:val="0"/>
          <w:marBottom w:val="0"/>
          <w:divBdr>
            <w:top w:val="none" w:sz="0" w:space="0" w:color="auto"/>
            <w:left w:val="none" w:sz="0" w:space="0" w:color="auto"/>
            <w:bottom w:val="none" w:sz="0" w:space="0" w:color="auto"/>
            <w:right w:val="none" w:sz="0" w:space="0" w:color="auto"/>
          </w:divBdr>
        </w:div>
        <w:div w:id="1334063513">
          <w:marLeft w:val="0"/>
          <w:marRight w:val="0"/>
          <w:marTop w:val="0"/>
          <w:marBottom w:val="0"/>
          <w:divBdr>
            <w:top w:val="none" w:sz="0" w:space="0" w:color="auto"/>
            <w:left w:val="none" w:sz="0" w:space="0" w:color="auto"/>
            <w:bottom w:val="none" w:sz="0" w:space="0" w:color="auto"/>
            <w:right w:val="none" w:sz="0" w:space="0" w:color="auto"/>
          </w:divBdr>
        </w:div>
        <w:div w:id="1348294694">
          <w:marLeft w:val="0"/>
          <w:marRight w:val="0"/>
          <w:marTop w:val="0"/>
          <w:marBottom w:val="0"/>
          <w:divBdr>
            <w:top w:val="none" w:sz="0" w:space="0" w:color="auto"/>
            <w:left w:val="none" w:sz="0" w:space="0" w:color="auto"/>
            <w:bottom w:val="none" w:sz="0" w:space="0" w:color="auto"/>
            <w:right w:val="none" w:sz="0" w:space="0" w:color="auto"/>
          </w:divBdr>
        </w:div>
        <w:div w:id="1350062605">
          <w:marLeft w:val="0"/>
          <w:marRight w:val="0"/>
          <w:marTop w:val="0"/>
          <w:marBottom w:val="0"/>
          <w:divBdr>
            <w:top w:val="none" w:sz="0" w:space="0" w:color="auto"/>
            <w:left w:val="none" w:sz="0" w:space="0" w:color="auto"/>
            <w:bottom w:val="none" w:sz="0" w:space="0" w:color="auto"/>
            <w:right w:val="none" w:sz="0" w:space="0" w:color="auto"/>
          </w:divBdr>
        </w:div>
        <w:div w:id="1361511316">
          <w:marLeft w:val="0"/>
          <w:marRight w:val="0"/>
          <w:marTop w:val="0"/>
          <w:marBottom w:val="0"/>
          <w:divBdr>
            <w:top w:val="none" w:sz="0" w:space="0" w:color="auto"/>
            <w:left w:val="none" w:sz="0" w:space="0" w:color="auto"/>
            <w:bottom w:val="none" w:sz="0" w:space="0" w:color="auto"/>
            <w:right w:val="none" w:sz="0" w:space="0" w:color="auto"/>
          </w:divBdr>
        </w:div>
        <w:div w:id="1389451256">
          <w:marLeft w:val="0"/>
          <w:marRight w:val="0"/>
          <w:marTop w:val="0"/>
          <w:marBottom w:val="0"/>
          <w:divBdr>
            <w:top w:val="none" w:sz="0" w:space="0" w:color="auto"/>
            <w:left w:val="none" w:sz="0" w:space="0" w:color="auto"/>
            <w:bottom w:val="none" w:sz="0" w:space="0" w:color="auto"/>
            <w:right w:val="none" w:sz="0" w:space="0" w:color="auto"/>
          </w:divBdr>
        </w:div>
        <w:div w:id="1405833753">
          <w:marLeft w:val="0"/>
          <w:marRight w:val="0"/>
          <w:marTop w:val="0"/>
          <w:marBottom w:val="0"/>
          <w:divBdr>
            <w:top w:val="none" w:sz="0" w:space="0" w:color="auto"/>
            <w:left w:val="none" w:sz="0" w:space="0" w:color="auto"/>
            <w:bottom w:val="none" w:sz="0" w:space="0" w:color="auto"/>
            <w:right w:val="none" w:sz="0" w:space="0" w:color="auto"/>
          </w:divBdr>
        </w:div>
        <w:div w:id="1426994306">
          <w:marLeft w:val="0"/>
          <w:marRight w:val="0"/>
          <w:marTop w:val="0"/>
          <w:marBottom w:val="0"/>
          <w:divBdr>
            <w:top w:val="none" w:sz="0" w:space="0" w:color="auto"/>
            <w:left w:val="none" w:sz="0" w:space="0" w:color="auto"/>
            <w:bottom w:val="none" w:sz="0" w:space="0" w:color="auto"/>
            <w:right w:val="none" w:sz="0" w:space="0" w:color="auto"/>
          </w:divBdr>
        </w:div>
        <w:div w:id="1443921635">
          <w:marLeft w:val="0"/>
          <w:marRight w:val="0"/>
          <w:marTop w:val="0"/>
          <w:marBottom w:val="0"/>
          <w:divBdr>
            <w:top w:val="none" w:sz="0" w:space="0" w:color="auto"/>
            <w:left w:val="none" w:sz="0" w:space="0" w:color="auto"/>
            <w:bottom w:val="none" w:sz="0" w:space="0" w:color="auto"/>
            <w:right w:val="none" w:sz="0" w:space="0" w:color="auto"/>
          </w:divBdr>
        </w:div>
        <w:div w:id="1477525538">
          <w:marLeft w:val="0"/>
          <w:marRight w:val="0"/>
          <w:marTop w:val="0"/>
          <w:marBottom w:val="0"/>
          <w:divBdr>
            <w:top w:val="none" w:sz="0" w:space="0" w:color="auto"/>
            <w:left w:val="none" w:sz="0" w:space="0" w:color="auto"/>
            <w:bottom w:val="none" w:sz="0" w:space="0" w:color="auto"/>
            <w:right w:val="none" w:sz="0" w:space="0" w:color="auto"/>
          </w:divBdr>
        </w:div>
        <w:div w:id="1487744971">
          <w:marLeft w:val="0"/>
          <w:marRight w:val="0"/>
          <w:marTop w:val="0"/>
          <w:marBottom w:val="0"/>
          <w:divBdr>
            <w:top w:val="none" w:sz="0" w:space="0" w:color="auto"/>
            <w:left w:val="none" w:sz="0" w:space="0" w:color="auto"/>
            <w:bottom w:val="none" w:sz="0" w:space="0" w:color="auto"/>
            <w:right w:val="none" w:sz="0" w:space="0" w:color="auto"/>
          </w:divBdr>
        </w:div>
        <w:div w:id="1527786739">
          <w:marLeft w:val="0"/>
          <w:marRight w:val="0"/>
          <w:marTop w:val="0"/>
          <w:marBottom w:val="0"/>
          <w:divBdr>
            <w:top w:val="none" w:sz="0" w:space="0" w:color="auto"/>
            <w:left w:val="none" w:sz="0" w:space="0" w:color="auto"/>
            <w:bottom w:val="none" w:sz="0" w:space="0" w:color="auto"/>
            <w:right w:val="none" w:sz="0" w:space="0" w:color="auto"/>
          </w:divBdr>
        </w:div>
        <w:div w:id="1581980465">
          <w:marLeft w:val="0"/>
          <w:marRight w:val="0"/>
          <w:marTop w:val="0"/>
          <w:marBottom w:val="0"/>
          <w:divBdr>
            <w:top w:val="none" w:sz="0" w:space="0" w:color="auto"/>
            <w:left w:val="none" w:sz="0" w:space="0" w:color="auto"/>
            <w:bottom w:val="none" w:sz="0" w:space="0" w:color="auto"/>
            <w:right w:val="none" w:sz="0" w:space="0" w:color="auto"/>
          </w:divBdr>
        </w:div>
        <w:div w:id="1650356154">
          <w:marLeft w:val="0"/>
          <w:marRight w:val="0"/>
          <w:marTop w:val="0"/>
          <w:marBottom w:val="0"/>
          <w:divBdr>
            <w:top w:val="none" w:sz="0" w:space="0" w:color="auto"/>
            <w:left w:val="none" w:sz="0" w:space="0" w:color="auto"/>
            <w:bottom w:val="none" w:sz="0" w:space="0" w:color="auto"/>
            <w:right w:val="none" w:sz="0" w:space="0" w:color="auto"/>
          </w:divBdr>
        </w:div>
        <w:div w:id="1659922588">
          <w:marLeft w:val="0"/>
          <w:marRight w:val="0"/>
          <w:marTop w:val="0"/>
          <w:marBottom w:val="0"/>
          <w:divBdr>
            <w:top w:val="none" w:sz="0" w:space="0" w:color="auto"/>
            <w:left w:val="none" w:sz="0" w:space="0" w:color="auto"/>
            <w:bottom w:val="none" w:sz="0" w:space="0" w:color="auto"/>
            <w:right w:val="none" w:sz="0" w:space="0" w:color="auto"/>
          </w:divBdr>
        </w:div>
        <w:div w:id="1669363055">
          <w:marLeft w:val="0"/>
          <w:marRight w:val="0"/>
          <w:marTop w:val="0"/>
          <w:marBottom w:val="0"/>
          <w:divBdr>
            <w:top w:val="none" w:sz="0" w:space="0" w:color="auto"/>
            <w:left w:val="none" w:sz="0" w:space="0" w:color="auto"/>
            <w:bottom w:val="none" w:sz="0" w:space="0" w:color="auto"/>
            <w:right w:val="none" w:sz="0" w:space="0" w:color="auto"/>
          </w:divBdr>
        </w:div>
        <w:div w:id="1687058240">
          <w:marLeft w:val="0"/>
          <w:marRight w:val="0"/>
          <w:marTop w:val="0"/>
          <w:marBottom w:val="0"/>
          <w:divBdr>
            <w:top w:val="none" w:sz="0" w:space="0" w:color="auto"/>
            <w:left w:val="none" w:sz="0" w:space="0" w:color="auto"/>
            <w:bottom w:val="none" w:sz="0" w:space="0" w:color="auto"/>
            <w:right w:val="none" w:sz="0" w:space="0" w:color="auto"/>
          </w:divBdr>
        </w:div>
        <w:div w:id="1689790600">
          <w:marLeft w:val="0"/>
          <w:marRight w:val="0"/>
          <w:marTop w:val="0"/>
          <w:marBottom w:val="0"/>
          <w:divBdr>
            <w:top w:val="none" w:sz="0" w:space="0" w:color="auto"/>
            <w:left w:val="none" w:sz="0" w:space="0" w:color="auto"/>
            <w:bottom w:val="none" w:sz="0" w:space="0" w:color="auto"/>
            <w:right w:val="none" w:sz="0" w:space="0" w:color="auto"/>
          </w:divBdr>
        </w:div>
        <w:div w:id="1715079233">
          <w:marLeft w:val="0"/>
          <w:marRight w:val="0"/>
          <w:marTop w:val="0"/>
          <w:marBottom w:val="0"/>
          <w:divBdr>
            <w:top w:val="none" w:sz="0" w:space="0" w:color="auto"/>
            <w:left w:val="none" w:sz="0" w:space="0" w:color="auto"/>
            <w:bottom w:val="none" w:sz="0" w:space="0" w:color="auto"/>
            <w:right w:val="none" w:sz="0" w:space="0" w:color="auto"/>
          </w:divBdr>
        </w:div>
        <w:div w:id="1725450111">
          <w:marLeft w:val="0"/>
          <w:marRight w:val="0"/>
          <w:marTop w:val="0"/>
          <w:marBottom w:val="0"/>
          <w:divBdr>
            <w:top w:val="none" w:sz="0" w:space="0" w:color="auto"/>
            <w:left w:val="none" w:sz="0" w:space="0" w:color="auto"/>
            <w:bottom w:val="none" w:sz="0" w:space="0" w:color="auto"/>
            <w:right w:val="none" w:sz="0" w:space="0" w:color="auto"/>
          </w:divBdr>
        </w:div>
        <w:div w:id="1753627516">
          <w:marLeft w:val="0"/>
          <w:marRight w:val="0"/>
          <w:marTop w:val="0"/>
          <w:marBottom w:val="0"/>
          <w:divBdr>
            <w:top w:val="none" w:sz="0" w:space="0" w:color="auto"/>
            <w:left w:val="none" w:sz="0" w:space="0" w:color="auto"/>
            <w:bottom w:val="none" w:sz="0" w:space="0" w:color="auto"/>
            <w:right w:val="none" w:sz="0" w:space="0" w:color="auto"/>
          </w:divBdr>
        </w:div>
        <w:div w:id="1785342806">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1797674029">
          <w:marLeft w:val="0"/>
          <w:marRight w:val="0"/>
          <w:marTop w:val="0"/>
          <w:marBottom w:val="0"/>
          <w:divBdr>
            <w:top w:val="none" w:sz="0" w:space="0" w:color="auto"/>
            <w:left w:val="none" w:sz="0" w:space="0" w:color="auto"/>
            <w:bottom w:val="none" w:sz="0" w:space="0" w:color="auto"/>
            <w:right w:val="none" w:sz="0" w:space="0" w:color="auto"/>
          </w:divBdr>
        </w:div>
        <w:div w:id="1798721374">
          <w:marLeft w:val="0"/>
          <w:marRight w:val="0"/>
          <w:marTop w:val="0"/>
          <w:marBottom w:val="0"/>
          <w:divBdr>
            <w:top w:val="none" w:sz="0" w:space="0" w:color="auto"/>
            <w:left w:val="none" w:sz="0" w:space="0" w:color="auto"/>
            <w:bottom w:val="none" w:sz="0" w:space="0" w:color="auto"/>
            <w:right w:val="none" w:sz="0" w:space="0" w:color="auto"/>
          </w:divBdr>
        </w:div>
        <w:div w:id="1803570276">
          <w:marLeft w:val="0"/>
          <w:marRight w:val="0"/>
          <w:marTop w:val="0"/>
          <w:marBottom w:val="0"/>
          <w:divBdr>
            <w:top w:val="none" w:sz="0" w:space="0" w:color="auto"/>
            <w:left w:val="none" w:sz="0" w:space="0" w:color="auto"/>
            <w:bottom w:val="none" w:sz="0" w:space="0" w:color="auto"/>
            <w:right w:val="none" w:sz="0" w:space="0" w:color="auto"/>
          </w:divBdr>
        </w:div>
        <w:div w:id="1852992953">
          <w:marLeft w:val="0"/>
          <w:marRight w:val="0"/>
          <w:marTop w:val="0"/>
          <w:marBottom w:val="0"/>
          <w:divBdr>
            <w:top w:val="none" w:sz="0" w:space="0" w:color="auto"/>
            <w:left w:val="none" w:sz="0" w:space="0" w:color="auto"/>
            <w:bottom w:val="none" w:sz="0" w:space="0" w:color="auto"/>
            <w:right w:val="none" w:sz="0" w:space="0" w:color="auto"/>
          </w:divBdr>
        </w:div>
        <w:div w:id="1861822002">
          <w:marLeft w:val="0"/>
          <w:marRight w:val="0"/>
          <w:marTop w:val="0"/>
          <w:marBottom w:val="0"/>
          <w:divBdr>
            <w:top w:val="none" w:sz="0" w:space="0" w:color="auto"/>
            <w:left w:val="none" w:sz="0" w:space="0" w:color="auto"/>
            <w:bottom w:val="none" w:sz="0" w:space="0" w:color="auto"/>
            <w:right w:val="none" w:sz="0" w:space="0" w:color="auto"/>
          </w:divBdr>
        </w:div>
        <w:div w:id="1873298579">
          <w:marLeft w:val="0"/>
          <w:marRight w:val="0"/>
          <w:marTop w:val="0"/>
          <w:marBottom w:val="0"/>
          <w:divBdr>
            <w:top w:val="none" w:sz="0" w:space="0" w:color="auto"/>
            <w:left w:val="none" w:sz="0" w:space="0" w:color="auto"/>
            <w:bottom w:val="none" w:sz="0" w:space="0" w:color="auto"/>
            <w:right w:val="none" w:sz="0" w:space="0" w:color="auto"/>
          </w:divBdr>
        </w:div>
        <w:div w:id="1893149405">
          <w:marLeft w:val="0"/>
          <w:marRight w:val="0"/>
          <w:marTop w:val="0"/>
          <w:marBottom w:val="0"/>
          <w:divBdr>
            <w:top w:val="none" w:sz="0" w:space="0" w:color="auto"/>
            <w:left w:val="none" w:sz="0" w:space="0" w:color="auto"/>
            <w:bottom w:val="none" w:sz="0" w:space="0" w:color="auto"/>
            <w:right w:val="none" w:sz="0" w:space="0" w:color="auto"/>
          </w:divBdr>
        </w:div>
        <w:div w:id="1897544229">
          <w:marLeft w:val="0"/>
          <w:marRight w:val="0"/>
          <w:marTop w:val="0"/>
          <w:marBottom w:val="0"/>
          <w:divBdr>
            <w:top w:val="none" w:sz="0" w:space="0" w:color="auto"/>
            <w:left w:val="none" w:sz="0" w:space="0" w:color="auto"/>
            <w:bottom w:val="none" w:sz="0" w:space="0" w:color="auto"/>
            <w:right w:val="none" w:sz="0" w:space="0" w:color="auto"/>
          </w:divBdr>
        </w:div>
        <w:div w:id="1906525498">
          <w:marLeft w:val="0"/>
          <w:marRight w:val="0"/>
          <w:marTop w:val="0"/>
          <w:marBottom w:val="0"/>
          <w:divBdr>
            <w:top w:val="none" w:sz="0" w:space="0" w:color="auto"/>
            <w:left w:val="none" w:sz="0" w:space="0" w:color="auto"/>
            <w:bottom w:val="none" w:sz="0" w:space="0" w:color="auto"/>
            <w:right w:val="none" w:sz="0" w:space="0" w:color="auto"/>
          </w:divBdr>
        </w:div>
        <w:div w:id="1925802384">
          <w:marLeft w:val="0"/>
          <w:marRight w:val="0"/>
          <w:marTop w:val="0"/>
          <w:marBottom w:val="0"/>
          <w:divBdr>
            <w:top w:val="none" w:sz="0" w:space="0" w:color="auto"/>
            <w:left w:val="none" w:sz="0" w:space="0" w:color="auto"/>
            <w:bottom w:val="none" w:sz="0" w:space="0" w:color="auto"/>
            <w:right w:val="none" w:sz="0" w:space="0" w:color="auto"/>
          </w:divBdr>
        </w:div>
        <w:div w:id="1931113378">
          <w:marLeft w:val="0"/>
          <w:marRight w:val="0"/>
          <w:marTop w:val="0"/>
          <w:marBottom w:val="0"/>
          <w:divBdr>
            <w:top w:val="none" w:sz="0" w:space="0" w:color="auto"/>
            <w:left w:val="none" w:sz="0" w:space="0" w:color="auto"/>
            <w:bottom w:val="none" w:sz="0" w:space="0" w:color="auto"/>
            <w:right w:val="none" w:sz="0" w:space="0" w:color="auto"/>
          </w:divBdr>
        </w:div>
        <w:div w:id="1931499641">
          <w:marLeft w:val="0"/>
          <w:marRight w:val="0"/>
          <w:marTop w:val="0"/>
          <w:marBottom w:val="0"/>
          <w:divBdr>
            <w:top w:val="none" w:sz="0" w:space="0" w:color="auto"/>
            <w:left w:val="none" w:sz="0" w:space="0" w:color="auto"/>
            <w:bottom w:val="none" w:sz="0" w:space="0" w:color="auto"/>
            <w:right w:val="none" w:sz="0" w:space="0" w:color="auto"/>
          </w:divBdr>
        </w:div>
        <w:div w:id="1989624497">
          <w:marLeft w:val="0"/>
          <w:marRight w:val="0"/>
          <w:marTop w:val="0"/>
          <w:marBottom w:val="0"/>
          <w:divBdr>
            <w:top w:val="none" w:sz="0" w:space="0" w:color="auto"/>
            <w:left w:val="none" w:sz="0" w:space="0" w:color="auto"/>
            <w:bottom w:val="none" w:sz="0" w:space="0" w:color="auto"/>
            <w:right w:val="none" w:sz="0" w:space="0" w:color="auto"/>
          </w:divBdr>
        </w:div>
        <w:div w:id="2002730055">
          <w:marLeft w:val="0"/>
          <w:marRight w:val="0"/>
          <w:marTop w:val="0"/>
          <w:marBottom w:val="0"/>
          <w:divBdr>
            <w:top w:val="none" w:sz="0" w:space="0" w:color="auto"/>
            <w:left w:val="none" w:sz="0" w:space="0" w:color="auto"/>
            <w:bottom w:val="none" w:sz="0" w:space="0" w:color="auto"/>
            <w:right w:val="none" w:sz="0" w:space="0" w:color="auto"/>
          </w:divBdr>
        </w:div>
        <w:div w:id="2055616438">
          <w:marLeft w:val="0"/>
          <w:marRight w:val="0"/>
          <w:marTop w:val="0"/>
          <w:marBottom w:val="0"/>
          <w:divBdr>
            <w:top w:val="none" w:sz="0" w:space="0" w:color="auto"/>
            <w:left w:val="none" w:sz="0" w:space="0" w:color="auto"/>
            <w:bottom w:val="none" w:sz="0" w:space="0" w:color="auto"/>
            <w:right w:val="none" w:sz="0" w:space="0" w:color="auto"/>
          </w:divBdr>
        </w:div>
        <w:div w:id="2122725861">
          <w:marLeft w:val="0"/>
          <w:marRight w:val="0"/>
          <w:marTop w:val="0"/>
          <w:marBottom w:val="0"/>
          <w:divBdr>
            <w:top w:val="none" w:sz="0" w:space="0" w:color="auto"/>
            <w:left w:val="none" w:sz="0" w:space="0" w:color="auto"/>
            <w:bottom w:val="none" w:sz="0" w:space="0" w:color="auto"/>
            <w:right w:val="none" w:sz="0" w:space="0" w:color="auto"/>
          </w:divBdr>
        </w:div>
        <w:div w:id="2128429818">
          <w:marLeft w:val="0"/>
          <w:marRight w:val="0"/>
          <w:marTop w:val="0"/>
          <w:marBottom w:val="0"/>
          <w:divBdr>
            <w:top w:val="none" w:sz="0" w:space="0" w:color="auto"/>
            <w:left w:val="none" w:sz="0" w:space="0" w:color="auto"/>
            <w:bottom w:val="none" w:sz="0" w:space="0" w:color="auto"/>
            <w:right w:val="none" w:sz="0" w:space="0" w:color="auto"/>
          </w:divBdr>
        </w:div>
        <w:div w:id="2142189298">
          <w:marLeft w:val="0"/>
          <w:marRight w:val="0"/>
          <w:marTop w:val="0"/>
          <w:marBottom w:val="0"/>
          <w:divBdr>
            <w:top w:val="none" w:sz="0" w:space="0" w:color="auto"/>
            <w:left w:val="none" w:sz="0" w:space="0" w:color="auto"/>
            <w:bottom w:val="none" w:sz="0" w:space="0" w:color="auto"/>
            <w:right w:val="none" w:sz="0" w:space="0" w:color="auto"/>
          </w:divBdr>
        </w:div>
      </w:divsChild>
    </w:div>
    <w:div w:id="1923367751">
      <w:bodyDiv w:val="1"/>
      <w:marLeft w:val="0"/>
      <w:marRight w:val="0"/>
      <w:marTop w:val="0"/>
      <w:marBottom w:val="0"/>
      <w:divBdr>
        <w:top w:val="none" w:sz="0" w:space="0" w:color="auto"/>
        <w:left w:val="none" w:sz="0" w:space="0" w:color="auto"/>
        <w:bottom w:val="none" w:sz="0" w:space="0" w:color="auto"/>
        <w:right w:val="none" w:sz="0" w:space="0" w:color="auto"/>
      </w:divBdr>
    </w:div>
    <w:div w:id="1989287158">
      <w:bodyDiv w:val="1"/>
      <w:marLeft w:val="0"/>
      <w:marRight w:val="0"/>
      <w:marTop w:val="0"/>
      <w:marBottom w:val="0"/>
      <w:divBdr>
        <w:top w:val="none" w:sz="0" w:space="0" w:color="auto"/>
        <w:left w:val="none" w:sz="0" w:space="0" w:color="auto"/>
        <w:bottom w:val="none" w:sz="0" w:space="0" w:color="auto"/>
        <w:right w:val="none" w:sz="0" w:space="0" w:color="auto"/>
      </w:divBdr>
    </w:div>
    <w:div w:id="2021161151">
      <w:bodyDiv w:val="1"/>
      <w:marLeft w:val="0"/>
      <w:marRight w:val="0"/>
      <w:marTop w:val="0"/>
      <w:marBottom w:val="0"/>
      <w:divBdr>
        <w:top w:val="none" w:sz="0" w:space="0" w:color="auto"/>
        <w:left w:val="none" w:sz="0" w:space="0" w:color="auto"/>
        <w:bottom w:val="none" w:sz="0" w:space="0" w:color="auto"/>
        <w:right w:val="none" w:sz="0" w:space="0" w:color="auto"/>
      </w:divBdr>
    </w:div>
    <w:div w:id="2035688315">
      <w:bodyDiv w:val="1"/>
      <w:marLeft w:val="0"/>
      <w:marRight w:val="0"/>
      <w:marTop w:val="0"/>
      <w:marBottom w:val="0"/>
      <w:divBdr>
        <w:top w:val="none" w:sz="0" w:space="0" w:color="auto"/>
        <w:left w:val="none" w:sz="0" w:space="0" w:color="auto"/>
        <w:bottom w:val="none" w:sz="0" w:space="0" w:color="auto"/>
        <w:right w:val="none" w:sz="0" w:space="0" w:color="auto"/>
      </w:divBdr>
    </w:div>
    <w:div w:id="2092966503">
      <w:bodyDiv w:val="1"/>
      <w:marLeft w:val="0"/>
      <w:marRight w:val="0"/>
      <w:marTop w:val="0"/>
      <w:marBottom w:val="0"/>
      <w:divBdr>
        <w:top w:val="none" w:sz="0" w:space="0" w:color="auto"/>
        <w:left w:val="none" w:sz="0" w:space="0" w:color="auto"/>
        <w:bottom w:val="none" w:sz="0" w:space="0" w:color="auto"/>
        <w:right w:val="none" w:sz="0" w:space="0" w:color="auto"/>
      </w:divBdr>
    </w:div>
    <w:div w:id="21462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swh.org.au/images/content/pdf/Cohort_summaries/ALSWH_1921-2_%20cohort_summary.pdf"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alswh.org.au/images/content/pdf/major_reports/2013_major%20report%20H.pdf" TargetMode="External"/><Relationship Id="rId21" Type="http://schemas.openxmlformats.org/officeDocument/2006/relationships/image" Target="media/image11.emf"/><Relationship Id="rId34" Type="http://schemas.openxmlformats.org/officeDocument/2006/relationships/image" Target="media/image24.png"/><Relationship Id="rId42" Type="http://schemas.openxmlformats.org/officeDocument/2006/relationships/hyperlink" Target="http://www.alswh.org.au/images/content/pdf/major_reports/2011_rural_remote_and_regional_differences_r163.pdf"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alswh.org.au/images/content/pdf/major_reports/Major%20Report%20K_final_20160914.pdf" TargetMode="External"/><Relationship Id="rId63" Type="http://schemas.openxmlformats.org/officeDocument/2006/relationships/hyperlink" Target="https://www.alswh.org.au/images/content/pdf/major_reports/2006_major_report_a.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emf"/><Relationship Id="rId25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hyperlink" Target="http://www.alswh.org.au/images/content/pdf/major_reports/2015%20ALSWH%20MRJ%20Final.pdf" TargetMode="External"/><Relationship Id="rId40" Type="http://schemas.openxmlformats.org/officeDocument/2006/relationships/hyperlink" Target="http://www.alswh.org.au/images/content/pdf/major_reports/2007_major_report_b.pdf" TargetMode="External"/><Relationship Id="rId45" Type="http://schemas.openxmlformats.org/officeDocument/2006/relationships/hyperlink" Target="http://www.ncbi.nlm.nih.gov/pubmed?term=Dobson%20A%5BAuthor%5D&amp;cauthor=true&amp;cauthor_uid=22032764" TargetMode="External"/><Relationship Id="rId53" Type="http://schemas.openxmlformats.org/officeDocument/2006/relationships/hyperlink" Target="https://www.alswh.org.au/images/content/pdf/Cohort_summaries/ALSWH_1921-2_%20cohort_summary.pdf" TargetMode="External"/><Relationship Id="rId58" Type="http://schemas.openxmlformats.org/officeDocument/2006/relationships/hyperlink" Target="https://www.alswh.org.au/images/content/pdf/major_reports/2012ALSWHMajorReportG.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hyperlink" Target="https://www.alswh.org.au/images/content/pdf/major_reports/Major_Report_2017_Lay_Summary_Web.pdf" TargetMode="External"/><Relationship Id="rId49" Type="http://schemas.openxmlformats.org/officeDocument/2006/relationships/footer" Target="footer1.xml"/><Relationship Id="rId57" Type="http://schemas.openxmlformats.org/officeDocument/2006/relationships/hyperlink" Target="https://www.alswh.org.au/images/content/pdf/major_reports/2013_major%20report%20H.pdf" TargetMode="External"/><Relationship Id="rId61" Type="http://schemas.openxmlformats.org/officeDocument/2006/relationships/hyperlink" Target="https://www.alswh.org.au/images/content/pdf/major_reports/2008_major_report_c_r144.pdf" TargetMode="External"/><Relationship Id="rId10" Type="http://schemas.openxmlformats.org/officeDocument/2006/relationships/hyperlink" Target="http://www.alswh.org.au/for-researchers/data/data-books" TargetMode="Externa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hyperlink" Target="http://www.ncbi.nlm.nih.gov/pubmed?term=Byles%20JE%5BAuthor%5D&amp;cauthor=true&amp;cauthor_uid=22032764" TargetMode="External"/><Relationship Id="rId52" Type="http://schemas.openxmlformats.org/officeDocument/2006/relationships/footer" Target="footer3.xml"/><Relationship Id="rId60" Type="http://schemas.openxmlformats.org/officeDocument/2006/relationships/hyperlink" Target="https://www.alswh.org.au/images/content/pdf/major_reports/2010_women_health_and_ageing_r161.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swh.org.au/images/content/pdf/Cohort_summaries/ALSWH_1921-2_%20cohort_summary.pdf" TargetMode="External"/><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hyperlink" Target="https://www.alswh.org.au/images/content/pdf/major_reports/ResearchSummary_2016-Major-Report.pdf" TargetMode="External"/><Relationship Id="rId43" Type="http://schemas.openxmlformats.org/officeDocument/2006/relationships/hyperlink" Target="http://www.health.gov.au/internet/main/publishing.nsf/content/continence-ncms-faecalmgmt.htm/$file/pjt23clinical.pdf" TargetMode="External"/><Relationship Id="rId48" Type="http://schemas.openxmlformats.org/officeDocument/2006/relationships/header" Target="header2.xml"/><Relationship Id="rId56" Type="http://schemas.openxmlformats.org/officeDocument/2006/relationships/hyperlink" Target="https://www.alswh.org.au/images/content/pdf/major_reports/2015%20ALSWH%20MRJ%20Final.pdf" TargetMode="External"/><Relationship Id="rId64"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hyperlink" Target="http://www.alswh.org.au/images/content/pdf/major_reports/2010_women_health_and_ageing_r161.pdf" TargetMode="External"/><Relationship Id="rId46" Type="http://schemas.openxmlformats.org/officeDocument/2006/relationships/hyperlink" Target="http://www.ncbi.nlm.nih.gov/pubmed?term=Australian%20Longitudinal%20Study%20on%20Women's%20Health%5BCorporate%20Author%5D" TargetMode="External"/><Relationship Id="rId59" Type="http://schemas.openxmlformats.org/officeDocument/2006/relationships/hyperlink" Target="https://www.alswh.org.au/images/content/pdf/major_reports/2011_rural_remote_and_regional_differences_r163.pdf" TargetMode="External"/><Relationship Id="rId20" Type="http://schemas.openxmlformats.org/officeDocument/2006/relationships/image" Target="media/image10.png"/><Relationship Id="rId41" Type="http://schemas.openxmlformats.org/officeDocument/2006/relationships/hyperlink" Target="http://www.alswh.org.au/images/content/pdf/major_reports/2008_major_report_c_r144.pdf" TargetMode="External"/><Relationship Id="rId54" Type="http://schemas.openxmlformats.org/officeDocument/2006/relationships/hyperlink" Target="https://www.alswh.org.au/images/content/pdf/major_reports/2017_ALSWH%20MRL%20Final.pdf" TargetMode="External"/><Relationship Id="rId62" Type="http://schemas.openxmlformats.org/officeDocument/2006/relationships/hyperlink" Target="https://www.alswh.org.au/images/content/pdf/major_reports/2007_major_report_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CFB4-49B4-4E44-B072-BD85FBFF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84</Pages>
  <Words>27323</Words>
  <Characters>155747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Longitudinal Study on Women's Health</dc:creator>
  <cp:keywords/>
  <dc:description/>
  <cp:lastModifiedBy>Christine Coleman</cp:lastModifiedBy>
  <cp:revision>11</cp:revision>
  <cp:lastPrinted>2018-11-21T01:37:00Z</cp:lastPrinted>
  <dcterms:created xsi:type="dcterms:W3CDTF">2018-11-16T05:11:00Z</dcterms:created>
  <dcterms:modified xsi:type="dcterms:W3CDTF">2018-11-21T01:41:00Z</dcterms:modified>
</cp:coreProperties>
</file>