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A2" w:rsidRDefault="007434A2" w:rsidP="007434A2">
      <w:pPr>
        <w:rPr>
          <w:b/>
          <w:bCs/>
        </w:rPr>
      </w:pPr>
    </w:p>
    <w:p w:rsidR="007434A2" w:rsidRDefault="007434A2" w:rsidP="007434A2">
      <w:pPr>
        <w:rPr>
          <w:b/>
          <w:bCs/>
          <w:sz w:val="23"/>
          <w:szCs w:val="23"/>
        </w:rPr>
      </w:pPr>
    </w:p>
    <w:p w:rsidR="00D0686B" w:rsidRDefault="00D0686B" w:rsidP="003555FD">
      <w:pPr>
        <w:pStyle w:val="Title"/>
        <w:spacing w:before="0"/>
      </w:pPr>
      <w:r w:rsidRPr="00C07E50">
        <w:t>Data Access Committee Protocol</w:t>
      </w:r>
    </w:p>
    <w:p w:rsidR="007434A2" w:rsidRDefault="00B81A53" w:rsidP="00B81A53">
      <w:pPr>
        <w:pStyle w:val="Heading1"/>
        <w:rPr>
          <w:b w:val="0"/>
          <w:bCs/>
          <w:sz w:val="28"/>
          <w:szCs w:val="28"/>
        </w:rPr>
      </w:pPr>
      <w:r>
        <w:rPr>
          <w:rFonts w:eastAsiaTheme="minorEastAsia" w:cstheme="minorBidi"/>
          <w:color w:val="auto"/>
          <w:spacing w:val="15"/>
          <w:sz w:val="28"/>
          <w:szCs w:val="22"/>
        </w:rPr>
        <w:t>P</w:t>
      </w:r>
      <w:r w:rsidRPr="0048072B">
        <w:rPr>
          <w:rFonts w:eastAsiaTheme="minorEastAsia" w:cstheme="minorBidi"/>
          <w:color w:val="auto"/>
          <w:spacing w:val="15"/>
          <w:sz w:val="28"/>
          <w:szCs w:val="22"/>
        </w:rPr>
        <w:t>ublis</w:t>
      </w:r>
      <w:r>
        <w:rPr>
          <w:rFonts w:eastAsiaTheme="minorEastAsia" w:cstheme="minorBidi"/>
          <w:color w:val="auto"/>
          <w:spacing w:val="15"/>
          <w:sz w:val="28"/>
          <w:szCs w:val="22"/>
        </w:rPr>
        <w:t xml:space="preserve">hing </w:t>
      </w:r>
      <w:r w:rsidR="003226AB">
        <w:rPr>
          <w:rFonts w:eastAsiaTheme="minorEastAsia" w:cstheme="minorBidi"/>
          <w:color w:val="auto"/>
          <w:spacing w:val="15"/>
          <w:sz w:val="28"/>
          <w:szCs w:val="22"/>
        </w:rPr>
        <w:t>requirements</w:t>
      </w:r>
      <w:r w:rsidR="00D0686B" w:rsidRPr="0048072B">
        <w:rPr>
          <w:rFonts w:eastAsiaTheme="minorEastAsia" w:cstheme="minorBidi"/>
          <w:color w:val="auto"/>
          <w:spacing w:val="15"/>
          <w:sz w:val="28"/>
          <w:szCs w:val="22"/>
        </w:rPr>
        <w:t xml:space="preserve"> </w:t>
      </w:r>
      <w:r w:rsidR="00D0686B">
        <w:rPr>
          <w:rFonts w:eastAsiaTheme="minorEastAsia" w:cstheme="minorBidi"/>
          <w:color w:val="auto"/>
          <w:spacing w:val="15"/>
          <w:sz w:val="28"/>
          <w:szCs w:val="22"/>
        </w:rPr>
        <w:t xml:space="preserve">– </w:t>
      </w:r>
      <w:proofErr w:type="spellStart"/>
      <w:r w:rsidR="00D0686B">
        <w:rPr>
          <w:rFonts w:eastAsiaTheme="minorEastAsia" w:cstheme="minorBidi"/>
          <w:color w:val="auto"/>
          <w:spacing w:val="15"/>
          <w:sz w:val="28"/>
          <w:szCs w:val="22"/>
        </w:rPr>
        <w:t>MatCH</w:t>
      </w:r>
      <w:proofErr w:type="spellEnd"/>
      <w:r w:rsidR="00D0686B">
        <w:rPr>
          <w:rFonts w:eastAsiaTheme="minorEastAsia" w:cstheme="minorBidi"/>
          <w:color w:val="auto"/>
          <w:spacing w:val="15"/>
          <w:sz w:val="28"/>
          <w:szCs w:val="22"/>
        </w:rPr>
        <w:t xml:space="preserve"> </w:t>
      </w:r>
      <w:proofErr w:type="spellStart"/>
      <w:r w:rsidR="00D0686B">
        <w:rPr>
          <w:rFonts w:eastAsiaTheme="minorEastAsia" w:cstheme="minorBidi"/>
          <w:color w:val="auto"/>
          <w:spacing w:val="15"/>
          <w:sz w:val="28"/>
          <w:szCs w:val="22"/>
        </w:rPr>
        <w:t>Substudy</w:t>
      </w:r>
      <w:proofErr w:type="spellEnd"/>
    </w:p>
    <w:p w:rsidR="000E0FFB" w:rsidRDefault="000E0FFB" w:rsidP="003555FD">
      <w:pPr>
        <w:pStyle w:val="Heading1"/>
        <w:spacing w:before="0" w:after="0" w:line="240" w:lineRule="auto"/>
      </w:pPr>
    </w:p>
    <w:p w:rsidR="00995C49" w:rsidRPr="00B92238" w:rsidRDefault="00995C49" w:rsidP="00B92238">
      <w:pPr>
        <w:pStyle w:val="Heading1"/>
      </w:pPr>
      <w:r w:rsidRPr="00B92238">
        <w:t>General acknowledgement</w:t>
      </w:r>
    </w:p>
    <w:p w:rsidR="00CB5047" w:rsidRDefault="00995C49" w:rsidP="00995C49">
      <w:pPr>
        <w:spacing w:before="120"/>
        <w:ind w:left="720"/>
        <w:rPr>
          <w:color w:val="1F4E79" w:themeColor="accent1" w:themeShade="80"/>
          <w:sz w:val="23"/>
          <w:szCs w:val="23"/>
        </w:rPr>
      </w:pPr>
      <w:r w:rsidRPr="00995C49">
        <w:rPr>
          <w:color w:val="1F4E79" w:themeColor="accent1" w:themeShade="80"/>
          <w:sz w:val="23"/>
          <w:szCs w:val="23"/>
        </w:rPr>
        <w:t xml:space="preserve">The </w:t>
      </w:r>
      <w:proofErr w:type="gramStart"/>
      <w:r w:rsidRPr="00995C49">
        <w:rPr>
          <w:color w:val="1F4E79" w:themeColor="accent1" w:themeShade="80"/>
          <w:sz w:val="23"/>
          <w:szCs w:val="23"/>
        </w:rPr>
        <w:t>research on which this paper is based was conducted as part of the Australian Longitudinal Study on Women’s Health by the University of Queensland and the University of Newcastle</w:t>
      </w:r>
      <w:proofErr w:type="gramEnd"/>
      <w:r w:rsidRPr="00995C49">
        <w:rPr>
          <w:color w:val="1F4E79" w:themeColor="accent1" w:themeShade="80"/>
          <w:sz w:val="23"/>
          <w:szCs w:val="23"/>
        </w:rPr>
        <w:t>. We are grateful to the Australian Government Department of Health for funding and to the women who provided the survey data.</w:t>
      </w:r>
      <w:r w:rsidR="00CB5047" w:rsidRPr="00673C13">
        <w:rPr>
          <w:sz w:val="23"/>
          <w:szCs w:val="23"/>
        </w:rPr>
        <w:t>*</w:t>
      </w:r>
      <w:r w:rsidRPr="00995C49">
        <w:rPr>
          <w:color w:val="1F4E79" w:themeColor="accent1" w:themeShade="80"/>
          <w:sz w:val="23"/>
          <w:szCs w:val="23"/>
        </w:rPr>
        <w:t xml:space="preserve"> </w:t>
      </w:r>
      <w:proofErr w:type="gramStart"/>
      <w:r w:rsidRPr="00995C49">
        <w:rPr>
          <w:color w:val="1F4E79" w:themeColor="accent1" w:themeShade="80"/>
          <w:sz w:val="23"/>
          <w:szCs w:val="23"/>
        </w:rPr>
        <w:t>We</w:t>
      </w:r>
      <w:proofErr w:type="gramEnd"/>
      <w:r w:rsidRPr="00995C49">
        <w:rPr>
          <w:color w:val="1F4E79" w:themeColor="accent1" w:themeShade="80"/>
          <w:sz w:val="23"/>
          <w:szCs w:val="23"/>
        </w:rPr>
        <w:t xml:space="preserve"> acknowledge the contribution of Colleen Loos in managing the study.</w:t>
      </w:r>
      <w:r w:rsidR="00CB5047">
        <w:rPr>
          <w:color w:val="1F4E79" w:themeColor="accent1" w:themeShade="80"/>
          <w:sz w:val="23"/>
          <w:szCs w:val="23"/>
        </w:rPr>
        <w:t xml:space="preserve"> </w:t>
      </w:r>
    </w:p>
    <w:p w:rsidR="00E357CC" w:rsidRPr="00673C13" w:rsidRDefault="00CB5047" w:rsidP="00995C49">
      <w:pPr>
        <w:spacing w:before="120"/>
        <w:ind w:left="720"/>
        <w:rPr>
          <w:sz w:val="23"/>
          <w:szCs w:val="23"/>
        </w:rPr>
      </w:pPr>
      <w:r w:rsidRPr="00673C13">
        <w:rPr>
          <w:sz w:val="23"/>
          <w:szCs w:val="23"/>
        </w:rPr>
        <w:t xml:space="preserve">*NHMRC </w:t>
      </w:r>
      <w:proofErr w:type="gramStart"/>
      <w:r w:rsidRPr="00673C13">
        <w:rPr>
          <w:sz w:val="23"/>
          <w:szCs w:val="23"/>
        </w:rPr>
        <w:t>should also be acknowledged</w:t>
      </w:r>
      <w:proofErr w:type="gramEnd"/>
      <w:r w:rsidRPr="00673C13">
        <w:rPr>
          <w:sz w:val="23"/>
          <w:szCs w:val="23"/>
        </w:rPr>
        <w:t xml:space="preserve"> here, if not separately nominated as a funder.</w:t>
      </w:r>
    </w:p>
    <w:p w:rsidR="000E0FFB" w:rsidRDefault="000E0FFB" w:rsidP="00B92238">
      <w:pPr>
        <w:pStyle w:val="Heading1"/>
      </w:pPr>
    </w:p>
    <w:p w:rsidR="00995C49" w:rsidRPr="00B92238" w:rsidRDefault="00B92238" w:rsidP="00B92238">
      <w:pPr>
        <w:pStyle w:val="Heading1"/>
      </w:pPr>
      <w:r>
        <w:t>Funding information</w:t>
      </w:r>
    </w:p>
    <w:p w:rsidR="00995C49" w:rsidRDefault="00995C49" w:rsidP="00995C49">
      <w:pPr>
        <w:spacing w:before="120"/>
        <w:ind w:left="720"/>
        <w:rPr>
          <w:color w:val="1F4E79" w:themeColor="accent1" w:themeShade="80"/>
          <w:sz w:val="23"/>
          <w:szCs w:val="23"/>
        </w:rPr>
      </w:pPr>
      <w:proofErr w:type="gramStart"/>
      <w:r w:rsidRPr="00995C49">
        <w:rPr>
          <w:color w:val="1F4E79" w:themeColor="accent1" w:themeShade="80"/>
          <w:sz w:val="23"/>
          <w:szCs w:val="23"/>
        </w:rPr>
        <w:t>ALSWH is funded by the Australian Government Department of Health</w:t>
      </w:r>
      <w:proofErr w:type="gramEnd"/>
      <w:r w:rsidRPr="00995C49">
        <w:rPr>
          <w:color w:val="1F4E79" w:themeColor="accent1" w:themeShade="80"/>
          <w:sz w:val="23"/>
          <w:szCs w:val="23"/>
        </w:rPr>
        <w:t xml:space="preserve">. </w:t>
      </w:r>
      <w:proofErr w:type="spellStart"/>
      <w:r w:rsidRPr="00995C49">
        <w:rPr>
          <w:color w:val="1F4E79" w:themeColor="accent1" w:themeShade="80"/>
          <w:sz w:val="23"/>
          <w:szCs w:val="23"/>
        </w:rPr>
        <w:t>MatCH</w:t>
      </w:r>
      <w:proofErr w:type="spellEnd"/>
      <w:r w:rsidRPr="00995C49">
        <w:rPr>
          <w:color w:val="1F4E79" w:themeColor="accent1" w:themeShade="80"/>
          <w:sz w:val="23"/>
          <w:szCs w:val="23"/>
        </w:rPr>
        <w:t xml:space="preserve"> </w:t>
      </w:r>
      <w:proofErr w:type="gramStart"/>
      <w:r w:rsidRPr="00995C49">
        <w:rPr>
          <w:color w:val="1F4E79" w:themeColor="accent1" w:themeShade="80"/>
          <w:sz w:val="23"/>
          <w:szCs w:val="23"/>
        </w:rPr>
        <w:t>is funded</w:t>
      </w:r>
      <w:proofErr w:type="gramEnd"/>
      <w:r w:rsidRPr="00995C49">
        <w:rPr>
          <w:color w:val="1F4E79" w:themeColor="accent1" w:themeShade="80"/>
          <w:sz w:val="23"/>
          <w:szCs w:val="23"/>
        </w:rPr>
        <w:t xml:space="preserve"> by the National Health and Medical Research Council (NHMRC) project grant (APP1059550). </w:t>
      </w:r>
      <w:proofErr w:type="gramStart"/>
      <w:r w:rsidRPr="00995C49">
        <w:rPr>
          <w:color w:val="1F4E79" w:themeColor="accent1" w:themeShade="80"/>
          <w:sz w:val="23"/>
          <w:szCs w:val="23"/>
        </w:rPr>
        <w:t>Gita Mishra is supported by an NHMRC Principal Research Fellowship (APP1121844)</w:t>
      </w:r>
      <w:proofErr w:type="gramEnd"/>
      <w:r w:rsidR="00CB5047">
        <w:rPr>
          <w:color w:val="1F4E79" w:themeColor="accent1" w:themeShade="80"/>
          <w:sz w:val="23"/>
          <w:szCs w:val="23"/>
        </w:rPr>
        <w:t xml:space="preserve"> (et al)</w:t>
      </w:r>
      <w:r w:rsidRPr="00995C49">
        <w:rPr>
          <w:color w:val="1F4E79" w:themeColor="accent1" w:themeShade="80"/>
          <w:sz w:val="23"/>
          <w:szCs w:val="23"/>
        </w:rPr>
        <w:t>.</w:t>
      </w:r>
    </w:p>
    <w:p w:rsidR="000E0FFB" w:rsidRDefault="000E0FFB" w:rsidP="003555FD">
      <w:pPr>
        <w:pStyle w:val="Heading1"/>
        <w:spacing w:before="0" w:after="0" w:line="240" w:lineRule="auto"/>
      </w:pPr>
    </w:p>
    <w:p w:rsidR="006160CE" w:rsidRPr="006160CE" w:rsidRDefault="000E0FFB" w:rsidP="006160CE">
      <w:pPr>
        <w:pStyle w:val="Heading1"/>
      </w:pPr>
      <w:r>
        <w:t>L</w:t>
      </w:r>
      <w:r w:rsidRPr="006160CE">
        <w:t>inked data</w:t>
      </w:r>
      <w:r>
        <w:t xml:space="preserve"> a</w:t>
      </w:r>
      <w:r w:rsidR="006160CE">
        <w:t>cknowledgements</w:t>
      </w:r>
      <w:r>
        <w:t xml:space="preserve"> and pre-publication review</w:t>
      </w:r>
    </w:p>
    <w:p w:rsidR="006160CE" w:rsidRDefault="006160CE" w:rsidP="006160CE">
      <w:pPr>
        <w:pStyle w:val="ListParagraph"/>
        <w:numPr>
          <w:ilvl w:val="0"/>
          <w:numId w:val="1"/>
        </w:numPr>
        <w:spacing w:before="240"/>
        <w:ind w:left="340" w:hanging="340"/>
        <w:rPr>
          <w:sz w:val="23"/>
          <w:szCs w:val="23"/>
        </w:rPr>
      </w:pPr>
      <w:r w:rsidRPr="00566362">
        <w:rPr>
          <w:b/>
          <w:sz w:val="23"/>
          <w:szCs w:val="23"/>
        </w:rPr>
        <w:t>Please contact Colleen Loos</w:t>
      </w:r>
      <w:r>
        <w:rPr>
          <w:sz w:val="23"/>
          <w:szCs w:val="23"/>
        </w:rPr>
        <w:t xml:space="preserve"> (</w:t>
      </w:r>
      <w:hyperlink r:id="rId8" w:history="1">
        <w:r w:rsidRPr="00A52038">
          <w:rPr>
            <w:rStyle w:val="Hyperlink"/>
            <w:sz w:val="23"/>
            <w:szCs w:val="23"/>
          </w:rPr>
          <w:t>c.loos@uq.edu.au</w:t>
        </w:r>
      </w:hyperlink>
      <w:r>
        <w:rPr>
          <w:sz w:val="23"/>
          <w:szCs w:val="23"/>
        </w:rPr>
        <w:t>) for a copy of the email template, which includes Data Custodian email addresses and data request references.</w:t>
      </w:r>
    </w:p>
    <w:p w:rsidR="006160CE" w:rsidRDefault="009970B0" w:rsidP="006160CE">
      <w:pPr>
        <w:pStyle w:val="ListParagraph"/>
        <w:numPr>
          <w:ilvl w:val="0"/>
          <w:numId w:val="1"/>
        </w:numPr>
        <w:spacing w:before="240"/>
        <w:ind w:left="340" w:hanging="340"/>
      </w:pPr>
      <w:r>
        <w:rPr>
          <w:b/>
          <w:sz w:val="23"/>
          <w:szCs w:val="23"/>
        </w:rPr>
        <w:t>Australian Early Development Census (</w:t>
      </w:r>
      <w:r w:rsidR="006160CE" w:rsidRPr="00566362">
        <w:rPr>
          <w:b/>
          <w:sz w:val="23"/>
          <w:szCs w:val="23"/>
        </w:rPr>
        <w:t>AEDC</w:t>
      </w:r>
      <w:r>
        <w:rPr>
          <w:b/>
          <w:sz w:val="23"/>
          <w:szCs w:val="23"/>
        </w:rPr>
        <w:t>)</w:t>
      </w:r>
      <w:r w:rsidR="006160CE" w:rsidRPr="00566362">
        <w:rPr>
          <w:b/>
          <w:sz w:val="23"/>
          <w:szCs w:val="23"/>
        </w:rPr>
        <w:t xml:space="preserve"> </w:t>
      </w:r>
      <w:r w:rsidR="006160CE">
        <w:rPr>
          <w:sz w:val="23"/>
          <w:szCs w:val="23"/>
        </w:rPr>
        <w:t>– publishing restrictions and the acknowledgement</w:t>
      </w:r>
      <w:r w:rsidR="003E7BA4">
        <w:rPr>
          <w:sz w:val="23"/>
          <w:szCs w:val="23"/>
        </w:rPr>
        <w:t>/ disclaimer</w:t>
      </w:r>
      <w:r w:rsidR="006160CE">
        <w:rPr>
          <w:sz w:val="23"/>
          <w:szCs w:val="23"/>
        </w:rPr>
        <w:t xml:space="preserve"> statement are here: </w:t>
      </w:r>
      <w:hyperlink r:id="rId9" w:history="1">
        <w:r w:rsidR="006160CE">
          <w:rPr>
            <w:rStyle w:val="Hyperlink"/>
          </w:rPr>
          <w:t>https://www.aedc.gov.au/researchers/data-user-responsibilities/publishing-requirements</w:t>
        </w:r>
      </w:hyperlink>
    </w:p>
    <w:p w:rsidR="006160CE" w:rsidRDefault="009970B0" w:rsidP="006160CE">
      <w:pPr>
        <w:pStyle w:val="ListParagraph"/>
        <w:numPr>
          <w:ilvl w:val="0"/>
          <w:numId w:val="1"/>
        </w:numPr>
        <w:spacing w:before="240"/>
        <w:ind w:left="340" w:hanging="340"/>
        <w:rPr>
          <w:b/>
          <w:bCs/>
        </w:rPr>
      </w:pPr>
      <w:r>
        <w:rPr>
          <w:b/>
          <w:sz w:val="23"/>
          <w:szCs w:val="23"/>
        </w:rPr>
        <w:t>National Assessment Program, Literacy and Numeracy (</w:t>
      </w:r>
      <w:r w:rsidR="006160CE" w:rsidRPr="00566362">
        <w:rPr>
          <w:b/>
          <w:sz w:val="23"/>
          <w:szCs w:val="23"/>
        </w:rPr>
        <w:t>NAPLAN</w:t>
      </w:r>
      <w:r>
        <w:rPr>
          <w:b/>
          <w:sz w:val="23"/>
          <w:szCs w:val="23"/>
        </w:rPr>
        <w:t>)</w:t>
      </w:r>
      <w:r w:rsidR="006160CE">
        <w:rPr>
          <w:sz w:val="23"/>
          <w:szCs w:val="23"/>
        </w:rPr>
        <w:t xml:space="preserve"> – include the following acknowledgement</w:t>
      </w:r>
      <w:r w:rsidR="000C2D0A">
        <w:rPr>
          <w:sz w:val="23"/>
          <w:szCs w:val="23"/>
        </w:rPr>
        <w:t>/ disclaimer</w:t>
      </w:r>
      <w:r w:rsidR="006160CE">
        <w:rPr>
          <w:sz w:val="23"/>
          <w:szCs w:val="23"/>
        </w:rPr>
        <w:t>:</w:t>
      </w:r>
    </w:p>
    <w:p w:rsidR="006160CE" w:rsidRDefault="00F851CE" w:rsidP="006160CE">
      <w:pPr>
        <w:spacing w:before="120"/>
        <w:ind w:left="720"/>
        <w:rPr>
          <w:color w:val="1F4E79" w:themeColor="accent1" w:themeShade="80"/>
          <w:sz w:val="23"/>
          <w:szCs w:val="23"/>
        </w:rPr>
      </w:pPr>
      <w:r>
        <w:rPr>
          <w:color w:val="1F4E79" w:themeColor="accent1" w:themeShade="80"/>
          <w:sz w:val="23"/>
          <w:szCs w:val="23"/>
        </w:rPr>
        <w:t>“</w:t>
      </w:r>
      <w:r w:rsidR="006160CE" w:rsidRPr="007434A2">
        <w:rPr>
          <w:color w:val="1F4E79" w:themeColor="accent1" w:themeShade="80"/>
          <w:sz w:val="23"/>
          <w:szCs w:val="23"/>
        </w:rPr>
        <w:t>NAPLAN data</w:t>
      </w:r>
      <w:r w:rsidR="00CA67B4">
        <w:rPr>
          <w:color w:val="1F4E79" w:themeColor="accent1" w:themeShade="80"/>
          <w:sz w:val="23"/>
          <w:szCs w:val="23"/>
        </w:rPr>
        <w:t xml:space="preserve"> </w:t>
      </w:r>
      <w:r w:rsidR="006160CE" w:rsidRPr="007434A2">
        <w:rPr>
          <w:color w:val="1F4E79" w:themeColor="accent1" w:themeShade="80"/>
          <w:sz w:val="23"/>
          <w:szCs w:val="23"/>
        </w:rPr>
        <w:t>was provided by the ACT Education Directorate, the NSW Education Standards Authority, the NT Department of Education, the Queensland Curriculum and Assessment Authority, the SA Department for Education, the Tasmanian Department of Education, the Victorian Curriculum and Assessment Authority</w:t>
      </w:r>
      <w:r w:rsidR="006160CE">
        <w:rPr>
          <w:color w:val="1F4E79" w:themeColor="accent1" w:themeShade="80"/>
          <w:sz w:val="23"/>
          <w:szCs w:val="23"/>
        </w:rPr>
        <w:t>,</w:t>
      </w:r>
      <w:r w:rsidR="006160CE" w:rsidRPr="007434A2">
        <w:rPr>
          <w:color w:val="1F4E79" w:themeColor="accent1" w:themeShade="80"/>
          <w:sz w:val="23"/>
          <w:szCs w:val="23"/>
        </w:rPr>
        <w:t xml:space="preserve"> and the WA School Curriculum and Standards Authority. These authorities were not associated with, and do not endorse the analysis, comments or findings in this publication. The Australian Institute of Health and Welfare provided data linkage services for NSW NAPLAN data for this project.</w:t>
      </w:r>
      <w:r>
        <w:rPr>
          <w:color w:val="1F4E79" w:themeColor="accent1" w:themeShade="80"/>
          <w:sz w:val="23"/>
          <w:szCs w:val="23"/>
        </w:rPr>
        <w:t>”</w:t>
      </w:r>
    </w:p>
    <w:p w:rsidR="006160CE" w:rsidRPr="006160CE" w:rsidRDefault="006160CE" w:rsidP="006160CE">
      <w:pPr>
        <w:pStyle w:val="ListParagraph"/>
        <w:numPr>
          <w:ilvl w:val="0"/>
          <w:numId w:val="1"/>
        </w:numPr>
        <w:spacing w:before="240"/>
        <w:ind w:left="340" w:hanging="340"/>
        <w:rPr>
          <w:sz w:val="23"/>
          <w:szCs w:val="23"/>
        </w:rPr>
      </w:pPr>
      <w:r w:rsidRPr="003555FD">
        <w:rPr>
          <w:b/>
          <w:sz w:val="23"/>
          <w:szCs w:val="23"/>
        </w:rPr>
        <w:t>Perinatal collections</w:t>
      </w:r>
      <w:r>
        <w:rPr>
          <w:sz w:val="23"/>
          <w:szCs w:val="23"/>
        </w:rPr>
        <w:t xml:space="preserve"> – as for ALSWH (</w:t>
      </w:r>
      <w:hyperlink r:id="rId10" w:history="1">
        <w:r>
          <w:rPr>
            <w:rStyle w:val="Hyperlink"/>
          </w:rPr>
          <w:t>https://www.alswh.org.au/for-researchers/external-linked-datasets</w:t>
        </w:r>
      </w:hyperlink>
      <w:r>
        <w:t>)</w:t>
      </w:r>
    </w:p>
    <w:p w:rsidR="006160CE" w:rsidRPr="006160CE" w:rsidRDefault="006160CE" w:rsidP="006160CE">
      <w:pPr>
        <w:rPr>
          <w:sz w:val="23"/>
          <w:szCs w:val="23"/>
        </w:rPr>
      </w:pPr>
    </w:p>
    <w:p w:rsidR="00B92238" w:rsidRPr="008D42D5" w:rsidRDefault="000E0FFB" w:rsidP="000E0FFB">
      <w:pPr>
        <w:spacing w:after="160" w:line="259" w:lineRule="auto"/>
      </w:pPr>
      <w:r>
        <w:br w:type="page"/>
      </w:r>
      <w:r w:rsidR="00B92238" w:rsidRPr="000E0FFB">
        <w:rPr>
          <w:rFonts w:ascii="Century Gothic" w:eastAsiaTheme="majorEastAsia" w:hAnsi="Century Gothic" w:cstheme="majorBidi"/>
          <w:b/>
          <w:color w:val="652D86"/>
          <w:sz w:val="24"/>
          <w:szCs w:val="32"/>
        </w:rPr>
        <w:lastRenderedPageBreak/>
        <w:t>E</w:t>
      </w:r>
      <w:bookmarkStart w:id="0" w:name="_GoBack"/>
      <w:bookmarkEnd w:id="0"/>
      <w:r w:rsidR="00B92238" w:rsidRPr="000E0FFB">
        <w:rPr>
          <w:rFonts w:ascii="Century Gothic" w:eastAsiaTheme="majorEastAsia" w:hAnsi="Century Gothic" w:cstheme="majorBidi"/>
          <w:b/>
          <w:color w:val="652D86"/>
          <w:sz w:val="24"/>
          <w:szCs w:val="32"/>
        </w:rPr>
        <w:t>thical statement guidelines</w:t>
      </w:r>
    </w:p>
    <w:p w:rsidR="00995C49" w:rsidRDefault="00995C49" w:rsidP="001B3A03">
      <w:pPr>
        <w:rPr>
          <w:rFonts w:ascii="Arial" w:hAnsi="Arial" w:cs="Arial"/>
          <w:color w:val="333333"/>
          <w:shd w:val="clear" w:color="auto" w:fill="FFFFFF"/>
        </w:rPr>
      </w:pPr>
    </w:p>
    <w:p w:rsidR="00506FD5" w:rsidRPr="00506FD5" w:rsidRDefault="00506FD5" w:rsidP="00506FD5">
      <w:pPr>
        <w:numPr>
          <w:ilvl w:val="0"/>
          <w:numId w:val="3"/>
        </w:numPr>
        <w:spacing w:after="160" w:line="259" w:lineRule="auto"/>
        <w:ind w:left="340" w:hanging="340"/>
        <w:contextualSpacing/>
        <w:rPr>
          <w:rFonts w:ascii="Century Gothic" w:eastAsiaTheme="majorEastAsia" w:hAnsi="Century Gothic" w:cstheme="majorBidi"/>
          <w:b/>
          <w:color w:val="652D86"/>
          <w:sz w:val="24"/>
          <w:szCs w:val="32"/>
        </w:rPr>
      </w:pPr>
      <w:r w:rsidRPr="00506FD5">
        <w:rPr>
          <w:rFonts w:ascii="Century Gothic" w:eastAsiaTheme="majorEastAsia" w:hAnsi="Century Gothic" w:cstheme="majorBidi"/>
          <w:b/>
          <w:color w:val="652D86"/>
          <w:sz w:val="24"/>
          <w:szCs w:val="32"/>
        </w:rPr>
        <w:t>Survey data only</w:t>
      </w:r>
    </w:p>
    <w:p w:rsidR="00506FD5" w:rsidRPr="00F851CE" w:rsidRDefault="00506FD5" w:rsidP="00506FD5">
      <w:pPr>
        <w:autoSpaceDE w:val="0"/>
        <w:autoSpaceDN w:val="0"/>
        <w:adjustRightInd w:val="0"/>
        <w:spacing w:before="120"/>
        <w:ind w:left="380"/>
        <w:rPr>
          <w:color w:val="1F4E79" w:themeColor="accent1" w:themeShade="80"/>
          <w:sz w:val="23"/>
          <w:szCs w:val="23"/>
        </w:rPr>
      </w:pPr>
      <w:r w:rsidRPr="00F851CE">
        <w:rPr>
          <w:color w:val="1F4E79" w:themeColor="accent1" w:themeShade="80"/>
          <w:sz w:val="23"/>
          <w:szCs w:val="23"/>
        </w:rPr>
        <w:t>“The ALSWH survey program has ongoing ethical approval from the Human Research Ethics Committees (HRECs) of the Universities of Newcastle and Queensland (</w:t>
      </w:r>
      <w:r w:rsidR="00EE4983" w:rsidRPr="00F851CE">
        <w:rPr>
          <w:color w:val="1F4E79" w:themeColor="accent1" w:themeShade="80"/>
          <w:sz w:val="23"/>
          <w:szCs w:val="23"/>
        </w:rPr>
        <w:t>ref.</w:t>
      </w:r>
      <w:r w:rsidRPr="00F851CE">
        <w:rPr>
          <w:color w:val="1F4E79" w:themeColor="accent1" w:themeShade="80"/>
          <w:sz w:val="23"/>
          <w:szCs w:val="23"/>
        </w:rPr>
        <w:t xml:space="preserve"> H-076-0795 and 2004000224, respectively,</w:t>
      </w:r>
      <w:r w:rsidRPr="00F851CE" w:rsidDel="00145D5B">
        <w:rPr>
          <w:color w:val="1F4E79" w:themeColor="accent1" w:themeShade="80"/>
          <w:sz w:val="23"/>
          <w:szCs w:val="23"/>
        </w:rPr>
        <w:t xml:space="preserve"> </w:t>
      </w:r>
      <w:r w:rsidRPr="00F851CE">
        <w:rPr>
          <w:color w:val="1F4E79" w:themeColor="accent1" w:themeShade="80"/>
          <w:sz w:val="23"/>
          <w:szCs w:val="23"/>
        </w:rPr>
        <w:t xml:space="preserve">for the 1973-78, 1946-51 and 1921-26 cohorts; H-2012-0256 and 2012000950, for the 1989-95 cohort; and H-2014-0246 and 2014001213 for the </w:t>
      </w:r>
      <w:proofErr w:type="spellStart"/>
      <w:r w:rsidRPr="00F851CE">
        <w:rPr>
          <w:color w:val="1F4E79" w:themeColor="accent1" w:themeShade="80"/>
          <w:sz w:val="23"/>
          <w:szCs w:val="23"/>
        </w:rPr>
        <w:t>MatCH</w:t>
      </w:r>
      <w:proofErr w:type="spellEnd"/>
      <w:r w:rsidRPr="00F851CE">
        <w:rPr>
          <w:color w:val="1F4E79" w:themeColor="accent1" w:themeShade="80"/>
          <w:sz w:val="23"/>
          <w:szCs w:val="23"/>
        </w:rPr>
        <w:t xml:space="preserve"> </w:t>
      </w:r>
      <w:proofErr w:type="spellStart"/>
      <w:r w:rsidRPr="00F851CE">
        <w:rPr>
          <w:color w:val="1F4E79" w:themeColor="accent1" w:themeShade="80"/>
          <w:sz w:val="23"/>
          <w:szCs w:val="23"/>
        </w:rPr>
        <w:t>Substudy</w:t>
      </w:r>
      <w:proofErr w:type="spellEnd"/>
      <w:r w:rsidRPr="00F851CE">
        <w:rPr>
          <w:color w:val="1F4E79" w:themeColor="accent1" w:themeShade="80"/>
          <w:sz w:val="23"/>
          <w:szCs w:val="23"/>
        </w:rPr>
        <w:t>).”</w:t>
      </w:r>
    </w:p>
    <w:p w:rsidR="00506FD5" w:rsidRPr="002779EE" w:rsidRDefault="00506FD5" w:rsidP="0082736F">
      <w:pPr>
        <w:keepNext/>
        <w:keepLines/>
        <w:spacing w:before="240" w:after="120" w:line="259" w:lineRule="auto"/>
        <w:ind w:left="380"/>
        <w:outlineLvl w:val="1"/>
        <w:rPr>
          <w:rFonts w:asciiTheme="minorHAnsi" w:eastAsiaTheme="majorEastAsia" w:hAnsiTheme="minorHAnsi" w:cstheme="minorHAnsi"/>
          <w:b/>
          <w:sz w:val="23"/>
          <w:szCs w:val="23"/>
        </w:rPr>
      </w:pPr>
      <w:r w:rsidRPr="002779EE">
        <w:rPr>
          <w:rFonts w:asciiTheme="minorHAnsi" w:eastAsiaTheme="majorEastAsia" w:hAnsiTheme="minorHAnsi" w:cstheme="minorHAnsi"/>
          <w:b/>
          <w:sz w:val="23"/>
          <w:szCs w:val="23"/>
        </w:rPr>
        <w:t>Further information on recruitment (if required):</w:t>
      </w:r>
    </w:p>
    <w:p w:rsidR="00506FD5" w:rsidRPr="00506FD5" w:rsidRDefault="00506FD5" w:rsidP="00506FD5">
      <w:pPr>
        <w:autoSpaceDE w:val="0"/>
        <w:autoSpaceDN w:val="0"/>
        <w:adjustRightInd w:val="0"/>
        <w:ind w:left="1021"/>
        <w:rPr>
          <w:rFonts w:ascii="Arial" w:hAnsi="Arial" w:cstheme="minorBidi"/>
        </w:rPr>
      </w:pPr>
      <w:proofErr w:type="spellStart"/>
      <w:r w:rsidRPr="00CD352A">
        <w:rPr>
          <w:rFonts w:ascii="Tahoma" w:hAnsi="Tahoma" w:cs="Tahoma"/>
          <w:bCs/>
          <w:color w:val="000000"/>
          <w:sz w:val="17"/>
          <w:szCs w:val="17"/>
        </w:rPr>
        <w:t>MatCH</w:t>
      </w:r>
      <w:proofErr w:type="spellEnd"/>
      <w:r w:rsidRPr="00CD352A">
        <w:rPr>
          <w:rFonts w:ascii="Tahoma" w:hAnsi="Tahoma" w:cs="Tahoma"/>
          <w:bCs/>
          <w:color w:val="000000"/>
          <w:sz w:val="17"/>
          <w:szCs w:val="17"/>
        </w:rPr>
        <w:t xml:space="preserve"> (Mothers and their Children’s Health) Profile: offspring of the 1973-78 cohort of the Australian Longitudinal Study on Women’s Health.</w:t>
      </w:r>
      <w:r w:rsidRPr="00506FD5">
        <w:rPr>
          <w:rFonts w:ascii="Tahoma" w:hAnsi="Tahoma" w:cs="Tahoma"/>
          <w:color w:val="000000"/>
          <w:sz w:val="17"/>
          <w:szCs w:val="17"/>
        </w:rPr>
        <w:br/>
      </w:r>
      <w:r w:rsidRPr="00506FD5">
        <w:rPr>
          <w:rFonts w:ascii="Tahoma" w:hAnsi="Tahoma" w:cs="Tahoma"/>
          <w:i/>
          <w:iCs/>
          <w:color w:val="000000"/>
          <w:sz w:val="17"/>
          <w:szCs w:val="17"/>
        </w:rPr>
        <w:t>Longitudinal and Life Course Studies</w:t>
      </w:r>
      <w:r w:rsidRPr="00506FD5">
        <w:rPr>
          <w:rFonts w:ascii="Tahoma" w:hAnsi="Tahoma" w:cs="Tahoma"/>
          <w:color w:val="000000"/>
          <w:sz w:val="17"/>
          <w:szCs w:val="17"/>
        </w:rPr>
        <w:t> </w:t>
      </w:r>
      <w:hyperlink r:id="rId11" w:tgtFrame="_blank" w:history="1">
        <w:r w:rsidRPr="00506FD5">
          <w:rPr>
            <w:rFonts w:ascii="Tahoma" w:hAnsi="Tahoma" w:cs="Tahoma"/>
            <w:color w:val="0563C1" w:themeColor="hyperlink"/>
            <w:sz w:val="17"/>
            <w:szCs w:val="17"/>
            <w:u w:val="single"/>
            <w:bdr w:val="none" w:sz="0" w:space="0" w:color="auto" w:frame="1"/>
          </w:rPr>
          <w:t>http://dx.doi.org/10.14301/llcs.v9i3.491</w:t>
        </w:r>
      </w:hyperlink>
    </w:p>
    <w:p w:rsidR="00506FD5" w:rsidRPr="00506FD5" w:rsidRDefault="00506FD5" w:rsidP="00506FD5">
      <w:pPr>
        <w:autoSpaceDE w:val="0"/>
        <w:autoSpaceDN w:val="0"/>
        <w:adjustRightInd w:val="0"/>
        <w:ind w:left="1021"/>
        <w:rPr>
          <w:rFonts w:ascii="Arial" w:hAnsi="Arial" w:cstheme="minorBidi"/>
          <w:szCs w:val="24"/>
        </w:rPr>
      </w:pPr>
      <w:r w:rsidRPr="00506FD5">
        <w:rPr>
          <w:rFonts w:ascii="Arial" w:hAnsi="Arial" w:cstheme="minorBidi"/>
          <w:i/>
          <w:szCs w:val="24"/>
        </w:rPr>
        <w:t xml:space="preserve"> </w:t>
      </w:r>
    </w:p>
    <w:p w:rsidR="00506FD5" w:rsidRPr="00506FD5" w:rsidRDefault="00506FD5" w:rsidP="00506FD5">
      <w:pPr>
        <w:numPr>
          <w:ilvl w:val="0"/>
          <w:numId w:val="3"/>
        </w:numPr>
        <w:spacing w:after="160" w:line="259" w:lineRule="auto"/>
        <w:ind w:left="340" w:hanging="340"/>
        <w:contextualSpacing/>
        <w:rPr>
          <w:rFonts w:ascii="Century Gothic" w:eastAsiaTheme="majorEastAsia" w:hAnsi="Century Gothic" w:cstheme="majorBidi"/>
          <w:b/>
          <w:color w:val="652D86"/>
          <w:sz w:val="24"/>
          <w:szCs w:val="32"/>
        </w:rPr>
      </w:pPr>
      <w:r w:rsidRPr="00506FD5">
        <w:rPr>
          <w:rFonts w:ascii="Century Gothic" w:eastAsiaTheme="majorEastAsia" w:hAnsi="Century Gothic" w:cstheme="majorBidi"/>
          <w:b/>
          <w:color w:val="652D86"/>
          <w:sz w:val="24"/>
          <w:szCs w:val="32"/>
        </w:rPr>
        <w:t xml:space="preserve">For linked data, add the following: </w:t>
      </w:r>
    </w:p>
    <w:p w:rsidR="00506FD5" w:rsidRPr="00F851CE" w:rsidRDefault="00506FD5" w:rsidP="00506FD5">
      <w:pPr>
        <w:keepNext/>
        <w:keepLines/>
        <w:spacing w:before="240" w:after="120" w:line="259" w:lineRule="auto"/>
        <w:ind w:left="340"/>
        <w:outlineLvl w:val="0"/>
        <w:rPr>
          <w:rFonts w:asciiTheme="minorHAnsi" w:eastAsiaTheme="majorEastAsia" w:hAnsiTheme="minorHAnsi" w:cstheme="minorHAnsi"/>
          <w:b/>
          <w:color w:val="652D86"/>
          <w:sz w:val="23"/>
          <w:szCs w:val="23"/>
        </w:rPr>
      </w:pPr>
      <w:r w:rsidRPr="00F851CE">
        <w:rPr>
          <w:rFonts w:asciiTheme="minorHAnsi" w:eastAsiaTheme="majorEastAsia" w:hAnsiTheme="minorHAnsi" w:cstheme="minorHAnsi"/>
          <w:b/>
          <w:i/>
          <w:sz w:val="23"/>
          <w:szCs w:val="23"/>
        </w:rPr>
        <w:t>[</w:t>
      </w:r>
      <w:proofErr w:type="gramStart"/>
      <w:r w:rsidRPr="00F851CE">
        <w:rPr>
          <w:rFonts w:asciiTheme="minorHAnsi" w:eastAsiaTheme="majorEastAsia" w:hAnsiTheme="minorHAnsi" w:cstheme="minorHAnsi"/>
          <w:i/>
          <w:sz w:val="23"/>
          <w:szCs w:val="23"/>
        </w:rPr>
        <w:t>insert</w:t>
      </w:r>
      <w:proofErr w:type="gramEnd"/>
      <w:r w:rsidRPr="00F851CE">
        <w:rPr>
          <w:rFonts w:asciiTheme="minorHAnsi" w:eastAsiaTheme="majorEastAsia" w:hAnsiTheme="minorHAnsi" w:cstheme="minorHAnsi"/>
          <w:i/>
          <w:sz w:val="23"/>
          <w:szCs w:val="23"/>
        </w:rPr>
        <w:t xml:space="preserve"> as appropriate</w:t>
      </w:r>
      <w:r w:rsidRPr="00F851CE">
        <w:rPr>
          <w:rFonts w:asciiTheme="minorHAnsi" w:eastAsiaTheme="majorEastAsia" w:hAnsiTheme="minorHAnsi" w:cstheme="minorHAnsi"/>
          <w:b/>
          <w:i/>
          <w:sz w:val="23"/>
          <w:szCs w:val="23"/>
        </w:rPr>
        <w:t>]</w:t>
      </w:r>
    </w:p>
    <w:p w:rsidR="00506FD5" w:rsidRPr="00F851CE" w:rsidRDefault="00506FD5" w:rsidP="00506FD5">
      <w:pPr>
        <w:autoSpaceDE w:val="0"/>
        <w:autoSpaceDN w:val="0"/>
        <w:adjustRightInd w:val="0"/>
        <w:spacing w:before="120" w:after="120"/>
        <w:ind w:left="340"/>
        <w:rPr>
          <w:rFonts w:asciiTheme="minorHAnsi" w:hAnsiTheme="minorHAnsi" w:cstheme="minorHAnsi"/>
          <w:color w:val="1F4E79" w:themeColor="accent1" w:themeShade="80"/>
          <w:sz w:val="23"/>
          <w:szCs w:val="23"/>
        </w:rPr>
      </w:pPr>
      <w:r w:rsidRPr="00F851CE">
        <w:rPr>
          <w:rFonts w:asciiTheme="minorHAnsi" w:hAnsiTheme="minorHAnsi" w:cstheme="minorHAnsi"/>
          <w:color w:val="1F4E79" w:themeColor="accent1" w:themeShade="80"/>
          <w:sz w:val="23"/>
          <w:szCs w:val="23"/>
        </w:rPr>
        <w:t xml:space="preserve">“The ALSWH also maintains institutional HREC approvals for record linkage (ref. H-2011-0371 and 2012000132, respectively). In addition, </w:t>
      </w:r>
      <w:proofErr w:type="gramStart"/>
      <w:r w:rsidRPr="00F851CE">
        <w:rPr>
          <w:rFonts w:asciiTheme="minorHAnsi" w:hAnsiTheme="minorHAnsi" w:cstheme="minorHAnsi"/>
          <w:color w:val="1F4E79" w:themeColor="accent1" w:themeShade="80"/>
          <w:sz w:val="23"/>
          <w:szCs w:val="23"/>
        </w:rPr>
        <w:t xml:space="preserve">access to </w:t>
      </w:r>
      <w:r w:rsidR="00EE4983" w:rsidRPr="00F851CE">
        <w:rPr>
          <w:rFonts w:asciiTheme="minorHAnsi" w:hAnsiTheme="minorHAnsi" w:cstheme="minorHAnsi"/>
          <w:color w:val="1F4E79" w:themeColor="accent1" w:themeShade="80"/>
          <w:sz w:val="23"/>
          <w:szCs w:val="23"/>
        </w:rPr>
        <w:t>[</w:t>
      </w:r>
      <w:r w:rsidRPr="00F851CE">
        <w:rPr>
          <w:rFonts w:asciiTheme="minorHAnsi" w:hAnsiTheme="minorHAnsi" w:cstheme="minorHAnsi"/>
          <w:color w:val="1F4E79" w:themeColor="accent1" w:themeShade="80"/>
          <w:sz w:val="23"/>
          <w:szCs w:val="23"/>
        </w:rPr>
        <w:t>AEDC and NAPLAN</w:t>
      </w:r>
      <w:r w:rsidR="00EE4983" w:rsidRPr="00F851CE">
        <w:rPr>
          <w:rFonts w:asciiTheme="minorHAnsi" w:hAnsiTheme="minorHAnsi" w:cstheme="minorHAnsi"/>
          <w:color w:val="1F4E79" w:themeColor="accent1" w:themeShade="80"/>
          <w:sz w:val="23"/>
          <w:szCs w:val="23"/>
        </w:rPr>
        <w:t>]</w:t>
      </w:r>
      <w:r w:rsidRPr="00F851CE">
        <w:rPr>
          <w:rFonts w:asciiTheme="minorHAnsi" w:hAnsiTheme="minorHAnsi" w:cstheme="minorHAnsi"/>
          <w:color w:val="1F4E79" w:themeColor="accent1" w:themeShade="80"/>
          <w:sz w:val="23"/>
          <w:szCs w:val="23"/>
        </w:rPr>
        <w:t xml:space="preserve"> is approved by the Australian Institute of Health and Welfare (ref. EO2017/1/342)</w:t>
      </w:r>
      <w:proofErr w:type="gramEnd"/>
      <w:r w:rsidRPr="00F851CE">
        <w:rPr>
          <w:rFonts w:asciiTheme="minorHAnsi" w:hAnsiTheme="minorHAnsi" w:cstheme="minorHAnsi"/>
          <w:color w:val="1F4E79" w:themeColor="accent1" w:themeShade="80"/>
          <w:sz w:val="23"/>
          <w:szCs w:val="23"/>
        </w:rPr>
        <w:t xml:space="preserve">. </w:t>
      </w:r>
      <w:r w:rsidRPr="00F851CE">
        <w:rPr>
          <w:rFonts w:asciiTheme="minorHAnsi" w:hAnsiTheme="minorHAnsi" w:cstheme="minorHAnsi"/>
          <w:b/>
          <w:sz w:val="23"/>
          <w:szCs w:val="23"/>
        </w:rPr>
        <w:t>[</w:t>
      </w:r>
      <w:r w:rsidRPr="00F851CE">
        <w:rPr>
          <w:rFonts w:asciiTheme="minorHAnsi" w:hAnsiTheme="minorHAnsi" w:cstheme="minorHAnsi"/>
          <w:color w:val="1F4E79" w:themeColor="accent1" w:themeShade="80"/>
          <w:sz w:val="23"/>
          <w:szCs w:val="23"/>
        </w:rPr>
        <w:t xml:space="preserve">Access to state and territory </w:t>
      </w:r>
      <w:proofErr w:type="gramStart"/>
      <w:r w:rsidRPr="00F851CE">
        <w:rPr>
          <w:rFonts w:asciiTheme="minorHAnsi" w:hAnsiTheme="minorHAnsi" w:cstheme="minorHAnsi"/>
          <w:color w:val="1F4E79" w:themeColor="accent1" w:themeShade="80"/>
          <w:sz w:val="23"/>
          <w:szCs w:val="23"/>
        </w:rPr>
        <w:t>Perinatal</w:t>
      </w:r>
      <w:proofErr w:type="gramEnd"/>
      <w:r w:rsidRPr="00F851CE">
        <w:rPr>
          <w:rFonts w:asciiTheme="minorHAnsi" w:hAnsiTheme="minorHAnsi" w:cstheme="minorHAnsi"/>
          <w:color w:val="1F4E79" w:themeColor="accent1" w:themeShade="80"/>
          <w:sz w:val="23"/>
          <w:szCs w:val="23"/>
        </w:rPr>
        <w:t xml:space="preserve"> data collections is approved by an appropriate HREC for each jurisdiction</w:t>
      </w:r>
      <w:r w:rsidRPr="00F851CE">
        <w:rPr>
          <w:rFonts w:asciiTheme="minorHAnsi" w:hAnsiTheme="minorHAnsi" w:cstheme="minorHAnsi"/>
          <w:b/>
          <w:sz w:val="23"/>
          <w:szCs w:val="23"/>
        </w:rPr>
        <w:t>]</w:t>
      </w:r>
      <w:r w:rsidRPr="00F851CE">
        <w:rPr>
          <w:rFonts w:asciiTheme="minorHAnsi" w:hAnsiTheme="minorHAnsi" w:cstheme="minorHAnsi"/>
          <w:color w:val="1F4E79" w:themeColor="accent1" w:themeShade="80"/>
          <w:sz w:val="23"/>
          <w:szCs w:val="23"/>
        </w:rPr>
        <w:t>.”</w:t>
      </w:r>
    </w:p>
    <w:p w:rsidR="00506FD5" w:rsidRPr="00F851CE" w:rsidRDefault="00506FD5" w:rsidP="00506FD5">
      <w:pPr>
        <w:numPr>
          <w:ilvl w:val="0"/>
          <w:numId w:val="2"/>
        </w:numPr>
        <w:autoSpaceDE w:val="0"/>
        <w:autoSpaceDN w:val="0"/>
        <w:adjustRightInd w:val="0"/>
        <w:spacing w:after="120" w:line="259" w:lineRule="auto"/>
        <w:contextualSpacing/>
        <w:rPr>
          <w:rFonts w:asciiTheme="minorHAnsi" w:hAnsiTheme="minorHAnsi" w:cstheme="minorHAnsi"/>
          <w:sz w:val="23"/>
          <w:szCs w:val="23"/>
        </w:rPr>
      </w:pPr>
      <w:r w:rsidRPr="00F851CE">
        <w:rPr>
          <w:rFonts w:asciiTheme="minorHAnsi" w:hAnsiTheme="minorHAnsi" w:cstheme="minorHAnsi"/>
          <w:sz w:val="23"/>
          <w:szCs w:val="23"/>
        </w:rPr>
        <w:t xml:space="preserve">If required, specific references for all HREC Protocols are listed in the document “ALSWH Data Linkage Project: HREC approval Summary” (located on </w:t>
      </w:r>
      <w:proofErr w:type="spellStart"/>
      <w:r w:rsidRPr="00F851CE">
        <w:rPr>
          <w:rFonts w:asciiTheme="minorHAnsi" w:hAnsiTheme="minorHAnsi" w:cstheme="minorHAnsi"/>
          <w:sz w:val="23"/>
          <w:szCs w:val="23"/>
        </w:rPr>
        <w:t>Sharepoint</w:t>
      </w:r>
      <w:proofErr w:type="spellEnd"/>
      <w:r w:rsidRPr="00F851CE">
        <w:rPr>
          <w:rFonts w:asciiTheme="minorHAnsi" w:hAnsiTheme="minorHAnsi" w:cstheme="minorHAnsi"/>
          <w:sz w:val="23"/>
          <w:szCs w:val="23"/>
        </w:rPr>
        <w:t xml:space="preserve"> under Data Linkage documents).</w:t>
      </w:r>
    </w:p>
    <w:p w:rsidR="00AE5A69" w:rsidRPr="00506FD5" w:rsidRDefault="00AE5A69" w:rsidP="00AE5A69">
      <w:pPr>
        <w:autoSpaceDE w:val="0"/>
        <w:autoSpaceDN w:val="0"/>
        <w:adjustRightInd w:val="0"/>
        <w:spacing w:after="120" w:line="259" w:lineRule="auto"/>
        <w:ind w:left="720"/>
        <w:contextualSpacing/>
        <w:rPr>
          <w:rFonts w:ascii="Arial" w:hAnsi="Arial" w:cstheme="minorBidi"/>
          <w:szCs w:val="24"/>
        </w:rPr>
      </w:pPr>
    </w:p>
    <w:p w:rsidR="00995C49" w:rsidRDefault="00AE5A69" w:rsidP="00AE5A69">
      <w:pPr>
        <w:pStyle w:val="Heading1"/>
      </w:pPr>
      <w:r>
        <w:t>Consent statements</w:t>
      </w:r>
    </w:p>
    <w:p w:rsidR="00AE5A69" w:rsidRPr="00F851CE" w:rsidRDefault="00AE5A69" w:rsidP="00AE5A69">
      <w:pPr>
        <w:keepNext/>
        <w:keepLines/>
        <w:spacing w:before="240" w:after="120" w:line="259" w:lineRule="auto"/>
        <w:ind w:left="40"/>
        <w:outlineLvl w:val="1"/>
        <w:rPr>
          <w:rFonts w:asciiTheme="minorHAnsi" w:eastAsiaTheme="majorEastAsia" w:hAnsiTheme="minorHAnsi" w:cstheme="minorHAnsi"/>
          <w:b/>
          <w:sz w:val="23"/>
          <w:szCs w:val="23"/>
        </w:rPr>
      </w:pPr>
      <w:r w:rsidRPr="00F851CE">
        <w:rPr>
          <w:rFonts w:asciiTheme="minorHAnsi" w:eastAsiaTheme="majorEastAsia" w:hAnsiTheme="minorHAnsi" w:cstheme="minorHAnsi"/>
          <w:b/>
          <w:sz w:val="23"/>
          <w:szCs w:val="23"/>
        </w:rPr>
        <w:t>If a consent statement is required, please use the following [</w:t>
      </w:r>
      <w:r w:rsidRPr="00F851CE">
        <w:rPr>
          <w:rFonts w:asciiTheme="minorHAnsi" w:eastAsiaTheme="majorEastAsia" w:hAnsiTheme="minorHAnsi" w:cstheme="minorHAnsi"/>
          <w:i/>
          <w:sz w:val="23"/>
          <w:szCs w:val="23"/>
        </w:rPr>
        <w:t>include if linked data are used</w:t>
      </w:r>
      <w:r w:rsidRPr="00F851CE">
        <w:rPr>
          <w:rFonts w:asciiTheme="minorHAnsi" w:eastAsiaTheme="majorEastAsia" w:hAnsiTheme="minorHAnsi" w:cstheme="minorHAnsi"/>
          <w:b/>
          <w:sz w:val="23"/>
          <w:szCs w:val="23"/>
        </w:rPr>
        <w:t>]:</w:t>
      </w:r>
    </w:p>
    <w:p w:rsidR="00AE5A69" w:rsidRPr="00F851CE" w:rsidRDefault="00AE5A69" w:rsidP="00AE5A69">
      <w:pPr>
        <w:autoSpaceDE w:val="0"/>
        <w:autoSpaceDN w:val="0"/>
        <w:adjustRightInd w:val="0"/>
        <w:ind w:left="400"/>
        <w:rPr>
          <w:rFonts w:asciiTheme="minorHAnsi" w:hAnsiTheme="minorHAnsi" w:cstheme="minorHAnsi"/>
          <w:color w:val="1F4E79" w:themeColor="accent1" w:themeShade="80"/>
          <w:sz w:val="23"/>
          <w:szCs w:val="23"/>
        </w:rPr>
      </w:pPr>
      <w:r w:rsidRPr="00F851CE">
        <w:rPr>
          <w:rFonts w:asciiTheme="minorHAnsi" w:hAnsiTheme="minorHAnsi" w:cstheme="minorHAnsi"/>
          <w:color w:val="1F4E79" w:themeColor="accent1" w:themeShade="80"/>
          <w:sz w:val="23"/>
          <w:szCs w:val="23"/>
        </w:rPr>
        <w:t xml:space="preserve">“All </w:t>
      </w:r>
      <w:r w:rsidR="00BC0D90" w:rsidRPr="00F851CE">
        <w:rPr>
          <w:rFonts w:asciiTheme="minorHAnsi" w:hAnsiTheme="minorHAnsi" w:cstheme="minorHAnsi"/>
          <w:color w:val="1F4E79" w:themeColor="accent1" w:themeShade="80"/>
          <w:sz w:val="23"/>
          <w:szCs w:val="23"/>
        </w:rPr>
        <w:t>mothers</w:t>
      </w:r>
      <w:r w:rsidRPr="00F851CE">
        <w:rPr>
          <w:rFonts w:asciiTheme="minorHAnsi" w:hAnsiTheme="minorHAnsi" w:cstheme="minorHAnsi"/>
          <w:color w:val="1F4E79" w:themeColor="accent1" w:themeShade="80"/>
          <w:sz w:val="23"/>
          <w:szCs w:val="23"/>
        </w:rPr>
        <w:t xml:space="preserve"> consented to take part in </w:t>
      </w:r>
      <w:proofErr w:type="spellStart"/>
      <w:r w:rsidRPr="00F851CE">
        <w:rPr>
          <w:rFonts w:asciiTheme="minorHAnsi" w:hAnsiTheme="minorHAnsi" w:cstheme="minorHAnsi"/>
          <w:color w:val="1F4E79" w:themeColor="accent1" w:themeShade="80"/>
          <w:sz w:val="23"/>
          <w:szCs w:val="23"/>
        </w:rPr>
        <w:t>MatCH</w:t>
      </w:r>
      <w:proofErr w:type="spellEnd"/>
      <w:r w:rsidRPr="00F851CE">
        <w:rPr>
          <w:rFonts w:asciiTheme="minorHAnsi" w:hAnsiTheme="minorHAnsi" w:cstheme="minorHAnsi"/>
          <w:color w:val="1F4E79" w:themeColor="accent1" w:themeShade="80"/>
          <w:sz w:val="23"/>
          <w:szCs w:val="23"/>
        </w:rPr>
        <w:t xml:space="preserve"> and are free to withdraw or suspend their participation at any time with no need to provide a reason. </w:t>
      </w:r>
      <w:r w:rsidRPr="00F851CE">
        <w:rPr>
          <w:rFonts w:asciiTheme="minorHAnsi" w:hAnsiTheme="minorHAnsi" w:cstheme="minorHAnsi"/>
          <w:b/>
          <w:sz w:val="23"/>
          <w:szCs w:val="23"/>
        </w:rPr>
        <w:t>[</w:t>
      </w:r>
      <w:r w:rsidR="00032EE3" w:rsidRPr="00F851CE">
        <w:rPr>
          <w:rFonts w:asciiTheme="minorHAnsi" w:hAnsiTheme="minorHAnsi" w:cstheme="minorHAnsi"/>
          <w:color w:val="1F4E79" w:themeColor="accent1" w:themeShade="80"/>
          <w:sz w:val="23"/>
          <w:szCs w:val="23"/>
        </w:rPr>
        <w:t xml:space="preserve">Linkage of children’s AEDC and NAPLAN records is conducted for </w:t>
      </w:r>
      <w:r w:rsidRPr="00F851CE">
        <w:rPr>
          <w:rFonts w:asciiTheme="minorHAnsi" w:hAnsiTheme="minorHAnsi" w:cstheme="minorHAnsi"/>
          <w:color w:val="1F4E79" w:themeColor="accent1" w:themeShade="80"/>
          <w:sz w:val="23"/>
          <w:szCs w:val="23"/>
        </w:rPr>
        <w:t xml:space="preserve">74% of </w:t>
      </w:r>
      <w:r w:rsidR="00CD352A" w:rsidRPr="00F851CE">
        <w:rPr>
          <w:rFonts w:asciiTheme="minorHAnsi" w:hAnsiTheme="minorHAnsi" w:cstheme="minorHAnsi"/>
          <w:color w:val="1F4E79" w:themeColor="accent1" w:themeShade="80"/>
          <w:sz w:val="23"/>
          <w:szCs w:val="23"/>
        </w:rPr>
        <w:t xml:space="preserve">children, </w:t>
      </w:r>
      <w:r w:rsidR="0060429A" w:rsidRPr="00F851CE">
        <w:rPr>
          <w:rFonts w:asciiTheme="minorHAnsi" w:hAnsiTheme="minorHAnsi" w:cstheme="minorHAnsi"/>
          <w:color w:val="1F4E79" w:themeColor="accent1" w:themeShade="80"/>
          <w:sz w:val="23"/>
          <w:szCs w:val="23"/>
        </w:rPr>
        <w:t>with explicit maternal</w:t>
      </w:r>
      <w:r w:rsidR="00032EE3" w:rsidRPr="00F851CE">
        <w:rPr>
          <w:rFonts w:asciiTheme="minorHAnsi" w:hAnsiTheme="minorHAnsi" w:cstheme="minorHAnsi"/>
          <w:color w:val="1F4E79" w:themeColor="accent1" w:themeShade="80"/>
          <w:sz w:val="23"/>
          <w:szCs w:val="23"/>
        </w:rPr>
        <w:t xml:space="preserve"> </w:t>
      </w:r>
      <w:r w:rsidR="0060429A" w:rsidRPr="00F851CE">
        <w:rPr>
          <w:rFonts w:asciiTheme="minorHAnsi" w:hAnsiTheme="minorHAnsi" w:cstheme="minorHAnsi"/>
          <w:color w:val="1F4E79" w:themeColor="accent1" w:themeShade="80"/>
          <w:sz w:val="23"/>
          <w:szCs w:val="23"/>
        </w:rPr>
        <w:t>consent</w:t>
      </w:r>
      <w:r w:rsidR="00032EE3" w:rsidRPr="00F851CE">
        <w:rPr>
          <w:rFonts w:asciiTheme="minorHAnsi" w:hAnsiTheme="minorHAnsi" w:cstheme="minorHAnsi"/>
          <w:color w:val="1F4E79" w:themeColor="accent1" w:themeShade="80"/>
          <w:sz w:val="23"/>
          <w:szCs w:val="23"/>
        </w:rPr>
        <w:t>.</w:t>
      </w:r>
      <w:r w:rsidR="00032EE3" w:rsidRPr="00F851CE">
        <w:rPr>
          <w:rFonts w:asciiTheme="minorHAnsi" w:hAnsiTheme="minorHAnsi" w:cstheme="minorHAnsi"/>
          <w:b/>
          <w:sz w:val="23"/>
          <w:szCs w:val="23"/>
        </w:rPr>
        <w:t>]</w:t>
      </w:r>
      <w:r w:rsidRPr="00F851CE">
        <w:rPr>
          <w:rFonts w:asciiTheme="minorHAnsi" w:hAnsiTheme="minorHAnsi" w:cstheme="minorHAnsi"/>
          <w:color w:val="1F4E79" w:themeColor="accent1" w:themeShade="80"/>
          <w:sz w:val="23"/>
          <w:szCs w:val="23"/>
        </w:rPr>
        <w:t xml:space="preserve">” </w:t>
      </w:r>
    </w:p>
    <w:p w:rsidR="007434A2" w:rsidRDefault="007434A2"/>
    <w:sectPr w:rsidR="007434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B0" w:rsidRDefault="007010B0" w:rsidP="007010B0">
      <w:r>
        <w:separator/>
      </w:r>
    </w:p>
  </w:endnote>
  <w:endnote w:type="continuationSeparator" w:id="0">
    <w:p w:rsidR="007010B0" w:rsidRDefault="007010B0" w:rsidP="0070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B0" w:rsidRPr="007010B0" w:rsidRDefault="007010B0">
    <w:pPr>
      <w:pStyle w:val="Footer"/>
      <w:rPr>
        <w:i/>
      </w:rPr>
    </w:pPr>
    <w:r w:rsidRPr="007010B0">
      <w:rPr>
        <w:i/>
      </w:rPr>
      <w:t>Prepared by Colleen Loos 16/06/2020</w:t>
    </w:r>
  </w:p>
  <w:p w:rsidR="007010B0" w:rsidRDefault="0070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B0" w:rsidRDefault="007010B0" w:rsidP="007010B0">
      <w:r>
        <w:separator/>
      </w:r>
    </w:p>
  </w:footnote>
  <w:footnote w:type="continuationSeparator" w:id="0">
    <w:p w:rsidR="007010B0" w:rsidRDefault="007010B0" w:rsidP="0070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F17"/>
    <w:multiLevelType w:val="hybridMultilevel"/>
    <w:tmpl w:val="83AE120E"/>
    <w:lvl w:ilvl="0" w:tplc="0C09000F">
      <w:start w:val="1"/>
      <w:numFmt w:val="decimal"/>
      <w:lvlText w:val="%1."/>
      <w:lvlJc w:val="left"/>
      <w:pPr>
        <w:ind w:left="2487" w:hanging="360"/>
      </w:p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 w15:restartNumberingAfterBreak="0">
    <w:nsid w:val="4D4D49B9"/>
    <w:multiLevelType w:val="hybridMultilevel"/>
    <w:tmpl w:val="2A882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E16554"/>
    <w:multiLevelType w:val="hybridMultilevel"/>
    <w:tmpl w:val="07D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A2"/>
    <w:rsid w:val="00032EE3"/>
    <w:rsid w:val="000C2D0A"/>
    <w:rsid w:val="000E0FFB"/>
    <w:rsid w:val="001B3A03"/>
    <w:rsid w:val="002779EE"/>
    <w:rsid w:val="003226AB"/>
    <w:rsid w:val="003555FD"/>
    <w:rsid w:val="003E7BA4"/>
    <w:rsid w:val="00506FD5"/>
    <w:rsid w:val="00566362"/>
    <w:rsid w:val="0060429A"/>
    <w:rsid w:val="006160CE"/>
    <w:rsid w:val="00673C13"/>
    <w:rsid w:val="007010B0"/>
    <w:rsid w:val="00706E75"/>
    <w:rsid w:val="00732D7F"/>
    <w:rsid w:val="007434A2"/>
    <w:rsid w:val="00761280"/>
    <w:rsid w:val="007B5FA9"/>
    <w:rsid w:val="007E5905"/>
    <w:rsid w:val="0082736F"/>
    <w:rsid w:val="00897EA4"/>
    <w:rsid w:val="00900692"/>
    <w:rsid w:val="00995C49"/>
    <w:rsid w:val="009970B0"/>
    <w:rsid w:val="00A431DC"/>
    <w:rsid w:val="00AE5A69"/>
    <w:rsid w:val="00B0489F"/>
    <w:rsid w:val="00B81A53"/>
    <w:rsid w:val="00B92238"/>
    <w:rsid w:val="00BC0D90"/>
    <w:rsid w:val="00C43FF7"/>
    <w:rsid w:val="00CA67B4"/>
    <w:rsid w:val="00CB5047"/>
    <w:rsid w:val="00CD352A"/>
    <w:rsid w:val="00D0686B"/>
    <w:rsid w:val="00D139E0"/>
    <w:rsid w:val="00E1255F"/>
    <w:rsid w:val="00E357CC"/>
    <w:rsid w:val="00E64516"/>
    <w:rsid w:val="00EE4983"/>
    <w:rsid w:val="00F41A11"/>
    <w:rsid w:val="00F85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3FE"/>
  <w15:chartTrackingRefBased/>
  <w15:docId w15:val="{2221F7BE-DF43-4585-8622-31D73779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A2"/>
    <w:pPr>
      <w:spacing w:after="0" w:line="240" w:lineRule="auto"/>
    </w:pPr>
    <w:rPr>
      <w:rFonts w:ascii="Calibri" w:hAnsi="Calibri" w:cs="Calibri"/>
    </w:rPr>
  </w:style>
  <w:style w:type="paragraph" w:styleId="Heading1">
    <w:name w:val="heading 1"/>
    <w:basedOn w:val="Normal"/>
    <w:next w:val="Normal"/>
    <w:link w:val="Heading1Char"/>
    <w:uiPriority w:val="9"/>
    <w:qFormat/>
    <w:rsid w:val="00B92238"/>
    <w:pPr>
      <w:keepNext/>
      <w:keepLines/>
      <w:spacing w:before="240" w:after="120" w:line="259" w:lineRule="auto"/>
      <w:outlineLvl w:val="0"/>
    </w:pPr>
    <w:rPr>
      <w:rFonts w:ascii="Century Gothic" w:eastAsiaTheme="majorEastAsia" w:hAnsi="Century Gothic" w:cstheme="majorBidi"/>
      <w:b/>
      <w:color w:val="652D86"/>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4A2"/>
    <w:rPr>
      <w:color w:val="0563C1"/>
      <w:u w:val="single"/>
    </w:rPr>
  </w:style>
  <w:style w:type="paragraph" w:styleId="ListParagraph">
    <w:name w:val="List Paragraph"/>
    <w:basedOn w:val="Normal"/>
    <w:uiPriority w:val="34"/>
    <w:qFormat/>
    <w:rsid w:val="007434A2"/>
    <w:pPr>
      <w:ind w:left="720"/>
    </w:pPr>
  </w:style>
  <w:style w:type="character" w:styleId="FollowedHyperlink">
    <w:name w:val="FollowedHyperlink"/>
    <w:basedOn w:val="DefaultParagraphFont"/>
    <w:uiPriority w:val="99"/>
    <w:semiHidden/>
    <w:unhideWhenUsed/>
    <w:rsid w:val="007434A2"/>
    <w:rPr>
      <w:color w:val="954F72" w:themeColor="followedHyperlink"/>
      <w:u w:val="single"/>
    </w:rPr>
  </w:style>
  <w:style w:type="paragraph" w:styleId="Header">
    <w:name w:val="header"/>
    <w:basedOn w:val="Normal"/>
    <w:link w:val="HeaderChar"/>
    <w:uiPriority w:val="99"/>
    <w:unhideWhenUsed/>
    <w:rsid w:val="007010B0"/>
    <w:pPr>
      <w:tabs>
        <w:tab w:val="center" w:pos="4513"/>
        <w:tab w:val="right" w:pos="9026"/>
      </w:tabs>
    </w:pPr>
  </w:style>
  <w:style w:type="character" w:customStyle="1" w:styleId="HeaderChar">
    <w:name w:val="Header Char"/>
    <w:basedOn w:val="DefaultParagraphFont"/>
    <w:link w:val="Header"/>
    <w:uiPriority w:val="99"/>
    <w:rsid w:val="007010B0"/>
    <w:rPr>
      <w:rFonts w:ascii="Calibri" w:hAnsi="Calibri" w:cs="Calibri"/>
    </w:rPr>
  </w:style>
  <w:style w:type="paragraph" w:styleId="Footer">
    <w:name w:val="footer"/>
    <w:basedOn w:val="Normal"/>
    <w:link w:val="FooterChar"/>
    <w:uiPriority w:val="99"/>
    <w:unhideWhenUsed/>
    <w:rsid w:val="007010B0"/>
    <w:pPr>
      <w:tabs>
        <w:tab w:val="center" w:pos="4513"/>
        <w:tab w:val="right" w:pos="9026"/>
      </w:tabs>
    </w:pPr>
  </w:style>
  <w:style w:type="character" w:customStyle="1" w:styleId="FooterChar">
    <w:name w:val="Footer Char"/>
    <w:basedOn w:val="DefaultParagraphFont"/>
    <w:link w:val="Footer"/>
    <w:uiPriority w:val="99"/>
    <w:rsid w:val="007010B0"/>
    <w:rPr>
      <w:rFonts w:ascii="Calibri" w:hAnsi="Calibri" w:cs="Calibri"/>
    </w:rPr>
  </w:style>
  <w:style w:type="character" w:customStyle="1" w:styleId="Heading1Char">
    <w:name w:val="Heading 1 Char"/>
    <w:basedOn w:val="DefaultParagraphFont"/>
    <w:link w:val="Heading1"/>
    <w:uiPriority w:val="9"/>
    <w:rsid w:val="00B92238"/>
    <w:rPr>
      <w:rFonts w:ascii="Century Gothic" w:eastAsiaTheme="majorEastAsia" w:hAnsi="Century Gothic" w:cstheme="majorBidi"/>
      <w:b/>
      <w:color w:val="652D86"/>
      <w:sz w:val="24"/>
      <w:szCs w:val="32"/>
    </w:rPr>
  </w:style>
  <w:style w:type="paragraph" w:styleId="Title">
    <w:name w:val="Title"/>
    <w:basedOn w:val="Normal"/>
    <w:next w:val="Normal"/>
    <w:link w:val="TitleChar"/>
    <w:uiPriority w:val="10"/>
    <w:qFormat/>
    <w:rsid w:val="00D0686B"/>
    <w:pPr>
      <w:spacing w:before="120" w:after="120"/>
    </w:pPr>
    <w:rPr>
      <w:rFonts w:ascii="Century Gothic" w:eastAsiaTheme="majorEastAsia" w:hAnsi="Century Gothic" w:cstheme="majorBidi"/>
      <w:spacing w:val="-10"/>
      <w:kern w:val="28"/>
      <w:sz w:val="36"/>
      <w:szCs w:val="56"/>
    </w:rPr>
  </w:style>
  <w:style w:type="character" w:customStyle="1" w:styleId="TitleChar">
    <w:name w:val="Title Char"/>
    <w:basedOn w:val="DefaultParagraphFont"/>
    <w:link w:val="Title"/>
    <w:uiPriority w:val="10"/>
    <w:rsid w:val="00D0686B"/>
    <w:rPr>
      <w:rFonts w:ascii="Century Gothic" w:eastAsiaTheme="majorEastAsia" w:hAnsi="Century Gothic"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os@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4301/llcs.v9i3.491" TargetMode="External"/><Relationship Id="rId5" Type="http://schemas.openxmlformats.org/officeDocument/2006/relationships/webSettings" Target="webSettings.xml"/><Relationship Id="rId10" Type="http://schemas.openxmlformats.org/officeDocument/2006/relationships/hyperlink" Target="https://www.alswh.org.au/for-researchers/external-linked-datasets" TargetMode="External"/><Relationship Id="rId4" Type="http://schemas.openxmlformats.org/officeDocument/2006/relationships/settings" Target="settings.xml"/><Relationship Id="rId9" Type="http://schemas.openxmlformats.org/officeDocument/2006/relationships/hyperlink" Target="https://www.aedc.gov.au/researchers/data-user-responsibilities/publishing-requir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BC78-4414-4D29-84B6-FD81B0A7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Loos</dc:creator>
  <cp:keywords/>
  <dc:description/>
  <cp:lastModifiedBy>Colleen Loos</cp:lastModifiedBy>
  <cp:revision>28</cp:revision>
  <dcterms:created xsi:type="dcterms:W3CDTF">2020-06-16T02:11:00Z</dcterms:created>
  <dcterms:modified xsi:type="dcterms:W3CDTF">2020-06-16T04:42:00Z</dcterms:modified>
</cp:coreProperties>
</file>