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6AE0" w14:textId="6BE5BDDA" w:rsidR="00553B6D" w:rsidRPr="000F57B3" w:rsidRDefault="000251C1" w:rsidP="00240C16">
      <w:pPr>
        <w:spacing w:line="360" w:lineRule="auto"/>
        <w:rPr>
          <w:rFonts w:cstheme="minorHAnsi"/>
          <w:b/>
          <w:bCs/>
          <w:sz w:val="36"/>
          <w:szCs w:val="36"/>
        </w:rPr>
      </w:pPr>
      <w:bookmarkStart w:id="0" w:name="_GoBack"/>
      <w:bookmarkEnd w:id="0"/>
      <w:r w:rsidRPr="000F57B3">
        <w:rPr>
          <w:rFonts w:cstheme="minorHAnsi"/>
          <w:b/>
          <w:bCs/>
          <w:sz w:val="36"/>
          <w:szCs w:val="36"/>
        </w:rPr>
        <w:t>Greenspace</w:t>
      </w:r>
      <w:r w:rsidR="000F57B3" w:rsidRPr="000F57B3">
        <w:rPr>
          <w:rFonts w:cstheme="minorHAnsi"/>
          <w:b/>
          <w:bCs/>
          <w:sz w:val="36"/>
          <w:szCs w:val="36"/>
        </w:rPr>
        <w:t xml:space="preserve"> Data in ALSWH cohorts: </w:t>
      </w:r>
      <w:r w:rsidR="004A79DF">
        <w:rPr>
          <w:rFonts w:cstheme="minorHAnsi"/>
          <w:b/>
          <w:bCs/>
          <w:sz w:val="36"/>
          <w:szCs w:val="36"/>
        </w:rPr>
        <w:t>Description</w:t>
      </w:r>
      <w:r w:rsidR="000F57B3" w:rsidRPr="000F57B3">
        <w:rPr>
          <w:rFonts w:cstheme="minorHAnsi"/>
          <w:b/>
          <w:bCs/>
          <w:sz w:val="36"/>
          <w:szCs w:val="36"/>
        </w:rPr>
        <w:t xml:space="preserve"> </w:t>
      </w:r>
    </w:p>
    <w:p w14:paraId="6FDFF705" w14:textId="476B8C85" w:rsidR="00577A34" w:rsidRDefault="00577A34" w:rsidP="0057407C">
      <w:pPr>
        <w:spacing w:line="360" w:lineRule="auto"/>
        <w:rPr>
          <w:rFonts w:cstheme="minorHAnsi"/>
        </w:rPr>
      </w:pPr>
      <w:r>
        <w:rPr>
          <w:rFonts w:cstheme="minorHAnsi"/>
        </w:rPr>
        <w:t>Tafzila Mouly</w:t>
      </w:r>
      <w:r w:rsidR="00B13140">
        <w:rPr>
          <w:rFonts w:cstheme="minorHAnsi"/>
        </w:rPr>
        <w:t>,</w:t>
      </w:r>
      <w:r w:rsidR="00EB7875">
        <w:rPr>
          <w:rFonts w:cstheme="minorHAnsi"/>
        </w:rPr>
        <w:t xml:space="preserve"> </w:t>
      </w:r>
      <w:r w:rsidR="00B13140">
        <w:rPr>
          <w:rFonts w:cstheme="minorHAnsi"/>
        </w:rPr>
        <w:t xml:space="preserve">Luke Knibbs and </w:t>
      </w:r>
      <w:r>
        <w:rPr>
          <w:rFonts w:cstheme="minorHAnsi"/>
        </w:rPr>
        <w:t>David Fitzgerald</w:t>
      </w:r>
      <w:r w:rsidR="000F57B3">
        <w:rPr>
          <w:rFonts w:cstheme="minorHAnsi"/>
        </w:rPr>
        <w:t xml:space="preserve">, </w:t>
      </w:r>
      <w:r w:rsidR="009355B6">
        <w:rPr>
          <w:rFonts w:cstheme="minorHAnsi"/>
        </w:rPr>
        <w:t xml:space="preserve">May </w:t>
      </w:r>
      <w:r w:rsidR="000F57B3">
        <w:rPr>
          <w:rFonts w:cstheme="minorHAnsi"/>
        </w:rPr>
        <w:t>2021</w:t>
      </w:r>
    </w:p>
    <w:p w14:paraId="582A34ED" w14:textId="49CC1B12" w:rsidR="000F57B3" w:rsidRPr="000F57B3" w:rsidRDefault="000F57B3" w:rsidP="0057407C">
      <w:pPr>
        <w:spacing w:line="360" w:lineRule="auto"/>
        <w:rPr>
          <w:rFonts w:cstheme="minorHAnsi"/>
          <w:b/>
          <w:sz w:val="28"/>
          <w:szCs w:val="28"/>
        </w:rPr>
      </w:pPr>
      <w:r w:rsidRPr="000F57B3">
        <w:rPr>
          <w:rFonts w:cstheme="minorHAnsi"/>
          <w:b/>
          <w:sz w:val="28"/>
          <w:szCs w:val="28"/>
        </w:rPr>
        <w:t>Background</w:t>
      </w:r>
    </w:p>
    <w:p w14:paraId="0E26C806" w14:textId="4CA35764" w:rsidR="00B13140" w:rsidRDefault="002C13DF" w:rsidP="0057407C">
      <w:pPr>
        <w:spacing w:line="360" w:lineRule="auto"/>
        <w:rPr>
          <w:rFonts w:cstheme="minorHAnsi"/>
        </w:rPr>
      </w:pPr>
      <w:r>
        <w:rPr>
          <w:rFonts w:cstheme="minorHAnsi"/>
        </w:rPr>
        <w:t>As part of ALSWH EoI#699 (Knibbs, Mishra, Fitzgerald, Hockey, Mouly), t</w:t>
      </w:r>
      <w:r w:rsidR="00B13140">
        <w:rPr>
          <w:rFonts w:cstheme="minorHAnsi"/>
        </w:rPr>
        <w:t xml:space="preserve">wo indicators of greenspace - </w:t>
      </w:r>
      <w:r w:rsidR="000251C1" w:rsidRPr="00240C16">
        <w:rPr>
          <w:rFonts w:cstheme="minorHAnsi"/>
        </w:rPr>
        <w:t xml:space="preserve">annual average normalized difference vegetation Index (NDVI), and annual average non-photosynthetic vegetation fractional cover </w:t>
      </w:r>
      <w:r w:rsidR="00B13140">
        <w:rPr>
          <w:rFonts w:cstheme="minorHAnsi"/>
        </w:rPr>
        <w:t xml:space="preserve">- </w:t>
      </w:r>
      <w:r w:rsidR="000251C1" w:rsidRPr="00240C16">
        <w:rPr>
          <w:rFonts w:cstheme="minorHAnsi"/>
        </w:rPr>
        <w:t>have been</w:t>
      </w:r>
      <w:r w:rsidR="00B13140">
        <w:rPr>
          <w:rFonts w:cstheme="minorHAnsi"/>
        </w:rPr>
        <w:t xml:space="preserve"> estimated and</w:t>
      </w:r>
      <w:r w:rsidR="000251C1" w:rsidRPr="00240C16">
        <w:rPr>
          <w:rFonts w:cstheme="minorHAnsi"/>
        </w:rPr>
        <w:t xml:space="preserve"> linked to </w:t>
      </w:r>
      <w:r w:rsidR="00B13140">
        <w:rPr>
          <w:rFonts w:cstheme="minorHAnsi"/>
        </w:rPr>
        <w:t xml:space="preserve">the </w:t>
      </w:r>
      <w:r w:rsidR="000251C1" w:rsidRPr="00240C16">
        <w:rPr>
          <w:rFonts w:cstheme="minorHAnsi"/>
        </w:rPr>
        <w:t xml:space="preserve">geocoded residential addresses of ALSWH participants from 1994 to 2018. </w:t>
      </w:r>
      <w:r w:rsidR="00B13140">
        <w:rPr>
          <w:rFonts w:cstheme="minorHAnsi"/>
        </w:rPr>
        <w:t>Additionally, the p</w:t>
      </w:r>
      <w:r w:rsidR="000251C1" w:rsidRPr="00240C16">
        <w:rPr>
          <w:rFonts w:cstheme="minorHAnsi"/>
        </w:rPr>
        <w:t>ercentage</w:t>
      </w:r>
      <w:r w:rsidR="0099429A">
        <w:rPr>
          <w:rFonts w:cstheme="minorHAnsi"/>
        </w:rPr>
        <w:t>s</w:t>
      </w:r>
      <w:r w:rsidR="000251C1" w:rsidRPr="00240C16">
        <w:rPr>
          <w:rFonts w:cstheme="minorHAnsi"/>
        </w:rPr>
        <w:t xml:space="preserve"> of parkland</w:t>
      </w:r>
      <w:r w:rsidR="00B13140">
        <w:rPr>
          <w:rFonts w:cstheme="minorHAnsi"/>
        </w:rPr>
        <w:t xml:space="preserve"> in different buffers</w:t>
      </w:r>
      <w:r w:rsidR="000251C1" w:rsidRPr="00240C16">
        <w:rPr>
          <w:rFonts w:cstheme="minorHAnsi"/>
        </w:rPr>
        <w:t xml:space="preserve"> </w:t>
      </w:r>
      <w:proofErr w:type="gramStart"/>
      <w:r w:rsidR="000251C1" w:rsidRPr="00240C16">
        <w:rPr>
          <w:rFonts w:cstheme="minorHAnsi"/>
        </w:rPr>
        <w:t>ha</w:t>
      </w:r>
      <w:r w:rsidR="0099429A">
        <w:rPr>
          <w:rFonts w:cstheme="minorHAnsi"/>
        </w:rPr>
        <w:t>ve</w:t>
      </w:r>
      <w:r w:rsidR="000251C1" w:rsidRPr="00240C16">
        <w:rPr>
          <w:rFonts w:cstheme="minorHAnsi"/>
        </w:rPr>
        <w:t xml:space="preserve"> been </w:t>
      </w:r>
      <w:r w:rsidR="00B13140">
        <w:rPr>
          <w:rFonts w:cstheme="minorHAnsi"/>
        </w:rPr>
        <w:t>estimated</w:t>
      </w:r>
      <w:proofErr w:type="gramEnd"/>
      <w:r w:rsidR="00B13140">
        <w:rPr>
          <w:rFonts w:cstheme="minorHAnsi"/>
        </w:rPr>
        <w:t xml:space="preserve"> based on census land-use classifications available since the </w:t>
      </w:r>
      <w:r w:rsidR="000251C1" w:rsidRPr="00240C16">
        <w:rPr>
          <w:rFonts w:cstheme="minorHAnsi"/>
        </w:rPr>
        <w:t>2011</w:t>
      </w:r>
      <w:r w:rsidR="00B13140">
        <w:rPr>
          <w:rFonts w:cstheme="minorHAnsi"/>
        </w:rPr>
        <w:t xml:space="preserve"> census</w:t>
      </w:r>
      <w:r w:rsidR="000251C1" w:rsidRPr="00240C16">
        <w:rPr>
          <w:rFonts w:cstheme="minorHAnsi"/>
        </w:rPr>
        <w:t xml:space="preserve"> </w:t>
      </w:r>
      <w:r w:rsidR="00B13140">
        <w:rPr>
          <w:rFonts w:cstheme="minorHAnsi"/>
        </w:rPr>
        <w:t>(2011 and 2016)</w:t>
      </w:r>
      <w:r w:rsidR="000251C1" w:rsidRPr="00240C16">
        <w:rPr>
          <w:rFonts w:cstheme="minorHAnsi"/>
        </w:rPr>
        <w:t>. These estimates are available for researchers using the ALSWH data.</w:t>
      </w:r>
      <w:r w:rsidR="00544708" w:rsidRPr="00240C16">
        <w:rPr>
          <w:rFonts w:cstheme="minorHAnsi"/>
        </w:rPr>
        <w:t xml:space="preserve"> </w:t>
      </w:r>
    </w:p>
    <w:p w14:paraId="195B9AAA" w14:textId="6874F114" w:rsidR="004A79DF" w:rsidRDefault="004A79DF" w:rsidP="0057407C">
      <w:pPr>
        <w:spacing w:line="360" w:lineRule="auto"/>
        <w:rPr>
          <w:rFonts w:cstheme="minorHAnsi"/>
        </w:rPr>
      </w:pPr>
      <w:r>
        <w:rPr>
          <w:rFonts w:cstheme="minorHAnsi"/>
        </w:rPr>
        <w:t xml:space="preserve">See </w:t>
      </w:r>
      <w:r w:rsidR="0099429A">
        <w:rPr>
          <w:rFonts w:cstheme="minorHAnsi"/>
        </w:rPr>
        <w:t xml:space="preserve">the Greenspace Structure and </w:t>
      </w:r>
      <w:r>
        <w:rPr>
          <w:rFonts w:cstheme="minorHAnsi"/>
        </w:rPr>
        <w:t>Accuracy section</w:t>
      </w:r>
      <w:r w:rsidR="0099429A">
        <w:rPr>
          <w:rFonts w:cstheme="minorHAnsi"/>
        </w:rPr>
        <w:t>s below</w:t>
      </w:r>
      <w:r>
        <w:rPr>
          <w:rFonts w:cstheme="minorHAnsi"/>
        </w:rPr>
        <w:t xml:space="preserve"> for further description</w:t>
      </w:r>
      <w:r w:rsidR="0099429A">
        <w:rPr>
          <w:rFonts w:cstheme="minorHAnsi"/>
        </w:rPr>
        <w:t>s</w:t>
      </w:r>
      <w:r>
        <w:rPr>
          <w:rFonts w:cstheme="minorHAnsi"/>
        </w:rPr>
        <w:t xml:space="preserve"> of the method</w:t>
      </w:r>
      <w:r w:rsidR="0099429A">
        <w:rPr>
          <w:rFonts w:cstheme="minorHAnsi"/>
        </w:rPr>
        <w:t xml:space="preserve"> to produce the greenspace data.</w:t>
      </w:r>
    </w:p>
    <w:p w14:paraId="2D49057D" w14:textId="74DFD6C8" w:rsidR="00EA556C" w:rsidRPr="00EA556C" w:rsidRDefault="00544708" w:rsidP="0057407C">
      <w:pPr>
        <w:spacing w:line="360" w:lineRule="auto"/>
        <w:rPr>
          <w:b/>
          <w:sz w:val="24"/>
          <w:szCs w:val="24"/>
        </w:rPr>
      </w:pPr>
      <w:r w:rsidRPr="0057407C">
        <w:rPr>
          <w:rFonts w:cstheme="minorHAnsi"/>
        </w:rPr>
        <w:lastRenderedPageBreak/>
        <w:t xml:space="preserve">All greenspace metrics </w:t>
      </w:r>
      <w:proofErr w:type="gramStart"/>
      <w:r w:rsidR="00B13140">
        <w:rPr>
          <w:rFonts w:cstheme="minorHAnsi"/>
        </w:rPr>
        <w:t>have been estimated</w:t>
      </w:r>
      <w:proofErr w:type="gramEnd"/>
      <w:r w:rsidR="00B13140">
        <w:rPr>
          <w:rFonts w:cstheme="minorHAnsi"/>
        </w:rPr>
        <w:t xml:space="preserve"> for</w:t>
      </w:r>
      <w:r w:rsidR="0053285C">
        <w:rPr>
          <w:rFonts w:cstheme="minorHAnsi"/>
        </w:rPr>
        <w:t xml:space="preserve"> </w:t>
      </w:r>
      <w:r w:rsidRPr="0057407C">
        <w:rPr>
          <w:rFonts w:cstheme="minorHAnsi"/>
        </w:rPr>
        <w:t>four</w:t>
      </w:r>
      <w:r w:rsidR="00B13140">
        <w:rPr>
          <w:rFonts w:cstheme="minorHAnsi"/>
        </w:rPr>
        <w:t xml:space="preserve"> circular</w:t>
      </w:r>
      <w:r w:rsidRPr="0057407C">
        <w:rPr>
          <w:rFonts w:cstheme="minorHAnsi"/>
        </w:rPr>
        <w:t xml:space="preserve"> buffers </w:t>
      </w:r>
      <w:r w:rsidR="00B13140">
        <w:rPr>
          <w:rFonts w:cstheme="minorHAnsi"/>
        </w:rPr>
        <w:t>with radii of</w:t>
      </w:r>
      <w:r w:rsidRPr="0057407C">
        <w:rPr>
          <w:rFonts w:cstheme="minorHAnsi"/>
        </w:rPr>
        <w:t xml:space="preserve"> 100m, 500m, 1000m and 3000m</w:t>
      </w:r>
      <w:r w:rsidR="00B13140">
        <w:rPr>
          <w:rFonts w:cstheme="minorHAnsi"/>
        </w:rPr>
        <w:t xml:space="preserve"> around the residential address</w:t>
      </w:r>
      <w:r w:rsidR="00EA556C" w:rsidRPr="0057407C">
        <w:rPr>
          <w:rFonts w:cstheme="minorHAnsi"/>
        </w:rPr>
        <w:t xml:space="preserve"> (Figure 1)</w:t>
      </w:r>
      <w:r w:rsidRPr="0057407C">
        <w:rPr>
          <w:rFonts w:cstheme="minorHAnsi"/>
        </w:rPr>
        <w:t>.</w:t>
      </w:r>
      <w:r w:rsidR="00F74A4F" w:rsidRPr="0057407C">
        <w:rPr>
          <w:rFonts w:cstheme="minorHAnsi"/>
        </w:rPr>
        <w:t xml:space="preserve"> </w:t>
      </w:r>
      <w:r w:rsidR="0057407C" w:rsidRPr="0057407C">
        <w:rPr>
          <w:rFonts w:cstheme="minorHAnsi"/>
        </w:rPr>
        <w:t xml:space="preserve">These buffers </w:t>
      </w:r>
      <w:r w:rsidR="00B13140">
        <w:rPr>
          <w:rFonts w:cstheme="minorHAnsi"/>
        </w:rPr>
        <w:t>aim to capture</w:t>
      </w:r>
      <w:r w:rsidR="0057407C" w:rsidRPr="0057407C">
        <w:rPr>
          <w:rFonts w:cstheme="minorHAnsi"/>
        </w:rPr>
        <w:t xml:space="preserve"> </w:t>
      </w:r>
      <w:proofErr w:type="gramStart"/>
      <w:r w:rsidR="0057407C" w:rsidRPr="0057407C">
        <w:rPr>
          <w:rFonts w:cstheme="minorHAnsi"/>
        </w:rPr>
        <w:t>near</w:t>
      </w:r>
      <w:r w:rsidR="00B13140">
        <w:rPr>
          <w:rFonts w:cstheme="minorHAnsi"/>
        </w:rPr>
        <w:t>-home</w:t>
      </w:r>
      <w:proofErr w:type="gramEnd"/>
      <w:r w:rsidR="0057407C" w:rsidRPr="0057407C">
        <w:rPr>
          <w:rFonts w:cstheme="minorHAnsi"/>
        </w:rPr>
        <w:t xml:space="preserve"> and </w:t>
      </w:r>
      <w:r w:rsidR="00B13140">
        <w:rPr>
          <w:rFonts w:cstheme="minorHAnsi"/>
        </w:rPr>
        <w:t>more distal</w:t>
      </w:r>
      <w:r w:rsidR="0057407C" w:rsidRPr="0057407C">
        <w:rPr>
          <w:rFonts w:cstheme="minorHAnsi"/>
        </w:rPr>
        <w:t xml:space="preserve"> greenspaces.</w:t>
      </w:r>
      <w:r w:rsidR="009E52F7">
        <w:rPr>
          <w:rFonts w:cstheme="minorHAnsi"/>
        </w:rPr>
        <w:t xml:space="preserve"> The values of each greenspace metric represent the average in a given</w:t>
      </w:r>
      <w:r w:rsidR="00BD12FB">
        <w:rPr>
          <w:rFonts w:cstheme="minorHAnsi"/>
        </w:rPr>
        <w:t xml:space="preserve"> buffer</w:t>
      </w:r>
      <w:r w:rsidR="009E52F7">
        <w:rPr>
          <w:rFonts w:cstheme="minorHAnsi"/>
        </w:rPr>
        <w:t>.</w:t>
      </w:r>
      <w:r w:rsidR="00EA556C" w:rsidRPr="00EA556C">
        <w:rPr>
          <w:rFonts w:cstheme="minorHAnsi"/>
          <w:b/>
          <w:noProof/>
          <w:sz w:val="24"/>
          <w:szCs w:val="24"/>
          <w:lang w:eastAsia="en-AU"/>
        </w:rPr>
        <w:drawing>
          <wp:inline distT="0" distB="0" distL="0" distR="0" wp14:anchorId="0AFE0718" wp14:editId="0494E072">
            <wp:extent cx="5731510" cy="4016679"/>
            <wp:effectExtent l="0" t="0" r="2540" b="3175"/>
            <wp:docPr id="1" name="Picture 1" descr="C:\Users\uqtmouly\Documents\ArcGIS\buff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tmouly\Documents\ArcGIS\buffe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16679"/>
                    </a:xfrm>
                    <a:prstGeom prst="rect">
                      <a:avLst/>
                    </a:prstGeom>
                    <a:noFill/>
                    <a:ln>
                      <a:noFill/>
                    </a:ln>
                  </pic:spPr>
                </pic:pic>
              </a:graphicData>
            </a:graphic>
          </wp:inline>
        </w:drawing>
      </w:r>
    </w:p>
    <w:p w14:paraId="7671A99E" w14:textId="4E45F1A8" w:rsidR="00EA556C" w:rsidRDefault="00EA556C" w:rsidP="00EA556C">
      <w:pPr>
        <w:pStyle w:val="Caption"/>
        <w:jc w:val="center"/>
        <w:rPr>
          <w:b/>
          <w:i w:val="0"/>
          <w:color w:val="auto"/>
          <w:sz w:val="24"/>
          <w:szCs w:val="24"/>
        </w:rPr>
      </w:pPr>
      <w:r w:rsidRPr="00EA556C">
        <w:rPr>
          <w:b/>
          <w:i w:val="0"/>
          <w:color w:val="auto"/>
          <w:sz w:val="24"/>
          <w:szCs w:val="24"/>
        </w:rPr>
        <w:t xml:space="preserve">Figure </w:t>
      </w:r>
      <w:r w:rsidRPr="00EA556C">
        <w:rPr>
          <w:b/>
          <w:i w:val="0"/>
          <w:color w:val="auto"/>
          <w:sz w:val="24"/>
          <w:szCs w:val="24"/>
        </w:rPr>
        <w:fldChar w:fldCharType="begin"/>
      </w:r>
      <w:r w:rsidRPr="00EA556C">
        <w:rPr>
          <w:b/>
          <w:i w:val="0"/>
          <w:color w:val="auto"/>
          <w:sz w:val="24"/>
          <w:szCs w:val="24"/>
        </w:rPr>
        <w:instrText xml:space="preserve"> SEQ Figure \* ARABIC </w:instrText>
      </w:r>
      <w:r w:rsidRPr="00EA556C">
        <w:rPr>
          <w:b/>
          <w:i w:val="0"/>
          <w:color w:val="auto"/>
          <w:sz w:val="24"/>
          <w:szCs w:val="24"/>
        </w:rPr>
        <w:fldChar w:fldCharType="separate"/>
      </w:r>
      <w:r w:rsidR="00320775">
        <w:rPr>
          <w:b/>
          <w:i w:val="0"/>
          <w:noProof/>
          <w:color w:val="auto"/>
          <w:sz w:val="24"/>
          <w:szCs w:val="24"/>
        </w:rPr>
        <w:t>1</w:t>
      </w:r>
      <w:r w:rsidRPr="00EA556C">
        <w:rPr>
          <w:b/>
          <w:i w:val="0"/>
          <w:color w:val="auto"/>
          <w:sz w:val="24"/>
          <w:szCs w:val="24"/>
        </w:rPr>
        <w:fldChar w:fldCharType="end"/>
      </w:r>
      <w:r w:rsidRPr="00EA556C">
        <w:rPr>
          <w:b/>
          <w:i w:val="0"/>
          <w:color w:val="auto"/>
          <w:sz w:val="24"/>
          <w:szCs w:val="24"/>
        </w:rPr>
        <w:t xml:space="preserve"> Di</w:t>
      </w:r>
      <w:r>
        <w:rPr>
          <w:b/>
          <w:i w:val="0"/>
          <w:color w:val="auto"/>
          <w:sz w:val="24"/>
          <w:szCs w:val="24"/>
        </w:rPr>
        <w:t>fferent Circular buffer around Geocoded A</w:t>
      </w:r>
      <w:r w:rsidRPr="00EA556C">
        <w:rPr>
          <w:b/>
          <w:i w:val="0"/>
          <w:color w:val="auto"/>
          <w:sz w:val="24"/>
          <w:szCs w:val="24"/>
        </w:rPr>
        <w:t>ddress</w:t>
      </w:r>
    </w:p>
    <w:p w14:paraId="6A84CCF6" w14:textId="03B7DCA7" w:rsidR="00F66859" w:rsidRPr="00541E48" w:rsidRDefault="00F66859" w:rsidP="00F66859">
      <w:pPr>
        <w:rPr>
          <w:b/>
        </w:rPr>
      </w:pPr>
    </w:p>
    <w:p w14:paraId="618EE2C0" w14:textId="4A3FA77F" w:rsidR="00BA5E78" w:rsidRDefault="00BA5E78" w:rsidP="00541E48">
      <w:pPr>
        <w:spacing w:line="360" w:lineRule="auto"/>
      </w:pPr>
      <w:r w:rsidRPr="00541E48">
        <w:rPr>
          <w:b/>
        </w:rPr>
        <w:lastRenderedPageBreak/>
        <w:t>Overview and usage</w:t>
      </w:r>
      <w:r w:rsidR="006A0292">
        <w:rPr>
          <w:b/>
        </w:rPr>
        <w:t xml:space="preserve"> </w:t>
      </w:r>
      <w:r>
        <w:t>Please note, there are no costs payable for non-commercial research-related use of these estimates. It is expected that any academic publications (journal article, conference paper, book chapter, etc.) that use the greenspace data offer the data contributors (A/Prof Luke Knibbs, [</w:t>
      </w:r>
      <w:hyperlink r:id="rId6" w:history="1">
        <w:r w:rsidRPr="0059226F">
          <w:rPr>
            <w:rStyle w:val="Hyperlink"/>
          </w:rPr>
          <w:t>l.knibbs@uq.edu.au</w:t>
        </w:r>
      </w:hyperlink>
      <w:r>
        <w:rPr>
          <w:rStyle w:val="Hyperlink"/>
        </w:rPr>
        <w:t>] and Dr Tafzila Mouly</w:t>
      </w:r>
      <w:r>
        <w:t xml:space="preserve">) the opportunity to be a co-author. Apart from recognition of the work of the contributor, this is also a way to ensure the data </w:t>
      </w:r>
      <w:proofErr w:type="gramStart"/>
      <w:r>
        <w:t>are applied and interpreted in the most valid way</w:t>
      </w:r>
      <w:r w:rsidR="00312903">
        <w:t xml:space="preserve"> at the </w:t>
      </w:r>
      <w:r>
        <w:t xml:space="preserve">analysis </w:t>
      </w:r>
      <w:r w:rsidR="00312903">
        <w:t xml:space="preserve">planning </w:t>
      </w:r>
      <w:r>
        <w:t>stage, which benefits users and saves time</w:t>
      </w:r>
      <w:proofErr w:type="gramEnd"/>
      <w:r>
        <w:t>. The contributor</w:t>
      </w:r>
      <w:r w:rsidR="00312903">
        <w:t>s</w:t>
      </w:r>
      <w:r>
        <w:t xml:space="preserve"> may choose not to take up the option of co-authorship, but can still offer useful content knowledge and feedback.</w:t>
      </w:r>
    </w:p>
    <w:p w14:paraId="3AABE978" w14:textId="25FE7EA3" w:rsidR="00F66859" w:rsidRDefault="00F66859" w:rsidP="00F66859">
      <w:r>
        <w:t>These are the variables in the Green Space data</w:t>
      </w:r>
      <w:r w:rsidR="00BB198B">
        <w:t>, estimates in each of the four buffers</w:t>
      </w:r>
      <w:r>
        <w:t>:</w:t>
      </w:r>
    </w:p>
    <w:p w14:paraId="38405314" w14:textId="0577230E" w:rsidR="004B0E53" w:rsidRPr="00240C16" w:rsidRDefault="004B0E53" w:rsidP="00240C16">
      <w:pPr>
        <w:pStyle w:val="ListParagraph"/>
        <w:numPr>
          <w:ilvl w:val="0"/>
          <w:numId w:val="1"/>
        </w:numPr>
        <w:spacing w:line="360" w:lineRule="auto"/>
        <w:rPr>
          <w:rFonts w:cstheme="minorHAnsi"/>
        </w:rPr>
      </w:pPr>
      <w:r w:rsidRPr="00240C16">
        <w:rPr>
          <w:rFonts w:cstheme="minorHAnsi"/>
        </w:rPr>
        <w:t xml:space="preserve">Annual average NDVI from 1994 to 2018 </w:t>
      </w:r>
      <w:r w:rsidR="001A1FB5">
        <w:rPr>
          <w:rFonts w:cstheme="minorHAnsi"/>
        </w:rPr>
        <w:t>with quarterly for 1973-78 cohort</w:t>
      </w:r>
    </w:p>
    <w:p w14:paraId="7E8DB895" w14:textId="77777777" w:rsidR="001A1FB5" w:rsidRDefault="004B0E53" w:rsidP="00240C16">
      <w:pPr>
        <w:pStyle w:val="ListParagraph"/>
        <w:numPr>
          <w:ilvl w:val="0"/>
          <w:numId w:val="1"/>
        </w:numPr>
        <w:spacing w:line="360" w:lineRule="auto"/>
        <w:rPr>
          <w:rFonts w:cstheme="minorHAnsi"/>
        </w:rPr>
      </w:pPr>
      <w:r w:rsidRPr="00240C16">
        <w:rPr>
          <w:rFonts w:cstheme="minorHAnsi"/>
        </w:rPr>
        <w:t>Annual average fractional cover (non-photosynthet</w:t>
      </w:r>
      <w:r w:rsidR="0033300F">
        <w:rPr>
          <w:rFonts w:cstheme="minorHAnsi"/>
        </w:rPr>
        <w:t>ic vegetation) from 1994 to 2015</w:t>
      </w:r>
    </w:p>
    <w:p w14:paraId="032ABD10" w14:textId="6175E370" w:rsidR="004B0E53" w:rsidRPr="00240C16" w:rsidRDefault="001A1FB5" w:rsidP="001A1FB5">
      <w:pPr>
        <w:pStyle w:val="ListParagraph"/>
        <w:spacing w:line="360" w:lineRule="auto"/>
        <w:rPr>
          <w:rFonts w:cstheme="minorHAnsi"/>
        </w:rPr>
      </w:pPr>
      <w:r>
        <w:rPr>
          <w:rFonts w:cstheme="minorHAnsi"/>
        </w:rPr>
        <w:t>With quarterly data for 1973-78 cohort</w:t>
      </w:r>
      <w:r w:rsidR="004B0E53" w:rsidRPr="00240C16">
        <w:rPr>
          <w:rFonts w:cstheme="minorHAnsi"/>
        </w:rPr>
        <w:t xml:space="preserve"> </w:t>
      </w:r>
    </w:p>
    <w:p w14:paraId="4787D67D" w14:textId="50D77054" w:rsidR="004B0E53" w:rsidRPr="00240C16" w:rsidRDefault="00BB198B" w:rsidP="00240C16">
      <w:pPr>
        <w:pStyle w:val="ListParagraph"/>
        <w:numPr>
          <w:ilvl w:val="0"/>
          <w:numId w:val="1"/>
        </w:numPr>
        <w:spacing w:line="360" w:lineRule="auto"/>
        <w:rPr>
          <w:rFonts w:cstheme="minorHAnsi"/>
        </w:rPr>
      </w:pPr>
      <w:r>
        <w:rPr>
          <w:rFonts w:cstheme="minorHAnsi"/>
        </w:rPr>
        <w:t>The p</w:t>
      </w:r>
      <w:r w:rsidR="004B0E53" w:rsidRPr="00240C16">
        <w:rPr>
          <w:rFonts w:cstheme="minorHAnsi"/>
        </w:rPr>
        <w:t xml:space="preserve">ercentage of parklands </w:t>
      </w:r>
    </w:p>
    <w:p w14:paraId="19122790" w14:textId="08ECFB1F" w:rsidR="00544708" w:rsidRPr="00240C16" w:rsidRDefault="00161BD6" w:rsidP="00240C16">
      <w:pPr>
        <w:spacing w:line="360" w:lineRule="auto"/>
        <w:rPr>
          <w:rFonts w:cstheme="minorHAnsi"/>
          <w:b/>
          <w:bCs/>
        </w:rPr>
      </w:pPr>
      <w:r w:rsidRPr="00240C16">
        <w:rPr>
          <w:rFonts w:cstheme="minorHAnsi"/>
          <w:b/>
          <w:bCs/>
        </w:rPr>
        <w:t>Normalized difference vegetation Index (NDVI)</w:t>
      </w:r>
    </w:p>
    <w:p w14:paraId="655485D4" w14:textId="0709A242" w:rsidR="00964C0E" w:rsidRPr="006A0292" w:rsidRDefault="00A03432" w:rsidP="000F57B3">
      <w:pPr>
        <w:spacing w:line="360" w:lineRule="auto"/>
        <w:rPr>
          <w:rFonts w:cstheme="minorHAnsi"/>
        </w:rPr>
      </w:pPr>
      <w:r w:rsidRPr="006A0292">
        <w:rPr>
          <w:rFonts w:cstheme="minorHAnsi"/>
        </w:rPr>
        <w:t xml:space="preserve">The normalized difference vegetation index or NDVI is the most commonly used satellite-derived vegetation index </w:t>
      </w:r>
      <w:r w:rsidR="001546D2" w:rsidRPr="006A0292">
        <w:rPr>
          <w:rFonts w:cstheme="minorHAnsi"/>
        </w:rPr>
        <w:t>[1]</w:t>
      </w:r>
      <w:r w:rsidRPr="006A0292">
        <w:rPr>
          <w:rFonts w:cstheme="minorHAnsi"/>
        </w:rPr>
        <w:t xml:space="preserve">. It is a ratio of the difference of spectral reflectance between red and </w:t>
      </w:r>
      <w:proofErr w:type="gramStart"/>
      <w:r w:rsidRPr="006A0292">
        <w:rPr>
          <w:rFonts w:cstheme="minorHAnsi"/>
        </w:rPr>
        <w:t>near-infrared</w:t>
      </w:r>
      <w:proofErr w:type="gramEnd"/>
      <w:r w:rsidRPr="006A0292">
        <w:rPr>
          <w:rFonts w:cstheme="minorHAnsi"/>
        </w:rPr>
        <w:t xml:space="preserve"> (NIR) band and summation of spectral reflectance of these two bands. NDVI</w:t>
      </w:r>
      <w:r w:rsidR="006A0292" w:rsidRPr="006A0292">
        <w:rPr>
          <w:rFonts w:cstheme="minorHAnsi"/>
        </w:rPr>
        <w:t xml:space="preserve"> </w:t>
      </w:r>
      <w:r w:rsidR="00161BD6" w:rsidRPr="006A0292">
        <w:rPr>
          <w:rFonts w:cstheme="minorHAnsi"/>
        </w:rPr>
        <w:t xml:space="preserve">has been calculated from </w:t>
      </w:r>
      <w:r w:rsidR="00964C0E" w:rsidRPr="006A0292">
        <w:rPr>
          <w:rFonts w:cstheme="minorHAnsi"/>
          <w:noProof/>
          <w:lang w:eastAsia="en-AU"/>
        </w:rPr>
        <w:t>Landsat Surface Reflectance Tier 1 images</w:t>
      </w:r>
      <w:r w:rsidR="00161BD6" w:rsidRPr="006A0292">
        <w:rPr>
          <w:rFonts w:cstheme="minorHAnsi"/>
        </w:rPr>
        <w:t xml:space="preserve"> </w:t>
      </w:r>
      <w:r w:rsidR="00BB198B" w:rsidRPr="006A0292">
        <w:rPr>
          <w:rFonts w:cstheme="minorHAnsi"/>
        </w:rPr>
        <w:t xml:space="preserve">with a spatial resolution of 30 m </w:t>
      </w:r>
      <w:r w:rsidR="00161BD6" w:rsidRPr="006A0292">
        <w:rPr>
          <w:rFonts w:cstheme="minorHAnsi"/>
        </w:rPr>
        <w:t>(Landsat 5, 7 and 8)</w:t>
      </w:r>
      <w:r w:rsidR="00BB198B" w:rsidRPr="006A0292">
        <w:rPr>
          <w:rFonts w:cstheme="minorHAnsi"/>
        </w:rPr>
        <w:t>, and aggregated to annual averages for each year</w:t>
      </w:r>
      <w:r w:rsidR="00161BD6" w:rsidRPr="006A0292">
        <w:rPr>
          <w:rFonts w:cstheme="minorHAnsi"/>
        </w:rPr>
        <w:t xml:space="preserve">. The data is cloud, </w:t>
      </w:r>
      <w:r w:rsidR="00964C0E" w:rsidRPr="006A0292">
        <w:rPr>
          <w:rFonts w:cstheme="minorHAnsi"/>
        </w:rPr>
        <w:t xml:space="preserve">shadow, </w:t>
      </w:r>
      <w:r w:rsidR="00161BD6" w:rsidRPr="006A0292">
        <w:rPr>
          <w:rFonts w:cstheme="minorHAnsi"/>
        </w:rPr>
        <w:t>snow and water masked. The value</w:t>
      </w:r>
      <w:r w:rsidR="00BB198B" w:rsidRPr="006A0292">
        <w:rPr>
          <w:rFonts w:cstheme="minorHAnsi"/>
        </w:rPr>
        <w:t>s</w:t>
      </w:r>
      <w:r w:rsidR="00161BD6" w:rsidRPr="006A0292">
        <w:rPr>
          <w:rFonts w:cstheme="minorHAnsi"/>
        </w:rPr>
        <w:t xml:space="preserve"> range</w:t>
      </w:r>
      <w:r w:rsidR="00BB198B" w:rsidRPr="006A0292">
        <w:rPr>
          <w:rFonts w:cstheme="minorHAnsi"/>
        </w:rPr>
        <w:t xml:space="preserve"> </w:t>
      </w:r>
      <w:r w:rsidR="00161BD6" w:rsidRPr="006A0292">
        <w:rPr>
          <w:rFonts w:cstheme="minorHAnsi"/>
        </w:rPr>
        <w:t xml:space="preserve">from </w:t>
      </w:r>
      <w:proofErr w:type="gramStart"/>
      <w:r w:rsidR="00161BD6" w:rsidRPr="006A0292">
        <w:rPr>
          <w:rFonts w:cstheme="minorHAnsi"/>
        </w:rPr>
        <w:t>0</w:t>
      </w:r>
      <w:proofErr w:type="gramEnd"/>
      <w:r w:rsidR="00161BD6" w:rsidRPr="006A0292">
        <w:rPr>
          <w:rFonts w:cstheme="minorHAnsi"/>
        </w:rPr>
        <w:t xml:space="preserve"> to 1</w:t>
      </w:r>
      <w:r w:rsidR="00BB198B" w:rsidRPr="006A0292">
        <w:rPr>
          <w:rFonts w:cstheme="minorHAnsi"/>
        </w:rPr>
        <w:t>, with higher values indicating more green vegetation</w:t>
      </w:r>
      <w:r w:rsidR="00161BD6" w:rsidRPr="006A0292">
        <w:rPr>
          <w:rFonts w:cstheme="minorHAnsi"/>
        </w:rPr>
        <w:t>.</w:t>
      </w:r>
      <w:r w:rsidR="00D1749C" w:rsidRPr="006A0292">
        <w:rPr>
          <w:rFonts w:cstheme="minorHAnsi"/>
        </w:rPr>
        <w:t xml:space="preserve"> </w:t>
      </w:r>
    </w:p>
    <w:p w14:paraId="73FBDECC" w14:textId="7A9B0DC8" w:rsidR="00F66859" w:rsidRPr="00E02C46" w:rsidRDefault="001A1FB5" w:rsidP="00240C16">
      <w:pPr>
        <w:spacing w:line="360" w:lineRule="auto"/>
        <w:rPr>
          <w:rFonts w:cstheme="minorHAnsi"/>
          <w:bCs/>
        </w:rPr>
      </w:pPr>
      <w:r w:rsidRPr="00E02C46">
        <w:rPr>
          <w:rFonts w:cstheme="minorHAnsi"/>
          <w:bCs/>
        </w:rPr>
        <w:t>The data has annual NDVI estimates from 1994 to 2018 for all ALSWH cohorts</w:t>
      </w:r>
      <w:r w:rsidR="009239D8" w:rsidRPr="00E02C46">
        <w:rPr>
          <w:rFonts w:cstheme="minorHAnsi"/>
          <w:bCs/>
        </w:rPr>
        <w:t>. A</w:t>
      </w:r>
      <w:r w:rsidRPr="00E02C46">
        <w:rPr>
          <w:rFonts w:cstheme="minorHAnsi"/>
          <w:bCs/>
        </w:rPr>
        <w:t xml:space="preserve">dditionally </w:t>
      </w:r>
      <w:r w:rsidR="009239D8" w:rsidRPr="00E02C46">
        <w:rPr>
          <w:rFonts w:cstheme="minorHAnsi"/>
          <w:bCs/>
        </w:rPr>
        <w:t xml:space="preserve">for the 1973-78 cohort </w:t>
      </w:r>
      <w:r w:rsidRPr="00E02C46">
        <w:rPr>
          <w:rFonts w:cstheme="minorHAnsi"/>
          <w:bCs/>
        </w:rPr>
        <w:t xml:space="preserve">there are average quarterly estimates </w:t>
      </w:r>
      <w:r w:rsidR="009239D8" w:rsidRPr="00E02C46">
        <w:rPr>
          <w:rFonts w:cstheme="minorHAnsi"/>
          <w:bCs/>
        </w:rPr>
        <w:t xml:space="preserve">for the </w:t>
      </w:r>
      <w:r w:rsidRPr="00E02C46">
        <w:rPr>
          <w:rFonts w:cstheme="minorHAnsi"/>
          <w:bCs/>
        </w:rPr>
        <w:t>survey years</w:t>
      </w:r>
      <w:r w:rsidR="009239D8" w:rsidRPr="00E02C46">
        <w:rPr>
          <w:rFonts w:cstheme="minorHAnsi"/>
          <w:bCs/>
        </w:rPr>
        <w:t xml:space="preserve"> of the 1973-78 cohort</w:t>
      </w:r>
      <w:r w:rsidRPr="00E02C46">
        <w:rPr>
          <w:rFonts w:cstheme="minorHAnsi"/>
          <w:bCs/>
        </w:rPr>
        <w:t xml:space="preserve">. The </w:t>
      </w:r>
      <w:r w:rsidR="009239D8" w:rsidRPr="00E02C46">
        <w:rPr>
          <w:rFonts w:cstheme="minorHAnsi"/>
          <w:bCs/>
        </w:rPr>
        <w:t xml:space="preserve">particular </w:t>
      </w:r>
      <w:r w:rsidRPr="00E02C46">
        <w:rPr>
          <w:rFonts w:cstheme="minorHAnsi"/>
          <w:bCs/>
        </w:rPr>
        <w:t xml:space="preserve">three-month quarters </w:t>
      </w:r>
      <w:r w:rsidR="009239D8" w:rsidRPr="00E02C46">
        <w:rPr>
          <w:rFonts w:cstheme="minorHAnsi"/>
          <w:bCs/>
        </w:rPr>
        <w:t xml:space="preserve">used </w:t>
      </w:r>
      <w:proofErr w:type="gramStart"/>
      <w:r w:rsidR="00246641" w:rsidRPr="00E02C46">
        <w:rPr>
          <w:rFonts w:cstheme="minorHAnsi"/>
          <w:bCs/>
        </w:rPr>
        <w:t>were chosen</w:t>
      </w:r>
      <w:proofErr w:type="gramEnd"/>
      <w:r w:rsidR="00246641" w:rsidRPr="00E02C46">
        <w:rPr>
          <w:rFonts w:cstheme="minorHAnsi"/>
          <w:bCs/>
        </w:rPr>
        <w:t xml:space="preserve"> to </w:t>
      </w:r>
      <w:r w:rsidRPr="00E02C46">
        <w:rPr>
          <w:rFonts w:cstheme="minorHAnsi"/>
          <w:bCs/>
        </w:rPr>
        <w:t>capture</w:t>
      </w:r>
      <w:r w:rsidR="00246641" w:rsidRPr="00E02C46">
        <w:rPr>
          <w:rFonts w:cstheme="minorHAnsi"/>
          <w:bCs/>
        </w:rPr>
        <w:t xml:space="preserve"> the period where </w:t>
      </w:r>
      <w:r w:rsidR="00263F53" w:rsidRPr="00E02C46">
        <w:rPr>
          <w:rFonts w:cstheme="minorHAnsi"/>
          <w:bCs/>
        </w:rPr>
        <w:t xml:space="preserve">a </w:t>
      </w:r>
      <w:r w:rsidR="009239D8" w:rsidRPr="00E02C46">
        <w:rPr>
          <w:rFonts w:cstheme="minorHAnsi"/>
          <w:bCs/>
        </w:rPr>
        <w:t xml:space="preserve">majority of the participants’ </w:t>
      </w:r>
      <w:r w:rsidR="00246641" w:rsidRPr="00E02C46">
        <w:rPr>
          <w:rFonts w:cstheme="minorHAnsi"/>
          <w:bCs/>
        </w:rPr>
        <w:t>respond</w:t>
      </w:r>
      <w:r w:rsidRPr="00E02C46">
        <w:rPr>
          <w:rFonts w:cstheme="minorHAnsi"/>
          <w:bCs/>
        </w:rPr>
        <w:t>e</w:t>
      </w:r>
      <w:r w:rsidR="00246641" w:rsidRPr="00E02C46">
        <w:rPr>
          <w:rFonts w:cstheme="minorHAnsi"/>
          <w:bCs/>
        </w:rPr>
        <w:t>d</w:t>
      </w:r>
      <w:r w:rsidRPr="00E02C46">
        <w:rPr>
          <w:rFonts w:cstheme="minorHAnsi"/>
          <w:bCs/>
        </w:rPr>
        <w:t xml:space="preserve">, as shown in Table 1.  </w:t>
      </w:r>
    </w:p>
    <w:p w14:paraId="78026F36" w14:textId="77777777" w:rsidR="0099429A" w:rsidRDefault="0099429A" w:rsidP="00FD0934">
      <w:pPr>
        <w:spacing w:line="360" w:lineRule="auto"/>
        <w:rPr>
          <w:rFonts w:cstheme="minorHAnsi"/>
          <w:b/>
          <w:bCs/>
          <w:i/>
          <w:iCs/>
        </w:rPr>
      </w:pPr>
    </w:p>
    <w:p w14:paraId="69B450B0" w14:textId="77777777" w:rsidR="0099429A" w:rsidRDefault="0099429A" w:rsidP="00FD0934">
      <w:pPr>
        <w:spacing w:line="360" w:lineRule="auto"/>
        <w:rPr>
          <w:rFonts w:cstheme="minorHAnsi"/>
          <w:b/>
          <w:bCs/>
          <w:i/>
          <w:iCs/>
        </w:rPr>
      </w:pPr>
    </w:p>
    <w:p w14:paraId="642FA30A" w14:textId="10716820" w:rsidR="00FD0934" w:rsidRPr="00E02C46" w:rsidRDefault="00FD0934" w:rsidP="00FD0934">
      <w:pPr>
        <w:spacing w:line="360" w:lineRule="auto"/>
        <w:rPr>
          <w:rFonts w:cstheme="minorHAnsi"/>
          <w:b/>
          <w:bCs/>
          <w:i/>
          <w:iCs/>
        </w:rPr>
      </w:pPr>
      <w:r w:rsidRPr="00E02C46">
        <w:rPr>
          <w:rFonts w:cstheme="minorHAnsi"/>
          <w:b/>
          <w:bCs/>
          <w:i/>
          <w:iCs/>
        </w:rPr>
        <w:lastRenderedPageBreak/>
        <w:t xml:space="preserve">Table </w:t>
      </w:r>
      <w:r w:rsidRPr="00E02C46">
        <w:rPr>
          <w:rFonts w:cstheme="minorHAnsi"/>
          <w:b/>
          <w:bCs/>
          <w:i/>
          <w:iCs/>
        </w:rPr>
        <w:fldChar w:fldCharType="begin"/>
      </w:r>
      <w:r w:rsidRPr="00E02C46">
        <w:rPr>
          <w:rFonts w:cstheme="minorHAnsi"/>
          <w:b/>
          <w:bCs/>
          <w:i/>
          <w:iCs/>
        </w:rPr>
        <w:instrText xml:space="preserve"> SEQ Table \* ARABIC </w:instrText>
      </w:r>
      <w:r w:rsidRPr="00E02C46">
        <w:rPr>
          <w:rFonts w:cstheme="minorHAnsi"/>
          <w:b/>
          <w:bCs/>
          <w:i/>
          <w:iCs/>
        </w:rPr>
        <w:fldChar w:fldCharType="separate"/>
      </w:r>
      <w:r w:rsidR="00320775" w:rsidRPr="00E02C46">
        <w:rPr>
          <w:rFonts w:cstheme="minorHAnsi"/>
          <w:b/>
          <w:bCs/>
          <w:i/>
          <w:iCs/>
          <w:noProof/>
        </w:rPr>
        <w:t>1</w:t>
      </w:r>
      <w:r w:rsidRPr="00E02C46">
        <w:rPr>
          <w:rFonts w:cstheme="minorHAnsi"/>
          <w:b/>
          <w:bCs/>
          <w:i/>
          <w:iCs/>
        </w:rPr>
        <w:fldChar w:fldCharType="end"/>
      </w:r>
      <w:r w:rsidRPr="00E02C46">
        <w:rPr>
          <w:rFonts w:cstheme="minorHAnsi"/>
          <w:b/>
          <w:bCs/>
          <w:i/>
          <w:iCs/>
        </w:rPr>
        <w:t xml:space="preserve"> Three-month average NDVI for 1973-78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2840"/>
      </w:tblGrid>
      <w:tr w:rsidR="00FD0934" w:rsidRPr="00E02C46" w14:paraId="1AB2D1F3" w14:textId="77777777" w:rsidTr="00263F53">
        <w:tc>
          <w:tcPr>
            <w:tcW w:w="1696" w:type="dxa"/>
            <w:tcBorders>
              <w:bottom w:val="single" w:sz="4" w:space="0" w:color="auto"/>
            </w:tcBorders>
          </w:tcPr>
          <w:p w14:paraId="128E9AD1"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Survey</w:t>
            </w:r>
          </w:p>
        </w:tc>
        <w:tc>
          <w:tcPr>
            <w:tcW w:w="2694" w:type="dxa"/>
            <w:tcBorders>
              <w:bottom w:val="single" w:sz="4" w:space="0" w:color="auto"/>
            </w:tcBorders>
          </w:tcPr>
          <w:p w14:paraId="03D5F1C9"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Three Month Period</w:t>
            </w:r>
          </w:p>
        </w:tc>
        <w:tc>
          <w:tcPr>
            <w:tcW w:w="2840" w:type="dxa"/>
            <w:tcBorders>
              <w:bottom w:val="single" w:sz="4" w:space="0" w:color="auto"/>
            </w:tcBorders>
          </w:tcPr>
          <w:p w14:paraId="41A965CA" w14:textId="41C48551" w:rsidR="00FD0934" w:rsidRPr="00E02C46" w:rsidRDefault="00263F53" w:rsidP="001A1FB5">
            <w:pPr>
              <w:spacing w:line="360" w:lineRule="auto"/>
              <w:rPr>
                <w:rFonts w:cstheme="minorHAnsi"/>
                <w:b/>
                <w:bCs/>
                <w:sz w:val="20"/>
                <w:szCs w:val="20"/>
              </w:rPr>
            </w:pPr>
            <w:r w:rsidRPr="00E02C46">
              <w:rPr>
                <w:rFonts w:cstheme="minorHAnsi"/>
                <w:b/>
                <w:bCs/>
                <w:sz w:val="20"/>
                <w:szCs w:val="20"/>
              </w:rPr>
              <w:t xml:space="preserve">Survey </w:t>
            </w:r>
            <w:r w:rsidR="001A1FB5" w:rsidRPr="00E02C46">
              <w:rPr>
                <w:rFonts w:cstheme="minorHAnsi"/>
                <w:b/>
                <w:bCs/>
                <w:sz w:val="20"/>
                <w:szCs w:val="20"/>
              </w:rPr>
              <w:t>Coverage</w:t>
            </w:r>
            <w:r w:rsidR="00FD0934" w:rsidRPr="00E02C46">
              <w:rPr>
                <w:rFonts w:cstheme="minorHAnsi"/>
                <w:b/>
                <w:bCs/>
                <w:sz w:val="20"/>
                <w:szCs w:val="20"/>
              </w:rPr>
              <w:t xml:space="preserve"> Percentage</w:t>
            </w:r>
          </w:p>
        </w:tc>
      </w:tr>
      <w:tr w:rsidR="00FD0934" w:rsidRPr="00E02C46" w14:paraId="722A95B8" w14:textId="77777777" w:rsidTr="00263F53">
        <w:tc>
          <w:tcPr>
            <w:tcW w:w="1696" w:type="dxa"/>
            <w:tcBorders>
              <w:top w:val="single" w:sz="4" w:space="0" w:color="auto"/>
            </w:tcBorders>
          </w:tcPr>
          <w:p w14:paraId="592D0967"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1</w:t>
            </w:r>
          </w:p>
        </w:tc>
        <w:tc>
          <w:tcPr>
            <w:tcW w:w="2694" w:type="dxa"/>
            <w:tcBorders>
              <w:top w:val="single" w:sz="4" w:space="0" w:color="auto"/>
            </w:tcBorders>
          </w:tcPr>
          <w:p w14:paraId="2FCEA21D" w14:textId="77777777" w:rsidR="00FD0934" w:rsidRPr="00E02C46" w:rsidRDefault="00FD0934" w:rsidP="005E62E0">
            <w:pPr>
              <w:spacing w:line="360" w:lineRule="auto"/>
              <w:rPr>
                <w:rFonts w:cstheme="minorHAnsi"/>
                <w:sz w:val="20"/>
                <w:szCs w:val="20"/>
              </w:rPr>
            </w:pPr>
            <w:r w:rsidRPr="00E02C46">
              <w:rPr>
                <w:rFonts w:cstheme="minorHAnsi"/>
                <w:sz w:val="20"/>
                <w:szCs w:val="20"/>
              </w:rPr>
              <w:t>July-September, 1996</w:t>
            </w:r>
          </w:p>
        </w:tc>
        <w:tc>
          <w:tcPr>
            <w:tcW w:w="2840" w:type="dxa"/>
            <w:tcBorders>
              <w:top w:val="single" w:sz="4" w:space="0" w:color="auto"/>
            </w:tcBorders>
          </w:tcPr>
          <w:p w14:paraId="252E0961" w14:textId="77777777" w:rsidR="00FD0934" w:rsidRPr="00E02C46" w:rsidRDefault="00FD0934" w:rsidP="005E62E0">
            <w:pPr>
              <w:spacing w:line="360" w:lineRule="auto"/>
              <w:rPr>
                <w:rFonts w:cstheme="minorHAnsi"/>
                <w:sz w:val="20"/>
                <w:szCs w:val="20"/>
              </w:rPr>
            </w:pPr>
            <w:r w:rsidRPr="00E02C46">
              <w:rPr>
                <w:rFonts w:cstheme="minorHAnsi"/>
                <w:sz w:val="20"/>
                <w:szCs w:val="20"/>
              </w:rPr>
              <w:t>95.27%</w:t>
            </w:r>
          </w:p>
        </w:tc>
      </w:tr>
      <w:tr w:rsidR="00FD0934" w:rsidRPr="00E02C46" w14:paraId="019FDF84" w14:textId="77777777" w:rsidTr="00263F53">
        <w:tc>
          <w:tcPr>
            <w:tcW w:w="1696" w:type="dxa"/>
          </w:tcPr>
          <w:p w14:paraId="66BE989F"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2</w:t>
            </w:r>
          </w:p>
        </w:tc>
        <w:tc>
          <w:tcPr>
            <w:tcW w:w="2694" w:type="dxa"/>
          </w:tcPr>
          <w:p w14:paraId="38F1F171" w14:textId="77777777" w:rsidR="00FD0934" w:rsidRPr="00E02C46" w:rsidRDefault="00FD0934" w:rsidP="005E62E0">
            <w:pPr>
              <w:spacing w:line="360" w:lineRule="auto"/>
              <w:rPr>
                <w:rFonts w:cstheme="minorHAnsi"/>
                <w:sz w:val="20"/>
                <w:szCs w:val="20"/>
              </w:rPr>
            </w:pPr>
            <w:r w:rsidRPr="00E02C46">
              <w:rPr>
                <w:rFonts w:cstheme="minorHAnsi"/>
                <w:sz w:val="20"/>
                <w:szCs w:val="20"/>
              </w:rPr>
              <w:t>March-May, 2000</w:t>
            </w:r>
          </w:p>
        </w:tc>
        <w:tc>
          <w:tcPr>
            <w:tcW w:w="2840" w:type="dxa"/>
          </w:tcPr>
          <w:p w14:paraId="34C8422F" w14:textId="77777777" w:rsidR="00FD0934" w:rsidRPr="00E02C46" w:rsidRDefault="00FD0934" w:rsidP="005E62E0">
            <w:pPr>
              <w:spacing w:line="360" w:lineRule="auto"/>
              <w:rPr>
                <w:rFonts w:cstheme="minorHAnsi"/>
                <w:sz w:val="20"/>
                <w:szCs w:val="20"/>
              </w:rPr>
            </w:pPr>
            <w:r w:rsidRPr="00E02C46">
              <w:rPr>
                <w:rFonts w:cstheme="minorHAnsi"/>
                <w:sz w:val="20"/>
                <w:szCs w:val="20"/>
              </w:rPr>
              <w:t>69.15%</w:t>
            </w:r>
          </w:p>
        </w:tc>
      </w:tr>
      <w:tr w:rsidR="00FD0934" w:rsidRPr="00E02C46" w14:paraId="3F8DB8B8" w14:textId="77777777" w:rsidTr="00263F53">
        <w:tc>
          <w:tcPr>
            <w:tcW w:w="1696" w:type="dxa"/>
          </w:tcPr>
          <w:p w14:paraId="6D4E87A5"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3</w:t>
            </w:r>
          </w:p>
        </w:tc>
        <w:tc>
          <w:tcPr>
            <w:tcW w:w="2694" w:type="dxa"/>
          </w:tcPr>
          <w:p w14:paraId="78B6A3B9" w14:textId="77777777" w:rsidR="00FD0934" w:rsidRPr="00E02C46" w:rsidRDefault="00FD0934" w:rsidP="005E62E0">
            <w:pPr>
              <w:spacing w:line="360" w:lineRule="auto"/>
              <w:rPr>
                <w:rFonts w:cstheme="minorHAnsi"/>
                <w:sz w:val="20"/>
                <w:szCs w:val="20"/>
              </w:rPr>
            </w:pPr>
            <w:r w:rsidRPr="00E02C46">
              <w:rPr>
                <w:rFonts w:cstheme="minorHAnsi"/>
                <w:sz w:val="20"/>
                <w:szCs w:val="20"/>
              </w:rPr>
              <w:t>March-May, 2003</w:t>
            </w:r>
          </w:p>
        </w:tc>
        <w:tc>
          <w:tcPr>
            <w:tcW w:w="2840" w:type="dxa"/>
          </w:tcPr>
          <w:p w14:paraId="11B3F369" w14:textId="77777777" w:rsidR="00FD0934" w:rsidRPr="00E02C46" w:rsidRDefault="00FD0934" w:rsidP="005E62E0">
            <w:pPr>
              <w:spacing w:line="360" w:lineRule="auto"/>
              <w:rPr>
                <w:rFonts w:cstheme="minorHAnsi"/>
                <w:sz w:val="20"/>
                <w:szCs w:val="20"/>
              </w:rPr>
            </w:pPr>
            <w:r w:rsidRPr="00E02C46">
              <w:rPr>
                <w:rFonts w:cstheme="minorHAnsi"/>
                <w:sz w:val="20"/>
                <w:szCs w:val="20"/>
              </w:rPr>
              <w:t>73.23%</w:t>
            </w:r>
          </w:p>
        </w:tc>
      </w:tr>
      <w:tr w:rsidR="00FD0934" w:rsidRPr="00E02C46" w14:paraId="4C77EDD6" w14:textId="77777777" w:rsidTr="00263F53">
        <w:tc>
          <w:tcPr>
            <w:tcW w:w="1696" w:type="dxa"/>
          </w:tcPr>
          <w:p w14:paraId="3AF43FD0"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4</w:t>
            </w:r>
          </w:p>
        </w:tc>
        <w:tc>
          <w:tcPr>
            <w:tcW w:w="2694" w:type="dxa"/>
          </w:tcPr>
          <w:p w14:paraId="4740E7A7" w14:textId="77777777" w:rsidR="00FD0934" w:rsidRPr="00E02C46" w:rsidRDefault="00FD0934" w:rsidP="005E62E0">
            <w:pPr>
              <w:spacing w:line="360" w:lineRule="auto"/>
              <w:rPr>
                <w:rFonts w:cstheme="minorHAnsi"/>
                <w:sz w:val="20"/>
                <w:szCs w:val="20"/>
              </w:rPr>
            </w:pPr>
            <w:r w:rsidRPr="00E02C46">
              <w:rPr>
                <w:rFonts w:cstheme="minorHAnsi"/>
                <w:sz w:val="20"/>
                <w:szCs w:val="20"/>
              </w:rPr>
              <w:t>March-May, 2006</w:t>
            </w:r>
          </w:p>
        </w:tc>
        <w:tc>
          <w:tcPr>
            <w:tcW w:w="2840" w:type="dxa"/>
          </w:tcPr>
          <w:p w14:paraId="2003CA63" w14:textId="77777777" w:rsidR="00FD0934" w:rsidRPr="00E02C46" w:rsidRDefault="00FD0934" w:rsidP="005E62E0">
            <w:pPr>
              <w:spacing w:line="360" w:lineRule="auto"/>
              <w:rPr>
                <w:rFonts w:cstheme="minorHAnsi"/>
                <w:sz w:val="20"/>
                <w:szCs w:val="20"/>
              </w:rPr>
            </w:pPr>
            <w:r w:rsidRPr="00E02C46">
              <w:rPr>
                <w:rFonts w:cstheme="minorHAnsi"/>
                <w:sz w:val="20"/>
                <w:szCs w:val="20"/>
              </w:rPr>
              <w:t>73.38%</w:t>
            </w:r>
          </w:p>
        </w:tc>
      </w:tr>
      <w:tr w:rsidR="00FD0934" w:rsidRPr="00E02C46" w14:paraId="1E50E83E" w14:textId="77777777" w:rsidTr="00263F53">
        <w:tc>
          <w:tcPr>
            <w:tcW w:w="1696" w:type="dxa"/>
          </w:tcPr>
          <w:p w14:paraId="4BE5B584"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5</w:t>
            </w:r>
          </w:p>
        </w:tc>
        <w:tc>
          <w:tcPr>
            <w:tcW w:w="2694" w:type="dxa"/>
          </w:tcPr>
          <w:p w14:paraId="4671796C" w14:textId="77777777" w:rsidR="00FD0934" w:rsidRPr="00E02C46" w:rsidRDefault="00FD0934" w:rsidP="005E62E0">
            <w:pPr>
              <w:spacing w:line="360" w:lineRule="auto"/>
              <w:rPr>
                <w:rFonts w:cstheme="minorHAnsi"/>
                <w:sz w:val="20"/>
                <w:szCs w:val="20"/>
              </w:rPr>
            </w:pPr>
            <w:r w:rsidRPr="00E02C46">
              <w:rPr>
                <w:rFonts w:cstheme="minorHAnsi"/>
                <w:sz w:val="20"/>
                <w:szCs w:val="20"/>
              </w:rPr>
              <w:t xml:space="preserve">April-June, 2009                                                                                                              </w:t>
            </w:r>
          </w:p>
        </w:tc>
        <w:tc>
          <w:tcPr>
            <w:tcW w:w="2840" w:type="dxa"/>
          </w:tcPr>
          <w:p w14:paraId="0A4BF05D" w14:textId="77777777" w:rsidR="00FD0934" w:rsidRPr="00E02C46" w:rsidRDefault="00FD0934" w:rsidP="005E62E0">
            <w:pPr>
              <w:spacing w:line="360" w:lineRule="auto"/>
              <w:rPr>
                <w:rFonts w:cstheme="minorHAnsi"/>
                <w:sz w:val="20"/>
                <w:szCs w:val="20"/>
              </w:rPr>
            </w:pPr>
            <w:r w:rsidRPr="00E02C46">
              <w:rPr>
                <w:rFonts w:cstheme="minorHAnsi"/>
                <w:sz w:val="20"/>
                <w:szCs w:val="20"/>
              </w:rPr>
              <w:t>70.72%</w:t>
            </w:r>
          </w:p>
        </w:tc>
      </w:tr>
      <w:tr w:rsidR="00FD0934" w:rsidRPr="00E02C46" w14:paraId="771C4CB6" w14:textId="77777777" w:rsidTr="00263F53">
        <w:tc>
          <w:tcPr>
            <w:tcW w:w="1696" w:type="dxa"/>
          </w:tcPr>
          <w:p w14:paraId="20EA5ECD"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6</w:t>
            </w:r>
          </w:p>
        </w:tc>
        <w:tc>
          <w:tcPr>
            <w:tcW w:w="2694" w:type="dxa"/>
          </w:tcPr>
          <w:p w14:paraId="5A43B4DD" w14:textId="77777777" w:rsidR="00FD0934" w:rsidRPr="00E02C46" w:rsidRDefault="00FD0934" w:rsidP="005E62E0">
            <w:pPr>
              <w:spacing w:line="360" w:lineRule="auto"/>
              <w:rPr>
                <w:rFonts w:cstheme="minorHAnsi"/>
                <w:sz w:val="20"/>
                <w:szCs w:val="20"/>
              </w:rPr>
            </w:pPr>
            <w:r w:rsidRPr="00E02C46">
              <w:rPr>
                <w:rFonts w:cstheme="minorHAnsi"/>
                <w:sz w:val="20"/>
                <w:szCs w:val="20"/>
              </w:rPr>
              <w:t>May -July, 2012</w:t>
            </w:r>
          </w:p>
        </w:tc>
        <w:tc>
          <w:tcPr>
            <w:tcW w:w="2840" w:type="dxa"/>
          </w:tcPr>
          <w:p w14:paraId="727E6CAE" w14:textId="77777777" w:rsidR="00FD0934" w:rsidRPr="00E02C46" w:rsidRDefault="00FD0934" w:rsidP="005E62E0">
            <w:pPr>
              <w:spacing w:line="360" w:lineRule="auto"/>
              <w:rPr>
                <w:rFonts w:cstheme="minorHAnsi"/>
                <w:sz w:val="20"/>
                <w:szCs w:val="20"/>
              </w:rPr>
            </w:pPr>
            <w:r w:rsidRPr="00E02C46">
              <w:rPr>
                <w:rFonts w:cstheme="minorHAnsi"/>
                <w:sz w:val="20"/>
                <w:szCs w:val="20"/>
              </w:rPr>
              <w:t>54.11%</w:t>
            </w:r>
          </w:p>
        </w:tc>
      </w:tr>
      <w:tr w:rsidR="00FD0934" w:rsidRPr="00E02C46" w14:paraId="57993B0C" w14:textId="77777777" w:rsidTr="00263F53">
        <w:tc>
          <w:tcPr>
            <w:tcW w:w="1696" w:type="dxa"/>
          </w:tcPr>
          <w:p w14:paraId="13B7EBEA"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7</w:t>
            </w:r>
          </w:p>
        </w:tc>
        <w:tc>
          <w:tcPr>
            <w:tcW w:w="2694" w:type="dxa"/>
          </w:tcPr>
          <w:p w14:paraId="11E224FC" w14:textId="77777777" w:rsidR="00FD0934" w:rsidRPr="00E02C46" w:rsidRDefault="00FD0934" w:rsidP="005E62E0">
            <w:pPr>
              <w:spacing w:line="360" w:lineRule="auto"/>
              <w:rPr>
                <w:rFonts w:cstheme="minorHAnsi"/>
                <w:sz w:val="20"/>
                <w:szCs w:val="20"/>
              </w:rPr>
            </w:pPr>
            <w:r w:rsidRPr="00E02C46">
              <w:rPr>
                <w:rFonts w:cstheme="minorHAnsi"/>
                <w:sz w:val="20"/>
                <w:szCs w:val="20"/>
              </w:rPr>
              <w:t>April-June, 2015</w:t>
            </w:r>
          </w:p>
        </w:tc>
        <w:tc>
          <w:tcPr>
            <w:tcW w:w="2840" w:type="dxa"/>
          </w:tcPr>
          <w:p w14:paraId="2BB19B22" w14:textId="77777777" w:rsidR="00FD0934" w:rsidRPr="00E02C46" w:rsidRDefault="00FD0934" w:rsidP="005E62E0">
            <w:pPr>
              <w:spacing w:line="360" w:lineRule="auto"/>
              <w:rPr>
                <w:rFonts w:cstheme="minorHAnsi"/>
                <w:sz w:val="20"/>
                <w:szCs w:val="20"/>
              </w:rPr>
            </w:pPr>
            <w:r w:rsidRPr="00E02C46">
              <w:rPr>
                <w:rFonts w:cstheme="minorHAnsi"/>
                <w:sz w:val="20"/>
                <w:szCs w:val="20"/>
              </w:rPr>
              <w:t>74.84%</w:t>
            </w:r>
          </w:p>
        </w:tc>
      </w:tr>
      <w:tr w:rsidR="00FD0934" w:rsidRPr="001A1FB5" w14:paraId="04C84273" w14:textId="77777777" w:rsidTr="00263F53">
        <w:tc>
          <w:tcPr>
            <w:tcW w:w="1696" w:type="dxa"/>
          </w:tcPr>
          <w:p w14:paraId="2C7B1114" w14:textId="77777777" w:rsidR="00FD0934" w:rsidRPr="00E02C46" w:rsidRDefault="00FD0934" w:rsidP="005E62E0">
            <w:pPr>
              <w:spacing w:line="360" w:lineRule="auto"/>
              <w:rPr>
                <w:rFonts w:cstheme="minorHAnsi"/>
                <w:b/>
                <w:bCs/>
                <w:sz w:val="20"/>
                <w:szCs w:val="20"/>
              </w:rPr>
            </w:pPr>
            <w:r w:rsidRPr="00E02C46">
              <w:rPr>
                <w:rFonts w:cstheme="minorHAnsi"/>
                <w:b/>
                <w:bCs/>
                <w:sz w:val="20"/>
                <w:szCs w:val="20"/>
              </w:rPr>
              <w:t>8</w:t>
            </w:r>
          </w:p>
        </w:tc>
        <w:tc>
          <w:tcPr>
            <w:tcW w:w="2694" w:type="dxa"/>
          </w:tcPr>
          <w:p w14:paraId="084AFE51" w14:textId="77777777" w:rsidR="00FD0934" w:rsidRPr="00E02C46" w:rsidRDefault="00FD0934" w:rsidP="005E62E0">
            <w:pPr>
              <w:spacing w:line="360" w:lineRule="auto"/>
              <w:rPr>
                <w:rFonts w:cstheme="minorHAnsi"/>
                <w:sz w:val="20"/>
                <w:szCs w:val="20"/>
              </w:rPr>
            </w:pPr>
            <w:r w:rsidRPr="00E02C46">
              <w:rPr>
                <w:rFonts w:cstheme="minorHAnsi"/>
                <w:sz w:val="20"/>
                <w:szCs w:val="20"/>
              </w:rPr>
              <w:t>June-August, 2018</w:t>
            </w:r>
          </w:p>
        </w:tc>
        <w:tc>
          <w:tcPr>
            <w:tcW w:w="2840" w:type="dxa"/>
          </w:tcPr>
          <w:p w14:paraId="400B18EE" w14:textId="77777777" w:rsidR="00FD0934" w:rsidRPr="001A1FB5" w:rsidRDefault="00FD0934" w:rsidP="005E62E0">
            <w:pPr>
              <w:spacing w:line="360" w:lineRule="auto"/>
              <w:rPr>
                <w:rFonts w:cstheme="minorHAnsi"/>
                <w:sz w:val="20"/>
                <w:szCs w:val="20"/>
              </w:rPr>
            </w:pPr>
            <w:r w:rsidRPr="00E02C46">
              <w:rPr>
                <w:rFonts w:cstheme="minorHAnsi"/>
                <w:sz w:val="20"/>
                <w:szCs w:val="20"/>
              </w:rPr>
              <w:t>71.92%</w:t>
            </w:r>
          </w:p>
        </w:tc>
      </w:tr>
    </w:tbl>
    <w:p w14:paraId="52460B62" w14:textId="77777777" w:rsidR="00FD0934" w:rsidRDefault="00FD0934" w:rsidP="00240C16">
      <w:pPr>
        <w:spacing w:line="360" w:lineRule="auto"/>
        <w:rPr>
          <w:rFonts w:cstheme="minorHAnsi"/>
          <w:b/>
          <w:bCs/>
        </w:rPr>
      </w:pPr>
    </w:p>
    <w:p w14:paraId="32776264" w14:textId="209F27C1" w:rsidR="00D1749C" w:rsidRPr="00240C16" w:rsidRDefault="00D1749C" w:rsidP="00240C16">
      <w:pPr>
        <w:spacing w:line="360" w:lineRule="auto"/>
        <w:rPr>
          <w:rFonts w:cstheme="minorHAnsi"/>
          <w:b/>
          <w:bCs/>
        </w:rPr>
      </w:pPr>
      <w:r w:rsidRPr="00240C16">
        <w:rPr>
          <w:rFonts w:cstheme="minorHAnsi"/>
          <w:b/>
          <w:bCs/>
        </w:rPr>
        <w:t>Fractional Cover</w:t>
      </w:r>
    </w:p>
    <w:p w14:paraId="01D8D3D4" w14:textId="27FC4605" w:rsidR="00281BA4" w:rsidRDefault="0053285C" w:rsidP="000F57B3">
      <w:pPr>
        <w:spacing w:line="360" w:lineRule="auto"/>
        <w:rPr>
          <w:rFonts w:cstheme="minorHAnsi"/>
        </w:rPr>
      </w:pPr>
      <w:r>
        <w:rPr>
          <w:rFonts w:cstheme="minorHAnsi"/>
        </w:rPr>
        <w:t xml:space="preserve">The annual average fractional cover of non-photosynthesising vegetation (spatial resolution: </w:t>
      </w:r>
      <w:r w:rsidR="00ED118A">
        <w:rPr>
          <w:rFonts w:cstheme="minorHAnsi"/>
        </w:rPr>
        <w:t>approximately 30</w:t>
      </w:r>
      <w:r>
        <w:rPr>
          <w:rFonts w:cstheme="minorHAnsi"/>
        </w:rPr>
        <w:t xml:space="preserve"> m) has bee</w:t>
      </w:r>
      <w:r w:rsidR="009239D8">
        <w:rPr>
          <w:rFonts w:cstheme="minorHAnsi"/>
        </w:rPr>
        <w:t>n estimated in each buffer. These data</w:t>
      </w:r>
      <w:r>
        <w:rPr>
          <w:rFonts w:cstheme="minorHAnsi"/>
        </w:rPr>
        <w:t xml:space="preserve"> </w:t>
      </w:r>
      <w:proofErr w:type="gramStart"/>
      <w:r>
        <w:rPr>
          <w:rFonts w:cstheme="minorHAnsi"/>
        </w:rPr>
        <w:t>w</w:t>
      </w:r>
      <w:r w:rsidR="009239D8">
        <w:rPr>
          <w:rFonts w:cstheme="minorHAnsi"/>
        </w:rPr>
        <w:t>ere</w:t>
      </w:r>
      <w:r>
        <w:rPr>
          <w:rFonts w:cstheme="minorHAnsi"/>
        </w:rPr>
        <w:t xml:space="preserve"> derived</w:t>
      </w:r>
      <w:proofErr w:type="gramEnd"/>
      <w:r>
        <w:rPr>
          <w:rFonts w:cstheme="minorHAnsi"/>
        </w:rPr>
        <w:t xml:space="preserve"> from data hosted by the </w:t>
      </w:r>
      <w:r w:rsidRPr="00240C16">
        <w:rPr>
          <w:rFonts w:cstheme="minorHAnsi"/>
        </w:rPr>
        <w:t>Terrestrial Ecosystem Research Network (TERN), Geoscience Australia, and the Joint Remote Sensing Research Program for estimating the seasonal fractional cover data for the whole Australian</w:t>
      </w:r>
      <w:r w:rsidR="001546D2">
        <w:rPr>
          <w:rFonts w:cstheme="minorHAnsi"/>
        </w:rPr>
        <w:t xml:space="preserve"> [2]</w:t>
      </w:r>
      <w:r w:rsidRPr="00240C16">
        <w:rPr>
          <w:rFonts w:cstheme="minorHAnsi"/>
        </w:rPr>
        <w:t xml:space="preserve"> continent. The</w:t>
      </w:r>
      <w:r w:rsidR="00281BA4" w:rsidRPr="00240C16">
        <w:rPr>
          <w:rFonts w:cstheme="minorHAnsi"/>
        </w:rPr>
        <w:t xml:space="preserve"> data is freely available on the website of the Terrestrial Ecosystem Research Network (TERN). They have estimated the proportion of photosynthetic vegetation</w:t>
      </w:r>
      <w:r w:rsidR="00263F53">
        <w:rPr>
          <w:rFonts w:cstheme="minorHAnsi"/>
        </w:rPr>
        <w:t xml:space="preserve"> (PV)</w:t>
      </w:r>
      <w:r w:rsidR="00281BA4" w:rsidRPr="00240C16">
        <w:rPr>
          <w:rFonts w:cstheme="minorHAnsi"/>
        </w:rPr>
        <w:t>, non-photosynthetic vegetation</w:t>
      </w:r>
      <w:r w:rsidR="001546D2">
        <w:rPr>
          <w:rFonts w:cstheme="minorHAnsi"/>
        </w:rPr>
        <w:t xml:space="preserve"> (non-PV)</w:t>
      </w:r>
      <w:r w:rsidR="00281BA4" w:rsidRPr="00240C16">
        <w:rPr>
          <w:rFonts w:cstheme="minorHAnsi"/>
        </w:rPr>
        <w:t>, and bare soil using Landsat images.</w:t>
      </w:r>
      <w:r w:rsidR="006E44D5">
        <w:rPr>
          <w:rFonts w:cstheme="minorHAnsi"/>
        </w:rPr>
        <w:t xml:space="preserve"> We included </w:t>
      </w:r>
      <w:r w:rsidR="008F08E8">
        <w:rPr>
          <w:rFonts w:cstheme="minorHAnsi"/>
        </w:rPr>
        <w:t xml:space="preserve">only non-PV </w:t>
      </w:r>
      <w:r w:rsidR="008F08E8" w:rsidRPr="008F08E8">
        <w:rPr>
          <w:rFonts w:cstheme="minorHAnsi"/>
        </w:rPr>
        <w:t>fractional</w:t>
      </w:r>
      <w:r w:rsidR="009239D8">
        <w:rPr>
          <w:rFonts w:cstheme="minorHAnsi"/>
        </w:rPr>
        <w:t xml:space="preserve"> cover</w:t>
      </w:r>
      <w:r w:rsidR="008F08E8" w:rsidRPr="008F08E8">
        <w:rPr>
          <w:rFonts w:cstheme="minorHAnsi"/>
        </w:rPr>
        <w:t xml:space="preserve">, which includes </w:t>
      </w:r>
      <w:r w:rsidR="008F08E8" w:rsidRPr="00541E48">
        <w:rPr>
          <w:rFonts w:cstheme="minorHAnsi"/>
        </w:rPr>
        <w:t>the dead trees, litter, and wood.</w:t>
      </w:r>
      <w:r w:rsidR="008F08E8">
        <w:rPr>
          <w:rFonts w:cstheme="minorHAnsi"/>
        </w:rPr>
        <w:t xml:space="preserve"> </w:t>
      </w:r>
      <w:r>
        <w:rPr>
          <w:rFonts w:cstheme="minorHAnsi"/>
        </w:rPr>
        <w:t xml:space="preserve">The inclusion of the non-PV band only </w:t>
      </w:r>
      <w:proofErr w:type="gramStart"/>
      <w:r>
        <w:rPr>
          <w:rFonts w:cstheme="minorHAnsi"/>
        </w:rPr>
        <w:t>was due to the other bands (PV and bare soil) being highly correlated</w:t>
      </w:r>
      <w:proofErr w:type="gramEnd"/>
      <w:r>
        <w:rPr>
          <w:rFonts w:cstheme="minorHAnsi"/>
        </w:rPr>
        <w:t xml:space="preserve"> with NDVI, while non-PV band may capture other aspects of the environment not already captured by NDVI. </w:t>
      </w:r>
      <w:r w:rsidR="009E52F7">
        <w:rPr>
          <w:rFonts w:cstheme="minorHAnsi"/>
        </w:rPr>
        <w:t xml:space="preserve"> </w:t>
      </w:r>
      <w:r w:rsidR="003611F0">
        <w:rPr>
          <w:rFonts w:cstheme="minorHAnsi"/>
        </w:rPr>
        <w:t xml:space="preserve">Annual fractional cover </w:t>
      </w:r>
      <w:proofErr w:type="gramStart"/>
      <w:r w:rsidR="003611F0">
        <w:rPr>
          <w:rFonts w:cstheme="minorHAnsi"/>
        </w:rPr>
        <w:t>was calculated</w:t>
      </w:r>
      <w:proofErr w:type="gramEnd"/>
      <w:r w:rsidR="003611F0">
        <w:rPr>
          <w:rFonts w:cstheme="minorHAnsi"/>
        </w:rPr>
        <w:t xml:space="preserve"> for the period between 1</w:t>
      </w:r>
      <w:r w:rsidR="003611F0" w:rsidRPr="00541E48">
        <w:rPr>
          <w:rFonts w:cstheme="minorHAnsi"/>
          <w:vertAlign w:val="superscript"/>
        </w:rPr>
        <w:t>st</w:t>
      </w:r>
      <w:r w:rsidR="003611F0">
        <w:rPr>
          <w:rFonts w:cstheme="minorHAnsi"/>
        </w:rPr>
        <w:t xml:space="preserve"> December of the preceding year to 30</w:t>
      </w:r>
      <w:r w:rsidR="003611F0" w:rsidRPr="00541E48">
        <w:rPr>
          <w:rFonts w:cstheme="minorHAnsi"/>
          <w:vertAlign w:val="superscript"/>
        </w:rPr>
        <w:t>th</w:t>
      </w:r>
      <w:r w:rsidR="003611F0">
        <w:rPr>
          <w:rFonts w:cstheme="minorHAnsi"/>
        </w:rPr>
        <w:t xml:space="preserve"> November of that year.</w:t>
      </w:r>
    </w:p>
    <w:p w14:paraId="4D884F3F" w14:textId="7CBE3861" w:rsidR="00263F53" w:rsidRPr="00E02C46" w:rsidRDefault="00263F53" w:rsidP="000F57B3">
      <w:pPr>
        <w:spacing w:line="360" w:lineRule="auto"/>
        <w:rPr>
          <w:rFonts w:cstheme="minorHAnsi"/>
          <w:bCs/>
        </w:rPr>
      </w:pPr>
      <w:r w:rsidRPr="00E02C46">
        <w:rPr>
          <w:rFonts w:cstheme="minorHAnsi"/>
          <w:bCs/>
        </w:rPr>
        <w:lastRenderedPageBreak/>
        <w:t>The data has annual Fractional Cover estimates from 1994 to 2015 for all ALSWH cohorts</w:t>
      </w:r>
      <w:r w:rsidR="009239D8" w:rsidRPr="00E02C46">
        <w:rPr>
          <w:rFonts w:cstheme="minorHAnsi"/>
          <w:bCs/>
        </w:rPr>
        <w:t>. A</w:t>
      </w:r>
      <w:r w:rsidRPr="00E02C46">
        <w:rPr>
          <w:rFonts w:cstheme="minorHAnsi"/>
          <w:bCs/>
        </w:rPr>
        <w:t xml:space="preserve">dditionally there are average quarterly estimates for the 1973-78 cohort during </w:t>
      </w:r>
      <w:r w:rsidR="009239D8" w:rsidRPr="00E02C46">
        <w:rPr>
          <w:rFonts w:cstheme="minorHAnsi"/>
          <w:bCs/>
        </w:rPr>
        <w:t xml:space="preserve">the </w:t>
      </w:r>
      <w:r w:rsidRPr="00E02C46">
        <w:rPr>
          <w:rFonts w:cstheme="minorHAnsi"/>
          <w:bCs/>
        </w:rPr>
        <w:t xml:space="preserve">survey years. The </w:t>
      </w:r>
      <w:r w:rsidR="00586442" w:rsidRPr="00E02C46">
        <w:rPr>
          <w:rFonts w:cstheme="minorHAnsi"/>
          <w:bCs/>
        </w:rPr>
        <w:t xml:space="preserve">particular </w:t>
      </w:r>
      <w:r w:rsidRPr="00E02C46">
        <w:rPr>
          <w:rFonts w:cstheme="minorHAnsi"/>
          <w:bCs/>
        </w:rPr>
        <w:t xml:space="preserve">three-month quarters </w:t>
      </w:r>
      <w:r w:rsidR="00586442" w:rsidRPr="00E02C46">
        <w:rPr>
          <w:rFonts w:cstheme="minorHAnsi"/>
          <w:bCs/>
        </w:rPr>
        <w:t xml:space="preserve">used </w:t>
      </w:r>
      <w:r w:rsidR="00246641" w:rsidRPr="00E02C46">
        <w:rPr>
          <w:rFonts w:cstheme="minorHAnsi"/>
          <w:bCs/>
        </w:rPr>
        <w:t xml:space="preserve">were </w:t>
      </w:r>
      <w:r w:rsidR="00586005">
        <w:rPr>
          <w:rFonts w:cstheme="minorHAnsi"/>
          <w:bCs/>
        </w:rPr>
        <w:t xml:space="preserve">not exactly the same quarters as for the NDVI, but were </w:t>
      </w:r>
      <w:r w:rsidR="00246641" w:rsidRPr="00E02C46">
        <w:rPr>
          <w:rFonts w:cstheme="minorHAnsi"/>
          <w:bCs/>
        </w:rPr>
        <w:t>the calendar seasons</w:t>
      </w:r>
      <w:r w:rsidR="00586005">
        <w:rPr>
          <w:rFonts w:cstheme="minorHAnsi"/>
          <w:bCs/>
        </w:rPr>
        <w:t xml:space="preserve">, autumn or winter, </w:t>
      </w:r>
      <w:r w:rsidR="007E3B84" w:rsidRPr="00E02C46">
        <w:rPr>
          <w:rFonts w:cstheme="minorHAnsi"/>
          <w:bCs/>
        </w:rPr>
        <w:t xml:space="preserve">that </w:t>
      </w:r>
      <w:r w:rsidR="00586005">
        <w:rPr>
          <w:rFonts w:cstheme="minorHAnsi"/>
          <w:bCs/>
        </w:rPr>
        <w:t xml:space="preserve">closely matched </w:t>
      </w:r>
      <w:r w:rsidR="007E3B84" w:rsidRPr="00E02C46">
        <w:rPr>
          <w:rFonts w:cstheme="minorHAnsi"/>
          <w:bCs/>
        </w:rPr>
        <w:t>the quarter</w:t>
      </w:r>
      <w:r w:rsidR="00586005">
        <w:rPr>
          <w:rFonts w:cstheme="minorHAnsi"/>
          <w:bCs/>
        </w:rPr>
        <w:t xml:space="preserve">s used for the NDVI (and </w:t>
      </w:r>
      <w:r w:rsidR="007E3B84" w:rsidRPr="00E02C46">
        <w:rPr>
          <w:rFonts w:cstheme="minorHAnsi"/>
          <w:bCs/>
        </w:rPr>
        <w:t>identified in Table 1.</w:t>
      </w:r>
      <w:r w:rsidR="00586005">
        <w:rPr>
          <w:rFonts w:cstheme="minorHAnsi"/>
          <w:bCs/>
        </w:rPr>
        <w:t>)</w:t>
      </w:r>
      <w:r w:rsidR="007E3B84" w:rsidRPr="00E02C46">
        <w:rPr>
          <w:rFonts w:cstheme="minorHAnsi"/>
          <w:bCs/>
        </w:rPr>
        <w:t xml:space="preserve"> </w:t>
      </w:r>
      <w:r w:rsidR="00246641" w:rsidRPr="00E02C46">
        <w:rPr>
          <w:rFonts w:cstheme="minorHAnsi"/>
          <w:bCs/>
        </w:rPr>
        <w:t xml:space="preserve">These </w:t>
      </w:r>
      <w:proofErr w:type="gramStart"/>
      <w:r w:rsidRPr="00E02C46">
        <w:rPr>
          <w:rFonts w:cstheme="minorHAnsi"/>
          <w:bCs/>
        </w:rPr>
        <w:t>are shown</w:t>
      </w:r>
      <w:proofErr w:type="gramEnd"/>
      <w:r w:rsidRPr="00E02C46">
        <w:rPr>
          <w:rFonts w:cstheme="minorHAnsi"/>
          <w:bCs/>
        </w:rPr>
        <w:t xml:space="preserve"> in Table 2. </w:t>
      </w:r>
    </w:p>
    <w:p w14:paraId="0DF0C69B" w14:textId="74B53B7C" w:rsidR="00FD0934" w:rsidRPr="00E02C46" w:rsidRDefault="00FD0934" w:rsidP="00FD0934">
      <w:pPr>
        <w:pStyle w:val="Caption"/>
        <w:keepNext/>
        <w:spacing w:line="360" w:lineRule="auto"/>
        <w:rPr>
          <w:rFonts w:cstheme="minorHAnsi"/>
          <w:b/>
          <w:bCs/>
          <w:iCs w:val="0"/>
          <w:color w:val="auto"/>
          <w:sz w:val="22"/>
          <w:szCs w:val="22"/>
        </w:rPr>
      </w:pPr>
      <w:r w:rsidRPr="00E02C46">
        <w:rPr>
          <w:rFonts w:cstheme="minorHAnsi"/>
          <w:b/>
          <w:bCs/>
          <w:iCs w:val="0"/>
          <w:color w:val="auto"/>
          <w:sz w:val="22"/>
          <w:szCs w:val="22"/>
        </w:rPr>
        <w:t xml:space="preserve">Table </w:t>
      </w:r>
      <w:r w:rsidRPr="00E02C46">
        <w:rPr>
          <w:rFonts w:cstheme="minorHAnsi"/>
          <w:b/>
          <w:bCs/>
          <w:iCs w:val="0"/>
          <w:color w:val="auto"/>
          <w:sz w:val="22"/>
          <w:szCs w:val="22"/>
        </w:rPr>
        <w:fldChar w:fldCharType="begin"/>
      </w:r>
      <w:r w:rsidRPr="00E02C46">
        <w:rPr>
          <w:rFonts w:cstheme="minorHAnsi"/>
          <w:b/>
          <w:bCs/>
          <w:iCs w:val="0"/>
          <w:color w:val="auto"/>
          <w:sz w:val="22"/>
          <w:szCs w:val="22"/>
        </w:rPr>
        <w:instrText xml:space="preserve"> SEQ Table \* ARABIC </w:instrText>
      </w:r>
      <w:r w:rsidRPr="00E02C46">
        <w:rPr>
          <w:rFonts w:cstheme="minorHAnsi"/>
          <w:b/>
          <w:bCs/>
          <w:iCs w:val="0"/>
          <w:color w:val="auto"/>
          <w:sz w:val="22"/>
          <w:szCs w:val="22"/>
        </w:rPr>
        <w:fldChar w:fldCharType="separate"/>
      </w:r>
      <w:r w:rsidR="00320775" w:rsidRPr="00E02C46">
        <w:rPr>
          <w:rFonts w:cstheme="minorHAnsi"/>
          <w:b/>
          <w:bCs/>
          <w:iCs w:val="0"/>
          <w:noProof/>
          <w:color w:val="auto"/>
          <w:sz w:val="22"/>
          <w:szCs w:val="22"/>
        </w:rPr>
        <w:t>2</w:t>
      </w:r>
      <w:r w:rsidRPr="00E02C46">
        <w:rPr>
          <w:rFonts w:cstheme="minorHAnsi"/>
          <w:b/>
          <w:bCs/>
          <w:iCs w:val="0"/>
          <w:color w:val="auto"/>
          <w:sz w:val="22"/>
          <w:szCs w:val="22"/>
        </w:rPr>
        <w:fldChar w:fldCharType="end"/>
      </w:r>
      <w:r w:rsidRPr="00E02C46">
        <w:rPr>
          <w:rFonts w:cstheme="minorHAnsi"/>
          <w:b/>
          <w:bCs/>
          <w:iCs w:val="0"/>
          <w:color w:val="auto"/>
          <w:sz w:val="22"/>
          <w:szCs w:val="22"/>
        </w:rPr>
        <w:t xml:space="preserve"> Three-month average fractional cover (non-photosynthetic vegetation)</w:t>
      </w:r>
      <w:r w:rsidR="00263F53" w:rsidRPr="00E02C46">
        <w:rPr>
          <w:rFonts w:cstheme="minorHAnsi"/>
          <w:b/>
          <w:bCs/>
          <w:iCs w:val="0"/>
          <w:color w:val="auto"/>
          <w:sz w:val="22"/>
          <w:szCs w:val="22"/>
        </w:rPr>
        <w:t xml:space="preserve"> 1973-78 cohort</w:t>
      </w:r>
    </w:p>
    <w:tbl>
      <w:tblPr>
        <w:tblW w:w="0" w:type="auto"/>
        <w:tblCellMar>
          <w:left w:w="0" w:type="dxa"/>
          <w:right w:w="0" w:type="dxa"/>
        </w:tblCellMar>
        <w:tblLook w:val="04A0" w:firstRow="1" w:lastRow="0" w:firstColumn="1" w:lastColumn="0" w:noHBand="0" w:noVBand="1"/>
      </w:tblPr>
      <w:tblGrid>
        <w:gridCol w:w="1736"/>
        <w:gridCol w:w="3174"/>
        <w:gridCol w:w="3449"/>
      </w:tblGrid>
      <w:tr w:rsidR="006C07E7" w:rsidRPr="00E02C46" w14:paraId="1C0A8760" w14:textId="658B1814" w:rsidTr="006C07E7">
        <w:trPr>
          <w:trHeight w:val="280"/>
        </w:trPr>
        <w:tc>
          <w:tcPr>
            <w:tcW w:w="1736" w:type="dxa"/>
            <w:tcBorders>
              <w:bottom w:val="single" w:sz="4" w:space="0" w:color="auto"/>
            </w:tcBorders>
            <w:tcMar>
              <w:top w:w="0" w:type="dxa"/>
              <w:left w:w="108" w:type="dxa"/>
              <w:bottom w:w="0" w:type="dxa"/>
              <w:right w:w="108" w:type="dxa"/>
            </w:tcMar>
            <w:hideMark/>
          </w:tcPr>
          <w:p w14:paraId="68FFD317"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Survey</w:t>
            </w:r>
          </w:p>
        </w:tc>
        <w:tc>
          <w:tcPr>
            <w:tcW w:w="3174" w:type="dxa"/>
            <w:tcBorders>
              <w:bottom w:val="single" w:sz="4" w:space="0" w:color="auto"/>
            </w:tcBorders>
            <w:tcMar>
              <w:top w:w="0" w:type="dxa"/>
              <w:left w:w="108" w:type="dxa"/>
              <w:bottom w:w="0" w:type="dxa"/>
              <w:right w:w="108" w:type="dxa"/>
            </w:tcMar>
            <w:hideMark/>
          </w:tcPr>
          <w:p w14:paraId="39520EB2"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Three Month Period</w:t>
            </w:r>
          </w:p>
        </w:tc>
        <w:tc>
          <w:tcPr>
            <w:tcW w:w="3449" w:type="dxa"/>
            <w:tcBorders>
              <w:bottom w:val="single" w:sz="4" w:space="0" w:color="auto"/>
            </w:tcBorders>
          </w:tcPr>
          <w:p w14:paraId="2427A676" w14:textId="054846CE"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Survey Coverage Percent</w:t>
            </w:r>
          </w:p>
        </w:tc>
      </w:tr>
      <w:tr w:rsidR="006C07E7" w:rsidRPr="00E02C46" w14:paraId="14E9B8F1" w14:textId="7D8F4CE9" w:rsidTr="006C07E7">
        <w:trPr>
          <w:trHeight w:val="268"/>
        </w:trPr>
        <w:tc>
          <w:tcPr>
            <w:tcW w:w="1736" w:type="dxa"/>
            <w:tcBorders>
              <w:top w:val="single" w:sz="4" w:space="0" w:color="auto"/>
            </w:tcBorders>
            <w:tcMar>
              <w:top w:w="0" w:type="dxa"/>
              <w:left w:w="108" w:type="dxa"/>
              <w:bottom w:w="0" w:type="dxa"/>
              <w:right w:w="108" w:type="dxa"/>
            </w:tcMar>
            <w:hideMark/>
          </w:tcPr>
          <w:p w14:paraId="5AF83701"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1</w:t>
            </w:r>
          </w:p>
        </w:tc>
        <w:tc>
          <w:tcPr>
            <w:tcW w:w="3174" w:type="dxa"/>
            <w:tcBorders>
              <w:top w:val="single" w:sz="4" w:space="0" w:color="auto"/>
            </w:tcBorders>
            <w:tcMar>
              <w:top w:w="0" w:type="dxa"/>
              <w:left w:w="108" w:type="dxa"/>
              <w:bottom w:w="0" w:type="dxa"/>
              <w:right w:w="108" w:type="dxa"/>
            </w:tcMar>
            <w:hideMark/>
          </w:tcPr>
          <w:p w14:paraId="7F6305FD" w14:textId="7777777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June-August, 1996</w:t>
            </w:r>
          </w:p>
        </w:tc>
        <w:tc>
          <w:tcPr>
            <w:tcW w:w="3449" w:type="dxa"/>
            <w:tcBorders>
              <w:top w:val="single" w:sz="4" w:space="0" w:color="auto"/>
            </w:tcBorders>
          </w:tcPr>
          <w:p w14:paraId="7D8672EA" w14:textId="2179C6D5"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87</w:t>
            </w:r>
          </w:p>
        </w:tc>
      </w:tr>
      <w:tr w:rsidR="006C07E7" w:rsidRPr="00E02C46" w14:paraId="6ABB4911" w14:textId="79C27B47" w:rsidTr="006C07E7">
        <w:trPr>
          <w:trHeight w:val="280"/>
        </w:trPr>
        <w:tc>
          <w:tcPr>
            <w:tcW w:w="1736" w:type="dxa"/>
            <w:tcMar>
              <w:top w:w="0" w:type="dxa"/>
              <w:left w:w="108" w:type="dxa"/>
              <w:bottom w:w="0" w:type="dxa"/>
              <w:right w:w="108" w:type="dxa"/>
            </w:tcMar>
            <w:hideMark/>
          </w:tcPr>
          <w:p w14:paraId="6568BD1B"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2</w:t>
            </w:r>
          </w:p>
        </w:tc>
        <w:tc>
          <w:tcPr>
            <w:tcW w:w="3174" w:type="dxa"/>
            <w:tcMar>
              <w:top w:w="0" w:type="dxa"/>
              <w:left w:w="108" w:type="dxa"/>
              <w:bottom w:w="0" w:type="dxa"/>
              <w:right w:w="108" w:type="dxa"/>
            </w:tcMar>
            <w:hideMark/>
          </w:tcPr>
          <w:p w14:paraId="7E2BA08D" w14:textId="7777777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March-May, 2000</w:t>
            </w:r>
          </w:p>
        </w:tc>
        <w:tc>
          <w:tcPr>
            <w:tcW w:w="3449" w:type="dxa"/>
          </w:tcPr>
          <w:p w14:paraId="350059AA" w14:textId="3EEC201C"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69</w:t>
            </w:r>
          </w:p>
        </w:tc>
      </w:tr>
      <w:tr w:rsidR="006C07E7" w:rsidRPr="00E02C46" w14:paraId="7E78094C" w14:textId="6E17CA5B" w:rsidTr="006C07E7">
        <w:trPr>
          <w:trHeight w:val="268"/>
        </w:trPr>
        <w:tc>
          <w:tcPr>
            <w:tcW w:w="1736" w:type="dxa"/>
            <w:tcMar>
              <w:top w:w="0" w:type="dxa"/>
              <w:left w:w="108" w:type="dxa"/>
              <w:bottom w:w="0" w:type="dxa"/>
              <w:right w:w="108" w:type="dxa"/>
            </w:tcMar>
            <w:hideMark/>
          </w:tcPr>
          <w:p w14:paraId="2DEEF728"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3</w:t>
            </w:r>
          </w:p>
        </w:tc>
        <w:tc>
          <w:tcPr>
            <w:tcW w:w="3174" w:type="dxa"/>
            <w:tcMar>
              <w:top w:w="0" w:type="dxa"/>
              <w:left w:w="108" w:type="dxa"/>
              <w:bottom w:w="0" w:type="dxa"/>
              <w:right w:w="108" w:type="dxa"/>
            </w:tcMar>
            <w:hideMark/>
          </w:tcPr>
          <w:p w14:paraId="438C752D" w14:textId="7777777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March-May, 2003</w:t>
            </w:r>
          </w:p>
        </w:tc>
        <w:tc>
          <w:tcPr>
            <w:tcW w:w="3449" w:type="dxa"/>
          </w:tcPr>
          <w:p w14:paraId="21BAF4A1" w14:textId="2BA158FB"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73</w:t>
            </w:r>
          </w:p>
        </w:tc>
      </w:tr>
      <w:tr w:rsidR="006C07E7" w:rsidRPr="00E02C46" w14:paraId="69968E4A" w14:textId="7F7E319F" w:rsidTr="006C07E7">
        <w:trPr>
          <w:trHeight w:val="280"/>
        </w:trPr>
        <w:tc>
          <w:tcPr>
            <w:tcW w:w="1736" w:type="dxa"/>
            <w:tcMar>
              <w:top w:w="0" w:type="dxa"/>
              <w:left w:w="108" w:type="dxa"/>
              <w:bottom w:w="0" w:type="dxa"/>
              <w:right w:w="108" w:type="dxa"/>
            </w:tcMar>
            <w:hideMark/>
          </w:tcPr>
          <w:p w14:paraId="5E09B386"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4</w:t>
            </w:r>
          </w:p>
        </w:tc>
        <w:tc>
          <w:tcPr>
            <w:tcW w:w="3174" w:type="dxa"/>
            <w:tcMar>
              <w:top w:w="0" w:type="dxa"/>
              <w:left w:w="108" w:type="dxa"/>
              <w:bottom w:w="0" w:type="dxa"/>
              <w:right w:w="108" w:type="dxa"/>
            </w:tcMar>
            <w:hideMark/>
          </w:tcPr>
          <w:p w14:paraId="353912E4" w14:textId="7777777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March-May, 2006</w:t>
            </w:r>
          </w:p>
        </w:tc>
        <w:tc>
          <w:tcPr>
            <w:tcW w:w="3449" w:type="dxa"/>
          </w:tcPr>
          <w:p w14:paraId="27428AC9" w14:textId="00DB748E"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73</w:t>
            </w:r>
          </w:p>
        </w:tc>
      </w:tr>
      <w:tr w:rsidR="006C07E7" w:rsidRPr="00E02C46" w14:paraId="10070BEE" w14:textId="43DCBA0B" w:rsidTr="006C07E7">
        <w:trPr>
          <w:trHeight w:val="268"/>
        </w:trPr>
        <w:tc>
          <w:tcPr>
            <w:tcW w:w="1736" w:type="dxa"/>
            <w:tcMar>
              <w:top w:w="0" w:type="dxa"/>
              <w:left w:w="108" w:type="dxa"/>
              <w:bottom w:w="0" w:type="dxa"/>
              <w:right w:w="108" w:type="dxa"/>
            </w:tcMar>
            <w:hideMark/>
          </w:tcPr>
          <w:p w14:paraId="4FDDA870"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5</w:t>
            </w:r>
          </w:p>
        </w:tc>
        <w:tc>
          <w:tcPr>
            <w:tcW w:w="3174" w:type="dxa"/>
            <w:tcMar>
              <w:top w:w="0" w:type="dxa"/>
              <w:left w:w="108" w:type="dxa"/>
              <w:bottom w:w="0" w:type="dxa"/>
              <w:right w:w="108" w:type="dxa"/>
            </w:tcMar>
            <w:hideMark/>
          </w:tcPr>
          <w:p w14:paraId="0593BEB0" w14:textId="7777777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March-May, 2009 </w:t>
            </w:r>
          </w:p>
        </w:tc>
        <w:tc>
          <w:tcPr>
            <w:tcW w:w="3449" w:type="dxa"/>
          </w:tcPr>
          <w:p w14:paraId="05DA064D" w14:textId="3EDD9783"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63</w:t>
            </w:r>
          </w:p>
        </w:tc>
      </w:tr>
      <w:tr w:rsidR="006C07E7" w:rsidRPr="00E02C46" w14:paraId="4AE1263F" w14:textId="1385D8BD" w:rsidTr="006C07E7">
        <w:trPr>
          <w:trHeight w:val="280"/>
        </w:trPr>
        <w:tc>
          <w:tcPr>
            <w:tcW w:w="1736" w:type="dxa"/>
            <w:tcMar>
              <w:top w:w="0" w:type="dxa"/>
              <w:left w:w="108" w:type="dxa"/>
              <w:bottom w:w="0" w:type="dxa"/>
              <w:right w:w="108" w:type="dxa"/>
            </w:tcMar>
            <w:hideMark/>
          </w:tcPr>
          <w:p w14:paraId="79616075"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6</w:t>
            </w:r>
          </w:p>
        </w:tc>
        <w:tc>
          <w:tcPr>
            <w:tcW w:w="3174" w:type="dxa"/>
            <w:tcMar>
              <w:top w:w="0" w:type="dxa"/>
              <w:left w:w="108" w:type="dxa"/>
              <w:bottom w:w="0" w:type="dxa"/>
              <w:right w:w="108" w:type="dxa"/>
            </w:tcMar>
            <w:hideMark/>
          </w:tcPr>
          <w:p w14:paraId="27BE4EC8" w14:textId="7777777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June -August, 2012</w:t>
            </w:r>
          </w:p>
        </w:tc>
        <w:tc>
          <w:tcPr>
            <w:tcW w:w="3449" w:type="dxa"/>
          </w:tcPr>
          <w:p w14:paraId="10D8858F" w14:textId="649A178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44</w:t>
            </w:r>
          </w:p>
        </w:tc>
      </w:tr>
      <w:tr w:rsidR="006C07E7" w:rsidRPr="006C07E7" w14:paraId="25F1D800" w14:textId="55476087" w:rsidTr="006C07E7">
        <w:trPr>
          <w:trHeight w:val="268"/>
        </w:trPr>
        <w:tc>
          <w:tcPr>
            <w:tcW w:w="1736" w:type="dxa"/>
            <w:tcMar>
              <w:top w:w="0" w:type="dxa"/>
              <w:left w:w="108" w:type="dxa"/>
              <w:bottom w:w="0" w:type="dxa"/>
              <w:right w:w="108" w:type="dxa"/>
            </w:tcMar>
            <w:hideMark/>
          </w:tcPr>
          <w:p w14:paraId="3A8525B0" w14:textId="77777777" w:rsidR="006C07E7" w:rsidRPr="00E02C46" w:rsidRDefault="006C07E7" w:rsidP="005E62E0">
            <w:pPr>
              <w:spacing w:after="0" w:line="360" w:lineRule="auto"/>
              <w:ind w:left="720"/>
              <w:rPr>
                <w:rFonts w:eastAsia="Calibri" w:cstheme="minorHAnsi"/>
                <w:b/>
                <w:bCs/>
                <w:sz w:val="20"/>
                <w:szCs w:val="20"/>
              </w:rPr>
            </w:pPr>
            <w:r w:rsidRPr="00E02C46">
              <w:rPr>
                <w:rFonts w:eastAsia="Calibri" w:cstheme="minorHAnsi"/>
                <w:b/>
                <w:bCs/>
                <w:sz w:val="20"/>
                <w:szCs w:val="20"/>
              </w:rPr>
              <w:t>7</w:t>
            </w:r>
          </w:p>
        </w:tc>
        <w:tc>
          <w:tcPr>
            <w:tcW w:w="3174" w:type="dxa"/>
            <w:tcMar>
              <w:top w:w="0" w:type="dxa"/>
              <w:left w:w="108" w:type="dxa"/>
              <w:bottom w:w="0" w:type="dxa"/>
              <w:right w:w="108" w:type="dxa"/>
            </w:tcMar>
            <w:hideMark/>
          </w:tcPr>
          <w:p w14:paraId="2103B2DF" w14:textId="77777777" w:rsidR="006C07E7" w:rsidRPr="00E02C46"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March-May, 2015</w:t>
            </w:r>
          </w:p>
        </w:tc>
        <w:tc>
          <w:tcPr>
            <w:tcW w:w="3449" w:type="dxa"/>
          </w:tcPr>
          <w:p w14:paraId="2E4F0E5C" w14:textId="4D240918" w:rsidR="006C07E7" w:rsidRPr="006C07E7" w:rsidRDefault="006C07E7" w:rsidP="005E62E0">
            <w:pPr>
              <w:spacing w:after="0" w:line="360" w:lineRule="auto"/>
              <w:ind w:left="720"/>
              <w:rPr>
                <w:rFonts w:eastAsia="Calibri" w:cstheme="minorHAnsi"/>
                <w:sz w:val="20"/>
                <w:szCs w:val="20"/>
              </w:rPr>
            </w:pPr>
            <w:r w:rsidRPr="00E02C46">
              <w:rPr>
                <w:rFonts w:eastAsia="Calibri" w:cstheme="minorHAnsi"/>
                <w:sz w:val="20"/>
                <w:szCs w:val="20"/>
              </w:rPr>
              <w:t>60</w:t>
            </w:r>
          </w:p>
        </w:tc>
      </w:tr>
    </w:tbl>
    <w:p w14:paraId="49F83A50" w14:textId="1006ECE4" w:rsidR="00FD0934" w:rsidRDefault="00FD0934" w:rsidP="00FD0934">
      <w:pPr>
        <w:spacing w:line="360" w:lineRule="auto"/>
        <w:rPr>
          <w:rFonts w:cstheme="minorHAnsi"/>
        </w:rPr>
      </w:pPr>
    </w:p>
    <w:p w14:paraId="74BAA35E" w14:textId="77777777" w:rsidR="00263F53" w:rsidRPr="00240C16" w:rsidRDefault="00263F53" w:rsidP="00FD0934">
      <w:pPr>
        <w:spacing w:line="360" w:lineRule="auto"/>
        <w:rPr>
          <w:rFonts w:cstheme="minorHAnsi"/>
        </w:rPr>
      </w:pPr>
    </w:p>
    <w:p w14:paraId="770553EA" w14:textId="382D4797" w:rsidR="00BC2DD7" w:rsidRPr="00240C16" w:rsidRDefault="00BC2DD7" w:rsidP="00240C16">
      <w:pPr>
        <w:spacing w:line="360" w:lineRule="auto"/>
        <w:rPr>
          <w:rFonts w:cstheme="minorHAnsi"/>
          <w:b/>
          <w:bCs/>
        </w:rPr>
      </w:pPr>
      <w:r w:rsidRPr="00240C16">
        <w:rPr>
          <w:rFonts w:cstheme="minorHAnsi"/>
          <w:b/>
          <w:bCs/>
        </w:rPr>
        <w:t>Parkland</w:t>
      </w:r>
    </w:p>
    <w:p w14:paraId="1C002538" w14:textId="4BBDF787" w:rsidR="00BC2DD7" w:rsidRPr="00240C16" w:rsidRDefault="004332BC" w:rsidP="00240C16">
      <w:pPr>
        <w:spacing w:line="360" w:lineRule="auto"/>
        <w:rPr>
          <w:rFonts w:cstheme="minorHAnsi"/>
        </w:rPr>
      </w:pPr>
      <w:r w:rsidRPr="004332BC">
        <w:rPr>
          <w:rFonts w:cstheme="minorHAnsi"/>
        </w:rPr>
        <w:t>The Australian Bureau of Statistics introduced mesh block</w:t>
      </w:r>
      <w:r w:rsidR="00B96BAD">
        <w:rPr>
          <w:rFonts w:cstheme="minorHAnsi"/>
        </w:rPr>
        <w:t>s as the smallest spatial unit</w:t>
      </w:r>
      <w:r w:rsidRPr="004332BC">
        <w:rPr>
          <w:rFonts w:cstheme="minorHAnsi"/>
        </w:rPr>
        <w:t xml:space="preserve"> for</w:t>
      </w:r>
      <w:r w:rsidR="00B96BAD">
        <w:rPr>
          <w:rFonts w:cstheme="minorHAnsi"/>
        </w:rPr>
        <w:t xml:space="preserve"> the</w:t>
      </w:r>
      <w:r w:rsidRPr="004332BC">
        <w:rPr>
          <w:rFonts w:cstheme="minorHAnsi"/>
        </w:rPr>
        <w:t xml:space="preserve"> 2011 and 2016</w:t>
      </w:r>
      <w:r w:rsidR="00B96BAD">
        <w:rPr>
          <w:rFonts w:cstheme="minorHAnsi"/>
        </w:rPr>
        <w:t xml:space="preserve"> censuses</w:t>
      </w:r>
      <w:r w:rsidR="002F536F">
        <w:rPr>
          <w:rFonts w:cstheme="minorHAnsi"/>
        </w:rPr>
        <w:t xml:space="preserve"> [3]</w:t>
      </w:r>
      <w:r w:rsidRPr="004332BC">
        <w:rPr>
          <w:rFonts w:cstheme="minorHAnsi"/>
        </w:rPr>
        <w:t xml:space="preserve">. </w:t>
      </w:r>
      <w:r w:rsidR="002F536F" w:rsidRPr="002F536F">
        <w:rPr>
          <w:rFonts w:cstheme="minorHAnsi"/>
        </w:rPr>
        <w:t xml:space="preserve">It is not a traditional land use map with definitive land areas. Instead, mesh blocks </w:t>
      </w:r>
      <w:proofErr w:type="gramStart"/>
      <w:r w:rsidR="002F536F" w:rsidRPr="002F536F">
        <w:rPr>
          <w:rFonts w:cstheme="minorHAnsi"/>
        </w:rPr>
        <w:t>are given</w:t>
      </w:r>
      <w:proofErr w:type="gramEnd"/>
      <w:r w:rsidR="002F536F" w:rsidRPr="002F536F">
        <w:rPr>
          <w:rFonts w:cstheme="minorHAnsi"/>
        </w:rPr>
        <w:t xml:space="preserve"> land use categories based on their primary use of most of their area. </w:t>
      </w:r>
      <w:r w:rsidR="002F536F">
        <w:rPr>
          <w:rFonts w:cstheme="minorHAnsi"/>
        </w:rPr>
        <w:t xml:space="preserve"> </w:t>
      </w:r>
      <w:r w:rsidRPr="004332BC">
        <w:rPr>
          <w:rFonts w:cstheme="minorHAnsi"/>
        </w:rPr>
        <w:t xml:space="preserve">Each mesh block </w:t>
      </w:r>
      <w:proofErr w:type="gramStart"/>
      <w:r w:rsidRPr="004332BC">
        <w:rPr>
          <w:rFonts w:cstheme="minorHAnsi"/>
        </w:rPr>
        <w:t>is coded</w:t>
      </w:r>
      <w:proofErr w:type="gramEnd"/>
      <w:r w:rsidRPr="004332BC">
        <w:rPr>
          <w:rFonts w:cstheme="minorHAnsi"/>
        </w:rPr>
        <w:t xml:space="preserve"> as one of ten land use categories – "residential, commercial, industrial, parkland, education, hospital/medical, transport, primary production, water and other." </w:t>
      </w:r>
      <w:r w:rsidR="002F536F" w:rsidRPr="002F536F">
        <w:rPr>
          <w:rFonts w:cstheme="minorHAnsi"/>
        </w:rPr>
        <w:t>The percentage of parklands in each buffer (i.e. total parkland area / buffer area * 100) was estimated</w:t>
      </w:r>
      <w:r w:rsidR="002F536F">
        <w:rPr>
          <w:rFonts w:cstheme="minorHAnsi"/>
        </w:rPr>
        <w:t>. P</w:t>
      </w:r>
      <w:r w:rsidRPr="004332BC">
        <w:rPr>
          <w:rFonts w:cstheme="minorHAnsi"/>
        </w:rPr>
        <w:t>arklands include</w:t>
      </w:r>
      <w:r>
        <w:rPr>
          <w:rFonts w:cstheme="minorHAnsi"/>
        </w:rPr>
        <w:t xml:space="preserve"> </w:t>
      </w:r>
      <w:r w:rsidRPr="004332BC">
        <w:rPr>
          <w:rFonts w:cstheme="minorHAnsi"/>
        </w:rPr>
        <w:t>natural reserves and conserved areas</w:t>
      </w:r>
      <w:r>
        <w:rPr>
          <w:rFonts w:cstheme="minorHAnsi"/>
        </w:rPr>
        <w:t xml:space="preserve">, </w:t>
      </w:r>
      <w:r w:rsidRPr="004332BC">
        <w:rPr>
          <w:rFonts w:cstheme="minorHAnsi"/>
        </w:rPr>
        <w:t>public open spaces and sporting facilities irrespective of whether they are enclosed or open.</w:t>
      </w:r>
    </w:p>
    <w:p w14:paraId="2177C37C" w14:textId="52DD7A86" w:rsidR="00F66859" w:rsidRDefault="00F66859" w:rsidP="00240C16">
      <w:pPr>
        <w:spacing w:line="360" w:lineRule="auto"/>
        <w:rPr>
          <w:rFonts w:cstheme="minorHAnsi"/>
          <w:b/>
          <w:bCs/>
        </w:rPr>
      </w:pPr>
    </w:p>
    <w:p w14:paraId="15B2526E" w14:textId="522C1406" w:rsidR="00EC07A9" w:rsidRDefault="005308F8" w:rsidP="00240C16">
      <w:pPr>
        <w:spacing w:line="360" w:lineRule="auto"/>
        <w:rPr>
          <w:rFonts w:cstheme="minorHAnsi"/>
          <w:b/>
          <w:bCs/>
        </w:rPr>
      </w:pPr>
      <w:r>
        <w:rPr>
          <w:rFonts w:cstheme="minorHAnsi"/>
          <w:b/>
          <w:bCs/>
        </w:rPr>
        <w:t xml:space="preserve">Greenspace Data </w:t>
      </w:r>
      <w:r w:rsidR="0098707D">
        <w:rPr>
          <w:rFonts w:cstheme="minorHAnsi"/>
          <w:b/>
          <w:bCs/>
        </w:rPr>
        <w:t>Structure</w:t>
      </w:r>
    </w:p>
    <w:p w14:paraId="28734748" w14:textId="50569994" w:rsidR="005308F8" w:rsidRDefault="005308F8" w:rsidP="00240C16">
      <w:pPr>
        <w:spacing w:line="360" w:lineRule="auto"/>
        <w:rPr>
          <w:rFonts w:cstheme="minorHAnsi"/>
          <w:bCs/>
        </w:rPr>
      </w:pPr>
      <w:r w:rsidRPr="00E02C46">
        <w:rPr>
          <w:rFonts w:cstheme="minorHAnsi"/>
          <w:bCs/>
        </w:rPr>
        <w:t xml:space="preserve">There were </w:t>
      </w:r>
      <w:r>
        <w:rPr>
          <w:rFonts w:cstheme="minorHAnsi"/>
          <w:bCs/>
        </w:rPr>
        <w:t xml:space="preserve">annual </w:t>
      </w:r>
      <w:r w:rsidRPr="00E02C46">
        <w:rPr>
          <w:rFonts w:cstheme="minorHAnsi"/>
          <w:bCs/>
        </w:rPr>
        <w:t xml:space="preserve">greenspace data – NDVI, fractional cover and parkland – derived for </w:t>
      </w:r>
      <w:r w:rsidR="00911BCB">
        <w:rPr>
          <w:rFonts w:cstheme="minorHAnsi"/>
          <w:bCs/>
        </w:rPr>
        <w:t xml:space="preserve">all the </w:t>
      </w:r>
      <w:r w:rsidRPr="00E02C46">
        <w:rPr>
          <w:rFonts w:cstheme="minorHAnsi"/>
          <w:bCs/>
        </w:rPr>
        <w:t>address</w:t>
      </w:r>
      <w:r w:rsidR="00911BCB">
        <w:rPr>
          <w:rFonts w:cstheme="minorHAnsi"/>
          <w:bCs/>
        </w:rPr>
        <w:t>es of the respondent during the survey</w:t>
      </w:r>
      <w:r w:rsidRPr="00E02C46">
        <w:rPr>
          <w:rFonts w:cstheme="minorHAnsi"/>
          <w:bCs/>
        </w:rPr>
        <w:t>.</w:t>
      </w:r>
      <w:r>
        <w:rPr>
          <w:rFonts w:cstheme="minorHAnsi"/>
          <w:bCs/>
        </w:rPr>
        <w:t xml:space="preserve"> If </w:t>
      </w:r>
      <w:r w:rsidR="00176DC7">
        <w:rPr>
          <w:rFonts w:cstheme="minorHAnsi"/>
          <w:bCs/>
        </w:rPr>
        <w:t xml:space="preserve">we had </w:t>
      </w:r>
      <w:r>
        <w:rPr>
          <w:rFonts w:cstheme="minorHAnsi"/>
          <w:bCs/>
        </w:rPr>
        <w:t>three addresses</w:t>
      </w:r>
      <w:r w:rsidR="00176DC7">
        <w:rPr>
          <w:rFonts w:cstheme="minorHAnsi"/>
          <w:bCs/>
        </w:rPr>
        <w:t xml:space="preserve"> for a respondent</w:t>
      </w:r>
      <w:r>
        <w:rPr>
          <w:rFonts w:cstheme="minorHAnsi"/>
          <w:bCs/>
        </w:rPr>
        <w:t xml:space="preserve">, for example, there would be three </w:t>
      </w:r>
      <w:r w:rsidR="00911BCB">
        <w:rPr>
          <w:rFonts w:cstheme="minorHAnsi"/>
          <w:bCs/>
        </w:rPr>
        <w:t xml:space="preserve">complete </w:t>
      </w:r>
      <w:r>
        <w:rPr>
          <w:rFonts w:cstheme="minorHAnsi"/>
          <w:bCs/>
        </w:rPr>
        <w:t>records of all the annual data</w:t>
      </w:r>
      <w:r w:rsidR="00176DC7">
        <w:rPr>
          <w:rFonts w:cstheme="minorHAnsi"/>
          <w:bCs/>
        </w:rPr>
        <w:t xml:space="preserve"> for that one respondent</w:t>
      </w:r>
      <w:r>
        <w:rPr>
          <w:rFonts w:cstheme="minorHAnsi"/>
          <w:bCs/>
        </w:rPr>
        <w:t xml:space="preserve">. </w:t>
      </w:r>
      <w:r w:rsidR="00176DC7">
        <w:rPr>
          <w:rFonts w:cstheme="minorHAnsi"/>
          <w:bCs/>
        </w:rPr>
        <w:t>Therefore, m</w:t>
      </w:r>
      <w:r>
        <w:rPr>
          <w:rFonts w:cstheme="minorHAnsi"/>
          <w:bCs/>
        </w:rPr>
        <w:t>any of the ann</w:t>
      </w:r>
      <w:r w:rsidR="00911BCB">
        <w:rPr>
          <w:rFonts w:cstheme="minorHAnsi"/>
          <w:bCs/>
        </w:rPr>
        <w:t>ual values would</w:t>
      </w:r>
      <w:r>
        <w:rPr>
          <w:rFonts w:cstheme="minorHAnsi"/>
          <w:bCs/>
        </w:rPr>
        <w:t xml:space="preserve"> be for years whe</w:t>
      </w:r>
      <w:r w:rsidR="00911BCB">
        <w:rPr>
          <w:rFonts w:cstheme="minorHAnsi"/>
          <w:bCs/>
        </w:rPr>
        <w:t>n</w:t>
      </w:r>
      <w:r>
        <w:rPr>
          <w:rFonts w:cstheme="minorHAnsi"/>
          <w:bCs/>
        </w:rPr>
        <w:t xml:space="preserve"> the respondent was not at the address</w:t>
      </w:r>
      <w:r w:rsidR="00176DC7">
        <w:rPr>
          <w:rFonts w:cstheme="minorHAnsi"/>
          <w:bCs/>
        </w:rPr>
        <w:t>. To correct this</w:t>
      </w:r>
      <w:r>
        <w:rPr>
          <w:rFonts w:cstheme="minorHAnsi"/>
          <w:bCs/>
        </w:rPr>
        <w:t xml:space="preserve"> the data </w:t>
      </w:r>
      <w:proofErr w:type="gramStart"/>
      <w:r>
        <w:rPr>
          <w:rFonts w:cstheme="minorHAnsi"/>
          <w:bCs/>
        </w:rPr>
        <w:t>were compressed</w:t>
      </w:r>
      <w:proofErr w:type="gramEnd"/>
      <w:r>
        <w:rPr>
          <w:rFonts w:cstheme="minorHAnsi"/>
          <w:bCs/>
        </w:rPr>
        <w:t xml:space="preserve"> into one record per respondent</w:t>
      </w:r>
      <w:r w:rsidR="00176DC7">
        <w:rPr>
          <w:rFonts w:cstheme="minorHAnsi"/>
          <w:bCs/>
        </w:rPr>
        <w:t xml:space="preserve">. This </w:t>
      </w:r>
      <w:proofErr w:type="gramStart"/>
      <w:r w:rsidR="00176DC7">
        <w:rPr>
          <w:rFonts w:cstheme="minorHAnsi"/>
          <w:bCs/>
        </w:rPr>
        <w:t>was done</w:t>
      </w:r>
      <w:proofErr w:type="gramEnd"/>
      <w:r w:rsidR="00176DC7">
        <w:rPr>
          <w:rFonts w:cstheme="minorHAnsi"/>
          <w:bCs/>
        </w:rPr>
        <w:t xml:space="preserve"> to ensure </w:t>
      </w:r>
      <w:r>
        <w:rPr>
          <w:rFonts w:cstheme="minorHAnsi"/>
          <w:bCs/>
        </w:rPr>
        <w:t xml:space="preserve">the annual residential greenspace data matched the years the respondent was at that residence. The compression is described </w:t>
      </w:r>
      <w:r w:rsidR="00176DC7">
        <w:rPr>
          <w:rFonts w:cstheme="minorHAnsi"/>
          <w:bCs/>
        </w:rPr>
        <w:t xml:space="preserve">thoroughly </w:t>
      </w:r>
      <w:r>
        <w:rPr>
          <w:rFonts w:cstheme="minorHAnsi"/>
          <w:bCs/>
        </w:rPr>
        <w:t xml:space="preserve">in the </w:t>
      </w:r>
      <w:r w:rsidRPr="00E02C46">
        <w:rPr>
          <w:rFonts w:cstheme="minorHAnsi"/>
          <w:b/>
          <w:bCs/>
        </w:rPr>
        <w:t>Compressing the Air Pollution</w:t>
      </w:r>
      <w:r>
        <w:rPr>
          <w:rFonts w:cstheme="minorHAnsi"/>
          <w:bCs/>
        </w:rPr>
        <w:t xml:space="preserve"> </w:t>
      </w:r>
      <w:r w:rsidRPr="00E02C46">
        <w:rPr>
          <w:rFonts w:cstheme="minorHAnsi"/>
          <w:b/>
          <w:bCs/>
        </w:rPr>
        <w:t xml:space="preserve">data </w:t>
      </w:r>
      <w:r>
        <w:rPr>
          <w:rFonts w:cstheme="minorHAnsi"/>
          <w:bCs/>
        </w:rPr>
        <w:t xml:space="preserve">documentation. </w:t>
      </w:r>
      <w:r w:rsidR="00911BCB">
        <w:rPr>
          <w:rFonts w:cstheme="minorHAnsi"/>
          <w:bCs/>
        </w:rPr>
        <w:t xml:space="preserve"> The following example gives a brief summary of the method. Say we were notified of a new of address at survey 4 and we last had contact with the respondent at survey 2 living at </w:t>
      </w:r>
      <w:r w:rsidR="00176DC7">
        <w:rPr>
          <w:rFonts w:cstheme="minorHAnsi"/>
          <w:bCs/>
        </w:rPr>
        <w:t>an different</w:t>
      </w:r>
      <w:r w:rsidR="00911BCB">
        <w:rPr>
          <w:rFonts w:cstheme="minorHAnsi"/>
          <w:bCs/>
        </w:rPr>
        <w:t xml:space="preserve"> address, then the midpoint </w:t>
      </w:r>
      <w:r w:rsidR="00176DC7">
        <w:rPr>
          <w:rFonts w:cstheme="minorHAnsi"/>
          <w:bCs/>
        </w:rPr>
        <w:t xml:space="preserve">year </w:t>
      </w:r>
      <w:r w:rsidR="00911BCB">
        <w:rPr>
          <w:rFonts w:cstheme="minorHAnsi"/>
          <w:bCs/>
        </w:rPr>
        <w:t>between the survey 4 and survey 2</w:t>
      </w:r>
      <w:r w:rsidR="00176DC7">
        <w:rPr>
          <w:rFonts w:cstheme="minorHAnsi"/>
          <w:bCs/>
        </w:rPr>
        <w:t xml:space="preserve"> </w:t>
      </w:r>
      <w:r w:rsidR="0098707D">
        <w:rPr>
          <w:rFonts w:cstheme="minorHAnsi"/>
          <w:bCs/>
        </w:rPr>
        <w:t xml:space="preserve">responding </w:t>
      </w:r>
      <w:r w:rsidR="00176DC7">
        <w:rPr>
          <w:rFonts w:cstheme="minorHAnsi"/>
          <w:bCs/>
        </w:rPr>
        <w:t>dates would be</w:t>
      </w:r>
      <w:r w:rsidR="00911BCB">
        <w:rPr>
          <w:rFonts w:cstheme="minorHAnsi"/>
          <w:bCs/>
        </w:rPr>
        <w:t xml:space="preserve"> calculated. </w:t>
      </w:r>
      <w:r w:rsidR="00176DC7">
        <w:rPr>
          <w:rFonts w:cstheme="minorHAnsi"/>
          <w:bCs/>
        </w:rPr>
        <w:t>We would use t</w:t>
      </w:r>
      <w:r w:rsidR="00911BCB">
        <w:rPr>
          <w:rFonts w:cstheme="minorHAnsi"/>
          <w:bCs/>
        </w:rPr>
        <w:t xml:space="preserve">he annual greenspace data for the survey 2 address </w:t>
      </w:r>
      <w:r w:rsidR="00176DC7">
        <w:rPr>
          <w:rFonts w:cstheme="minorHAnsi"/>
          <w:bCs/>
        </w:rPr>
        <w:t xml:space="preserve">up to but not including the </w:t>
      </w:r>
      <w:r w:rsidR="0098707D">
        <w:rPr>
          <w:rFonts w:cstheme="minorHAnsi"/>
          <w:bCs/>
        </w:rPr>
        <w:t xml:space="preserve">calculated </w:t>
      </w:r>
      <w:r w:rsidR="00176DC7">
        <w:rPr>
          <w:rFonts w:cstheme="minorHAnsi"/>
          <w:bCs/>
        </w:rPr>
        <w:t xml:space="preserve">mid-point year. We would then use </w:t>
      </w:r>
      <w:r w:rsidR="00911BCB">
        <w:rPr>
          <w:rFonts w:cstheme="minorHAnsi"/>
          <w:bCs/>
        </w:rPr>
        <w:t xml:space="preserve">the annual greenspace data for the survey 4 address </w:t>
      </w:r>
      <w:r w:rsidR="0098707D">
        <w:rPr>
          <w:rFonts w:cstheme="minorHAnsi"/>
          <w:bCs/>
        </w:rPr>
        <w:t>from</w:t>
      </w:r>
      <w:r w:rsidR="00911BCB">
        <w:rPr>
          <w:rFonts w:cstheme="minorHAnsi"/>
          <w:bCs/>
        </w:rPr>
        <w:t xml:space="preserve"> the mid-point year onwards.</w:t>
      </w:r>
      <w:r w:rsidR="00176DC7">
        <w:rPr>
          <w:rFonts w:cstheme="minorHAnsi"/>
          <w:bCs/>
        </w:rPr>
        <w:t xml:space="preserve"> </w:t>
      </w:r>
      <w:r w:rsidR="00911BCB">
        <w:rPr>
          <w:rFonts w:cstheme="minorHAnsi"/>
          <w:bCs/>
        </w:rPr>
        <w:t xml:space="preserve">Any subsequent </w:t>
      </w:r>
      <w:r w:rsidR="0098707D">
        <w:rPr>
          <w:rFonts w:cstheme="minorHAnsi"/>
          <w:bCs/>
        </w:rPr>
        <w:t xml:space="preserve">changes of address </w:t>
      </w:r>
      <w:proofErr w:type="gramStart"/>
      <w:r w:rsidR="0098707D">
        <w:rPr>
          <w:rFonts w:cstheme="minorHAnsi"/>
          <w:bCs/>
        </w:rPr>
        <w:t>would be</w:t>
      </w:r>
      <w:r w:rsidR="00911BCB">
        <w:rPr>
          <w:rFonts w:cstheme="minorHAnsi"/>
          <w:bCs/>
        </w:rPr>
        <w:t xml:space="preserve"> treated</w:t>
      </w:r>
      <w:proofErr w:type="gramEnd"/>
      <w:r w:rsidR="00911BCB">
        <w:rPr>
          <w:rFonts w:cstheme="minorHAnsi"/>
          <w:bCs/>
        </w:rPr>
        <w:t xml:space="preserve"> the same way. By this </w:t>
      </w:r>
      <w:proofErr w:type="gramStart"/>
      <w:r w:rsidR="00911BCB">
        <w:rPr>
          <w:rFonts w:cstheme="minorHAnsi"/>
          <w:bCs/>
        </w:rPr>
        <w:t>method</w:t>
      </w:r>
      <w:proofErr w:type="gramEnd"/>
      <w:r w:rsidR="00911BCB">
        <w:rPr>
          <w:rFonts w:cstheme="minorHAnsi"/>
          <w:bCs/>
        </w:rPr>
        <w:t xml:space="preserve"> multiple </w:t>
      </w:r>
      <w:r w:rsidR="0098707D">
        <w:rPr>
          <w:rFonts w:cstheme="minorHAnsi"/>
          <w:bCs/>
        </w:rPr>
        <w:t xml:space="preserve">greenspace </w:t>
      </w:r>
      <w:r w:rsidR="00911BCB">
        <w:rPr>
          <w:rFonts w:cstheme="minorHAnsi"/>
          <w:bCs/>
        </w:rPr>
        <w:t xml:space="preserve">records </w:t>
      </w:r>
      <w:r w:rsidR="00176DC7">
        <w:rPr>
          <w:rFonts w:cstheme="minorHAnsi"/>
          <w:bCs/>
        </w:rPr>
        <w:t xml:space="preserve">per respondent </w:t>
      </w:r>
      <w:r w:rsidR="00911BCB">
        <w:rPr>
          <w:rFonts w:cstheme="minorHAnsi"/>
          <w:bCs/>
        </w:rPr>
        <w:t>were compressed into one record per respondent.</w:t>
      </w:r>
      <w:r w:rsidR="00176DC7">
        <w:rPr>
          <w:rFonts w:cstheme="minorHAnsi"/>
          <w:bCs/>
        </w:rPr>
        <w:t xml:space="preserve"> </w:t>
      </w:r>
    </w:p>
    <w:p w14:paraId="1BC1DF58" w14:textId="77777777" w:rsidR="003720B9" w:rsidRDefault="00176DC7" w:rsidP="00240C16">
      <w:pPr>
        <w:spacing w:line="360" w:lineRule="auto"/>
        <w:rPr>
          <w:rFonts w:cstheme="minorHAnsi"/>
          <w:bCs/>
        </w:rPr>
      </w:pPr>
      <w:r>
        <w:rPr>
          <w:rFonts w:cstheme="minorHAnsi"/>
          <w:bCs/>
        </w:rPr>
        <w:t xml:space="preserve">It follows that if we lost contact with respondents for long </w:t>
      </w:r>
      <w:proofErr w:type="gramStart"/>
      <w:r>
        <w:rPr>
          <w:rFonts w:cstheme="minorHAnsi"/>
          <w:bCs/>
        </w:rPr>
        <w:t>periods of t</w:t>
      </w:r>
      <w:r w:rsidR="00D425C9">
        <w:rPr>
          <w:rFonts w:cstheme="minorHAnsi"/>
          <w:bCs/>
        </w:rPr>
        <w:t>ime</w:t>
      </w:r>
      <w:proofErr w:type="gramEnd"/>
      <w:r w:rsidR="00D425C9">
        <w:rPr>
          <w:rFonts w:cstheme="minorHAnsi"/>
          <w:bCs/>
        </w:rPr>
        <w:t xml:space="preserve"> we would</w:t>
      </w:r>
      <w:r>
        <w:rPr>
          <w:rFonts w:cstheme="minorHAnsi"/>
          <w:bCs/>
        </w:rPr>
        <w:t xml:space="preserve"> not know if they changed address or not. Their greenspace values </w:t>
      </w:r>
      <w:proofErr w:type="gramStart"/>
      <w:r w:rsidR="00D425C9">
        <w:rPr>
          <w:rFonts w:cstheme="minorHAnsi"/>
          <w:bCs/>
        </w:rPr>
        <w:t>c</w:t>
      </w:r>
      <w:r>
        <w:rPr>
          <w:rFonts w:cstheme="minorHAnsi"/>
          <w:bCs/>
        </w:rPr>
        <w:t>ould be based</w:t>
      </w:r>
      <w:proofErr w:type="gramEnd"/>
      <w:r>
        <w:rPr>
          <w:rFonts w:cstheme="minorHAnsi"/>
          <w:bCs/>
        </w:rPr>
        <w:t xml:space="preserve"> on </w:t>
      </w:r>
      <w:r w:rsidR="00D425C9">
        <w:rPr>
          <w:rFonts w:cstheme="minorHAnsi"/>
          <w:bCs/>
        </w:rPr>
        <w:t xml:space="preserve">an </w:t>
      </w:r>
      <w:r>
        <w:rPr>
          <w:rFonts w:cstheme="minorHAnsi"/>
          <w:bCs/>
        </w:rPr>
        <w:t>address where they may not be living any more.</w:t>
      </w:r>
      <w:r w:rsidR="0098707D">
        <w:rPr>
          <w:rFonts w:cstheme="minorHAnsi"/>
          <w:bCs/>
        </w:rPr>
        <w:t xml:space="preserve"> </w:t>
      </w:r>
      <w:r w:rsidR="00586005">
        <w:rPr>
          <w:rFonts w:cstheme="minorHAnsi"/>
          <w:bCs/>
        </w:rPr>
        <w:t xml:space="preserve">To account for this whenever a respondent withdrawals from the </w:t>
      </w:r>
      <w:r w:rsidR="003720B9">
        <w:rPr>
          <w:rFonts w:cstheme="minorHAnsi"/>
          <w:bCs/>
        </w:rPr>
        <w:t>survey the greenspace values are set to missing after the withdrawn years. Similarly, whenever</w:t>
      </w:r>
      <w:r w:rsidR="0098707D">
        <w:rPr>
          <w:rFonts w:cstheme="minorHAnsi"/>
          <w:bCs/>
        </w:rPr>
        <w:t xml:space="preserve"> a respondent dies the greenspace </w:t>
      </w:r>
      <w:r w:rsidR="003720B9">
        <w:rPr>
          <w:rFonts w:cstheme="minorHAnsi"/>
          <w:bCs/>
        </w:rPr>
        <w:t xml:space="preserve">values are set to missing after the death year. However, some women have not withdrawn but also not responded to recent surveys and so we cannot be sure of their addresses. These women will still have the greenspace values for recent years but the researcher may decide not to use these values since they are based on an </w:t>
      </w:r>
      <w:proofErr w:type="gramStart"/>
      <w:r w:rsidR="003720B9">
        <w:rPr>
          <w:rFonts w:cstheme="minorHAnsi"/>
          <w:bCs/>
        </w:rPr>
        <w:t>address which</w:t>
      </w:r>
      <w:proofErr w:type="gramEnd"/>
      <w:r w:rsidR="003720B9">
        <w:rPr>
          <w:rFonts w:cstheme="minorHAnsi"/>
          <w:bCs/>
        </w:rPr>
        <w:t xml:space="preserve"> may have changed.</w:t>
      </w:r>
    </w:p>
    <w:p w14:paraId="78AE283A" w14:textId="49C1680F" w:rsidR="00176DC7" w:rsidRPr="00E02C46" w:rsidRDefault="003720B9" w:rsidP="00240C16">
      <w:pPr>
        <w:spacing w:line="360" w:lineRule="auto"/>
        <w:rPr>
          <w:rFonts w:cstheme="minorHAnsi"/>
          <w:bCs/>
        </w:rPr>
      </w:pPr>
      <w:r>
        <w:rPr>
          <w:rFonts w:cstheme="minorHAnsi"/>
          <w:bCs/>
        </w:rPr>
        <w:t xml:space="preserve"> </w:t>
      </w:r>
    </w:p>
    <w:p w14:paraId="2863422B" w14:textId="77777777" w:rsidR="00EC07A9" w:rsidRDefault="00EC07A9" w:rsidP="00240C16">
      <w:pPr>
        <w:spacing w:line="360" w:lineRule="auto"/>
        <w:rPr>
          <w:rFonts w:cstheme="minorHAnsi"/>
          <w:b/>
          <w:bCs/>
        </w:rPr>
      </w:pPr>
    </w:p>
    <w:p w14:paraId="4754A298" w14:textId="198C0005" w:rsidR="00D1749C" w:rsidRPr="00320775" w:rsidRDefault="002D6F8F" w:rsidP="00240C16">
      <w:pPr>
        <w:spacing w:line="360" w:lineRule="auto"/>
        <w:rPr>
          <w:rFonts w:cstheme="minorHAnsi"/>
          <w:b/>
        </w:rPr>
      </w:pPr>
      <w:r w:rsidRPr="00320775">
        <w:rPr>
          <w:rFonts w:cstheme="minorHAnsi"/>
          <w:b/>
        </w:rPr>
        <w:lastRenderedPageBreak/>
        <w:t>Accuracy</w:t>
      </w:r>
    </w:p>
    <w:p w14:paraId="33AC0C8B" w14:textId="22B4C4B0" w:rsidR="0031632F" w:rsidRDefault="001823A7" w:rsidP="00240C16">
      <w:pPr>
        <w:spacing w:line="360" w:lineRule="auto"/>
        <w:rPr>
          <w:rFonts w:cstheme="minorHAnsi"/>
        </w:rPr>
      </w:pPr>
      <w:r w:rsidRPr="00320775">
        <w:rPr>
          <w:rFonts w:cstheme="minorHAnsi"/>
        </w:rPr>
        <w:t xml:space="preserve">At each ALSWH survey </w:t>
      </w:r>
      <w:r w:rsidR="00D24A26" w:rsidRPr="00320775">
        <w:rPr>
          <w:rFonts w:cstheme="minorHAnsi"/>
        </w:rPr>
        <w:t>wave, every</w:t>
      </w:r>
      <w:r w:rsidRPr="00320775">
        <w:rPr>
          <w:rFonts w:cstheme="minorHAnsi"/>
        </w:rPr>
        <w:t xml:space="preserve"> respondent’s address </w:t>
      </w:r>
      <w:r w:rsidR="00D24A26" w:rsidRPr="00320775">
        <w:rPr>
          <w:rFonts w:cstheme="minorHAnsi"/>
        </w:rPr>
        <w:t xml:space="preserve">and date of response </w:t>
      </w:r>
      <w:r w:rsidRPr="00320775">
        <w:rPr>
          <w:rFonts w:cstheme="minorHAnsi"/>
        </w:rPr>
        <w:t>was recorded</w:t>
      </w:r>
      <w:r w:rsidR="00D24A26" w:rsidRPr="00320775">
        <w:rPr>
          <w:rFonts w:cstheme="minorHAnsi"/>
        </w:rPr>
        <w:t>, where it was known</w:t>
      </w:r>
      <w:r w:rsidRPr="00320775">
        <w:rPr>
          <w:rFonts w:cstheme="minorHAnsi"/>
        </w:rPr>
        <w:t>. The</w:t>
      </w:r>
      <w:r w:rsidR="00DE7500" w:rsidRPr="00320775">
        <w:rPr>
          <w:rFonts w:cstheme="minorHAnsi"/>
        </w:rPr>
        <w:t>se</w:t>
      </w:r>
      <w:r w:rsidRPr="00320775">
        <w:rPr>
          <w:rFonts w:cstheme="minorHAnsi"/>
        </w:rPr>
        <w:t xml:space="preserve"> addresses are</w:t>
      </w:r>
      <w:r w:rsidR="00D24A26" w:rsidRPr="00320775">
        <w:rPr>
          <w:rFonts w:cstheme="minorHAnsi"/>
        </w:rPr>
        <w:t xml:space="preserve"> </w:t>
      </w:r>
      <w:r w:rsidRPr="00320775">
        <w:rPr>
          <w:rFonts w:cstheme="minorHAnsi"/>
        </w:rPr>
        <w:t xml:space="preserve">confidential and </w:t>
      </w:r>
      <w:proofErr w:type="gramStart"/>
      <w:r w:rsidR="00DE7500" w:rsidRPr="00320775">
        <w:rPr>
          <w:rFonts w:cstheme="minorHAnsi"/>
        </w:rPr>
        <w:t xml:space="preserve">are </w:t>
      </w:r>
      <w:r w:rsidRPr="00320775">
        <w:rPr>
          <w:rFonts w:cstheme="minorHAnsi"/>
        </w:rPr>
        <w:t>never released</w:t>
      </w:r>
      <w:proofErr w:type="gramEnd"/>
      <w:r w:rsidRPr="00320775">
        <w:rPr>
          <w:rFonts w:cstheme="minorHAnsi"/>
        </w:rPr>
        <w:t xml:space="preserve"> to researchers</w:t>
      </w:r>
      <w:r w:rsidR="00EC07A9">
        <w:rPr>
          <w:rFonts w:cstheme="minorHAnsi"/>
        </w:rPr>
        <w:t>. F</w:t>
      </w:r>
      <w:r w:rsidRPr="00320775">
        <w:rPr>
          <w:rFonts w:cstheme="minorHAnsi"/>
        </w:rPr>
        <w:t xml:space="preserve">or the purpose of this </w:t>
      </w:r>
      <w:proofErr w:type="gramStart"/>
      <w:r w:rsidRPr="00320775">
        <w:rPr>
          <w:rFonts w:cstheme="minorHAnsi"/>
        </w:rPr>
        <w:t>work</w:t>
      </w:r>
      <w:proofErr w:type="gramEnd"/>
      <w:r w:rsidRPr="00320775">
        <w:rPr>
          <w:rFonts w:cstheme="minorHAnsi"/>
        </w:rPr>
        <w:t xml:space="preserve"> the longitude and latitude of these addresses were derived</w:t>
      </w:r>
      <w:r w:rsidR="00D24A26" w:rsidRPr="00320775">
        <w:rPr>
          <w:rFonts w:cstheme="minorHAnsi"/>
        </w:rPr>
        <w:t xml:space="preserve"> using Google Maps</w:t>
      </w:r>
      <w:r w:rsidR="00DE7500" w:rsidRPr="00320775">
        <w:rPr>
          <w:rFonts w:cstheme="minorHAnsi"/>
        </w:rPr>
        <w:t xml:space="preserve"> </w:t>
      </w:r>
      <w:r w:rsidR="004A79DF">
        <w:rPr>
          <w:rFonts w:cstheme="minorHAnsi"/>
        </w:rPr>
        <w:t xml:space="preserve">and </w:t>
      </w:r>
      <w:r w:rsidR="00F51C60">
        <w:rPr>
          <w:rFonts w:cstheme="minorHAnsi"/>
        </w:rPr>
        <w:t xml:space="preserve">then later </w:t>
      </w:r>
      <w:r w:rsidR="004A79DF">
        <w:rPr>
          <w:rFonts w:cstheme="minorHAnsi"/>
        </w:rPr>
        <w:t xml:space="preserve">used to estimate </w:t>
      </w:r>
      <w:r w:rsidR="00EC07A9">
        <w:rPr>
          <w:rFonts w:cstheme="minorHAnsi"/>
        </w:rPr>
        <w:t xml:space="preserve">annual </w:t>
      </w:r>
      <w:r w:rsidR="004A79DF">
        <w:rPr>
          <w:rFonts w:cstheme="minorHAnsi"/>
        </w:rPr>
        <w:t>greenspace</w:t>
      </w:r>
      <w:r w:rsidRPr="00320775">
        <w:rPr>
          <w:rFonts w:cstheme="minorHAnsi"/>
        </w:rPr>
        <w:t xml:space="preserve">. </w:t>
      </w:r>
      <w:r w:rsidR="00790E7D" w:rsidRPr="00320775">
        <w:rPr>
          <w:rFonts w:cstheme="minorHAnsi"/>
        </w:rPr>
        <w:t xml:space="preserve">The process </w:t>
      </w:r>
      <w:r w:rsidR="00F51C60">
        <w:rPr>
          <w:rFonts w:cstheme="minorHAnsi"/>
        </w:rPr>
        <w:t xml:space="preserve">of determining the accuracy and displaying it on the data </w:t>
      </w:r>
      <w:r w:rsidR="00790E7D" w:rsidRPr="00320775">
        <w:rPr>
          <w:rFonts w:cstheme="minorHAnsi"/>
        </w:rPr>
        <w:t xml:space="preserve">was as follows. </w:t>
      </w:r>
    </w:p>
    <w:p w14:paraId="66038BD9" w14:textId="77777777" w:rsidR="00D24A26" w:rsidRPr="00320775" w:rsidRDefault="00D24A26" w:rsidP="00240C16">
      <w:pPr>
        <w:spacing w:line="360" w:lineRule="auto"/>
        <w:rPr>
          <w:rFonts w:cstheme="minorHAnsi"/>
        </w:rPr>
      </w:pPr>
      <w:r w:rsidRPr="00320775">
        <w:rPr>
          <w:rFonts w:cstheme="minorHAnsi"/>
        </w:rPr>
        <w:t>Using Google Maps</w:t>
      </w:r>
    </w:p>
    <w:p w14:paraId="2AE97F22" w14:textId="24EC4660" w:rsidR="002D6F8F" w:rsidRPr="00320775" w:rsidRDefault="001823A7" w:rsidP="00240C16">
      <w:pPr>
        <w:spacing w:line="360" w:lineRule="auto"/>
        <w:rPr>
          <w:rFonts w:cstheme="minorHAnsi"/>
        </w:rPr>
      </w:pPr>
      <w:r w:rsidRPr="00320775">
        <w:rPr>
          <w:rFonts w:cstheme="minorHAnsi"/>
        </w:rPr>
        <w:t xml:space="preserve">Each address </w:t>
      </w:r>
      <w:proofErr w:type="gramStart"/>
      <w:r w:rsidRPr="00320775">
        <w:rPr>
          <w:rFonts w:cstheme="minorHAnsi"/>
        </w:rPr>
        <w:t>was put</w:t>
      </w:r>
      <w:proofErr w:type="gramEnd"/>
      <w:r w:rsidRPr="00320775">
        <w:rPr>
          <w:rFonts w:cstheme="minorHAnsi"/>
        </w:rPr>
        <w:t xml:space="preserve"> into Google Maps </w:t>
      </w:r>
      <w:r w:rsidR="00EC07A9">
        <w:rPr>
          <w:rFonts w:cstheme="minorHAnsi"/>
        </w:rPr>
        <w:t xml:space="preserve">where </w:t>
      </w:r>
      <w:r w:rsidRPr="00320775">
        <w:rPr>
          <w:rFonts w:cstheme="minorHAnsi"/>
        </w:rPr>
        <w:t>its longitude and latitude w</w:t>
      </w:r>
      <w:r w:rsidR="00790E7D" w:rsidRPr="00320775">
        <w:rPr>
          <w:rFonts w:cstheme="minorHAnsi"/>
        </w:rPr>
        <w:t>ere</w:t>
      </w:r>
      <w:r w:rsidRPr="00320775">
        <w:rPr>
          <w:rFonts w:cstheme="minorHAnsi"/>
        </w:rPr>
        <w:t xml:space="preserve"> calculated. </w:t>
      </w:r>
      <w:r w:rsidR="002D6F8F" w:rsidRPr="00320775">
        <w:rPr>
          <w:rFonts w:cstheme="minorHAnsi"/>
        </w:rPr>
        <w:t xml:space="preserve">Google maps gave an accuracy value for each longitude and latitude estimate. The accuracy values were: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6690"/>
      </w:tblGrid>
      <w:tr w:rsidR="002D6F8F" w:rsidRPr="00320775" w14:paraId="46A25B98" w14:textId="77777777" w:rsidTr="002D6F8F">
        <w:tc>
          <w:tcPr>
            <w:tcW w:w="2377" w:type="dxa"/>
          </w:tcPr>
          <w:p w14:paraId="5DC44586" w14:textId="13DAF8D7" w:rsidR="002D6F8F" w:rsidRPr="00320775" w:rsidRDefault="002D6F8F" w:rsidP="002D6F8F">
            <w:pPr>
              <w:rPr>
                <w:rFonts w:cstheme="minorHAnsi"/>
              </w:rPr>
            </w:pPr>
            <w:r w:rsidRPr="00320775">
              <w:rPr>
                <w:rFonts w:eastAsia="Times New Roman" w:cstheme="minorHAnsi"/>
                <w:sz w:val="20"/>
                <w:szCs w:val="20"/>
              </w:rPr>
              <w:t>ROOFTOP</w:t>
            </w:r>
          </w:p>
        </w:tc>
        <w:tc>
          <w:tcPr>
            <w:tcW w:w="6690" w:type="dxa"/>
          </w:tcPr>
          <w:p w14:paraId="4DAC1519" w14:textId="71472DFC" w:rsidR="002D6F8F" w:rsidRPr="00320775" w:rsidRDefault="002D6F8F" w:rsidP="002D6F8F">
            <w:pPr>
              <w:spacing w:before="100" w:beforeAutospacing="1" w:after="100" w:afterAutospacing="1"/>
              <w:rPr>
                <w:rFonts w:eastAsia="Times New Roman" w:cstheme="minorHAnsi"/>
                <w:sz w:val="24"/>
                <w:szCs w:val="24"/>
                <w:lang w:eastAsia="en-AU"/>
              </w:rPr>
            </w:pPr>
            <w:proofErr w:type="gramStart"/>
            <w:r w:rsidRPr="00320775">
              <w:rPr>
                <w:rFonts w:eastAsia="Times New Roman" w:cstheme="minorHAnsi"/>
                <w:sz w:val="24"/>
                <w:szCs w:val="24"/>
              </w:rPr>
              <w:t>the</w:t>
            </w:r>
            <w:proofErr w:type="gramEnd"/>
            <w:r w:rsidRPr="00320775">
              <w:rPr>
                <w:rFonts w:eastAsia="Times New Roman" w:cstheme="minorHAnsi"/>
                <w:sz w:val="24"/>
                <w:szCs w:val="24"/>
              </w:rPr>
              <w:t xml:space="preserve"> addresses for which Google has location information accurate down to street address precision. </w:t>
            </w:r>
          </w:p>
        </w:tc>
      </w:tr>
      <w:tr w:rsidR="002D6F8F" w:rsidRPr="00320775" w14:paraId="3F9114B7" w14:textId="77777777" w:rsidTr="002D6F8F">
        <w:tc>
          <w:tcPr>
            <w:tcW w:w="2377" w:type="dxa"/>
          </w:tcPr>
          <w:p w14:paraId="5DA0B78D" w14:textId="19C28165" w:rsidR="002D6F8F" w:rsidRPr="00320775" w:rsidRDefault="002D6F8F" w:rsidP="002D6F8F">
            <w:pPr>
              <w:rPr>
                <w:rFonts w:cstheme="minorHAnsi"/>
              </w:rPr>
            </w:pPr>
            <w:r w:rsidRPr="00320775">
              <w:rPr>
                <w:rFonts w:eastAsia="Times New Roman" w:cstheme="minorHAnsi"/>
                <w:sz w:val="20"/>
                <w:szCs w:val="20"/>
              </w:rPr>
              <w:t>RANGE_INTERPOLATED</w:t>
            </w:r>
          </w:p>
        </w:tc>
        <w:tc>
          <w:tcPr>
            <w:tcW w:w="6690" w:type="dxa"/>
          </w:tcPr>
          <w:p w14:paraId="79AE742F" w14:textId="52BC16AE" w:rsidR="002D6F8F" w:rsidRPr="00320775" w:rsidRDefault="002D6F8F" w:rsidP="002D6F8F">
            <w:pPr>
              <w:rPr>
                <w:rFonts w:cstheme="minorHAnsi"/>
              </w:rPr>
            </w:pPr>
            <w:proofErr w:type="gramStart"/>
            <w:r w:rsidRPr="00320775">
              <w:rPr>
                <w:rFonts w:eastAsia="Times New Roman" w:cstheme="minorHAnsi"/>
                <w:sz w:val="24"/>
                <w:szCs w:val="24"/>
              </w:rPr>
              <w:t>the</w:t>
            </w:r>
            <w:proofErr w:type="gramEnd"/>
            <w:r w:rsidRPr="00320775">
              <w:rPr>
                <w:rFonts w:eastAsia="Times New Roman" w:cstheme="minorHAnsi"/>
                <w:sz w:val="24"/>
                <w:szCs w:val="24"/>
              </w:rPr>
              <w:t xml:space="preserve"> addresses that reflect an approximation (usually on a road) interpolated between two precise points (such as intersections). An interpolated range generally indicates that rooftop geocodes are unavailable for a street address</w:t>
            </w:r>
          </w:p>
        </w:tc>
      </w:tr>
      <w:tr w:rsidR="002D6F8F" w:rsidRPr="00320775" w14:paraId="268A5C99" w14:textId="77777777" w:rsidTr="002D6F8F">
        <w:tc>
          <w:tcPr>
            <w:tcW w:w="2377" w:type="dxa"/>
          </w:tcPr>
          <w:p w14:paraId="3DF2D3B2" w14:textId="2C847CF0" w:rsidR="002D6F8F" w:rsidRPr="00320775" w:rsidRDefault="002D6F8F" w:rsidP="002D6F8F">
            <w:pPr>
              <w:rPr>
                <w:rFonts w:cstheme="minorHAnsi"/>
              </w:rPr>
            </w:pPr>
            <w:r w:rsidRPr="00320775">
              <w:rPr>
                <w:rFonts w:eastAsia="Times New Roman" w:cstheme="minorHAnsi"/>
                <w:sz w:val="20"/>
                <w:szCs w:val="20"/>
              </w:rPr>
              <w:t>GEOMETRIC_CENTER</w:t>
            </w:r>
          </w:p>
        </w:tc>
        <w:tc>
          <w:tcPr>
            <w:tcW w:w="6690" w:type="dxa"/>
          </w:tcPr>
          <w:p w14:paraId="27B02F87" w14:textId="14BEF970" w:rsidR="002D6F8F" w:rsidRPr="00320775" w:rsidRDefault="002D6F8F" w:rsidP="002D6F8F">
            <w:pPr>
              <w:rPr>
                <w:rFonts w:cstheme="minorHAnsi"/>
              </w:rPr>
            </w:pPr>
            <w:proofErr w:type="gramStart"/>
            <w:r w:rsidRPr="00320775">
              <w:rPr>
                <w:rFonts w:eastAsia="Times New Roman" w:cstheme="minorHAnsi"/>
                <w:sz w:val="24"/>
                <w:szCs w:val="24"/>
              </w:rPr>
              <w:t>geometric</w:t>
            </w:r>
            <w:proofErr w:type="gramEnd"/>
            <w:r w:rsidRPr="00320775">
              <w:rPr>
                <w:rFonts w:eastAsia="Times New Roman" w:cstheme="minorHAnsi"/>
                <w:sz w:val="24"/>
                <w:szCs w:val="24"/>
              </w:rPr>
              <w:t xml:space="preserve"> </w:t>
            </w:r>
            <w:proofErr w:type="spellStart"/>
            <w:r w:rsidRPr="00320775">
              <w:rPr>
                <w:rFonts w:eastAsia="Times New Roman" w:cstheme="minorHAnsi"/>
                <w:sz w:val="24"/>
                <w:szCs w:val="24"/>
              </w:rPr>
              <w:t>centers</w:t>
            </w:r>
            <w:proofErr w:type="spellEnd"/>
            <w:r w:rsidRPr="00320775">
              <w:rPr>
                <w:rFonts w:eastAsia="Times New Roman" w:cstheme="minorHAnsi"/>
                <w:sz w:val="24"/>
                <w:szCs w:val="24"/>
              </w:rPr>
              <w:t xml:space="preserve"> of a location such as a polyline (for example, a street) or polygon (region).</w:t>
            </w:r>
          </w:p>
        </w:tc>
      </w:tr>
      <w:tr w:rsidR="002D6F8F" w:rsidRPr="00320775" w14:paraId="4F688CE3" w14:textId="77777777" w:rsidTr="002D6F8F">
        <w:tc>
          <w:tcPr>
            <w:tcW w:w="2377" w:type="dxa"/>
          </w:tcPr>
          <w:p w14:paraId="0CE17719" w14:textId="7FDF195A" w:rsidR="002D6F8F" w:rsidRPr="00320775" w:rsidRDefault="002D6F8F" w:rsidP="002D6F8F">
            <w:pPr>
              <w:rPr>
                <w:rFonts w:cstheme="minorHAnsi"/>
              </w:rPr>
            </w:pPr>
            <w:r w:rsidRPr="00320775">
              <w:rPr>
                <w:rFonts w:eastAsia="Times New Roman" w:cstheme="minorHAnsi"/>
                <w:sz w:val="20"/>
                <w:szCs w:val="20"/>
              </w:rPr>
              <w:t>APPROXIMATE</w:t>
            </w:r>
          </w:p>
        </w:tc>
        <w:tc>
          <w:tcPr>
            <w:tcW w:w="6690" w:type="dxa"/>
          </w:tcPr>
          <w:p w14:paraId="40A2B580" w14:textId="7D740A8F" w:rsidR="002D6F8F" w:rsidRPr="00320775" w:rsidRDefault="002D6F8F" w:rsidP="002D6F8F">
            <w:pPr>
              <w:rPr>
                <w:rFonts w:cstheme="minorHAnsi"/>
              </w:rPr>
            </w:pPr>
            <w:r w:rsidRPr="00320775">
              <w:rPr>
                <w:rFonts w:eastAsia="Times New Roman" w:cstheme="minorHAnsi"/>
                <w:sz w:val="24"/>
                <w:szCs w:val="24"/>
              </w:rPr>
              <w:t>the addresses that are characterized as approximate</w:t>
            </w:r>
          </w:p>
        </w:tc>
      </w:tr>
      <w:tr w:rsidR="00EC07A9" w:rsidRPr="00320775" w14:paraId="726E198F" w14:textId="77777777" w:rsidTr="002D6F8F">
        <w:tc>
          <w:tcPr>
            <w:tcW w:w="2377" w:type="dxa"/>
          </w:tcPr>
          <w:p w14:paraId="2C5059E3" w14:textId="140363C1" w:rsidR="00EC07A9" w:rsidRPr="00320775" w:rsidRDefault="00EC07A9" w:rsidP="002D6F8F">
            <w:pPr>
              <w:rPr>
                <w:rFonts w:eastAsia="Times New Roman" w:cstheme="minorHAnsi"/>
                <w:sz w:val="20"/>
                <w:szCs w:val="20"/>
              </w:rPr>
            </w:pPr>
            <w:r>
              <w:rPr>
                <w:rFonts w:eastAsia="Times New Roman" w:cstheme="minorHAnsi"/>
                <w:sz w:val="20"/>
                <w:szCs w:val="20"/>
              </w:rPr>
              <w:t>missing</w:t>
            </w:r>
          </w:p>
        </w:tc>
        <w:tc>
          <w:tcPr>
            <w:tcW w:w="6690" w:type="dxa"/>
          </w:tcPr>
          <w:p w14:paraId="219529B7" w14:textId="231EC405" w:rsidR="00EC07A9" w:rsidRPr="00320775" w:rsidRDefault="00EC07A9" w:rsidP="002D6F8F">
            <w:pPr>
              <w:rPr>
                <w:rFonts w:eastAsia="Times New Roman" w:cstheme="minorHAnsi"/>
                <w:sz w:val="24"/>
                <w:szCs w:val="24"/>
              </w:rPr>
            </w:pPr>
            <w:r w:rsidRPr="00320775">
              <w:rPr>
                <w:rFonts w:eastAsia="Times New Roman" w:cstheme="minorHAnsi"/>
                <w:sz w:val="24"/>
                <w:szCs w:val="24"/>
              </w:rPr>
              <w:t>there was no address or no longitude and latitude could be found</w:t>
            </w:r>
          </w:p>
        </w:tc>
      </w:tr>
    </w:tbl>
    <w:p w14:paraId="65AE8327" w14:textId="67E64EA4" w:rsidR="001B3EDB" w:rsidRPr="00320775" w:rsidRDefault="001B3EDB" w:rsidP="00240C16">
      <w:pPr>
        <w:spacing w:line="360" w:lineRule="auto"/>
        <w:rPr>
          <w:rFonts w:eastAsia="Times New Roman" w:cstheme="minorHAnsi"/>
          <w:sz w:val="24"/>
          <w:szCs w:val="24"/>
        </w:rPr>
      </w:pPr>
    </w:p>
    <w:p w14:paraId="2B0EF046" w14:textId="08704E08" w:rsidR="0073560E" w:rsidRDefault="002D6F8F" w:rsidP="00240C16">
      <w:pPr>
        <w:spacing w:line="360" w:lineRule="auto"/>
        <w:rPr>
          <w:rFonts w:cstheme="minorHAnsi"/>
        </w:rPr>
      </w:pPr>
      <w:r w:rsidRPr="00320775">
        <w:rPr>
          <w:rFonts w:cstheme="minorHAnsi"/>
          <w:sz w:val="24"/>
          <w:szCs w:val="24"/>
        </w:rPr>
        <w:t xml:space="preserve">These accuracy values </w:t>
      </w:r>
      <w:r w:rsidR="00EC07A9">
        <w:rPr>
          <w:rFonts w:cstheme="minorHAnsi"/>
          <w:sz w:val="24"/>
          <w:szCs w:val="24"/>
        </w:rPr>
        <w:t>we</w:t>
      </w:r>
      <w:r w:rsidRPr="00320775">
        <w:rPr>
          <w:rFonts w:cstheme="minorHAnsi"/>
          <w:sz w:val="24"/>
          <w:szCs w:val="24"/>
        </w:rPr>
        <w:t xml:space="preserve">re </w:t>
      </w:r>
      <w:r w:rsidR="00AB491F" w:rsidRPr="00320775">
        <w:rPr>
          <w:rFonts w:cstheme="minorHAnsi"/>
          <w:sz w:val="24"/>
          <w:szCs w:val="24"/>
        </w:rPr>
        <w:t>included in the data. There</w:t>
      </w:r>
      <w:r w:rsidR="00AB491F" w:rsidRPr="00320775">
        <w:rPr>
          <w:rFonts w:cstheme="minorHAnsi"/>
        </w:rPr>
        <w:t xml:space="preserve"> </w:t>
      </w:r>
      <w:r w:rsidR="00F51C60">
        <w:rPr>
          <w:rFonts w:cstheme="minorHAnsi"/>
        </w:rPr>
        <w:t xml:space="preserve">is an </w:t>
      </w:r>
      <w:r w:rsidR="00AB491F" w:rsidRPr="00320775">
        <w:rPr>
          <w:rFonts w:cstheme="minorHAnsi"/>
        </w:rPr>
        <w:t>accuracy variable for each cohort wave – AccuracyW</w:t>
      </w:r>
      <w:r w:rsidR="0031632F">
        <w:rPr>
          <w:rFonts w:cstheme="minorHAnsi"/>
        </w:rPr>
        <w:t>ave</w:t>
      </w:r>
      <w:r w:rsidR="00AB491F" w:rsidRPr="00320775">
        <w:rPr>
          <w:rFonts w:cstheme="minorHAnsi"/>
        </w:rPr>
        <w:t>1, AccuracyW</w:t>
      </w:r>
      <w:r w:rsidR="0031632F">
        <w:rPr>
          <w:rFonts w:cstheme="minorHAnsi"/>
        </w:rPr>
        <w:t>ave</w:t>
      </w:r>
      <w:r w:rsidR="00AB491F" w:rsidRPr="00320775">
        <w:rPr>
          <w:rFonts w:cstheme="minorHAnsi"/>
        </w:rPr>
        <w:t>2, etc. The</w:t>
      </w:r>
      <w:r w:rsidR="00F51C60">
        <w:rPr>
          <w:rFonts w:cstheme="minorHAnsi"/>
        </w:rPr>
        <w:t xml:space="preserve">se variables can take </w:t>
      </w:r>
      <w:r w:rsidR="0073560E" w:rsidRPr="00320775">
        <w:rPr>
          <w:rFonts w:cstheme="minorHAnsi"/>
        </w:rPr>
        <w:t>f</w:t>
      </w:r>
      <w:r w:rsidR="0031632F">
        <w:rPr>
          <w:rFonts w:cstheme="minorHAnsi"/>
        </w:rPr>
        <w:t>ive</w:t>
      </w:r>
      <w:r w:rsidR="0073560E" w:rsidRPr="00320775">
        <w:rPr>
          <w:rFonts w:cstheme="minorHAnsi"/>
        </w:rPr>
        <w:t xml:space="preserve"> </w:t>
      </w:r>
      <w:r w:rsidR="00AB491F" w:rsidRPr="00320775">
        <w:rPr>
          <w:rFonts w:cstheme="minorHAnsi"/>
        </w:rPr>
        <w:t>values</w:t>
      </w:r>
      <w:r w:rsidR="0073560E" w:rsidRPr="00320775">
        <w:rPr>
          <w:rFonts w:cstheme="minorHAnsi"/>
        </w:rPr>
        <w:t xml:space="preserve"> </w:t>
      </w:r>
      <w:r w:rsidR="0031632F">
        <w:rPr>
          <w:rFonts w:cstheme="minorHAnsi"/>
        </w:rPr>
        <w:t xml:space="preserve">including ‘missing’ </w:t>
      </w:r>
      <w:r w:rsidR="0073560E" w:rsidRPr="00320775">
        <w:rPr>
          <w:rFonts w:cstheme="minorHAnsi"/>
        </w:rPr>
        <w:t>(</w:t>
      </w:r>
      <w:r w:rsidR="00F51C60">
        <w:rPr>
          <w:rFonts w:cstheme="minorHAnsi"/>
        </w:rPr>
        <w:t xml:space="preserve">as </w:t>
      </w:r>
      <w:r w:rsidR="00AB491F" w:rsidRPr="00320775">
        <w:rPr>
          <w:rFonts w:cstheme="minorHAnsi"/>
        </w:rPr>
        <w:t>listed above</w:t>
      </w:r>
      <w:r w:rsidR="004201D1" w:rsidRPr="00320775">
        <w:rPr>
          <w:rFonts w:cstheme="minorHAnsi"/>
        </w:rPr>
        <w:t>.</w:t>
      </w:r>
      <w:r w:rsidR="0073560E" w:rsidRPr="00320775">
        <w:rPr>
          <w:rFonts w:cstheme="minorHAnsi"/>
        </w:rPr>
        <w:t>)</w:t>
      </w:r>
      <w:r w:rsidR="004201D1" w:rsidRPr="00320775">
        <w:rPr>
          <w:rFonts w:cstheme="minorHAnsi"/>
        </w:rPr>
        <w:t xml:space="preserve"> </w:t>
      </w:r>
    </w:p>
    <w:p w14:paraId="381EAAC2" w14:textId="00B126AA" w:rsidR="00EC07A9" w:rsidRDefault="00EC07A9" w:rsidP="00240C16">
      <w:pPr>
        <w:spacing w:line="360" w:lineRule="auto"/>
        <w:rPr>
          <w:rFonts w:cstheme="minorHAnsi"/>
        </w:rPr>
      </w:pPr>
      <w:r>
        <w:rPr>
          <w:rFonts w:cstheme="minorHAnsi"/>
        </w:rPr>
        <w:t xml:space="preserve">To understand how </w:t>
      </w:r>
      <w:r w:rsidR="00F51C60">
        <w:rPr>
          <w:rFonts w:cstheme="minorHAnsi"/>
        </w:rPr>
        <w:t xml:space="preserve">these </w:t>
      </w:r>
      <w:r>
        <w:rPr>
          <w:rFonts w:cstheme="minorHAnsi"/>
        </w:rPr>
        <w:t xml:space="preserve">accuracy </w:t>
      </w:r>
      <w:r w:rsidR="00F51C60">
        <w:rPr>
          <w:rFonts w:cstheme="minorHAnsi"/>
        </w:rPr>
        <w:t xml:space="preserve">values </w:t>
      </w:r>
      <w:proofErr w:type="gramStart"/>
      <w:r w:rsidR="00F51C60">
        <w:rPr>
          <w:rFonts w:cstheme="minorHAnsi"/>
        </w:rPr>
        <w:t>are</w:t>
      </w:r>
      <w:r>
        <w:rPr>
          <w:rFonts w:cstheme="minorHAnsi"/>
        </w:rPr>
        <w:t xml:space="preserve"> recorded</w:t>
      </w:r>
      <w:proofErr w:type="gramEnd"/>
      <w:r>
        <w:rPr>
          <w:rFonts w:cstheme="minorHAnsi"/>
        </w:rPr>
        <w:t xml:space="preserve"> in the data it is helpful to look at some examples in the greenspace data (Table 3) and the geographic relocation data (Table 4) </w:t>
      </w:r>
    </w:p>
    <w:p w14:paraId="2724F05F" w14:textId="4F263139" w:rsidR="00D425C9" w:rsidRDefault="00D425C9" w:rsidP="00240C16">
      <w:pPr>
        <w:spacing w:line="360" w:lineRule="auto"/>
        <w:rPr>
          <w:rFonts w:cstheme="minorHAnsi"/>
        </w:rPr>
      </w:pPr>
    </w:p>
    <w:p w14:paraId="073B2C58" w14:textId="0420D27C" w:rsidR="00D425C9" w:rsidRDefault="00D425C9" w:rsidP="00240C16">
      <w:pPr>
        <w:spacing w:line="360" w:lineRule="auto"/>
        <w:rPr>
          <w:rFonts w:cstheme="minorHAnsi"/>
        </w:rPr>
      </w:pPr>
    </w:p>
    <w:p w14:paraId="22213707" w14:textId="5C6781CF" w:rsidR="00790E7D" w:rsidRDefault="00790E7D" w:rsidP="00790E7D">
      <w:pPr>
        <w:pStyle w:val="Caption"/>
        <w:keepNext/>
        <w:spacing w:line="360" w:lineRule="auto"/>
        <w:rPr>
          <w:rFonts w:cstheme="minorHAnsi"/>
          <w:b/>
          <w:bCs/>
          <w:iCs w:val="0"/>
          <w:color w:val="auto"/>
          <w:sz w:val="22"/>
          <w:szCs w:val="22"/>
        </w:rPr>
      </w:pPr>
      <w:r w:rsidRPr="00320775">
        <w:rPr>
          <w:rFonts w:cstheme="minorHAnsi"/>
          <w:b/>
          <w:bCs/>
          <w:iCs w:val="0"/>
          <w:color w:val="auto"/>
          <w:sz w:val="22"/>
          <w:szCs w:val="22"/>
        </w:rPr>
        <w:t xml:space="preserve">Table 3 Examples of accuracy values for </w:t>
      </w:r>
      <w:r w:rsidR="00EC07A9">
        <w:rPr>
          <w:rFonts w:cstheme="minorHAnsi"/>
          <w:b/>
          <w:bCs/>
          <w:iCs w:val="0"/>
          <w:color w:val="auto"/>
          <w:sz w:val="22"/>
          <w:szCs w:val="22"/>
        </w:rPr>
        <w:t>two</w:t>
      </w:r>
      <w:r w:rsidR="00482552">
        <w:rPr>
          <w:rFonts w:cstheme="minorHAnsi"/>
          <w:b/>
          <w:bCs/>
          <w:iCs w:val="0"/>
          <w:color w:val="auto"/>
          <w:sz w:val="22"/>
          <w:szCs w:val="22"/>
        </w:rPr>
        <w:t xml:space="preserve"> </w:t>
      </w:r>
      <w:r w:rsidRPr="00320775">
        <w:rPr>
          <w:rFonts w:cstheme="minorHAnsi"/>
          <w:b/>
          <w:bCs/>
          <w:iCs w:val="0"/>
          <w:color w:val="auto"/>
          <w:sz w:val="22"/>
          <w:szCs w:val="22"/>
        </w:rPr>
        <w:t>record</w:t>
      </w:r>
      <w:r w:rsidR="00EC07A9">
        <w:rPr>
          <w:rFonts w:cstheme="minorHAnsi"/>
          <w:b/>
          <w:bCs/>
          <w:iCs w:val="0"/>
          <w:color w:val="auto"/>
          <w:sz w:val="22"/>
          <w:szCs w:val="22"/>
        </w:rPr>
        <w:t>s</w:t>
      </w:r>
      <w:r w:rsidRPr="00320775">
        <w:rPr>
          <w:rFonts w:cstheme="minorHAnsi"/>
          <w:b/>
          <w:bCs/>
          <w:iCs w:val="0"/>
          <w:color w:val="auto"/>
          <w:sz w:val="22"/>
          <w:szCs w:val="22"/>
        </w:rPr>
        <w:t xml:space="preserve"> in the 1973-78 cohort</w:t>
      </w:r>
      <w:r w:rsidR="00A02518">
        <w:rPr>
          <w:rFonts w:cstheme="minorHAnsi"/>
          <w:b/>
          <w:bCs/>
          <w:iCs w:val="0"/>
          <w:color w:val="auto"/>
          <w:sz w:val="22"/>
          <w:szCs w:val="22"/>
        </w:rPr>
        <w:t xml:space="preserve"> Greenspace data</w:t>
      </w:r>
    </w:p>
    <w:p w14:paraId="09EBC7A8" w14:textId="3C8D1A0A" w:rsidR="00EC07A9" w:rsidRPr="00EC07A9" w:rsidRDefault="00EC07A9" w:rsidP="00EC07A9">
      <w:r>
        <w:t xml:space="preserve">Greenspace Data (only showing accuracy values and </w:t>
      </w:r>
      <w:proofErr w:type="spellStart"/>
      <w:r>
        <w:t>SurveyAddress</w:t>
      </w:r>
      <w:r w:rsidR="00704E43">
        <w:t>Indicator</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415"/>
        <w:gridCol w:w="1394"/>
        <w:gridCol w:w="1311"/>
        <w:gridCol w:w="1310"/>
        <w:gridCol w:w="1394"/>
        <w:gridCol w:w="1921"/>
        <w:gridCol w:w="1941"/>
        <w:gridCol w:w="1310"/>
        <w:gridCol w:w="1394"/>
      </w:tblGrid>
      <w:tr w:rsidR="00704E43" w:rsidRPr="00E02C46" w14:paraId="624C397B" w14:textId="77777777" w:rsidTr="0072034C">
        <w:tc>
          <w:tcPr>
            <w:tcW w:w="617" w:type="dxa"/>
            <w:tcBorders>
              <w:bottom w:val="single" w:sz="4" w:space="0" w:color="auto"/>
            </w:tcBorders>
          </w:tcPr>
          <w:p w14:paraId="31B31A26" w14:textId="66E21D44" w:rsidR="0072034C" w:rsidRPr="00E02C46" w:rsidRDefault="00F51C60" w:rsidP="00F51C60">
            <w:pPr>
              <w:spacing w:line="360" w:lineRule="auto"/>
              <w:rPr>
                <w:rFonts w:cstheme="minorHAnsi"/>
                <w:sz w:val="20"/>
                <w:szCs w:val="20"/>
              </w:rPr>
            </w:pPr>
            <w:r w:rsidRPr="00E02C46">
              <w:rPr>
                <w:rFonts w:cstheme="minorHAnsi"/>
                <w:sz w:val="20"/>
                <w:szCs w:val="20"/>
              </w:rPr>
              <w:t>ID</w:t>
            </w:r>
          </w:p>
        </w:tc>
        <w:tc>
          <w:tcPr>
            <w:tcW w:w="1228" w:type="dxa"/>
            <w:tcBorders>
              <w:bottom w:val="single" w:sz="4" w:space="0" w:color="auto"/>
            </w:tcBorders>
          </w:tcPr>
          <w:p w14:paraId="325BD349" w14:textId="32B497F1" w:rsidR="0072034C" w:rsidRPr="00E02C46" w:rsidRDefault="00704E43" w:rsidP="00CB56AF">
            <w:pPr>
              <w:spacing w:line="360" w:lineRule="auto"/>
              <w:rPr>
                <w:rFonts w:cstheme="minorHAnsi"/>
                <w:sz w:val="20"/>
                <w:szCs w:val="20"/>
              </w:rPr>
            </w:pPr>
            <w:proofErr w:type="spellStart"/>
            <w:r>
              <w:rPr>
                <w:rFonts w:cstheme="minorHAnsi"/>
                <w:sz w:val="20"/>
                <w:szCs w:val="20"/>
              </w:rPr>
              <w:t>Survey</w:t>
            </w:r>
            <w:r w:rsidR="0072034C" w:rsidRPr="00E02C46">
              <w:rPr>
                <w:rFonts w:cstheme="minorHAnsi"/>
                <w:sz w:val="20"/>
                <w:szCs w:val="20"/>
              </w:rPr>
              <w:t>Address</w:t>
            </w:r>
            <w:proofErr w:type="spellEnd"/>
            <w:r w:rsidRPr="00E02C46">
              <w:rPr>
                <w:rFonts w:cstheme="minorHAnsi"/>
                <w:sz w:val="20"/>
                <w:szCs w:val="20"/>
              </w:rPr>
              <w:t xml:space="preserve"> Indicator</w:t>
            </w:r>
          </w:p>
        </w:tc>
        <w:tc>
          <w:tcPr>
            <w:tcW w:w="1447" w:type="dxa"/>
            <w:tcBorders>
              <w:bottom w:val="single" w:sz="4" w:space="0" w:color="auto"/>
            </w:tcBorders>
          </w:tcPr>
          <w:p w14:paraId="3EFEE4D8" w14:textId="71786231" w:rsidR="0072034C" w:rsidRPr="00E02C46" w:rsidRDefault="0072034C" w:rsidP="00CB56AF">
            <w:pPr>
              <w:spacing w:line="360" w:lineRule="auto"/>
              <w:rPr>
                <w:rFonts w:cstheme="minorHAnsi"/>
                <w:sz w:val="20"/>
                <w:szCs w:val="20"/>
              </w:rPr>
            </w:pPr>
            <w:r w:rsidRPr="00E02C46">
              <w:rPr>
                <w:rFonts w:cstheme="minorHAnsi"/>
                <w:sz w:val="20"/>
                <w:szCs w:val="20"/>
              </w:rPr>
              <w:t>accuracyW1</w:t>
            </w:r>
          </w:p>
        </w:tc>
        <w:tc>
          <w:tcPr>
            <w:tcW w:w="1341" w:type="dxa"/>
            <w:tcBorders>
              <w:bottom w:val="single" w:sz="4" w:space="0" w:color="auto"/>
            </w:tcBorders>
          </w:tcPr>
          <w:p w14:paraId="539DFF6B" w14:textId="77777777" w:rsidR="0072034C" w:rsidRPr="00E02C46" w:rsidRDefault="0072034C" w:rsidP="00CB56AF">
            <w:pPr>
              <w:spacing w:line="360" w:lineRule="auto"/>
              <w:rPr>
                <w:rFonts w:cstheme="minorHAnsi"/>
                <w:sz w:val="20"/>
                <w:szCs w:val="20"/>
              </w:rPr>
            </w:pPr>
            <w:r w:rsidRPr="00E02C46">
              <w:rPr>
                <w:rFonts w:cstheme="minorHAnsi"/>
                <w:sz w:val="20"/>
                <w:szCs w:val="20"/>
              </w:rPr>
              <w:t>accuracyW2</w:t>
            </w:r>
          </w:p>
        </w:tc>
        <w:tc>
          <w:tcPr>
            <w:tcW w:w="1340" w:type="dxa"/>
            <w:tcBorders>
              <w:bottom w:val="single" w:sz="4" w:space="0" w:color="auto"/>
            </w:tcBorders>
          </w:tcPr>
          <w:p w14:paraId="6F5C9A9D" w14:textId="77777777" w:rsidR="0072034C" w:rsidRPr="00E02C46" w:rsidRDefault="0072034C" w:rsidP="00CB56AF">
            <w:pPr>
              <w:spacing w:line="360" w:lineRule="auto"/>
              <w:rPr>
                <w:rFonts w:cstheme="minorHAnsi"/>
                <w:sz w:val="20"/>
                <w:szCs w:val="20"/>
              </w:rPr>
            </w:pPr>
            <w:r w:rsidRPr="00E02C46">
              <w:rPr>
                <w:rFonts w:cstheme="minorHAnsi"/>
                <w:sz w:val="20"/>
                <w:szCs w:val="20"/>
              </w:rPr>
              <w:t>accuracyW3</w:t>
            </w:r>
          </w:p>
        </w:tc>
        <w:tc>
          <w:tcPr>
            <w:tcW w:w="1448" w:type="dxa"/>
            <w:tcBorders>
              <w:bottom w:val="single" w:sz="4" w:space="0" w:color="auto"/>
            </w:tcBorders>
          </w:tcPr>
          <w:p w14:paraId="4EA464B5" w14:textId="77777777" w:rsidR="0072034C" w:rsidRPr="00E02C46" w:rsidRDefault="0072034C" w:rsidP="00CB56AF">
            <w:pPr>
              <w:spacing w:line="360" w:lineRule="auto"/>
              <w:rPr>
                <w:rFonts w:cstheme="minorHAnsi"/>
                <w:sz w:val="20"/>
                <w:szCs w:val="20"/>
              </w:rPr>
            </w:pPr>
            <w:r w:rsidRPr="00E02C46">
              <w:rPr>
                <w:rFonts w:cstheme="minorHAnsi"/>
                <w:sz w:val="20"/>
                <w:szCs w:val="20"/>
              </w:rPr>
              <w:t>accuracyW4</w:t>
            </w:r>
          </w:p>
        </w:tc>
        <w:tc>
          <w:tcPr>
            <w:tcW w:w="1924" w:type="dxa"/>
            <w:tcBorders>
              <w:bottom w:val="single" w:sz="4" w:space="0" w:color="auto"/>
            </w:tcBorders>
          </w:tcPr>
          <w:p w14:paraId="13B84E58" w14:textId="77777777" w:rsidR="0072034C" w:rsidRPr="00E02C46" w:rsidRDefault="0072034C" w:rsidP="00CB56AF">
            <w:pPr>
              <w:spacing w:line="360" w:lineRule="auto"/>
              <w:rPr>
                <w:rFonts w:cstheme="minorHAnsi"/>
                <w:sz w:val="20"/>
                <w:szCs w:val="20"/>
              </w:rPr>
            </w:pPr>
            <w:r w:rsidRPr="00E02C46">
              <w:rPr>
                <w:rFonts w:cstheme="minorHAnsi"/>
                <w:sz w:val="20"/>
                <w:szCs w:val="20"/>
              </w:rPr>
              <w:t>accuracyW5</w:t>
            </w:r>
          </w:p>
        </w:tc>
        <w:tc>
          <w:tcPr>
            <w:tcW w:w="1825" w:type="dxa"/>
            <w:tcBorders>
              <w:bottom w:val="single" w:sz="4" w:space="0" w:color="auto"/>
            </w:tcBorders>
          </w:tcPr>
          <w:p w14:paraId="20A25099" w14:textId="77777777" w:rsidR="0072034C" w:rsidRPr="00E02C46" w:rsidRDefault="0072034C" w:rsidP="00CB56AF">
            <w:pPr>
              <w:spacing w:line="360" w:lineRule="auto"/>
              <w:rPr>
                <w:rFonts w:cstheme="minorHAnsi"/>
                <w:sz w:val="20"/>
                <w:szCs w:val="20"/>
              </w:rPr>
            </w:pPr>
            <w:r w:rsidRPr="00E02C46">
              <w:rPr>
                <w:rFonts w:cstheme="minorHAnsi"/>
                <w:sz w:val="20"/>
                <w:szCs w:val="20"/>
              </w:rPr>
              <w:t>accuracyW6</w:t>
            </w:r>
          </w:p>
        </w:tc>
        <w:tc>
          <w:tcPr>
            <w:tcW w:w="1340" w:type="dxa"/>
            <w:tcBorders>
              <w:bottom w:val="single" w:sz="4" w:space="0" w:color="auto"/>
            </w:tcBorders>
          </w:tcPr>
          <w:p w14:paraId="0DFAD421" w14:textId="77777777" w:rsidR="0072034C" w:rsidRPr="00E02C46" w:rsidRDefault="0072034C" w:rsidP="00CB56AF">
            <w:pPr>
              <w:spacing w:line="360" w:lineRule="auto"/>
              <w:rPr>
                <w:rFonts w:cstheme="minorHAnsi"/>
                <w:sz w:val="20"/>
                <w:szCs w:val="20"/>
              </w:rPr>
            </w:pPr>
            <w:r w:rsidRPr="00E02C46">
              <w:rPr>
                <w:rFonts w:cstheme="minorHAnsi"/>
                <w:sz w:val="20"/>
                <w:szCs w:val="20"/>
              </w:rPr>
              <w:t>accuracyW7</w:t>
            </w:r>
          </w:p>
        </w:tc>
        <w:tc>
          <w:tcPr>
            <w:tcW w:w="1448" w:type="dxa"/>
            <w:tcBorders>
              <w:bottom w:val="single" w:sz="4" w:space="0" w:color="auto"/>
            </w:tcBorders>
          </w:tcPr>
          <w:p w14:paraId="6AA8A198" w14:textId="77777777" w:rsidR="0072034C" w:rsidRPr="00E02C46" w:rsidRDefault="0072034C" w:rsidP="00CB56AF">
            <w:pPr>
              <w:spacing w:line="360" w:lineRule="auto"/>
              <w:rPr>
                <w:rFonts w:cstheme="minorHAnsi"/>
                <w:sz w:val="20"/>
                <w:szCs w:val="20"/>
              </w:rPr>
            </w:pPr>
            <w:r w:rsidRPr="00E02C46">
              <w:rPr>
                <w:rFonts w:cstheme="minorHAnsi"/>
                <w:sz w:val="20"/>
                <w:szCs w:val="20"/>
              </w:rPr>
              <w:t>accuracyW8</w:t>
            </w:r>
          </w:p>
        </w:tc>
      </w:tr>
      <w:tr w:rsidR="00704E43" w:rsidRPr="00E02C46" w14:paraId="4A2618AC" w14:textId="77777777" w:rsidTr="0072034C">
        <w:tc>
          <w:tcPr>
            <w:tcW w:w="617" w:type="dxa"/>
            <w:tcBorders>
              <w:top w:val="single" w:sz="4" w:space="0" w:color="auto"/>
            </w:tcBorders>
          </w:tcPr>
          <w:p w14:paraId="214607CA" w14:textId="43B1FD7B" w:rsidR="0072034C" w:rsidRPr="00E02C46" w:rsidRDefault="0072034C" w:rsidP="00CB56AF">
            <w:pPr>
              <w:spacing w:line="360" w:lineRule="auto"/>
              <w:rPr>
                <w:rFonts w:cstheme="minorHAnsi"/>
                <w:sz w:val="20"/>
                <w:szCs w:val="20"/>
              </w:rPr>
            </w:pPr>
            <w:r w:rsidRPr="00E02C46">
              <w:rPr>
                <w:rFonts w:cstheme="minorHAnsi"/>
                <w:sz w:val="20"/>
                <w:szCs w:val="20"/>
              </w:rPr>
              <w:t>1</w:t>
            </w:r>
          </w:p>
        </w:tc>
        <w:tc>
          <w:tcPr>
            <w:tcW w:w="1228" w:type="dxa"/>
            <w:tcBorders>
              <w:top w:val="single" w:sz="4" w:space="0" w:color="auto"/>
            </w:tcBorders>
          </w:tcPr>
          <w:p w14:paraId="38AC955C" w14:textId="232D6C23" w:rsidR="0072034C" w:rsidRPr="00E02C46" w:rsidRDefault="0072034C" w:rsidP="00482552">
            <w:pPr>
              <w:spacing w:line="360" w:lineRule="auto"/>
              <w:rPr>
                <w:rFonts w:cstheme="minorHAnsi"/>
                <w:sz w:val="20"/>
                <w:szCs w:val="20"/>
              </w:rPr>
            </w:pPr>
            <w:r w:rsidRPr="00E02C46">
              <w:rPr>
                <w:rFonts w:cstheme="minorHAnsi"/>
                <w:sz w:val="20"/>
                <w:szCs w:val="20"/>
              </w:rPr>
              <w:t>124567</w:t>
            </w:r>
          </w:p>
        </w:tc>
        <w:tc>
          <w:tcPr>
            <w:tcW w:w="1447" w:type="dxa"/>
            <w:tcBorders>
              <w:top w:val="single" w:sz="4" w:space="0" w:color="auto"/>
            </w:tcBorders>
          </w:tcPr>
          <w:p w14:paraId="16A59DA3" w14:textId="07C55723" w:rsidR="0072034C" w:rsidRPr="00E02C46" w:rsidRDefault="0072034C" w:rsidP="00482552">
            <w:pPr>
              <w:spacing w:line="360" w:lineRule="auto"/>
              <w:rPr>
                <w:rFonts w:cstheme="minorHAnsi"/>
                <w:sz w:val="20"/>
                <w:szCs w:val="20"/>
              </w:rPr>
            </w:pPr>
            <w:r w:rsidRPr="00E02C46">
              <w:rPr>
                <w:rFonts w:cstheme="minorHAnsi"/>
                <w:sz w:val="20"/>
                <w:szCs w:val="20"/>
              </w:rPr>
              <w:t>ROOFTOP</w:t>
            </w:r>
          </w:p>
        </w:tc>
        <w:tc>
          <w:tcPr>
            <w:tcW w:w="1341" w:type="dxa"/>
            <w:tcBorders>
              <w:top w:val="single" w:sz="4" w:space="0" w:color="auto"/>
            </w:tcBorders>
          </w:tcPr>
          <w:p w14:paraId="6A9D341A" w14:textId="48F14387" w:rsidR="0072034C" w:rsidRPr="00E02C46" w:rsidRDefault="0072034C" w:rsidP="00482552">
            <w:pPr>
              <w:spacing w:line="360" w:lineRule="auto"/>
              <w:rPr>
                <w:rFonts w:cstheme="minorHAnsi"/>
                <w:sz w:val="20"/>
                <w:szCs w:val="20"/>
              </w:rPr>
            </w:pPr>
            <w:r w:rsidRPr="00E02C46">
              <w:rPr>
                <w:rFonts w:cstheme="minorHAnsi"/>
                <w:sz w:val="20"/>
                <w:szCs w:val="20"/>
              </w:rPr>
              <w:t>ROOFTOP</w:t>
            </w:r>
          </w:p>
        </w:tc>
        <w:tc>
          <w:tcPr>
            <w:tcW w:w="1340" w:type="dxa"/>
            <w:tcBorders>
              <w:top w:val="single" w:sz="4" w:space="0" w:color="auto"/>
            </w:tcBorders>
          </w:tcPr>
          <w:p w14:paraId="2BE4CAFF" w14:textId="69482C4B" w:rsidR="0072034C" w:rsidRPr="00E02C46" w:rsidRDefault="0072034C" w:rsidP="00CB56AF">
            <w:pPr>
              <w:spacing w:line="360" w:lineRule="auto"/>
              <w:rPr>
                <w:rFonts w:cstheme="minorHAnsi"/>
                <w:sz w:val="20"/>
                <w:szCs w:val="20"/>
              </w:rPr>
            </w:pPr>
            <w:r w:rsidRPr="00E02C46">
              <w:rPr>
                <w:rFonts w:cstheme="minorHAnsi"/>
                <w:sz w:val="20"/>
                <w:szCs w:val="20"/>
              </w:rPr>
              <w:t>missing</w:t>
            </w:r>
          </w:p>
        </w:tc>
        <w:tc>
          <w:tcPr>
            <w:tcW w:w="1448" w:type="dxa"/>
            <w:tcBorders>
              <w:top w:val="single" w:sz="4" w:space="0" w:color="auto"/>
            </w:tcBorders>
          </w:tcPr>
          <w:p w14:paraId="034C74A7" w14:textId="6AB86151" w:rsidR="0072034C" w:rsidRPr="00E02C46" w:rsidRDefault="0072034C" w:rsidP="00482552">
            <w:pPr>
              <w:spacing w:line="360" w:lineRule="auto"/>
              <w:rPr>
                <w:rFonts w:cstheme="minorHAnsi"/>
                <w:sz w:val="20"/>
                <w:szCs w:val="20"/>
              </w:rPr>
            </w:pPr>
            <w:r w:rsidRPr="00E02C46">
              <w:rPr>
                <w:rFonts w:cstheme="minorHAnsi"/>
                <w:sz w:val="20"/>
                <w:szCs w:val="20"/>
              </w:rPr>
              <w:t>ROOFTOP</w:t>
            </w:r>
          </w:p>
        </w:tc>
        <w:tc>
          <w:tcPr>
            <w:tcW w:w="1924" w:type="dxa"/>
            <w:tcBorders>
              <w:top w:val="single" w:sz="4" w:space="0" w:color="auto"/>
            </w:tcBorders>
          </w:tcPr>
          <w:p w14:paraId="2723E03E" w14:textId="3E7A4102" w:rsidR="0072034C" w:rsidRPr="00E02C46" w:rsidRDefault="0072034C" w:rsidP="00482552">
            <w:pPr>
              <w:spacing w:line="360" w:lineRule="auto"/>
              <w:rPr>
                <w:rFonts w:cstheme="minorHAnsi"/>
                <w:sz w:val="20"/>
                <w:szCs w:val="20"/>
              </w:rPr>
            </w:pPr>
            <w:r w:rsidRPr="00E02C46">
              <w:rPr>
                <w:rFonts w:cstheme="minorHAnsi"/>
                <w:sz w:val="20"/>
                <w:szCs w:val="20"/>
              </w:rPr>
              <w:t>RANGE_INTERPOLAT</w:t>
            </w:r>
          </w:p>
        </w:tc>
        <w:tc>
          <w:tcPr>
            <w:tcW w:w="1825" w:type="dxa"/>
            <w:tcBorders>
              <w:top w:val="single" w:sz="4" w:space="0" w:color="auto"/>
            </w:tcBorders>
          </w:tcPr>
          <w:p w14:paraId="265E7F7F" w14:textId="731CC8BC" w:rsidR="0072034C" w:rsidRPr="00E02C46" w:rsidRDefault="0072034C" w:rsidP="00482552">
            <w:pPr>
              <w:spacing w:line="360" w:lineRule="auto"/>
              <w:rPr>
                <w:rFonts w:cstheme="minorHAnsi"/>
                <w:sz w:val="20"/>
                <w:szCs w:val="20"/>
              </w:rPr>
            </w:pPr>
            <w:r w:rsidRPr="00E02C46">
              <w:rPr>
                <w:rFonts w:cstheme="minorHAnsi"/>
                <w:sz w:val="20"/>
                <w:szCs w:val="20"/>
              </w:rPr>
              <w:t>GEOMETRIC_CENTER</w:t>
            </w:r>
          </w:p>
        </w:tc>
        <w:tc>
          <w:tcPr>
            <w:tcW w:w="1340" w:type="dxa"/>
            <w:tcBorders>
              <w:top w:val="single" w:sz="4" w:space="0" w:color="auto"/>
            </w:tcBorders>
          </w:tcPr>
          <w:p w14:paraId="124DF4DF" w14:textId="324DBA6D" w:rsidR="0072034C" w:rsidRPr="00E02C46" w:rsidRDefault="0072034C" w:rsidP="00482552">
            <w:pPr>
              <w:spacing w:line="360" w:lineRule="auto"/>
              <w:rPr>
                <w:rFonts w:cstheme="minorHAnsi"/>
                <w:sz w:val="20"/>
                <w:szCs w:val="20"/>
              </w:rPr>
            </w:pPr>
            <w:r w:rsidRPr="00E02C46">
              <w:rPr>
                <w:rFonts w:cstheme="minorHAnsi"/>
                <w:sz w:val="20"/>
                <w:szCs w:val="20"/>
              </w:rPr>
              <w:t>ROOFTOP</w:t>
            </w:r>
          </w:p>
        </w:tc>
        <w:tc>
          <w:tcPr>
            <w:tcW w:w="1448" w:type="dxa"/>
            <w:tcBorders>
              <w:top w:val="single" w:sz="4" w:space="0" w:color="auto"/>
            </w:tcBorders>
          </w:tcPr>
          <w:p w14:paraId="53B7B84C" w14:textId="03119FF3" w:rsidR="0072034C" w:rsidRPr="00E02C46" w:rsidRDefault="00854734" w:rsidP="00CB56AF">
            <w:pPr>
              <w:spacing w:line="360" w:lineRule="auto"/>
              <w:rPr>
                <w:rFonts w:cstheme="minorHAnsi"/>
                <w:sz w:val="20"/>
                <w:szCs w:val="20"/>
              </w:rPr>
            </w:pPr>
            <w:r w:rsidRPr="00E02C46">
              <w:rPr>
                <w:rFonts w:cstheme="minorHAnsi"/>
                <w:sz w:val="20"/>
                <w:szCs w:val="20"/>
              </w:rPr>
              <w:t>m</w:t>
            </w:r>
            <w:r w:rsidR="0072034C" w:rsidRPr="00E02C46">
              <w:rPr>
                <w:rFonts w:cstheme="minorHAnsi"/>
                <w:sz w:val="20"/>
                <w:szCs w:val="20"/>
              </w:rPr>
              <w:t>issing</w:t>
            </w:r>
          </w:p>
        </w:tc>
      </w:tr>
      <w:tr w:rsidR="00704E43" w:rsidRPr="00E02C46" w14:paraId="2D740E1E" w14:textId="77777777" w:rsidTr="0072034C">
        <w:tc>
          <w:tcPr>
            <w:tcW w:w="617" w:type="dxa"/>
          </w:tcPr>
          <w:p w14:paraId="3F22066E" w14:textId="1AF82FED" w:rsidR="0072034C" w:rsidRPr="00E02C46" w:rsidRDefault="0072034C" w:rsidP="00CB56AF">
            <w:pPr>
              <w:spacing w:line="360" w:lineRule="auto"/>
              <w:rPr>
                <w:rFonts w:cstheme="minorHAnsi"/>
                <w:sz w:val="20"/>
                <w:szCs w:val="20"/>
              </w:rPr>
            </w:pPr>
            <w:r w:rsidRPr="00E02C46">
              <w:rPr>
                <w:rFonts w:cstheme="minorHAnsi"/>
                <w:sz w:val="20"/>
                <w:szCs w:val="20"/>
              </w:rPr>
              <w:t>2</w:t>
            </w:r>
          </w:p>
        </w:tc>
        <w:tc>
          <w:tcPr>
            <w:tcW w:w="1228" w:type="dxa"/>
          </w:tcPr>
          <w:p w14:paraId="175D750B" w14:textId="3E5362ED" w:rsidR="0072034C" w:rsidRPr="00E02C46" w:rsidRDefault="0072034C" w:rsidP="00482552">
            <w:pPr>
              <w:spacing w:line="360" w:lineRule="auto"/>
              <w:rPr>
                <w:rFonts w:cstheme="minorHAnsi"/>
                <w:sz w:val="20"/>
                <w:szCs w:val="20"/>
              </w:rPr>
            </w:pPr>
            <w:r w:rsidRPr="00E02C46">
              <w:rPr>
                <w:rFonts w:cstheme="minorHAnsi"/>
                <w:sz w:val="20"/>
                <w:szCs w:val="20"/>
              </w:rPr>
              <w:t>1</w:t>
            </w:r>
          </w:p>
        </w:tc>
        <w:tc>
          <w:tcPr>
            <w:tcW w:w="1447" w:type="dxa"/>
          </w:tcPr>
          <w:p w14:paraId="775FDA9E" w14:textId="061CA20B" w:rsidR="0072034C" w:rsidRPr="00E02C46" w:rsidRDefault="00767394" w:rsidP="00482552">
            <w:pPr>
              <w:spacing w:line="360" w:lineRule="auto"/>
              <w:rPr>
                <w:rFonts w:cstheme="minorHAnsi"/>
                <w:sz w:val="20"/>
                <w:szCs w:val="20"/>
              </w:rPr>
            </w:pPr>
            <w:r w:rsidRPr="00E02C46">
              <w:rPr>
                <w:rFonts w:cstheme="minorHAnsi"/>
                <w:sz w:val="20"/>
                <w:szCs w:val="20"/>
              </w:rPr>
              <w:t>ROOFTOP</w:t>
            </w:r>
          </w:p>
        </w:tc>
        <w:tc>
          <w:tcPr>
            <w:tcW w:w="1341" w:type="dxa"/>
          </w:tcPr>
          <w:p w14:paraId="3352E55F" w14:textId="1D0E6921" w:rsidR="0072034C" w:rsidRPr="00E02C46" w:rsidRDefault="0072034C" w:rsidP="00482552">
            <w:pPr>
              <w:spacing w:line="360" w:lineRule="auto"/>
              <w:rPr>
                <w:rFonts w:cstheme="minorHAnsi"/>
                <w:sz w:val="20"/>
                <w:szCs w:val="20"/>
              </w:rPr>
            </w:pPr>
            <w:r w:rsidRPr="00E02C46">
              <w:rPr>
                <w:rFonts w:cstheme="minorHAnsi"/>
                <w:sz w:val="20"/>
                <w:szCs w:val="20"/>
              </w:rPr>
              <w:t>missing</w:t>
            </w:r>
          </w:p>
        </w:tc>
        <w:tc>
          <w:tcPr>
            <w:tcW w:w="1340" w:type="dxa"/>
          </w:tcPr>
          <w:p w14:paraId="0E363EAA" w14:textId="4CE3CFDC" w:rsidR="0072034C" w:rsidRPr="00E02C46" w:rsidRDefault="0072034C" w:rsidP="00CB56AF">
            <w:pPr>
              <w:spacing w:line="360" w:lineRule="auto"/>
              <w:rPr>
                <w:rFonts w:cstheme="minorHAnsi"/>
                <w:sz w:val="20"/>
                <w:szCs w:val="20"/>
              </w:rPr>
            </w:pPr>
            <w:r w:rsidRPr="00E02C46">
              <w:rPr>
                <w:rFonts w:cstheme="minorHAnsi"/>
                <w:sz w:val="20"/>
                <w:szCs w:val="20"/>
              </w:rPr>
              <w:t>missing</w:t>
            </w:r>
          </w:p>
        </w:tc>
        <w:tc>
          <w:tcPr>
            <w:tcW w:w="1448" w:type="dxa"/>
          </w:tcPr>
          <w:p w14:paraId="520EA85E" w14:textId="5AA9FF97" w:rsidR="0072034C" w:rsidRPr="00E02C46" w:rsidRDefault="0072034C" w:rsidP="00482552">
            <w:pPr>
              <w:spacing w:line="360" w:lineRule="auto"/>
              <w:rPr>
                <w:rFonts w:cstheme="minorHAnsi"/>
                <w:sz w:val="20"/>
                <w:szCs w:val="20"/>
              </w:rPr>
            </w:pPr>
            <w:r w:rsidRPr="00E02C46">
              <w:rPr>
                <w:rFonts w:cstheme="minorHAnsi"/>
                <w:sz w:val="20"/>
                <w:szCs w:val="20"/>
              </w:rPr>
              <w:t>missing</w:t>
            </w:r>
          </w:p>
        </w:tc>
        <w:tc>
          <w:tcPr>
            <w:tcW w:w="1924" w:type="dxa"/>
          </w:tcPr>
          <w:p w14:paraId="175E0939" w14:textId="46BF276F" w:rsidR="0072034C" w:rsidRPr="00E02C46" w:rsidRDefault="0072034C" w:rsidP="00482552">
            <w:pPr>
              <w:spacing w:line="360" w:lineRule="auto"/>
              <w:rPr>
                <w:rFonts w:cstheme="minorHAnsi"/>
                <w:sz w:val="20"/>
                <w:szCs w:val="20"/>
              </w:rPr>
            </w:pPr>
            <w:r w:rsidRPr="00E02C46">
              <w:rPr>
                <w:rFonts w:cstheme="minorHAnsi"/>
                <w:sz w:val="20"/>
                <w:szCs w:val="20"/>
              </w:rPr>
              <w:t>missing</w:t>
            </w:r>
          </w:p>
        </w:tc>
        <w:tc>
          <w:tcPr>
            <w:tcW w:w="1825" w:type="dxa"/>
          </w:tcPr>
          <w:p w14:paraId="0D9498D7" w14:textId="2E58B686" w:rsidR="0072034C" w:rsidRPr="00E02C46" w:rsidRDefault="0072034C" w:rsidP="00482552">
            <w:pPr>
              <w:spacing w:line="360" w:lineRule="auto"/>
              <w:rPr>
                <w:rFonts w:cstheme="minorHAnsi"/>
                <w:sz w:val="20"/>
                <w:szCs w:val="20"/>
              </w:rPr>
            </w:pPr>
            <w:r w:rsidRPr="00E02C46">
              <w:rPr>
                <w:rFonts w:cstheme="minorHAnsi"/>
                <w:sz w:val="20"/>
                <w:szCs w:val="20"/>
              </w:rPr>
              <w:t>missing</w:t>
            </w:r>
          </w:p>
        </w:tc>
        <w:tc>
          <w:tcPr>
            <w:tcW w:w="1340" w:type="dxa"/>
          </w:tcPr>
          <w:p w14:paraId="18B82E60" w14:textId="1C5F0D6C" w:rsidR="0072034C" w:rsidRPr="00E02C46" w:rsidRDefault="0072034C" w:rsidP="00482552">
            <w:pPr>
              <w:spacing w:line="360" w:lineRule="auto"/>
              <w:rPr>
                <w:rFonts w:cstheme="minorHAnsi"/>
                <w:sz w:val="20"/>
                <w:szCs w:val="20"/>
              </w:rPr>
            </w:pPr>
            <w:r w:rsidRPr="00E02C46">
              <w:rPr>
                <w:rFonts w:cstheme="minorHAnsi"/>
                <w:sz w:val="20"/>
                <w:szCs w:val="20"/>
              </w:rPr>
              <w:t>missing</w:t>
            </w:r>
          </w:p>
        </w:tc>
        <w:tc>
          <w:tcPr>
            <w:tcW w:w="1448" w:type="dxa"/>
          </w:tcPr>
          <w:p w14:paraId="6CD7CA2D" w14:textId="05929A71" w:rsidR="0072034C" w:rsidRPr="00E02C46" w:rsidRDefault="0072034C" w:rsidP="00CB56AF">
            <w:pPr>
              <w:spacing w:line="360" w:lineRule="auto"/>
              <w:rPr>
                <w:rFonts w:cstheme="minorHAnsi"/>
                <w:sz w:val="20"/>
                <w:szCs w:val="20"/>
              </w:rPr>
            </w:pPr>
            <w:r w:rsidRPr="00E02C46">
              <w:rPr>
                <w:rFonts w:cstheme="minorHAnsi"/>
                <w:sz w:val="20"/>
                <w:szCs w:val="20"/>
              </w:rPr>
              <w:t>missing</w:t>
            </w:r>
          </w:p>
        </w:tc>
      </w:tr>
    </w:tbl>
    <w:p w14:paraId="5B0324A1" w14:textId="77777777" w:rsidR="0072034C" w:rsidRDefault="0072034C" w:rsidP="00320775">
      <w:pPr>
        <w:pStyle w:val="Caption"/>
        <w:keepNext/>
        <w:spacing w:line="360" w:lineRule="auto"/>
        <w:rPr>
          <w:rFonts w:cstheme="minorHAnsi"/>
          <w:b/>
          <w:bCs/>
          <w:iCs w:val="0"/>
          <w:color w:val="auto"/>
          <w:sz w:val="22"/>
          <w:szCs w:val="22"/>
        </w:rPr>
      </w:pPr>
    </w:p>
    <w:p w14:paraId="70EE117C" w14:textId="1AFC4ECB" w:rsidR="00CB5869" w:rsidRPr="00320775" w:rsidRDefault="00CB5869" w:rsidP="00320775">
      <w:pPr>
        <w:pStyle w:val="Caption"/>
        <w:keepNext/>
        <w:spacing w:line="360" w:lineRule="auto"/>
        <w:rPr>
          <w:rFonts w:cstheme="minorHAnsi"/>
          <w:b/>
          <w:bCs/>
          <w:iCs w:val="0"/>
          <w:color w:val="auto"/>
          <w:sz w:val="22"/>
          <w:szCs w:val="22"/>
        </w:rPr>
      </w:pPr>
      <w:r w:rsidRPr="00946C17">
        <w:rPr>
          <w:rFonts w:cstheme="minorHAnsi"/>
          <w:b/>
          <w:bCs/>
          <w:iCs w:val="0"/>
          <w:color w:val="auto"/>
          <w:sz w:val="22"/>
          <w:szCs w:val="22"/>
        </w:rPr>
        <w:t xml:space="preserve">Table </w:t>
      </w:r>
      <w:proofErr w:type="gramStart"/>
      <w:r>
        <w:rPr>
          <w:rFonts w:cstheme="minorHAnsi"/>
          <w:b/>
          <w:bCs/>
          <w:iCs w:val="0"/>
          <w:color w:val="auto"/>
          <w:sz w:val="22"/>
          <w:szCs w:val="22"/>
        </w:rPr>
        <w:t>4</w:t>
      </w:r>
      <w:proofErr w:type="gramEnd"/>
      <w:r w:rsidRPr="00946C17">
        <w:rPr>
          <w:rFonts w:cstheme="minorHAnsi"/>
          <w:b/>
          <w:bCs/>
          <w:iCs w:val="0"/>
          <w:color w:val="auto"/>
          <w:sz w:val="22"/>
          <w:szCs w:val="22"/>
        </w:rPr>
        <w:t xml:space="preserve"> Examples of </w:t>
      </w:r>
      <w:r>
        <w:rPr>
          <w:rFonts w:cstheme="minorHAnsi"/>
          <w:b/>
          <w:bCs/>
          <w:iCs w:val="0"/>
          <w:color w:val="auto"/>
          <w:sz w:val="22"/>
          <w:szCs w:val="22"/>
        </w:rPr>
        <w:t>Geographic Relocation</w:t>
      </w:r>
      <w:r w:rsidRPr="00946C17">
        <w:rPr>
          <w:rFonts w:cstheme="minorHAnsi"/>
          <w:b/>
          <w:bCs/>
          <w:iCs w:val="0"/>
          <w:color w:val="auto"/>
          <w:sz w:val="22"/>
          <w:szCs w:val="22"/>
        </w:rPr>
        <w:t xml:space="preserve"> values for </w:t>
      </w:r>
      <w:r w:rsidR="00EC07A9">
        <w:rPr>
          <w:rFonts w:cstheme="minorHAnsi"/>
          <w:b/>
          <w:bCs/>
          <w:iCs w:val="0"/>
          <w:color w:val="auto"/>
          <w:sz w:val="22"/>
          <w:szCs w:val="22"/>
        </w:rPr>
        <w:t>two</w:t>
      </w:r>
      <w:r w:rsidR="00482552">
        <w:rPr>
          <w:rFonts w:cstheme="minorHAnsi"/>
          <w:b/>
          <w:bCs/>
          <w:iCs w:val="0"/>
          <w:color w:val="auto"/>
          <w:sz w:val="22"/>
          <w:szCs w:val="22"/>
        </w:rPr>
        <w:t xml:space="preserve"> </w:t>
      </w:r>
      <w:r w:rsidRPr="00946C17">
        <w:rPr>
          <w:rFonts w:cstheme="minorHAnsi"/>
          <w:b/>
          <w:bCs/>
          <w:iCs w:val="0"/>
          <w:color w:val="auto"/>
          <w:sz w:val="22"/>
          <w:szCs w:val="22"/>
        </w:rPr>
        <w:t>record</w:t>
      </w:r>
      <w:r w:rsidR="00EC07A9">
        <w:rPr>
          <w:rFonts w:cstheme="minorHAnsi"/>
          <w:b/>
          <w:bCs/>
          <w:iCs w:val="0"/>
          <w:color w:val="auto"/>
          <w:sz w:val="22"/>
          <w:szCs w:val="22"/>
        </w:rPr>
        <w:t>s</w:t>
      </w:r>
      <w:r w:rsidRPr="00946C17">
        <w:rPr>
          <w:rFonts w:cstheme="minorHAnsi"/>
          <w:b/>
          <w:bCs/>
          <w:iCs w:val="0"/>
          <w:color w:val="auto"/>
          <w:sz w:val="22"/>
          <w:szCs w:val="22"/>
        </w:rPr>
        <w:t xml:space="preserve"> in the 1973-78 cohort</w:t>
      </w:r>
      <w:r>
        <w:rPr>
          <w:rFonts w:cstheme="minorHAnsi"/>
          <w:b/>
          <w:bCs/>
          <w:iCs w:val="0"/>
          <w:color w:val="auto"/>
          <w:sz w:val="22"/>
          <w:szCs w:val="22"/>
        </w:rPr>
        <w:t xml:space="preserve"> Greenspace data</w:t>
      </w:r>
    </w:p>
    <w:p w14:paraId="5A90E3A0" w14:textId="56D6E605" w:rsidR="00A720BE" w:rsidRDefault="00A720BE" w:rsidP="00240C16">
      <w:pPr>
        <w:spacing w:line="360" w:lineRule="auto"/>
        <w:rPr>
          <w:rFonts w:cstheme="minorHAnsi"/>
        </w:rPr>
      </w:pPr>
      <w:r>
        <w:rPr>
          <w:rFonts w:cstheme="minorHAnsi"/>
        </w:rPr>
        <w:t>Geographic Relocation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743"/>
        <w:gridCol w:w="1743"/>
        <w:gridCol w:w="1743"/>
        <w:gridCol w:w="1744"/>
        <w:gridCol w:w="1744"/>
        <w:gridCol w:w="1744"/>
        <w:gridCol w:w="1744"/>
      </w:tblGrid>
      <w:tr w:rsidR="00482552" w:rsidRPr="00854734" w14:paraId="1BF61DFE" w14:textId="77777777" w:rsidTr="00482552">
        <w:tc>
          <w:tcPr>
            <w:tcW w:w="1743" w:type="dxa"/>
            <w:tcBorders>
              <w:bottom w:val="single" w:sz="4" w:space="0" w:color="auto"/>
            </w:tcBorders>
          </w:tcPr>
          <w:p w14:paraId="5814CE51" w14:textId="44D877D6" w:rsidR="00482552" w:rsidRPr="00854734" w:rsidRDefault="0072034C" w:rsidP="00F51C60">
            <w:pPr>
              <w:spacing w:line="360" w:lineRule="auto"/>
              <w:rPr>
                <w:rFonts w:cstheme="minorHAnsi"/>
              </w:rPr>
            </w:pPr>
            <w:r w:rsidRPr="00854734">
              <w:rPr>
                <w:rFonts w:cstheme="minorHAnsi"/>
              </w:rPr>
              <w:t>I</w:t>
            </w:r>
            <w:r w:rsidR="00F51C60" w:rsidRPr="00854734">
              <w:rPr>
                <w:rFonts w:cstheme="minorHAnsi"/>
              </w:rPr>
              <w:t>D</w:t>
            </w:r>
          </w:p>
        </w:tc>
        <w:tc>
          <w:tcPr>
            <w:tcW w:w="1743" w:type="dxa"/>
            <w:tcBorders>
              <w:bottom w:val="single" w:sz="4" w:space="0" w:color="auto"/>
            </w:tcBorders>
          </w:tcPr>
          <w:p w14:paraId="313BE6BF" w14:textId="3DE3DD1E" w:rsidR="00482552" w:rsidRPr="00854734" w:rsidRDefault="00854734" w:rsidP="008E6357">
            <w:pPr>
              <w:spacing w:line="360" w:lineRule="auto"/>
              <w:rPr>
                <w:rFonts w:cstheme="minorHAnsi"/>
              </w:rPr>
            </w:pPr>
            <w:r w:rsidRPr="00854734">
              <w:rPr>
                <w:rFonts w:cstheme="minorHAnsi"/>
              </w:rPr>
              <w:t>W</w:t>
            </w:r>
            <w:r w:rsidR="00482552" w:rsidRPr="00854734">
              <w:rPr>
                <w:rFonts w:cstheme="minorHAnsi"/>
              </w:rPr>
              <w:t>ave</w:t>
            </w:r>
          </w:p>
        </w:tc>
        <w:tc>
          <w:tcPr>
            <w:tcW w:w="1743" w:type="dxa"/>
            <w:tcBorders>
              <w:bottom w:val="single" w:sz="4" w:space="0" w:color="auto"/>
            </w:tcBorders>
          </w:tcPr>
          <w:p w14:paraId="621007C0" w14:textId="77777777" w:rsidR="00482552" w:rsidRPr="00854734" w:rsidRDefault="00482552" w:rsidP="008E6357">
            <w:pPr>
              <w:spacing w:line="360" w:lineRule="auto"/>
              <w:rPr>
                <w:rFonts w:cstheme="minorHAnsi"/>
              </w:rPr>
            </w:pPr>
            <w:r w:rsidRPr="00854734">
              <w:rPr>
                <w:rFonts w:cstheme="minorHAnsi"/>
              </w:rPr>
              <w:t>cohort</w:t>
            </w:r>
          </w:p>
        </w:tc>
        <w:tc>
          <w:tcPr>
            <w:tcW w:w="1743" w:type="dxa"/>
            <w:tcBorders>
              <w:bottom w:val="single" w:sz="4" w:space="0" w:color="auto"/>
            </w:tcBorders>
          </w:tcPr>
          <w:p w14:paraId="1C062CD7" w14:textId="54FA4A8A" w:rsidR="00482552" w:rsidRPr="00854734" w:rsidRDefault="00482552" w:rsidP="008E6357">
            <w:pPr>
              <w:spacing w:line="360" w:lineRule="auto"/>
              <w:rPr>
                <w:rFonts w:cstheme="minorHAnsi"/>
              </w:rPr>
            </w:pPr>
            <w:r w:rsidRPr="00854734">
              <w:rPr>
                <w:rFonts w:cstheme="minorHAnsi"/>
              </w:rPr>
              <w:t>Moved</w:t>
            </w:r>
          </w:p>
        </w:tc>
        <w:tc>
          <w:tcPr>
            <w:tcW w:w="1744" w:type="dxa"/>
            <w:tcBorders>
              <w:bottom w:val="single" w:sz="4" w:space="0" w:color="auto"/>
            </w:tcBorders>
          </w:tcPr>
          <w:p w14:paraId="33F2F0A6" w14:textId="77777777" w:rsidR="00482552" w:rsidRPr="00854734" w:rsidRDefault="00482552" w:rsidP="008E6357">
            <w:pPr>
              <w:spacing w:line="360" w:lineRule="auto"/>
              <w:rPr>
                <w:rFonts w:cstheme="minorHAnsi"/>
              </w:rPr>
            </w:pPr>
            <w:proofErr w:type="spellStart"/>
            <w:r w:rsidRPr="00854734">
              <w:rPr>
                <w:rFonts w:cstheme="minorHAnsi"/>
              </w:rPr>
              <w:t>dist_km</w:t>
            </w:r>
            <w:proofErr w:type="spellEnd"/>
          </w:p>
        </w:tc>
        <w:tc>
          <w:tcPr>
            <w:tcW w:w="1744" w:type="dxa"/>
            <w:tcBorders>
              <w:bottom w:val="single" w:sz="4" w:space="0" w:color="auto"/>
            </w:tcBorders>
          </w:tcPr>
          <w:p w14:paraId="0A06E128" w14:textId="77777777" w:rsidR="00482552" w:rsidRPr="00854734" w:rsidRDefault="00482552" w:rsidP="008E6357">
            <w:pPr>
              <w:spacing w:line="360" w:lineRule="auto"/>
              <w:rPr>
                <w:rFonts w:cstheme="minorHAnsi"/>
              </w:rPr>
            </w:pPr>
            <w:proofErr w:type="spellStart"/>
            <w:r w:rsidRPr="00854734">
              <w:rPr>
                <w:rFonts w:cstheme="minorHAnsi"/>
              </w:rPr>
              <w:t>dist_m</w:t>
            </w:r>
            <w:proofErr w:type="spellEnd"/>
          </w:p>
        </w:tc>
        <w:tc>
          <w:tcPr>
            <w:tcW w:w="1744" w:type="dxa"/>
            <w:tcBorders>
              <w:bottom w:val="single" w:sz="4" w:space="0" w:color="auto"/>
            </w:tcBorders>
          </w:tcPr>
          <w:p w14:paraId="44F86EA2" w14:textId="77777777" w:rsidR="00482552" w:rsidRPr="00854734" w:rsidRDefault="00482552" w:rsidP="008E6357">
            <w:pPr>
              <w:spacing w:line="360" w:lineRule="auto"/>
              <w:rPr>
                <w:rFonts w:cstheme="minorHAnsi"/>
              </w:rPr>
            </w:pPr>
            <w:proofErr w:type="spellStart"/>
            <w:r w:rsidRPr="00854734">
              <w:rPr>
                <w:rFonts w:cstheme="minorHAnsi"/>
              </w:rPr>
              <w:t>EstYearMove</w:t>
            </w:r>
            <w:proofErr w:type="spellEnd"/>
          </w:p>
        </w:tc>
        <w:tc>
          <w:tcPr>
            <w:tcW w:w="1744" w:type="dxa"/>
            <w:tcBorders>
              <w:bottom w:val="single" w:sz="4" w:space="0" w:color="auto"/>
            </w:tcBorders>
          </w:tcPr>
          <w:p w14:paraId="09B9120C" w14:textId="77777777" w:rsidR="00482552" w:rsidRPr="00854734" w:rsidRDefault="00482552" w:rsidP="008E6357">
            <w:pPr>
              <w:spacing w:line="360" w:lineRule="auto"/>
              <w:rPr>
                <w:rFonts w:cstheme="minorHAnsi"/>
              </w:rPr>
            </w:pPr>
            <w:proofErr w:type="spellStart"/>
            <w:r w:rsidRPr="00854734">
              <w:rPr>
                <w:rFonts w:cstheme="minorHAnsi"/>
              </w:rPr>
              <w:t>EstDateMove</w:t>
            </w:r>
            <w:proofErr w:type="spellEnd"/>
          </w:p>
        </w:tc>
      </w:tr>
      <w:tr w:rsidR="00482552" w:rsidRPr="00854734" w14:paraId="0BC00E0F" w14:textId="77777777" w:rsidTr="00482552">
        <w:tc>
          <w:tcPr>
            <w:tcW w:w="1743" w:type="dxa"/>
            <w:tcBorders>
              <w:top w:val="single" w:sz="4" w:space="0" w:color="auto"/>
            </w:tcBorders>
          </w:tcPr>
          <w:p w14:paraId="4BE965A0" w14:textId="4FB089F5" w:rsidR="00482552" w:rsidRPr="00854734" w:rsidRDefault="00482552" w:rsidP="008E6357">
            <w:pPr>
              <w:spacing w:line="360" w:lineRule="auto"/>
              <w:rPr>
                <w:rFonts w:cstheme="minorHAnsi"/>
              </w:rPr>
            </w:pPr>
            <w:r w:rsidRPr="00854734">
              <w:rPr>
                <w:rFonts w:cstheme="minorHAnsi"/>
              </w:rPr>
              <w:t>1</w:t>
            </w:r>
          </w:p>
        </w:tc>
        <w:tc>
          <w:tcPr>
            <w:tcW w:w="1743" w:type="dxa"/>
            <w:tcBorders>
              <w:top w:val="single" w:sz="4" w:space="0" w:color="auto"/>
            </w:tcBorders>
          </w:tcPr>
          <w:p w14:paraId="53EC887C" w14:textId="77777777" w:rsidR="00482552" w:rsidRPr="00854734" w:rsidRDefault="00482552" w:rsidP="008E6357">
            <w:pPr>
              <w:spacing w:line="360" w:lineRule="auto"/>
              <w:rPr>
                <w:rFonts w:cstheme="minorHAnsi"/>
              </w:rPr>
            </w:pPr>
            <w:r w:rsidRPr="00854734">
              <w:rPr>
                <w:rFonts w:cstheme="minorHAnsi"/>
              </w:rPr>
              <w:t>1</w:t>
            </w:r>
          </w:p>
        </w:tc>
        <w:tc>
          <w:tcPr>
            <w:tcW w:w="1743" w:type="dxa"/>
            <w:tcBorders>
              <w:top w:val="single" w:sz="4" w:space="0" w:color="auto"/>
            </w:tcBorders>
          </w:tcPr>
          <w:p w14:paraId="343CE353" w14:textId="77777777" w:rsidR="00482552" w:rsidRPr="00854734" w:rsidRDefault="00482552" w:rsidP="008E6357">
            <w:pPr>
              <w:spacing w:line="360" w:lineRule="auto"/>
              <w:rPr>
                <w:rFonts w:cstheme="minorHAnsi"/>
              </w:rPr>
            </w:pPr>
            <w:r w:rsidRPr="00854734">
              <w:rPr>
                <w:rFonts w:cstheme="minorHAnsi"/>
              </w:rPr>
              <w:t>YNG</w:t>
            </w:r>
          </w:p>
        </w:tc>
        <w:tc>
          <w:tcPr>
            <w:tcW w:w="1743" w:type="dxa"/>
            <w:tcBorders>
              <w:top w:val="single" w:sz="4" w:space="0" w:color="auto"/>
            </w:tcBorders>
          </w:tcPr>
          <w:p w14:paraId="1EE9BEAC" w14:textId="77777777" w:rsidR="00482552" w:rsidRPr="00854734" w:rsidRDefault="00482552" w:rsidP="008E6357">
            <w:pPr>
              <w:spacing w:line="360" w:lineRule="auto"/>
              <w:rPr>
                <w:rFonts w:cstheme="minorHAnsi"/>
              </w:rPr>
            </w:pPr>
          </w:p>
        </w:tc>
        <w:tc>
          <w:tcPr>
            <w:tcW w:w="1744" w:type="dxa"/>
            <w:tcBorders>
              <w:top w:val="single" w:sz="4" w:space="0" w:color="auto"/>
            </w:tcBorders>
          </w:tcPr>
          <w:p w14:paraId="084485F5" w14:textId="77777777" w:rsidR="00482552" w:rsidRPr="00854734" w:rsidRDefault="00482552" w:rsidP="008E6357">
            <w:pPr>
              <w:spacing w:line="360" w:lineRule="auto"/>
              <w:rPr>
                <w:rFonts w:cstheme="minorHAnsi"/>
              </w:rPr>
            </w:pPr>
          </w:p>
        </w:tc>
        <w:tc>
          <w:tcPr>
            <w:tcW w:w="1744" w:type="dxa"/>
            <w:tcBorders>
              <w:top w:val="single" w:sz="4" w:space="0" w:color="auto"/>
            </w:tcBorders>
          </w:tcPr>
          <w:p w14:paraId="47D3C7B1" w14:textId="77777777" w:rsidR="00482552" w:rsidRPr="00854734" w:rsidRDefault="00482552" w:rsidP="008E6357">
            <w:pPr>
              <w:spacing w:line="360" w:lineRule="auto"/>
              <w:rPr>
                <w:rFonts w:cstheme="minorHAnsi"/>
              </w:rPr>
            </w:pPr>
          </w:p>
        </w:tc>
        <w:tc>
          <w:tcPr>
            <w:tcW w:w="1744" w:type="dxa"/>
            <w:tcBorders>
              <w:top w:val="single" w:sz="4" w:space="0" w:color="auto"/>
            </w:tcBorders>
          </w:tcPr>
          <w:p w14:paraId="22A0BA47" w14:textId="77777777" w:rsidR="00482552" w:rsidRPr="00854734" w:rsidRDefault="00482552" w:rsidP="008E6357">
            <w:pPr>
              <w:spacing w:line="360" w:lineRule="auto"/>
              <w:rPr>
                <w:rFonts w:cstheme="minorHAnsi"/>
              </w:rPr>
            </w:pPr>
          </w:p>
        </w:tc>
        <w:tc>
          <w:tcPr>
            <w:tcW w:w="1744" w:type="dxa"/>
            <w:tcBorders>
              <w:top w:val="single" w:sz="4" w:space="0" w:color="auto"/>
            </w:tcBorders>
          </w:tcPr>
          <w:p w14:paraId="0B16FBA1" w14:textId="77777777" w:rsidR="00482552" w:rsidRPr="00854734" w:rsidRDefault="00482552" w:rsidP="008E6357">
            <w:pPr>
              <w:spacing w:line="360" w:lineRule="auto"/>
              <w:rPr>
                <w:rFonts w:cstheme="minorHAnsi"/>
              </w:rPr>
            </w:pPr>
          </w:p>
        </w:tc>
      </w:tr>
      <w:tr w:rsidR="00482552" w:rsidRPr="00854734" w14:paraId="792D94AA" w14:textId="77777777" w:rsidTr="00482552">
        <w:tc>
          <w:tcPr>
            <w:tcW w:w="1743" w:type="dxa"/>
          </w:tcPr>
          <w:p w14:paraId="61E7FC43" w14:textId="77011D9C" w:rsidR="00482552" w:rsidRPr="00854734" w:rsidRDefault="00482552" w:rsidP="008E6357">
            <w:pPr>
              <w:spacing w:line="360" w:lineRule="auto"/>
              <w:rPr>
                <w:rFonts w:cstheme="minorHAnsi"/>
              </w:rPr>
            </w:pPr>
            <w:r w:rsidRPr="00854734">
              <w:rPr>
                <w:rFonts w:cstheme="minorHAnsi"/>
              </w:rPr>
              <w:t>1</w:t>
            </w:r>
          </w:p>
        </w:tc>
        <w:tc>
          <w:tcPr>
            <w:tcW w:w="1743" w:type="dxa"/>
          </w:tcPr>
          <w:p w14:paraId="1BC573A1" w14:textId="77777777" w:rsidR="00482552" w:rsidRPr="00854734" w:rsidRDefault="00482552" w:rsidP="008E6357">
            <w:pPr>
              <w:spacing w:line="360" w:lineRule="auto"/>
              <w:rPr>
                <w:rFonts w:cstheme="minorHAnsi"/>
              </w:rPr>
            </w:pPr>
            <w:r w:rsidRPr="00854734">
              <w:rPr>
                <w:rFonts w:cstheme="minorHAnsi"/>
              </w:rPr>
              <w:t>2</w:t>
            </w:r>
          </w:p>
        </w:tc>
        <w:tc>
          <w:tcPr>
            <w:tcW w:w="1743" w:type="dxa"/>
          </w:tcPr>
          <w:p w14:paraId="00F1A070" w14:textId="77777777" w:rsidR="00482552" w:rsidRPr="00854734" w:rsidRDefault="00482552" w:rsidP="008E6357">
            <w:pPr>
              <w:spacing w:line="360" w:lineRule="auto"/>
              <w:rPr>
                <w:rFonts w:cstheme="minorHAnsi"/>
              </w:rPr>
            </w:pPr>
            <w:r w:rsidRPr="00854734">
              <w:rPr>
                <w:rFonts w:cstheme="minorHAnsi"/>
              </w:rPr>
              <w:t>YNG</w:t>
            </w:r>
          </w:p>
        </w:tc>
        <w:tc>
          <w:tcPr>
            <w:tcW w:w="1743" w:type="dxa"/>
          </w:tcPr>
          <w:p w14:paraId="50A49DF6" w14:textId="77777777" w:rsidR="00482552" w:rsidRPr="00854734" w:rsidRDefault="00482552" w:rsidP="008E6357">
            <w:pPr>
              <w:spacing w:line="360" w:lineRule="auto"/>
              <w:rPr>
                <w:rFonts w:cstheme="minorHAnsi"/>
              </w:rPr>
            </w:pPr>
            <w:r w:rsidRPr="00854734">
              <w:rPr>
                <w:rFonts w:cstheme="minorHAnsi"/>
              </w:rPr>
              <w:t>0</w:t>
            </w:r>
          </w:p>
        </w:tc>
        <w:tc>
          <w:tcPr>
            <w:tcW w:w="1744" w:type="dxa"/>
          </w:tcPr>
          <w:p w14:paraId="564CC5D3" w14:textId="77777777" w:rsidR="00482552" w:rsidRPr="00854734" w:rsidRDefault="00482552" w:rsidP="008E6357">
            <w:pPr>
              <w:spacing w:line="360" w:lineRule="auto"/>
              <w:rPr>
                <w:rFonts w:cstheme="minorHAnsi"/>
              </w:rPr>
            </w:pPr>
          </w:p>
        </w:tc>
        <w:tc>
          <w:tcPr>
            <w:tcW w:w="1744" w:type="dxa"/>
          </w:tcPr>
          <w:p w14:paraId="5A4E24B0" w14:textId="77777777" w:rsidR="00482552" w:rsidRPr="00854734" w:rsidRDefault="00482552" w:rsidP="008E6357">
            <w:pPr>
              <w:spacing w:line="360" w:lineRule="auto"/>
              <w:rPr>
                <w:rFonts w:cstheme="minorHAnsi"/>
              </w:rPr>
            </w:pPr>
          </w:p>
        </w:tc>
        <w:tc>
          <w:tcPr>
            <w:tcW w:w="1744" w:type="dxa"/>
          </w:tcPr>
          <w:p w14:paraId="02E26981" w14:textId="77777777" w:rsidR="00482552" w:rsidRPr="00854734" w:rsidRDefault="00482552" w:rsidP="008E6357">
            <w:pPr>
              <w:spacing w:line="360" w:lineRule="auto"/>
              <w:rPr>
                <w:rFonts w:cstheme="minorHAnsi"/>
              </w:rPr>
            </w:pPr>
          </w:p>
        </w:tc>
        <w:tc>
          <w:tcPr>
            <w:tcW w:w="1744" w:type="dxa"/>
          </w:tcPr>
          <w:p w14:paraId="42F62D1D" w14:textId="77777777" w:rsidR="00482552" w:rsidRPr="00854734" w:rsidRDefault="00482552" w:rsidP="008E6357">
            <w:pPr>
              <w:spacing w:line="360" w:lineRule="auto"/>
              <w:rPr>
                <w:rFonts w:cstheme="minorHAnsi"/>
              </w:rPr>
            </w:pPr>
          </w:p>
        </w:tc>
      </w:tr>
      <w:tr w:rsidR="00482552" w:rsidRPr="00854734" w14:paraId="646B558C" w14:textId="77777777" w:rsidTr="00482552">
        <w:tc>
          <w:tcPr>
            <w:tcW w:w="1743" w:type="dxa"/>
          </w:tcPr>
          <w:p w14:paraId="64AD3A83" w14:textId="4197F770" w:rsidR="00482552" w:rsidRPr="00854734" w:rsidRDefault="00482552" w:rsidP="008E6357">
            <w:pPr>
              <w:spacing w:line="360" w:lineRule="auto"/>
              <w:rPr>
                <w:rFonts w:cstheme="minorHAnsi"/>
              </w:rPr>
            </w:pPr>
            <w:r w:rsidRPr="00854734">
              <w:rPr>
                <w:rFonts w:cstheme="minorHAnsi"/>
              </w:rPr>
              <w:t>1</w:t>
            </w:r>
          </w:p>
        </w:tc>
        <w:tc>
          <w:tcPr>
            <w:tcW w:w="1743" w:type="dxa"/>
          </w:tcPr>
          <w:p w14:paraId="64AA9E10" w14:textId="77777777" w:rsidR="00482552" w:rsidRPr="00854734" w:rsidRDefault="00482552" w:rsidP="008E6357">
            <w:pPr>
              <w:spacing w:line="360" w:lineRule="auto"/>
              <w:rPr>
                <w:rFonts w:cstheme="minorHAnsi"/>
              </w:rPr>
            </w:pPr>
            <w:r w:rsidRPr="00854734">
              <w:rPr>
                <w:rFonts w:cstheme="minorHAnsi"/>
              </w:rPr>
              <w:t>4</w:t>
            </w:r>
          </w:p>
        </w:tc>
        <w:tc>
          <w:tcPr>
            <w:tcW w:w="1743" w:type="dxa"/>
          </w:tcPr>
          <w:p w14:paraId="007EA9ED" w14:textId="77777777" w:rsidR="00482552" w:rsidRPr="00854734" w:rsidRDefault="00482552" w:rsidP="008E6357">
            <w:pPr>
              <w:spacing w:line="360" w:lineRule="auto"/>
              <w:rPr>
                <w:rFonts w:cstheme="minorHAnsi"/>
              </w:rPr>
            </w:pPr>
            <w:r w:rsidRPr="00854734">
              <w:rPr>
                <w:rFonts w:cstheme="minorHAnsi"/>
              </w:rPr>
              <w:t>YNG</w:t>
            </w:r>
          </w:p>
        </w:tc>
        <w:tc>
          <w:tcPr>
            <w:tcW w:w="1743" w:type="dxa"/>
          </w:tcPr>
          <w:p w14:paraId="1649A1F9" w14:textId="77777777" w:rsidR="00482552" w:rsidRPr="00854734" w:rsidRDefault="00482552" w:rsidP="008E6357">
            <w:pPr>
              <w:spacing w:line="360" w:lineRule="auto"/>
              <w:rPr>
                <w:rFonts w:cstheme="minorHAnsi"/>
              </w:rPr>
            </w:pPr>
            <w:r w:rsidRPr="00854734">
              <w:rPr>
                <w:rFonts w:cstheme="minorHAnsi"/>
              </w:rPr>
              <w:t>0</w:t>
            </w:r>
          </w:p>
        </w:tc>
        <w:tc>
          <w:tcPr>
            <w:tcW w:w="1744" w:type="dxa"/>
          </w:tcPr>
          <w:p w14:paraId="21D77BC4" w14:textId="77777777" w:rsidR="00482552" w:rsidRPr="00854734" w:rsidRDefault="00482552" w:rsidP="008E6357">
            <w:pPr>
              <w:spacing w:line="360" w:lineRule="auto"/>
              <w:rPr>
                <w:rFonts w:cstheme="minorHAnsi"/>
              </w:rPr>
            </w:pPr>
          </w:p>
        </w:tc>
        <w:tc>
          <w:tcPr>
            <w:tcW w:w="1744" w:type="dxa"/>
          </w:tcPr>
          <w:p w14:paraId="62B3D6EB" w14:textId="77777777" w:rsidR="00482552" w:rsidRPr="00854734" w:rsidRDefault="00482552" w:rsidP="008E6357">
            <w:pPr>
              <w:spacing w:line="360" w:lineRule="auto"/>
              <w:rPr>
                <w:rFonts w:cstheme="minorHAnsi"/>
              </w:rPr>
            </w:pPr>
          </w:p>
        </w:tc>
        <w:tc>
          <w:tcPr>
            <w:tcW w:w="1744" w:type="dxa"/>
          </w:tcPr>
          <w:p w14:paraId="2848ED38" w14:textId="77777777" w:rsidR="00482552" w:rsidRPr="00854734" w:rsidRDefault="00482552" w:rsidP="008E6357">
            <w:pPr>
              <w:spacing w:line="360" w:lineRule="auto"/>
              <w:rPr>
                <w:rFonts w:cstheme="minorHAnsi"/>
              </w:rPr>
            </w:pPr>
          </w:p>
        </w:tc>
        <w:tc>
          <w:tcPr>
            <w:tcW w:w="1744" w:type="dxa"/>
          </w:tcPr>
          <w:p w14:paraId="10C15876" w14:textId="77777777" w:rsidR="00482552" w:rsidRPr="00854734" w:rsidRDefault="00482552" w:rsidP="008E6357">
            <w:pPr>
              <w:spacing w:line="360" w:lineRule="auto"/>
              <w:rPr>
                <w:rFonts w:cstheme="minorHAnsi"/>
              </w:rPr>
            </w:pPr>
          </w:p>
        </w:tc>
      </w:tr>
      <w:tr w:rsidR="00482552" w:rsidRPr="00854734" w14:paraId="3FA64A75" w14:textId="77777777" w:rsidTr="00482552">
        <w:tc>
          <w:tcPr>
            <w:tcW w:w="1743" w:type="dxa"/>
          </w:tcPr>
          <w:p w14:paraId="04BDBBEC" w14:textId="544C904F" w:rsidR="00482552" w:rsidRPr="00854734" w:rsidRDefault="00482552" w:rsidP="008E6357">
            <w:pPr>
              <w:spacing w:line="360" w:lineRule="auto"/>
              <w:rPr>
                <w:rFonts w:cstheme="minorHAnsi"/>
              </w:rPr>
            </w:pPr>
            <w:r w:rsidRPr="00854734">
              <w:rPr>
                <w:rFonts w:cstheme="minorHAnsi"/>
              </w:rPr>
              <w:t>1</w:t>
            </w:r>
          </w:p>
        </w:tc>
        <w:tc>
          <w:tcPr>
            <w:tcW w:w="1743" w:type="dxa"/>
          </w:tcPr>
          <w:p w14:paraId="7DDEFAF6" w14:textId="77777777" w:rsidR="00482552" w:rsidRPr="00854734" w:rsidRDefault="00482552" w:rsidP="008E6357">
            <w:pPr>
              <w:spacing w:line="360" w:lineRule="auto"/>
              <w:rPr>
                <w:rFonts w:cstheme="minorHAnsi"/>
              </w:rPr>
            </w:pPr>
            <w:r w:rsidRPr="00854734">
              <w:rPr>
                <w:rFonts w:cstheme="minorHAnsi"/>
              </w:rPr>
              <w:t>5</w:t>
            </w:r>
          </w:p>
        </w:tc>
        <w:tc>
          <w:tcPr>
            <w:tcW w:w="1743" w:type="dxa"/>
          </w:tcPr>
          <w:p w14:paraId="6E4EB257" w14:textId="77777777" w:rsidR="00482552" w:rsidRPr="00854734" w:rsidRDefault="00482552" w:rsidP="008E6357">
            <w:pPr>
              <w:spacing w:line="360" w:lineRule="auto"/>
              <w:rPr>
                <w:rFonts w:cstheme="minorHAnsi"/>
              </w:rPr>
            </w:pPr>
            <w:r w:rsidRPr="00854734">
              <w:rPr>
                <w:rFonts w:cstheme="minorHAnsi"/>
              </w:rPr>
              <w:t>YNG</w:t>
            </w:r>
          </w:p>
        </w:tc>
        <w:tc>
          <w:tcPr>
            <w:tcW w:w="1743" w:type="dxa"/>
          </w:tcPr>
          <w:p w14:paraId="5C1CA0ED" w14:textId="77777777" w:rsidR="00482552" w:rsidRPr="00854734" w:rsidRDefault="00482552" w:rsidP="008E6357">
            <w:pPr>
              <w:spacing w:line="360" w:lineRule="auto"/>
              <w:rPr>
                <w:rFonts w:cstheme="minorHAnsi"/>
              </w:rPr>
            </w:pPr>
            <w:r w:rsidRPr="00854734">
              <w:rPr>
                <w:rFonts w:cstheme="minorHAnsi"/>
              </w:rPr>
              <w:t>1</w:t>
            </w:r>
          </w:p>
        </w:tc>
        <w:tc>
          <w:tcPr>
            <w:tcW w:w="1744" w:type="dxa"/>
          </w:tcPr>
          <w:p w14:paraId="51567E89" w14:textId="77777777" w:rsidR="00482552" w:rsidRPr="00854734" w:rsidRDefault="00482552" w:rsidP="008E6357">
            <w:pPr>
              <w:spacing w:line="360" w:lineRule="auto"/>
              <w:rPr>
                <w:rFonts w:cstheme="minorHAnsi"/>
              </w:rPr>
            </w:pPr>
            <w:r w:rsidRPr="00854734">
              <w:rPr>
                <w:rFonts w:cstheme="minorHAnsi"/>
              </w:rPr>
              <w:t>0.74</w:t>
            </w:r>
          </w:p>
        </w:tc>
        <w:tc>
          <w:tcPr>
            <w:tcW w:w="1744" w:type="dxa"/>
          </w:tcPr>
          <w:p w14:paraId="7E4130D2" w14:textId="77777777" w:rsidR="00482552" w:rsidRPr="00854734" w:rsidRDefault="00482552" w:rsidP="008E6357">
            <w:pPr>
              <w:spacing w:line="360" w:lineRule="auto"/>
              <w:rPr>
                <w:rFonts w:cstheme="minorHAnsi"/>
              </w:rPr>
            </w:pPr>
            <w:r w:rsidRPr="00854734">
              <w:rPr>
                <w:rFonts w:cstheme="minorHAnsi"/>
              </w:rPr>
              <w:t>736</w:t>
            </w:r>
          </w:p>
        </w:tc>
        <w:tc>
          <w:tcPr>
            <w:tcW w:w="1744" w:type="dxa"/>
          </w:tcPr>
          <w:p w14:paraId="25FAED70" w14:textId="77777777" w:rsidR="00482552" w:rsidRPr="00854734" w:rsidRDefault="00482552" w:rsidP="008E6357">
            <w:pPr>
              <w:spacing w:line="360" w:lineRule="auto"/>
              <w:rPr>
                <w:rFonts w:cstheme="minorHAnsi"/>
              </w:rPr>
            </w:pPr>
            <w:r w:rsidRPr="00854734">
              <w:rPr>
                <w:rFonts w:cstheme="minorHAnsi"/>
              </w:rPr>
              <w:t>2008</w:t>
            </w:r>
          </w:p>
        </w:tc>
        <w:tc>
          <w:tcPr>
            <w:tcW w:w="1744" w:type="dxa"/>
          </w:tcPr>
          <w:p w14:paraId="2673B2FD" w14:textId="77777777" w:rsidR="00482552" w:rsidRPr="00854734" w:rsidRDefault="00482552" w:rsidP="008E6357">
            <w:pPr>
              <w:spacing w:line="360" w:lineRule="auto"/>
              <w:rPr>
                <w:rFonts w:cstheme="minorHAnsi"/>
              </w:rPr>
            </w:pPr>
            <w:r w:rsidRPr="00854734">
              <w:rPr>
                <w:rFonts w:cstheme="minorHAnsi"/>
              </w:rPr>
              <w:t>13DEC2007</w:t>
            </w:r>
          </w:p>
        </w:tc>
      </w:tr>
      <w:tr w:rsidR="00482552" w:rsidRPr="00854734" w14:paraId="33BA21FD" w14:textId="77777777" w:rsidTr="00482552">
        <w:tc>
          <w:tcPr>
            <w:tcW w:w="1743" w:type="dxa"/>
          </w:tcPr>
          <w:p w14:paraId="69834D55" w14:textId="45ABE887" w:rsidR="00482552" w:rsidRPr="00854734" w:rsidRDefault="00482552" w:rsidP="008E6357">
            <w:pPr>
              <w:spacing w:line="360" w:lineRule="auto"/>
              <w:rPr>
                <w:rFonts w:cstheme="minorHAnsi"/>
              </w:rPr>
            </w:pPr>
            <w:r w:rsidRPr="00854734">
              <w:rPr>
                <w:rFonts w:cstheme="minorHAnsi"/>
              </w:rPr>
              <w:t>1</w:t>
            </w:r>
          </w:p>
        </w:tc>
        <w:tc>
          <w:tcPr>
            <w:tcW w:w="1743" w:type="dxa"/>
          </w:tcPr>
          <w:p w14:paraId="6D3AA61E" w14:textId="77777777" w:rsidR="00482552" w:rsidRPr="00854734" w:rsidRDefault="00482552" w:rsidP="008E6357">
            <w:pPr>
              <w:spacing w:line="360" w:lineRule="auto"/>
              <w:rPr>
                <w:rFonts w:cstheme="minorHAnsi"/>
              </w:rPr>
            </w:pPr>
            <w:r w:rsidRPr="00854734">
              <w:rPr>
                <w:rFonts w:cstheme="minorHAnsi"/>
              </w:rPr>
              <w:t>6</w:t>
            </w:r>
          </w:p>
        </w:tc>
        <w:tc>
          <w:tcPr>
            <w:tcW w:w="1743" w:type="dxa"/>
          </w:tcPr>
          <w:p w14:paraId="7E03D0D8" w14:textId="77777777" w:rsidR="00482552" w:rsidRPr="00854734" w:rsidRDefault="00482552" w:rsidP="008E6357">
            <w:pPr>
              <w:spacing w:line="360" w:lineRule="auto"/>
              <w:rPr>
                <w:rFonts w:cstheme="minorHAnsi"/>
              </w:rPr>
            </w:pPr>
            <w:r w:rsidRPr="00854734">
              <w:rPr>
                <w:rFonts w:cstheme="minorHAnsi"/>
              </w:rPr>
              <w:t>YNG</w:t>
            </w:r>
          </w:p>
        </w:tc>
        <w:tc>
          <w:tcPr>
            <w:tcW w:w="1743" w:type="dxa"/>
          </w:tcPr>
          <w:p w14:paraId="736FE9B9" w14:textId="77777777" w:rsidR="00482552" w:rsidRPr="00854734" w:rsidRDefault="00482552" w:rsidP="008E6357">
            <w:pPr>
              <w:spacing w:line="360" w:lineRule="auto"/>
              <w:rPr>
                <w:rFonts w:cstheme="minorHAnsi"/>
              </w:rPr>
            </w:pPr>
            <w:r w:rsidRPr="00854734">
              <w:rPr>
                <w:rFonts w:cstheme="minorHAnsi"/>
              </w:rPr>
              <w:t>1</w:t>
            </w:r>
          </w:p>
        </w:tc>
        <w:tc>
          <w:tcPr>
            <w:tcW w:w="1744" w:type="dxa"/>
          </w:tcPr>
          <w:p w14:paraId="276656C5" w14:textId="77777777" w:rsidR="00482552" w:rsidRPr="00854734" w:rsidRDefault="00482552" w:rsidP="008E6357">
            <w:pPr>
              <w:spacing w:line="360" w:lineRule="auto"/>
              <w:rPr>
                <w:rFonts w:cstheme="minorHAnsi"/>
              </w:rPr>
            </w:pPr>
            <w:r w:rsidRPr="00854734">
              <w:rPr>
                <w:rFonts w:cstheme="minorHAnsi"/>
              </w:rPr>
              <w:t>6.89</w:t>
            </w:r>
          </w:p>
        </w:tc>
        <w:tc>
          <w:tcPr>
            <w:tcW w:w="1744" w:type="dxa"/>
          </w:tcPr>
          <w:p w14:paraId="1C1B8116" w14:textId="77777777" w:rsidR="00482552" w:rsidRPr="00854734" w:rsidRDefault="00482552" w:rsidP="008E6357">
            <w:pPr>
              <w:spacing w:line="360" w:lineRule="auto"/>
              <w:rPr>
                <w:rFonts w:cstheme="minorHAnsi"/>
              </w:rPr>
            </w:pPr>
            <w:r w:rsidRPr="00854734">
              <w:rPr>
                <w:rFonts w:cstheme="minorHAnsi"/>
              </w:rPr>
              <w:t>6889</w:t>
            </w:r>
          </w:p>
        </w:tc>
        <w:tc>
          <w:tcPr>
            <w:tcW w:w="1744" w:type="dxa"/>
          </w:tcPr>
          <w:p w14:paraId="6633E156" w14:textId="77777777" w:rsidR="00482552" w:rsidRPr="00854734" w:rsidRDefault="00482552" w:rsidP="008E6357">
            <w:pPr>
              <w:spacing w:line="360" w:lineRule="auto"/>
              <w:rPr>
                <w:rFonts w:cstheme="minorHAnsi"/>
              </w:rPr>
            </w:pPr>
            <w:r w:rsidRPr="00854734">
              <w:rPr>
                <w:rFonts w:cstheme="minorHAnsi"/>
              </w:rPr>
              <w:t>2011</w:t>
            </w:r>
          </w:p>
        </w:tc>
        <w:tc>
          <w:tcPr>
            <w:tcW w:w="1744" w:type="dxa"/>
          </w:tcPr>
          <w:p w14:paraId="6F5890DB" w14:textId="77777777" w:rsidR="00482552" w:rsidRPr="00854734" w:rsidRDefault="00482552" w:rsidP="008E6357">
            <w:pPr>
              <w:spacing w:line="360" w:lineRule="auto"/>
              <w:rPr>
                <w:rFonts w:cstheme="minorHAnsi"/>
              </w:rPr>
            </w:pPr>
            <w:r w:rsidRPr="00854734">
              <w:rPr>
                <w:rFonts w:cstheme="minorHAnsi"/>
              </w:rPr>
              <w:t>12DEC2010</w:t>
            </w:r>
          </w:p>
        </w:tc>
      </w:tr>
      <w:tr w:rsidR="00482552" w:rsidRPr="00854734" w14:paraId="40FAC9EA" w14:textId="77777777" w:rsidTr="00482552">
        <w:tc>
          <w:tcPr>
            <w:tcW w:w="1743" w:type="dxa"/>
          </w:tcPr>
          <w:p w14:paraId="06B6A747" w14:textId="136C72CC" w:rsidR="00482552" w:rsidRPr="00854734" w:rsidRDefault="00482552" w:rsidP="008E6357">
            <w:pPr>
              <w:spacing w:line="360" w:lineRule="auto"/>
              <w:rPr>
                <w:rFonts w:cstheme="minorHAnsi"/>
              </w:rPr>
            </w:pPr>
            <w:r w:rsidRPr="00854734">
              <w:rPr>
                <w:rFonts w:cstheme="minorHAnsi"/>
              </w:rPr>
              <w:t>1</w:t>
            </w:r>
          </w:p>
        </w:tc>
        <w:tc>
          <w:tcPr>
            <w:tcW w:w="1743" w:type="dxa"/>
          </w:tcPr>
          <w:p w14:paraId="283C0365" w14:textId="77777777" w:rsidR="00482552" w:rsidRPr="00854734" w:rsidRDefault="00482552" w:rsidP="008E6357">
            <w:pPr>
              <w:spacing w:line="360" w:lineRule="auto"/>
              <w:rPr>
                <w:rFonts w:cstheme="minorHAnsi"/>
              </w:rPr>
            </w:pPr>
            <w:r w:rsidRPr="00854734">
              <w:rPr>
                <w:rFonts w:cstheme="minorHAnsi"/>
              </w:rPr>
              <w:t>7</w:t>
            </w:r>
          </w:p>
        </w:tc>
        <w:tc>
          <w:tcPr>
            <w:tcW w:w="1743" w:type="dxa"/>
          </w:tcPr>
          <w:p w14:paraId="215B00CD" w14:textId="77777777" w:rsidR="00482552" w:rsidRPr="00854734" w:rsidRDefault="00482552" w:rsidP="008E6357">
            <w:pPr>
              <w:spacing w:line="360" w:lineRule="auto"/>
              <w:rPr>
                <w:rFonts w:cstheme="minorHAnsi"/>
              </w:rPr>
            </w:pPr>
            <w:r w:rsidRPr="00854734">
              <w:rPr>
                <w:rFonts w:cstheme="minorHAnsi"/>
              </w:rPr>
              <w:t>YNG</w:t>
            </w:r>
          </w:p>
        </w:tc>
        <w:tc>
          <w:tcPr>
            <w:tcW w:w="1743" w:type="dxa"/>
          </w:tcPr>
          <w:p w14:paraId="3B3A7A69" w14:textId="77777777" w:rsidR="00482552" w:rsidRPr="00854734" w:rsidRDefault="00482552" w:rsidP="008E6357">
            <w:pPr>
              <w:spacing w:line="360" w:lineRule="auto"/>
              <w:rPr>
                <w:rFonts w:cstheme="minorHAnsi"/>
              </w:rPr>
            </w:pPr>
            <w:r w:rsidRPr="00854734">
              <w:rPr>
                <w:rFonts w:cstheme="minorHAnsi"/>
              </w:rPr>
              <w:t>1</w:t>
            </w:r>
          </w:p>
        </w:tc>
        <w:tc>
          <w:tcPr>
            <w:tcW w:w="1744" w:type="dxa"/>
          </w:tcPr>
          <w:p w14:paraId="4D76E1FD" w14:textId="77777777" w:rsidR="00482552" w:rsidRPr="00854734" w:rsidRDefault="00482552" w:rsidP="008E6357">
            <w:pPr>
              <w:spacing w:line="360" w:lineRule="auto"/>
              <w:rPr>
                <w:rFonts w:cstheme="minorHAnsi"/>
              </w:rPr>
            </w:pPr>
            <w:r w:rsidRPr="00854734">
              <w:rPr>
                <w:rFonts w:cstheme="minorHAnsi"/>
              </w:rPr>
              <w:t>24.43</w:t>
            </w:r>
          </w:p>
        </w:tc>
        <w:tc>
          <w:tcPr>
            <w:tcW w:w="1744" w:type="dxa"/>
          </w:tcPr>
          <w:p w14:paraId="64C88A90" w14:textId="77777777" w:rsidR="00482552" w:rsidRPr="00854734" w:rsidRDefault="00482552" w:rsidP="008E6357">
            <w:pPr>
              <w:spacing w:line="360" w:lineRule="auto"/>
              <w:rPr>
                <w:rFonts w:cstheme="minorHAnsi"/>
              </w:rPr>
            </w:pPr>
            <w:r w:rsidRPr="00854734">
              <w:rPr>
                <w:rFonts w:cstheme="minorHAnsi"/>
              </w:rPr>
              <w:t>24434</w:t>
            </w:r>
          </w:p>
        </w:tc>
        <w:tc>
          <w:tcPr>
            <w:tcW w:w="1744" w:type="dxa"/>
          </w:tcPr>
          <w:p w14:paraId="7C78A67A" w14:textId="77777777" w:rsidR="00482552" w:rsidRPr="00854734" w:rsidRDefault="00482552" w:rsidP="008E6357">
            <w:pPr>
              <w:spacing w:line="360" w:lineRule="auto"/>
              <w:rPr>
                <w:rFonts w:cstheme="minorHAnsi"/>
              </w:rPr>
            </w:pPr>
            <w:r w:rsidRPr="00854734">
              <w:rPr>
                <w:rFonts w:cstheme="minorHAnsi"/>
              </w:rPr>
              <w:t>2014</w:t>
            </w:r>
          </w:p>
        </w:tc>
        <w:tc>
          <w:tcPr>
            <w:tcW w:w="1744" w:type="dxa"/>
          </w:tcPr>
          <w:p w14:paraId="3B97934D" w14:textId="77777777" w:rsidR="00482552" w:rsidRPr="00854734" w:rsidRDefault="00482552" w:rsidP="008E6357">
            <w:pPr>
              <w:spacing w:line="360" w:lineRule="auto"/>
              <w:rPr>
                <w:rFonts w:cstheme="minorHAnsi"/>
              </w:rPr>
            </w:pPr>
            <w:r w:rsidRPr="00854734">
              <w:rPr>
                <w:rFonts w:cstheme="minorHAnsi"/>
              </w:rPr>
              <w:t>21DEC2013</w:t>
            </w:r>
          </w:p>
        </w:tc>
      </w:tr>
      <w:tr w:rsidR="0072034C" w:rsidRPr="00854734" w14:paraId="2230E642" w14:textId="77777777" w:rsidTr="00482552">
        <w:tc>
          <w:tcPr>
            <w:tcW w:w="1743" w:type="dxa"/>
          </w:tcPr>
          <w:p w14:paraId="44233E94" w14:textId="48FE3231" w:rsidR="0072034C" w:rsidRPr="00854734" w:rsidRDefault="0072034C" w:rsidP="008E6357">
            <w:pPr>
              <w:spacing w:line="360" w:lineRule="auto"/>
              <w:rPr>
                <w:rFonts w:cstheme="minorHAnsi"/>
              </w:rPr>
            </w:pPr>
            <w:r w:rsidRPr="00854734">
              <w:rPr>
                <w:rFonts w:cstheme="minorHAnsi"/>
              </w:rPr>
              <w:t>2</w:t>
            </w:r>
          </w:p>
        </w:tc>
        <w:tc>
          <w:tcPr>
            <w:tcW w:w="1743" w:type="dxa"/>
          </w:tcPr>
          <w:p w14:paraId="1724831E" w14:textId="5AD84ED3" w:rsidR="0072034C" w:rsidRPr="00854734" w:rsidRDefault="0072034C" w:rsidP="008E6357">
            <w:pPr>
              <w:spacing w:line="360" w:lineRule="auto"/>
              <w:rPr>
                <w:rFonts w:cstheme="minorHAnsi"/>
              </w:rPr>
            </w:pPr>
            <w:r w:rsidRPr="00854734">
              <w:rPr>
                <w:rFonts w:cstheme="minorHAnsi"/>
              </w:rPr>
              <w:t>1</w:t>
            </w:r>
          </w:p>
        </w:tc>
        <w:tc>
          <w:tcPr>
            <w:tcW w:w="1743" w:type="dxa"/>
          </w:tcPr>
          <w:p w14:paraId="6EC6D715" w14:textId="047ECC29" w:rsidR="0072034C" w:rsidRPr="00854734" w:rsidRDefault="003110E6" w:rsidP="008E6357">
            <w:pPr>
              <w:spacing w:line="360" w:lineRule="auto"/>
              <w:rPr>
                <w:rFonts w:cstheme="minorHAnsi"/>
              </w:rPr>
            </w:pPr>
            <w:r w:rsidRPr="00854734">
              <w:rPr>
                <w:rFonts w:cstheme="minorHAnsi"/>
              </w:rPr>
              <w:t>YNG</w:t>
            </w:r>
          </w:p>
        </w:tc>
        <w:tc>
          <w:tcPr>
            <w:tcW w:w="1743" w:type="dxa"/>
          </w:tcPr>
          <w:p w14:paraId="5D3641E1" w14:textId="77777777" w:rsidR="0072034C" w:rsidRPr="00854734" w:rsidRDefault="0072034C" w:rsidP="008E6357">
            <w:pPr>
              <w:spacing w:line="360" w:lineRule="auto"/>
              <w:rPr>
                <w:rFonts w:cstheme="minorHAnsi"/>
              </w:rPr>
            </w:pPr>
          </w:p>
        </w:tc>
        <w:tc>
          <w:tcPr>
            <w:tcW w:w="1744" w:type="dxa"/>
          </w:tcPr>
          <w:p w14:paraId="058A3B52" w14:textId="77777777" w:rsidR="0072034C" w:rsidRPr="00854734" w:rsidRDefault="0072034C" w:rsidP="008E6357">
            <w:pPr>
              <w:spacing w:line="360" w:lineRule="auto"/>
              <w:rPr>
                <w:rFonts w:cstheme="minorHAnsi"/>
              </w:rPr>
            </w:pPr>
          </w:p>
        </w:tc>
        <w:tc>
          <w:tcPr>
            <w:tcW w:w="1744" w:type="dxa"/>
          </w:tcPr>
          <w:p w14:paraId="23125F74" w14:textId="77777777" w:rsidR="0072034C" w:rsidRPr="00854734" w:rsidRDefault="0072034C" w:rsidP="008E6357">
            <w:pPr>
              <w:spacing w:line="360" w:lineRule="auto"/>
              <w:rPr>
                <w:rFonts w:cstheme="minorHAnsi"/>
              </w:rPr>
            </w:pPr>
          </w:p>
        </w:tc>
        <w:tc>
          <w:tcPr>
            <w:tcW w:w="1744" w:type="dxa"/>
          </w:tcPr>
          <w:p w14:paraId="12E4B47E" w14:textId="77777777" w:rsidR="0072034C" w:rsidRPr="00854734" w:rsidRDefault="0072034C" w:rsidP="008E6357">
            <w:pPr>
              <w:spacing w:line="360" w:lineRule="auto"/>
              <w:rPr>
                <w:rFonts w:cstheme="minorHAnsi"/>
              </w:rPr>
            </w:pPr>
          </w:p>
        </w:tc>
        <w:tc>
          <w:tcPr>
            <w:tcW w:w="1744" w:type="dxa"/>
          </w:tcPr>
          <w:p w14:paraId="6AED06F5" w14:textId="77777777" w:rsidR="0072034C" w:rsidRPr="00854734" w:rsidRDefault="0072034C" w:rsidP="008E6357">
            <w:pPr>
              <w:spacing w:line="360" w:lineRule="auto"/>
              <w:rPr>
                <w:rFonts w:cstheme="minorHAnsi"/>
              </w:rPr>
            </w:pPr>
          </w:p>
        </w:tc>
      </w:tr>
    </w:tbl>
    <w:p w14:paraId="4509D7EC" w14:textId="77777777" w:rsidR="00482552" w:rsidRDefault="00482552" w:rsidP="00320775">
      <w:pPr>
        <w:spacing w:line="360" w:lineRule="auto"/>
        <w:rPr>
          <w:rFonts w:cstheme="minorHAnsi"/>
        </w:rPr>
      </w:pPr>
    </w:p>
    <w:p w14:paraId="360356F1" w14:textId="4656F9C4" w:rsidR="00581C0C" w:rsidRPr="00320775" w:rsidRDefault="00A57979" w:rsidP="00320775">
      <w:pPr>
        <w:spacing w:line="360" w:lineRule="auto"/>
        <w:rPr>
          <w:rFonts w:cstheme="minorHAnsi"/>
        </w:rPr>
      </w:pPr>
      <w:r>
        <w:rPr>
          <w:rFonts w:cstheme="minorHAnsi"/>
        </w:rPr>
        <w:lastRenderedPageBreak/>
        <w:t xml:space="preserve">ID 1 in table 3 </w:t>
      </w:r>
      <w:r w:rsidR="00A720BE">
        <w:rPr>
          <w:rFonts w:cstheme="minorHAnsi"/>
        </w:rPr>
        <w:t xml:space="preserve">has </w:t>
      </w:r>
      <w:proofErr w:type="spellStart"/>
      <w:r w:rsidR="00A720BE">
        <w:rPr>
          <w:rFonts w:cstheme="minorHAnsi"/>
        </w:rPr>
        <w:t>SurveyAddress</w:t>
      </w:r>
      <w:r w:rsidR="00704E43">
        <w:rPr>
          <w:rFonts w:cstheme="minorHAnsi"/>
        </w:rPr>
        <w:t>Indicator</w:t>
      </w:r>
      <w:proofErr w:type="spellEnd"/>
      <w:r w:rsidR="00A720BE">
        <w:rPr>
          <w:rFonts w:cstheme="minorHAnsi"/>
        </w:rPr>
        <w:t xml:space="preserve"> ‘1</w:t>
      </w:r>
      <w:r w:rsidR="0072034C">
        <w:rPr>
          <w:rFonts w:cstheme="minorHAnsi"/>
        </w:rPr>
        <w:t>24567</w:t>
      </w:r>
      <w:r w:rsidR="00A720BE">
        <w:rPr>
          <w:rFonts w:cstheme="minorHAnsi"/>
        </w:rPr>
        <w:t>’</w:t>
      </w:r>
      <w:r>
        <w:rPr>
          <w:rFonts w:cstheme="minorHAnsi"/>
        </w:rPr>
        <w:t>,</w:t>
      </w:r>
      <w:r w:rsidR="00A720BE">
        <w:rPr>
          <w:rFonts w:cstheme="minorHAnsi"/>
        </w:rPr>
        <w:t xml:space="preserve"> </w:t>
      </w:r>
      <w:r w:rsidR="0072034C">
        <w:rPr>
          <w:rFonts w:cstheme="minorHAnsi"/>
        </w:rPr>
        <w:t xml:space="preserve">so </w:t>
      </w:r>
      <w:r w:rsidR="00A720BE">
        <w:rPr>
          <w:rFonts w:cstheme="minorHAnsi"/>
        </w:rPr>
        <w:t xml:space="preserve">we had an address from </w:t>
      </w:r>
      <w:r w:rsidR="0072034C">
        <w:rPr>
          <w:rFonts w:cstheme="minorHAnsi"/>
        </w:rPr>
        <w:t xml:space="preserve">the eight </w:t>
      </w:r>
      <w:r w:rsidR="00A720BE">
        <w:rPr>
          <w:rFonts w:cstheme="minorHAnsi"/>
        </w:rPr>
        <w:t>survey</w:t>
      </w:r>
      <w:r w:rsidR="0072034C">
        <w:rPr>
          <w:rFonts w:cstheme="minorHAnsi"/>
        </w:rPr>
        <w:t>s except waves 3 and 8.</w:t>
      </w:r>
      <w:r w:rsidR="00A720BE">
        <w:rPr>
          <w:rFonts w:cstheme="minorHAnsi"/>
        </w:rPr>
        <w:t xml:space="preserve"> Her </w:t>
      </w:r>
      <w:r w:rsidR="00AB491F" w:rsidRPr="00320775">
        <w:rPr>
          <w:rFonts w:cstheme="minorHAnsi"/>
        </w:rPr>
        <w:t xml:space="preserve">address’s accuracy was </w:t>
      </w:r>
      <w:r w:rsidR="0073560E" w:rsidRPr="00320775">
        <w:rPr>
          <w:rFonts w:cstheme="minorHAnsi"/>
        </w:rPr>
        <w:t>‘</w:t>
      </w:r>
      <w:r w:rsidR="00BB5DD7" w:rsidRPr="00320775">
        <w:rPr>
          <w:rFonts w:cstheme="minorHAnsi"/>
        </w:rPr>
        <w:t>ROOFTOP’</w:t>
      </w:r>
      <w:r w:rsidR="0072034C">
        <w:rPr>
          <w:rFonts w:cstheme="minorHAnsi"/>
        </w:rPr>
        <w:t xml:space="preserve"> at waves 1, 2 and 4</w:t>
      </w:r>
      <w:r w:rsidR="0073560E" w:rsidRPr="00320775">
        <w:rPr>
          <w:rFonts w:cstheme="minorHAnsi"/>
        </w:rPr>
        <w:t>.</w:t>
      </w:r>
      <w:r w:rsidR="0072034C">
        <w:rPr>
          <w:rFonts w:cstheme="minorHAnsi"/>
        </w:rPr>
        <w:t xml:space="preserve"> The accuracy changed in later waves </w:t>
      </w:r>
      <w:r w:rsidR="00EC07A9">
        <w:rPr>
          <w:rFonts w:cstheme="minorHAnsi"/>
        </w:rPr>
        <w:t>as</w:t>
      </w:r>
      <w:r w:rsidR="0072034C">
        <w:rPr>
          <w:rFonts w:cstheme="minorHAnsi"/>
        </w:rPr>
        <w:t xml:space="preserve"> </w:t>
      </w:r>
      <w:r>
        <w:rPr>
          <w:rFonts w:cstheme="minorHAnsi"/>
        </w:rPr>
        <w:t>she</w:t>
      </w:r>
      <w:r w:rsidR="0072034C">
        <w:rPr>
          <w:rFonts w:cstheme="minorHAnsi"/>
        </w:rPr>
        <w:t xml:space="preserve"> changed address</w:t>
      </w:r>
      <w:r w:rsidR="00A93750">
        <w:rPr>
          <w:rFonts w:cstheme="minorHAnsi"/>
        </w:rPr>
        <w:t>es</w:t>
      </w:r>
      <w:r w:rsidR="00EC07A9">
        <w:rPr>
          <w:rFonts w:cstheme="minorHAnsi"/>
        </w:rPr>
        <w:t>,</w:t>
      </w:r>
      <w:r w:rsidR="0072034C">
        <w:rPr>
          <w:rFonts w:cstheme="minorHAnsi"/>
        </w:rPr>
        <w:t xml:space="preserve"> as </w:t>
      </w:r>
      <w:proofErr w:type="gramStart"/>
      <w:r w:rsidR="0072034C">
        <w:rPr>
          <w:rFonts w:cstheme="minorHAnsi"/>
        </w:rPr>
        <w:t>can be seen</w:t>
      </w:r>
      <w:proofErr w:type="gramEnd"/>
      <w:r w:rsidR="0072034C">
        <w:rPr>
          <w:rFonts w:cstheme="minorHAnsi"/>
        </w:rPr>
        <w:t xml:space="preserve"> </w:t>
      </w:r>
      <w:r>
        <w:rPr>
          <w:rFonts w:cstheme="minorHAnsi"/>
        </w:rPr>
        <w:t xml:space="preserve">in </w:t>
      </w:r>
      <w:r w:rsidR="0072034C">
        <w:rPr>
          <w:rFonts w:cstheme="minorHAnsi"/>
        </w:rPr>
        <w:t xml:space="preserve">Table 4. </w:t>
      </w:r>
      <w:r w:rsidR="003110E6">
        <w:rPr>
          <w:rFonts w:cstheme="minorHAnsi"/>
        </w:rPr>
        <w:t xml:space="preserve">The first change of address occurred in 2008 and so </w:t>
      </w:r>
      <w:r>
        <w:rPr>
          <w:rFonts w:cstheme="minorHAnsi"/>
        </w:rPr>
        <w:t>her</w:t>
      </w:r>
      <w:r w:rsidR="003110E6">
        <w:rPr>
          <w:rFonts w:cstheme="minorHAnsi"/>
        </w:rPr>
        <w:t xml:space="preserve"> greenspace values for 1996 to 2007 </w:t>
      </w:r>
      <w:proofErr w:type="gramStart"/>
      <w:r w:rsidR="003110E6">
        <w:rPr>
          <w:rFonts w:cstheme="minorHAnsi"/>
        </w:rPr>
        <w:t>were based</w:t>
      </w:r>
      <w:proofErr w:type="gramEnd"/>
      <w:r w:rsidR="003110E6">
        <w:rPr>
          <w:rFonts w:cstheme="minorHAnsi"/>
        </w:rPr>
        <w:t xml:space="preserve"> on an address with ROOFTOP accuracy. From 2008 to </w:t>
      </w:r>
      <w:proofErr w:type="gramStart"/>
      <w:r w:rsidR="003110E6">
        <w:rPr>
          <w:rFonts w:cstheme="minorHAnsi"/>
        </w:rPr>
        <w:t>2010</w:t>
      </w:r>
      <w:proofErr w:type="gramEnd"/>
      <w:r w:rsidR="003110E6">
        <w:rPr>
          <w:rFonts w:cstheme="minorHAnsi"/>
        </w:rPr>
        <w:t xml:space="preserve"> the greenspace values were based on an address with accuracy RANGE INTERPOLAT, and from 2013 to 2018 there were based on the address with ROOFTOP accuracy. </w:t>
      </w:r>
      <w:r w:rsidR="00EC07A9">
        <w:rPr>
          <w:rFonts w:cstheme="minorHAnsi"/>
        </w:rPr>
        <w:t xml:space="preserve">Since </w:t>
      </w:r>
      <w:r w:rsidR="003110E6">
        <w:rPr>
          <w:rFonts w:cstheme="minorHAnsi"/>
        </w:rPr>
        <w:t xml:space="preserve">we did not know </w:t>
      </w:r>
      <w:r w:rsidR="00F51C60">
        <w:rPr>
          <w:rFonts w:cstheme="minorHAnsi"/>
        </w:rPr>
        <w:t>her</w:t>
      </w:r>
      <w:r w:rsidR="003110E6">
        <w:rPr>
          <w:rFonts w:cstheme="minorHAnsi"/>
        </w:rPr>
        <w:t xml:space="preserve"> address at wave 8 the greenspace values </w:t>
      </w:r>
      <w:r w:rsidR="00EC07A9">
        <w:rPr>
          <w:rFonts w:cstheme="minorHAnsi"/>
        </w:rPr>
        <w:t xml:space="preserve">at wave 8 </w:t>
      </w:r>
      <w:r w:rsidR="003110E6">
        <w:rPr>
          <w:rFonts w:cstheme="minorHAnsi"/>
        </w:rPr>
        <w:t xml:space="preserve">were based on the </w:t>
      </w:r>
      <w:proofErr w:type="gramStart"/>
      <w:r w:rsidR="003110E6">
        <w:rPr>
          <w:rFonts w:cstheme="minorHAnsi"/>
        </w:rPr>
        <w:t>assumption</w:t>
      </w:r>
      <w:proofErr w:type="gramEnd"/>
      <w:r w:rsidR="003110E6">
        <w:rPr>
          <w:rFonts w:cstheme="minorHAnsi"/>
        </w:rPr>
        <w:t xml:space="preserve"> </w:t>
      </w:r>
      <w:r w:rsidR="00F51C60">
        <w:rPr>
          <w:rFonts w:cstheme="minorHAnsi"/>
        </w:rPr>
        <w:t>she</w:t>
      </w:r>
      <w:r w:rsidR="003110E6">
        <w:rPr>
          <w:rFonts w:cstheme="minorHAnsi"/>
        </w:rPr>
        <w:t xml:space="preserve"> did not change address at wave 8. </w:t>
      </w:r>
      <w:r>
        <w:rPr>
          <w:rFonts w:cstheme="minorHAnsi"/>
        </w:rPr>
        <w:t xml:space="preserve">Similarly, we did not know her address at wave 3 so we assumed her address </w:t>
      </w:r>
      <w:r w:rsidR="00A93750">
        <w:rPr>
          <w:rFonts w:cstheme="minorHAnsi"/>
        </w:rPr>
        <w:t xml:space="preserve">at that time </w:t>
      </w:r>
      <w:r>
        <w:rPr>
          <w:rFonts w:cstheme="minorHAnsi"/>
        </w:rPr>
        <w:t xml:space="preserve">was the same as in the previous survey. </w:t>
      </w:r>
      <w:r w:rsidR="003110E6">
        <w:rPr>
          <w:rFonts w:cstheme="minorHAnsi"/>
        </w:rPr>
        <w:t>This assumption becomes more problematic</w:t>
      </w:r>
      <w:r>
        <w:rPr>
          <w:rFonts w:cstheme="minorHAnsi"/>
        </w:rPr>
        <w:t xml:space="preserve"> for the second ID</w:t>
      </w:r>
      <w:r w:rsidR="003110E6">
        <w:rPr>
          <w:rFonts w:cstheme="minorHAnsi"/>
        </w:rPr>
        <w:t xml:space="preserve">. </w:t>
      </w:r>
    </w:p>
    <w:p w14:paraId="7B3764F4" w14:textId="036E3332" w:rsidR="00861768" w:rsidRDefault="00EC07A9" w:rsidP="0031632F">
      <w:pPr>
        <w:spacing w:line="360" w:lineRule="auto"/>
        <w:rPr>
          <w:rFonts w:cstheme="minorHAnsi"/>
        </w:rPr>
      </w:pPr>
      <w:r>
        <w:rPr>
          <w:rFonts w:cstheme="minorHAnsi"/>
        </w:rPr>
        <w:t xml:space="preserve">For </w:t>
      </w:r>
      <w:r w:rsidR="00A57979">
        <w:rPr>
          <w:rFonts w:cstheme="minorHAnsi"/>
        </w:rPr>
        <w:t xml:space="preserve">ID 2 </w:t>
      </w:r>
      <w:r>
        <w:rPr>
          <w:rFonts w:cstheme="minorHAnsi"/>
        </w:rPr>
        <w:t>w</w:t>
      </w:r>
      <w:r w:rsidR="00767394">
        <w:rPr>
          <w:rFonts w:cstheme="minorHAnsi"/>
        </w:rPr>
        <w:t>e only ha</w:t>
      </w:r>
      <w:r w:rsidR="00F51C60">
        <w:rPr>
          <w:rFonts w:cstheme="minorHAnsi"/>
        </w:rPr>
        <w:t>d</w:t>
      </w:r>
      <w:r w:rsidR="00767394">
        <w:rPr>
          <w:rFonts w:cstheme="minorHAnsi"/>
        </w:rPr>
        <w:t xml:space="preserve"> an address at </w:t>
      </w:r>
      <w:r>
        <w:rPr>
          <w:rFonts w:cstheme="minorHAnsi"/>
        </w:rPr>
        <w:t>wave</w:t>
      </w:r>
      <w:r w:rsidR="00767394">
        <w:rPr>
          <w:rFonts w:cstheme="minorHAnsi"/>
        </w:rPr>
        <w:t xml:space="preserve"> 1 in 1996. We d</w:t>
      </w:r>
      <w:r>
        <w:rPr>
          <w:rFonts w:cstheme="minorHAnsi"/>
        </w:rPr>
        <w:t>id</w:t>
      </w:r>
      <w:r w:rsidR="00767394">
        <w:rPr>
          <w:rFonts w:cstheme="minorHAnsi"/>
        </w:rPr>
        <w:t xml:space="preserve"> not know if she </w:t>
      </w:r>
      <w:r>
        <w:rPr>
          <w:rFonts w:cstheme="minorHAnsi"/>
        </w:rPr>
        <w:t xml:space="preserve">ever </w:t>
      </w:r>
      <w:r w:rsidR="00D425C9">
        <w:rPr>
          <w:rFonts w:cstheme="minorHAnsi"/>
        </w:rPr>
        <w:t>changed address</w:t>
      </w:r>
      <w:r w:rsidR="00A93750">
        <w:rPr>
          <w:rFonts w:cstheme="minorHAnsi"/>
        </w:rPr>
        <w:t xml:space="preserve"> since that time</w:t>
      </w:r>
      <w:r w:rsidR="00767394">
        <w:rPr>
          <w:rFonts w:cstheme="minorHAnsi"/>
        </w:rPr>
        <w:t xml:space="preserve"> </w:t>
      </w:r>
      <w:r>
        <w:rPr>
          <w:rFonts w:cstheme="minorHAnsi"/>
        </w:rPr>
        <w:t xml:space="preserve">and </w:t>
      </w:r>
      <w:r w:rsidR="00767394">
        <w:rPr>
          <w:rFonts w:cstheme="minorHAnsi"/>
        </w:rPr>
        <w:t xml:space="preserve">so there is only one record in the Geographic </w:t>
      </w:r>
      <w:r w:rsidR="00D425C9">
        <w:rPr>
          <w:rFonts w:cstheme="minorHAnsi"/>
        </w:rPr>
        <w:t>R</w:t>
      </w:r>
      <w:r w:rsidR="00767394">
        <w:rPr>
          <w:rFonts w:cstheme="minorHAnsi"/>
        </w:rPr>
        <w:t>elocation fi</w:t>
      </w:r>
      <w:r w:rsidR="00A57979">
        <w:rPr>
          <w:rFonts w:cstheme="minorHAnsi"/>
        </w:rPr>
        <w:t>le. All of her</w:t>
      </w:r>
      <w:r w:rsidR="00767394">
        <w:rPr>
          <w:rFonts w:cstheme="minorHAnsi"/>
        </w:rPr>
        <w:t xml:space="preserve"> greenspace values</w:t>
      </w:r>
      <w:r w:rsidR="00F51C60">
        <w:rPr>
          <w:rFonts w:cstheme="minorHAnsi"/>
        </w:rPr>
        <w:t>, which were</w:t>
      </w:r>
      <w:r w:rsidR="00767394">
        <w:rPr>
          <w:rFonts w:cstheme="minorHAnsi"/>
        </w:rPr>
        <w:t xml:space="preserve"> from 1996 to 2018</w:t>
      </w:r>
      <w:r w:rsidR="00F51C60">
        <w:rPr>
          <w:rFonts w:cstheme="minorHAnsi"/>
        </w:rPr>
        <w:t>,</w:t>
      </w:r>
      <w:r w:rsidR="00767394">
        <w:rPr>
          <w:rFonts w:cstheme="minorHAnsi"/>
        </w:rPr>
        <w:t xml:space="preserve"> </w:t>
      </w:r>
      <w:proofErr w:type="gramStart"/>
      <w:r w:rsidR="00767394">
        <w:rPr>
          <w:rFonts w:cstheme="minorHAnsi"/>
        </w:rPr>
        <w:t>were based</w:t>
      </w:r>
      <w:proofErr w:type="gramEnd"/>
      <w:r w:rsidR="00767394">
        <w:rPr>
          <w:rFonts w:cstheme="minorHAnsi"/>
        </w:rPr>
        <w:t xml:space="preserve"> on her 1996 address. If she</w:t>
      </w:r>
      <w:r w:rsidR="00A93750">
        <w:rPr>
          <w:rFonts w:cstheme="minorHAnsi"/>
        </w:rPr>
        <w:t xml:space="preserve"> </w:t>
      </w:r>
      <w:proofErr w:type="gramStart"/>
      <w:r w:rsidR="00F51C60">
        <w:rPr>
          <w:rFonts w:cstheme="minorHAnsi"/>
        </w:rPr>
        <w:t>changed</w:t>
      </w:r>
      <w:proofErr w:type="gramEnd"/>
      <w:r w:rsidR="00F51C60">
        <w:rPr>
          <w:rFonts w:cstheme="minorHAnsi"/>
        </w:rPr>
        <w:t xml:space="preserve"> address</w:t>
      </w:r>
      <w:r w:rsidR="00767394">
        <w:rPr>
          <w:rFonts w:cstheme="minorHAnsi"/>
        </w:rPr>
        <w:t xml:space="preserve"> </w:t>
      </w:r>
      <w:r>
        <w:rPr>
          <w:rFonts w:cstheme="minorHAnsi"/>
        </w:rPr>
        <w:t xml:space="preserve">since </w:t>
      </w:r>
      <w:r w:rsidR="00A57979">
        <w:rPr>
          <w:rFonts w:cstheme="minorHAnsi"/>
        </w:rPr>
        <w:t xml:space="preserve">that time </w:t>
      </w:r>
      <w:r>
        <w:rPr>
          <w:rFonts w:cstheme="minorHAnsi"/>
        </w:rPr>
        <w:t xml:space="preserve">all </w:t>
      </w:r>
      <w:r w:rsidR="00767394">
        <w:rPr>
          <w:rFonts w:cstheme="minorHAnsi"/>
        </w:rPr>
        <w:t xml:space="preserve">the </w:t>
      </w:r>
      <w:r>
        <w:rPr>
          <w:rFonts w:cstheme="minorHAnsi"/>
        </w:rPr>
        <w:t xml:space="preserve">greenspace </w:t>
      </w:r>
      <w:r w:rsidR="00767394">
        <w:rPr>
          <w:rFonts w:cstheme="minorHAnsi"/>
        </w:rPr>
        <w:t xml:space="preserve">values will </w:t>
      </w:r>
      <w:r>
        <w:rPr>
          <w:rFonts w:cstheme="minorHAnsi"/>
        </w:rPr>
        <w:t>be based on a wrong address</w:t>
      </w:r>
      <w:r w:rsidR="00767394">
        <w:rPr>
          <w:rFonts w:cstheme="minorHAnsi"/>
        </w:rPr>
        <w:t xml:space="preserve"> for the years </w:t>
      </w:r>
      <w:r>
        <w:rPr>
          <w:rFonts w:cstheme="minorHAnsi"/>
        </w:rPr>
        <w:t>following her change of address</w:t>
      </w:r>
      <w:r w:rsidR="00767394">
        <w:rPr>
          <w:rFonts w:cstheme="minorHAnsi"/>
        </w:rPr>
        <w:t xml:space="preserve">. </w:t>
      </w:r>
    </w:p>
    <w:p w14:paraId="145525CA" w14:textId="77777777" w:rsidR="00A57979" w:rsidRDefault="00A57979" w:rsidP="00320775">
      <w:pPr>
        <w:spacing w:line="360" w:lineRule="auto"/>
        <w:rPr>
          <w:b/>
          <w:sz w:val="28"/>
          <w:szCs w:val="28"/>
        </w:rPr>
      </w:pPr>
    </w:p>
    <w:p w14:paraId="346A0954" w14:textId="7D3278E7" w:rsidR="000F57B3" w:rsidRPr="00DE7500" w:rsidRDefault="000F57B3" w:rsidP="00320775">
      <w:pPr>
        <w:spacing w:line="360" w:lineRule="auto"/>
        <w:rPr>
          <w:b/>
          <w:sz w:val="28"/>
          <w:szCs w:val="28"/>
        </w:rPr>
      </w:pPr>
      <w:r w:rsidRPr="000F57B3">
        <w:rPr>
          <w:b/>
          <w:sz w:val="28"/>
          <w:szCs w:val="28"/>
        </w:rPr>
        <w:t>Greenspace Variable List</w:t>
      </w:r>
    </w:p>
    <w:p w14:paraId="62F49A9A" w14:textId="77777777" w:rsidR="000F57B3" w:rsidRPr="00CF1486" w:rsidRDefault="000F57B3" w:rsidP="000F57B3">
      <w:pPr>
        <w:rPr>
          <w:b/>
        </w:rPr>
      </w:pPr>
      <w:r w:rsidRPr="00CF1486">
        <w:rPr>
          <w:b/>
        </w:rPr>
        <w:t xml:space="preserve">Data files </w:t>
      </w:r>
    </w:p>
    <w:p w14:paraId="5CDC03E6" w14:textId="77777777" w:rsidR="000F57B3" w:rsidRDefault="000F57B3" w:rsidP="000F57B3">
      <w:r>
        <w:t>There is a separate green space file for each ALSWH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F57B3" w14:paraId="17584086" w14:textId="77777777" w:rsidTr="000F57B3">
        <w:tc>
          <w:tcPr>
            <w:tcW w:w="3005" w:type="dxa"/>
            <w:tcBorders>
              <w:bottom w:val="single" w:sz="4" w:space="0" w:color="auto"/>
            </w:tcBorders>
          </w:tcPr>
          <w:p w14:paraId="7F8E755A" w14:textId="77777777" w:rsidR="000F57B3" w:rsidRDefault="000F57B3" w:rsidP="009E52F7">
            <w:r>
              <w:t>File name</w:t>
            </w:r>
          </w:p>
        </w:tc>
        <w:tc>
          <w:tcPr>
            <w:tcW w:w="3005" w:type="dxa"/>
            <w:tcBorders>
              <w:bottom w:val="single" w:sz="4" w:space="0" w:color="auto"/>
            </w:tcBorders>
          </w:tcPr>
          <w:p w14:paraId="173905FE" w14:textId="77777777" w:rsidR="000F57B3" w:rsidRDefault="000F57B3" w:rsidP="009E52F7">
            <w:r>
              <w:t>Number of Records</w:t>
            </w:r>
          </w:p>
        </w:tc>
        <w:tc>
          <w:tcPr>
            <w:tcW w:w="3006" w:type="dxa"/>
            <w:tcBorders>
              <w:bottom w:val="single" w:sz="4" w:space="0" w:color="auto"/>
            </w:tcBorders>
          </w:tcPr>
          <w:p w14:paraId="01A7A457" w14:textId="77777777" w:rsidR="000F57B3" w:rsidRDefault="000F57B3" w:rsidP="009E52F7">
            <w:r>
              <w:t>Cohort</w:t>
            </w:r>
          </w:p>
        </w:tc>
      </w:tr>
      <w:tr w:rsidR="000F57B3" w14:paraId="438C8583" w14:textId="77777777" w:rsidTr="000F57B3">
        <w:tc>
          <w:tcPr>
            <w:tcW w:w="3005" w:type="dxa"/>
            <w:tcBorders>
              <w:top w:val="single" w:sz="4" w:space="0" w:color="auto"/>
            </w:tcBorders>
          </w:tcPr>
          <w:p w14:paraId="2FB020E2" w14:textId="77777777" w:rsidR="000F57B3" w:rsidRPr="005A4976" w:rsidRDefault="000F57B3" w:rsidP="009E52F7">
            <w:proofErr w:type="spellStart"/>
            <w:r w:rsidRPr="005A4976">
              <w:t>GreenSpaceOLD</w:t>
            </w:r>
            <w:proofErr w:type="spellEnd"/>
          </w:p>
        </w:tc>
        <w:tc>
          <w:tcPr>
            <w:tcW w:w="3005" w:type="dxa"/>
            <w:tcBorders>
              <w:top w:val="single" w:sz="4" w:space="0" w:color="auto"/>
            </w:tcBorders>
          </w:tcPr>
          <w:p w14:paraId="12EA5908" w14:textId="77777777" w:rsidR="000F57B3" w:rsidRDefault="000F57B3" w:rsidP="009E52F7">
            <w:r>
              <w:t>12,432</w:t>
            </w:r>
          </w:p>
        </w:tc>
        <w:tc>
          <w:tcPr>
            <w:tcW w:w="3006" w:type="dxa"/>
            <w:tcBorders>
              <w:top w:val="single" w:sz="4" w:space="0" w:color="auto"/>
            </w:tcBorders>
          </w:tcPr>
          <w:p w14:paraId="43663859" w14:textId="77777777" w:rsidR="000F57B3" w:rsidRDefault="000F57B3" w:rsidP="009E52F7">
            <w:r>
              <w:t>1921-26</w:t>
            </w:r>
          </w:p>
        </w:tc>
      </w:tr>
      <w:tr w:rsidR="000F57B3" w14:paraId="5F653462" w14:textId="77777777" w:rsidTr="000F57B3">
        <w:tc>
          <w:tcPr>
            <w:tcW w:w="3005" w:type="dxa"/>
          </w:tcPr>
          <w:p w14:paraId="00EAC637" w14:textId="77777777" w:rsidR="000F57B3" w:rsidRPr="005A4976" w:rsidRDefault="000F57B3" w:rsidP="009E52F7">
            <w:proofErr w:type="spellStart"/>
            <w:r w:rsidRPr="005A4976">
              <w:t>GreenSpaceMID</w:t>
            </w:r>
            <w:proofErr w:type="spellEnd"/>
          </w:p>
        </w:tc>
        <w:tc>
          <w:tcPr>
            <w:tcW w:w="3005" w:type="dxa"/>
          </w:tcPr>
          <w:p w14:paraId="49C2D45E" w14:textId="77777777" w:rsidR="000F57B3" w:rsidRDefault="000F57B3" w:rsidP="009E52F7">
            <w:r>
              <w:t>13,712</w:t>
            </w:r>
          </w:p>
        </w:tc>
        <w:tc>
          <w:tcPr>
            <w:tcW w:w="3006" w:type="dxa"/>
          </w:tcPr>
          <w:p w14:paraId="5259F051" w14:textId="77777777" w:rsidR="000F57B3" w:rsidRDefault="000F57B3" w:rsidP="009E52F7">
            <w:r>
              <w:t>1946-51</w:t>
            </w:r>
          </w:p>
        </w:tc>
      </w:tr>
      <w:tr w:rsidR="000F57B3" w14:paraId="57548B58" w14:textId="77777777" w:rsidTr="000F57B3">
        <w:tc>
          <w:tcPr>
            <w:tcW w:w="3005" w:type="dxa"/>
          </w:tcPr>
          <w:p w14:paraId="48976F17" w14:textId="77777777" w:rsidR="000F57B3" w:rsidRPr="005A4976" w:rsidRDefault="000F57B3" w:rsidP="009E52F7">
            <w:proofErr w:type="spellStart"/>
            <w:r w:rsidRPr="005A4976">
              <w:t>GreenSpaceYNG</w:t>
            </w:r>
            <w:proofErr w:type="spellEnd"/>
          </w:p>
        </w:tc>
        <w:tc>
          <w:tcPr>
            <w:tcW w:w="3005" w:type="dxa"/>
          </w:tcPr>
          <w:p w14:paraId="748D96E0" w14:textId="77777777" w:rsidR="000F57B3" w:rsidRDefault="000F57B3" w:rsidP="009E52F7">
            <w:r>
              <w:t>14,245</w:t>
            </w:r>
          </w:p>
        </w:tc>
        <w:tc>
          <w:tcPr>
            <w:tcW w:w="3006" w:type="dxa"/>
          </w:tcPr>
          <w:p w14:paraId="76E20130" w14:textId="77777777" w:rsidR="000F57B3" w:rsidRDefault="000F57B3" w:rsidP="009E52F7">
            <w:r>
              <w:t>1973-78</w:t>
            </w:r>
          </w:p>
        </w:tc>
      </w:tr>
      <w:tr w:rsidR="000F57B3" w14:paraId="57E80A8E" w14:textId="77777777" w:rsidTr="000F57B3">
        <w:tc>
          <w:tcPr>
            <w:tcW w:w="3005" w:type="dxa"/>
          </w:tcPr>
          <w:p w14:paraId="61728103" w14:textId="77777777" w:rsidR="000F57B3" w:rsidRDefault="000F57B3" w:rsidP="009E52F7">
            <w:proofErr w:type="spellStart"/>
            <w:r w:rsidRPr="005A4976">
              <w:t>GreenSpaceNYC</w:t>
            </w:r>
            <w:proofErr w:type="spellEnd"/>
          </w:p>
        </w:tc>
        <w:tc>
          <w:tcPr>
            <w:tcW w:w="3005" w:type="dxa"/>
          </w:tcPr>
          <w:p w14:paraId="00CC4C53" w14:textId="77777777" w:rsidR="000F57B3" w:rsidRDefault="000F57B3" w:rsidP="009E52F7">
            <w:r>
              <w:t>16,957</w:t>
            </w:r>
          </w:p>
        </w:tc>
        <w:tc>
          <w:tcPr>
            <w:tcW w:w="3006" w:type="dxa"/>
          </w:tcPr>
          <w:p w14:paraId="3898C5C6" w14:textId="77777777" w:rsidR="000F57B3" w:rsidRDefault="000F57B3" w:rsidP="009E52F7">
            <w:r>
              <w:t>1989-95</w:t>
            </w:r>
          </w:p>
        </w:tc>
      </w:tr>
    </w:tbl>
    <w:p w14:paraId="7BE9D5C7" w14:textId="77777777" w:rsidR="000F57B3" w:rsidRDefault="000F57B3" w:rsidP="000F57B3"/>
    <w:p w14:paraId="54BB3E95" w14:textId="268B3D6D" w:rsidR="000F57B3" w:rsidRDefault="000F57B3" w:rsidP="000F57B3">
      <w:r>
        <w:t>Each file has one record for each ALSWH woman in the cohort for whom we had an address</w:t>
      </w:r>
      <w:r w:rsidR="005727E9">
        <w:t xml:space="preserve">. </w:t>
      </w:r>
    </w:p>
    <w:p w14:paraId="2E5CCDBF" w14:textId="77777777" w:rsidR="000F57B3" w:rsidRDefault="000F57B3" w:rsidP="000F57B3"/>
    <w:p w14:paraId="394DD647" w14:textId="77777777" w:rsidR="000F57B3" w:rsidRDefault="000F57B3" w:rsidP="000F57B3">
      <w:r>
        <w:t>Each file has these variables:</w:t>
      </w:r>
    </w:p>
    <w:p w14:paraId="7A223CFA" w14:textId="77777777" w:rsidR="000F57B3" w:rsidRPr="00826A31" w:rsidRDefault="000F57B3" w:rsidP="000F57B3">
      <w:pPr>
        <w:rPr>
          <w:b/>
        </w:rPr>
      </w:pPr>
      <w:proofErr w:type="spellStart"/>
      <w:r w:rsidRPr="00826A31">
        <w:rPr>
          <w:b/>
        </w:rPr>
        <w:t>IDalias</w:t>
      </w:r>
      <w:proofErr w:type="spellEnd"/>
      <w:r w:rsidRPr="00826A31">
        <w:rPr>
          <w:b/>
        </w:rPr>
        <w:t xml:space="preserve"> </w:t>
      </w:r>
    </w:p>
    <w:p w14:paraId="0E8A4533" w14:textId="3EE3A17C" w:rsidR="000F57B3" w:rsidRDefault="000F57B3" w:rsidP="000F57B3">
      <w:r w:rsidRPr="00826A31">
        <w:rPr>
          <w:b/>
        </w:rPr>
        <w:t>Cohort</w:t>
      </w:r>
      <w:r>
        <w:t xml:space="preserve"> indicator: YNG, MID, OLD, NYC</w:t>
      </w:r>
    </w:p>
    <w:p w14:paraId="3DB6E405" w14:textId="5535D011" w:rsidR="00F51C60" w:rsidRDefault="00F51C60" w:rsidP="000F57B3">
      <w:proofErr w:type="spellStart"/>
      <w:proofErr w:type="gramStart"/>
      <w:r w:rsidRPr="00F51C60">
        <w:rPr>
          <w:b/>
        </w:rPr>
        <w:t>SurveyAddress</w:t>
      </w:r>
      <w:r w:rsidR="00704E43">
        <w:rPr>
          <w:b/>
        </w:rPr>
        <w:t>Indicator</w:t>
      </w:r>
      <w:proofErr w:type="spellEnd"/>
      <w:r>
        <w:t xml:space="preserve"> :</w:t>
      </w:r>
      <w:proofErr w:type="gramEnd"/>
      <w:r>
        <w:t xml:space="preserve"> A string </w:t>
      </w:r>
      <w:r w:rsidR="00A93750">
        <w:t xml:space="preserve">variable </w:t>
      </w:r>
      <w:r w:rsidR="0098707D">
        <w:t xml:space="preserve">indicating </w:t>
      </w:r>
      <w:r>
        <w:t xml:space="preserve">all the waves/ surveys for which we had an address. </w:t>
      </w:r>
    </w:p>
    <w:p w14:paraId="698D6B19" w14:textId="77777777" w:rsidR="000F57B3" w:rsidRPr="00356050" w:rsidRDefault="000F57B3" w:rsidP="000F57B3">
      <w:pPr>
        <w:rPr>
          <w:b/>
        </w:rPr>
      </w:pPr>
      <w:r>
        <w:rPr>
          <w:rFonts w:cstheme="minorHAnsi"/>
          <w:b/>
        </w:rPr>
        <w:t>N</w:t>
      </w:r>
      <w:r w:rsidRPr="00CB1711">
        <w:rPr>
          <w:rFonts w:cstheme="minorHAnsi"/>
          <w:b/>
        </w:rPr>
        <w:t>on-photosynthetic vegetation</w:t>
      </w:r>
      <w:r>
        <w:rPr>
          <w:rFonts w:cstheme="minorHAnsi"/>
        </w:rPr>
        <w:t xml:space="preserve"> </w:t>
      </w:r>
      <w:r w:rsidRPr="00356050">
        <w:rPr>
          <w:b/>
        </w:rPr>
        <w:t>Fractional Cover</w:t>
      </w:r>
      <w:r>
        <w:rPr>
          <w:b/>
        </w:rPr>
        <w:t xml:space="preserve"> (FC_NP)</w:t>
      </w:r>
    </w:p>
    <w:p w14:paraId="71529969" w14:textId="77777777" w:rsidR="000F57B3" w:rsidRDefault="000F57B3" w:rsidP="000F57B3">
      <w:r>
        <w:t xml:space="preserve">These are annually from 1994 to 2015 inclusive. For each of these years there are four buffer radii – 1000m, 100m, 3000, 500m. </w:t>
      </w:r>
    </w:p>
    <w:p w14:paraId="08D4509A" w14:textId="77777777" w:rsidR="000F57B3" w:rsidRDefault="000F57B3" w:rsidP="000F57B3">
      <w:pPr>
        <w:pStyle w:val="ListParagraph"/>
        <w:numPr>
          <w:ilvl w:val="0"/>
          <w:numId w:val="4"/>
        </w:numPr>
      </w:pPr>
      <w:r>
        <w:t xml:space="preserve">FC_NP_Annual_1000m_1994 - FC_NP_Annual_1000m_2015  </w:t>
      </w:r>
    </w:p>
    <w:p w14:paraId="5424D65F" w14:textId="77777777" w:rsidR="000F57B3" w:rsidRDefault="000F57B3" w:rsidP="000F57B3">
      <w:pPr>
        <w:pStyle w:val="ListParagraph"/>
        <w:numPr>
          <w:ilvl w:val="0"/>
          <w:numId w:val="4"/>
        </w:numPr>
      </w:pPr>
      <w:r>
        <w:t xml:space="preserve">FC_NP_Annual_100m_1994 - FC_NP_Annual_100m_2015  </w:t>
      </w:r>
    </w:p>
    <w:p w14:paraId="2440DDB8" w14:textId="77777777" w:rsidR="000F57B3" w:rsidRDefault="000F57B3" w:rsidP="000F57B3">
      <w:pPr>
        <w:pStyle w:val="ListParagraph"/>
        <w:numPr>
          <w:ilvl w:val="0"/>
          <w:numId w:val="4"/>
        </w:numPr>
      </w:pPr>
      <w:r>
        <w:t xml:space="preserve">FC_NP_Annual_3000m_1994 - FC_NP_Annual_3000m_2015  </w:t>
      </w:r>
    </w:p>
    <w:p w14:paraId="6786A233" w14:textId="77777777" w:rsidR="000F57B3" w:rsidRDefault="000F57B3" w:rsidP="000F57B3">
      <w:pPr>
        <w:pStyle w:val="ListParagraph"/>
        <w:numPr>
          <w:ilvl w:val="0"/>
          <w:numId w:val="4"/>
        </w:numPr>
      </w:pPr>
      <w:r>
        <w:t xml:space="preserve">FC_NP_Annual_500m_1994 - FC_NP_Annual_500m_2015  </w:t>
      </w:r>
    </w:p>
    <w:p w14:paraId="33096DDF" w14:textId="77777777" w:rsidR="000F57B3" w:rsidRDefault="000F57B3" w:rsidP="000F57B3"/>
    <w:p w14:paraId="0BC8DAB5" w14:textId="77777777" w:rsidR="000F57B3" w:rsidRDefault="000F57B3" w:rsidP="000F57B3">
      <w:pPr>
        <w:rPr>
          <w:rFonts w:cstheme="minorHAnsi"/>
          <w:b/>
          <w:bCs/>
        </w:rPr>
      </w:pPr>
      <w:r w:rsidRPr="00240C16">
        <w:rPr>
          <w:rFonts w:cstheme="minorHAnsi"/>
          <w:b/>
          <w:bCs/>
        </w:rPr>
        <w:t>Normalized difference vegetation Index</w:t>
      </w:r>
      <w:r>
        <w:rPr>
          <w:rFonts w:cstheme="minorHAnsi"/>
          <w:b/>
          <w:bCs/>
        </w:rPr>
        <w:t xml:space="preserve"> (NDVI)</w:t>
      </w:r>
    </w:p>
    <w:p w14:paraId="337B0B4D" w14:textId="77777777" w:rsidR="000F57B3" w:rsidRDefault="000F57B3" w:rsidP="000F57B3">
      <w:r>
        <w:t xml:space="preserve">These are annually from 1994 to 2018 inclusive. For each of these years there are four buffer radii – 1000m, 100m, 3000, 500m. </w:t>
      </w:r>
    </w:p>
    <w:p w14:paraId="126D4FA2" w14:textId="77777777" w:rsidR="000F57B3" w:rsidRDefault="000F57B3" w:rsidP="000F57B3">
      <w:pPr>
        <w:pStyle w:val="ListParagraph"/>
        <w:numPr>
          <w:ilvl w:val="0"/>
          <w:numId w:val="5"/>
        </w:numPr>
      </w:pPr>
      <w:r>
        <w:t xml:space="preserve">NDVI_Annual_1000m_1994 - NDVI_Annual_1000m_2018  </w:t>
      </w:r>
    </w:p>
    <w:p w14:paraId="0694B858" w14:textId="77777777" w:rsidR="000F57B3" w:rsidRDefault="000F57B3" w:rsidP="000F57B3">
      <w:pPr>
        <w:pStyle w:val="ListParagraph"/>
        <w:numPr>
          <w:ilvl w:val="0"/>
          <w:numId w:val="5"/>
        </w:numPr>
      </w:pPr>
      <w:r>
        <w:t xml:space="preserve">NDVI_Annual_100m_1994 - NDVI_Annual_100m_2018  </w:t>
      </w:r>
    </w:p>
    <w:p w14:paraId="1270CE2E" w14:textId="77777777" w:rsidR="000F57B3" w:rsidRDefault="000F57B3" w:rsidP="000F57B3">
      <w:pPr>
        <w:pStyle w:val="ListParagraph"/>
        <w:numPr>
          <w:ilvl w:val="0"/>
          <w:numId w:val="5"/>
        </w:numPr>
      </w:pPr>
      <w:r>
        <w:t xml:space="preserve">NDVI_Annual_3000m_1994 - NDVI_Annual_3000m_2018  </w:t>
      </w:r>
    </w:p>
    <w:p w14:paraId="0CA275C2" w14:textId="77777777" w:rsidR="000F57B3" w:rsidRDefault="000F57B3" w:rsidP="000F57B3">
      <w:pPr>
        <w:pStyle w:val="ListParagraph"/>
        <w:numPr>
          <w:ilvl w:val="0"/>
          <w:numId w:val="5"/>
        </w:numPr>
      </w:pPr>
      <w:r>
        <w:t xml:space="preserve">NDVI_Annual_500m_1994 - NDVI_Annual_500m_2018  </w:t>
      </w:r>
    </w:p>
    <w:p w14:paraId="21A4950A" w14:textId="110E4D18" w:rsidR="000F57B3" w:rsidRDefault="000F57B3" w:rsidP="000F57B3">
      <w:pPr>
        <w:rPr>
          <w:b/>
        </w:rPr>
      </w:pPr>
    </w:p>
    <w:p w14:paraId="4F8C4C0C" w14:textId="44AFA6F3" w:rsidR="000F57B3" w:rsidRPr="001A6857" w:rsidRDefault="000F57B3" w:rsidP="000F57B3">
      <w:pPr>
        <w:rPr>
          <w:b/>
        </w:rPr>
      </w:pPr>
      <w:r w:rsidRPr="001A6857">
        <w:rPr>
          <w:b/>
        </w:rPr>
        <w:t>Parkland Percentage</w:t>
      </w:r>
    </w:p>
    <w:p w14:paraId="544E4784" w14:textId="77777777" w:rsidR="000F57B3" w:rsidRDefault="000F57B3" w:rsidP="000F57B3">
      <w:r>
        <w:t xml:space="preserve">Parkland Percentage </w:t>
      </w:r>
      <w:proofErr w:type="gramStart"/>
      <w:r>
        <w:t>was recorded</w:t>
      </w:r>
      <w:proofErr w:type="gramEnd"/>
      <w:r>
        <w:t xml:space="preserve"> at 2011 and 2016 only. For each of these years there are four buffer radii – 1000m, 100m, 3000, 500m. </w:t>
      </w:r>
    </w:p>
    <w:p w14:paraId="5A1A8704" w14:textId="77777777" w:rsidR="000F57B3" w:rsidRPr="007A1CF8" w:rsidRDefault="000F57B3" w:rsidP="000F57B3">
      <w:pPr>
        <w:pStyle w:val="ListParagraph"/>
        <w:numPr>
          <w:ilvl w:val="0"/>
          <w:numId w:val="7"/>
        </w:numPr>
        <w:rPr>
          <w:i/>
        </w:rPr>
      </w:pPr>
      <w:r>
        <w:t>Parkland_Percentage_1000m_2011, Parkland_Percentage_1000m_2016</w:t>
      </w:r>
    </w:p>
    <w:p w14:paraId="46BA8C27" w14:textId="77777777" w:rsidR="000F57B3" w:rsidRDefault="000F57B3" w:rsidP="000F57B3">
      <w:pPr>
        <w:pStyle w:val="ListParagraph"/>
        <w:numPr>
          <w:ilvl w:val="0"/>
          <w:numId w:val="7"/>
        </w:numPr>
        <w:rPr>
          <w:i/>
        </w:rPr>
      </w:pPr>
      <w:r>
        <w:lastRenderedPageBreak/>
        <w:t>Parkland_Percentage_100m_2011, Parkland_Percentage_100m_2016</w:t>
      </w:r>
    </w:p>
    <w:p w14:paraId="7D9F9CFD" w14:textId="77777777" w:rsidR="000F57B3" w:rsidRPr="007A1CF8" w:rsidRDefault="000F57B3" w:rsidP="000F57B3">
      <w:pPr>
        <w:pStyle w:val="ListParagraph"/>
        <w:numPr>
          <w:ilvl w:val="0"/>
          <w:numId w:val="7"/>
        </w:numPr>
        <w:rPr>
          <w:i/>
        </w:rPr>
      </w:pPr>
      <w:r>
        <w:t>Parkland_Percentage_3000m_2011, Parkland_Percentage_3000m_2016</w:t>
      </w:r>
    </w:p>
    <w:p w14:paraId="6F569A88" w14:textId="77777777" w:rsidR="000F57B3" w:rsidRPr="007A1CF8" w:rsidRDefault="000F57B3" w:rsidP="000F57B3">
      <w:pPr>
        <w:pStyle w:val="ListParagraph"/>
        <w:numPr>
          <w:ilvl w:val="0"/>
          <w:numId w:val="7"/>
        </w:numPr>
        <w:rPr>
          <w:i/>
        </w:rPr>
      </w:pPr>
      <w:r>
        <w:t>Parkland_Percentage_500m_2011, Parkland_Percentage_500m_2016</w:t>
      </w:r>
    </w:p>
    <w:p w14:paraId="687340B9" w14:textId="77777777" w:rsidR="000F57B3" w:rsidRDefault="000F57B3" w:rsidP="000F57B3">
      <w:pPr>
        <w:rPr>
          <w:b/>
        </w:rPr>
      </w:pPr>
    </w:p>
    <w:p w14:paraId="2886FA03" w14:textId="77777777" w:rsidR="000F57B3" w:rsidRPr="001A6857" w:rsidRDefault="000F57B3" w:rsidP="000F57B3">
      <w:pPr>
        <w:rPr>
          <w:b/>
        </w:rPr>
      </w:pPr>
      <w:r w:rsidRPr="001A6857">
        <w:rPr>
          <w:b/>
        </w:rPr>
        <w:t>Buffer Areas</w:t>
      </w:r>
    </w:p>
    <w:p w14:paraId="5D3201C8" w14:textId="77777777" w:rsidR="000F57B3" w:rsidRDefault="000F57B3" w:rsidP="000F57B3">
      <w:r>
        <w:t>These are constant values showing the area for each buffer.</w:t>
      </w:r>
    </w:p>
    <w:p w14:paraId="627B3470" w14:textId="7709AC34" w:rsidR="000F57B3" w:rsidRDefault="000F57B3" w:rsidP="006C07E7">
      <w:pPr>
        <w:pStyle w:val="ListParagraph"/>
        <w:numPr>
          <w:ilvl w:val="0"/>
          <w:numId w:val="6"/>
        </w:numPr>
      </w:pPr>
      <w:r>
        <w:t>Buffer_Area_1000m</w:t>
      </w:r>
      <w:r w:rsidR="006C07E7">
        <w:t xml:space="preserve">   (</w:t>
      </w:r>
      <w:r w:rsidR="006C07E7" w:rsidRPr="006C07E7">
        <w:t>3.141177001</w:t>
      </w:r>
      <w:r w:rsidR="006C07E7">
        <w:t>)</w:t>
      </w:r>
    </w:p>
    <w:p w14:paraId="2B97A446" w14:textId="30286F13" w:rsidR="000F57B3" w:rsidRDefault="000F57B3" w:rsidP="006C07E7">
      <w:pPr>
        <w:pStyle w:val="ListParagraph"/>
        <w:numPr>
          <w:ilvl w:val="0"/>
          <w:numId w:val="6"/>
        </w:numPr>
      </w:pPr>
      <w:r>
        <w:t>Buffer_Area_3000m</w:t>
      </w:r>
      <w:r w:rsidR="006C07E7">
        <w:t xml:space="preserve">   (</w:t>
      </w:r>
      <w:r w:rsidR="006C07E7" w:rsidRPr="006C07E7">
        <w:t>28.26183592</w:t>
      </w:r>
      <w:r w:rsidR="006C07E7">
        <w:t>)</w:t>
      </w:r>
    </w:p>
    <w:p w14:paraId="7385E75F" w14:textId="68B6A57A" w:rsidR="000F57B3" w:rsidRDefault="000F57B3" w:rsidP="006C07E7">
      <w:pPr>
        <w:pStyle w:val="ListParagraph"/>
        <w:numPr>
          <w:ilvl w:val="0"/>
          <w:numId w:val="6"/>
        </w:numPr>
      </w:pPr>
      <w:r>
        <w:t>Buffer_Area_500m</w:t>
      </w:r>
      <w:r w:rsidR="006C07E7">
        <w:t xml:space="preserve">      (</w:t>
      </w:r>
      <w:r w:rsidR="006C07E7" w:rsidRPr="006C07E7">
        <w:t>0.785191165</w:t>
      </w:r>
      <w:r w:rsidR="006C07E7">
        <w:t>)</w:t>
      </w:r>
    </w:p>
    <w:p w14:paraId="160B1174" w14:textId="65445DCE" w:rsidR="0053041A" w:rsidRDefault="0053041A" w:rsidP="00606AAB"/>
    <w:p w14:paraId="0ACF8BCB" w14:textId="6E44BE48" w:rsidR="00606AAB" w:rsidRPr="00606AAB" w:rsidRDefault="00606AAB" w:rsidP="00606AAB">
      <w:pPr>
        <w:rPr>
          <w:b/>
        </w:rPr>
      </w:pPr>
      <w:r w:rsidRPr="00606AAB">
        <w:rPr>
          <w:b/>
        </w:rPr>
        <w:t>Accuracy</w:t>
      </w:r>
    </w:p>
    <w:p w14:paraId="4EF918E8" w14:textId="5A5B6F9A" w:rsidR="006C07E7" w:rsidRDefault="006C07E7" w:rsidP="000F57B3">
      <w:r>
        <w:t xml:space="preserve">There </w:t>
      </w:r>
      <w:r w:rsidR="00246641">
        <w:t>are</w:t>
      </w:r>
      <w:r>
        <w:t xml:space="preserve"> accuracy value</w:t>
      </w:r>
      <w:r w:rsidR="00246641">
        <w:t>s</w:t>
      </w:r>
      <w:r>
        <w:t xml:space="preserve"> for each survey wave </w:t>
      </w:r>
      <w:r w:rsidR="00246641">
        <w:t xml:space="preserve">for which we have </w:t>
      </w:r>
      <w:r>
        <w:t>greenspace data.</w:t>
      </w:r>
    </w:p>
    <w:p w14:paraId="63D9B4E2" w14:textId="3FF5ACF5" w:rsidR="000F57B3" w:rsidRDefault="006C07E7" w:rsidP="006C07E7">
      <w:pPr>
        <w:pStyle w:val="ListParagraph"/>
        <w:numPr>
          <w:ilvl w:val="0"/>
          <w:numId w:val="10"/>
        </w:numPr>
      </w:pPr>
      <w:r>
        <w:t xml:space="preserve">1946-51 cohort </w:t>
      </w:r>
      <w:r>
        <w:tab/>
      </w:r>
      <w:r>
        <w:tab/>
        <w:t xml:space="preserve">AccuracyW1 – AccuracyW8 </w:t>
      </w:r>
    </w:p>
    <w:p w14:paraId="4068AFAA" w14:textId="56DFE3E2" w:rsidR="006C07E7" w:rsidRDefault="006C07E7" w:rsidP="006C07E7">
      <w:pPr>
        <w:pStyle w:val="ListParagraph"/>
        <w:numPr>
          <w:ilvl w:val="0"/>
          <w:numId w:val="10"/>
        </w:numPr>
      </w:pPr>
      <w:r>
        <w:t xml:space="preserve">1921-26 cohort </w:t>
      </w:r>
      <w:r>
        <w:tab/>
      </w:r>
      <w:r>
        <w:tab/>
        <w:t>AccuracyW1 – AccuracyW19</w:t>
      </w:r>
    </w:p>
    <w:p w14:paraId="472C8B4D" w14:textId="0F32CE03" w:rsidR="006C07E7" w:rsidRDefault="006C07E7" w:rsidP="006C07E7">
      <w:pPr>
        <w:pStyle w:val="ListParagraph"/>
        <w:numPr>
          <w:ilvl w:val="0"/>
          <w:numId w:val="10"/>
        </w:numPr>
      </w:pPr>
      <w:r>
        <w:t xml:space="preserve">1973-78 cohort </w:t>
      </w:r>
      <w:r>
        <w:tab/>
      </w:r>
      <w:r>
        <w:tab/>
        <w:t xml:space="preserve">AccuracyW1 – AccuracyW8 </w:t>
      </w:r>
    </w:p>
    <w:p w14:paraId="2B15F779" w14:textId="2EAD0DC3" w:rsidR="006C07E7" w:rsidRDefault="006C07E7" w:rsidP="006C07E7">
      <w:pPr>
        <w:pStyle w:val="ListParagraph"/>
        <w:numPr>
          <w:ilvl w:val="0"/>
          <w:numId w:val="10"/>
        </w:numPr>
      </w:pPr>
      <w:r>
        <w:t xml:space="preserve">1989-95 cohort </w:t>
      </w:r>
      <w:r>
        <w:tab/>
      </w:r>
      <w:r>
        <w:tab/>
        <w:t xml:space="preserve">AccuracyW1 – AccuracyW5 </w:t>
      </w:r>
    </w:p>
    <w:p w14:paraId="5B94293C" w14:textId="77777777" w:rsidR="006444C1" w:rsidRDefault="006444C1" w:rsidP="000F57B3">
      <w:pPr>
        <w:spacing w:line="360" w:lineRule="auto"/>
        <w:rPr>
          <w:rFonts w:cstheme="minorHAnsi"/>
          <w:b/>
          <w:bCs/>
          <w:sz w:val="32"/>
          <w:szCs w:val="32"/>
        </w:rPr>
      </w:pPr>
    </w:p>
    <w:p w14:paraId="3B9A24BE" w14:textId="0401FEAF" w:rsidR="000F57B3" w:rsidRPr="00320775" w:rsidRDefault="000F57B3" w:rsidP="000F57B3">
      <w:pPr>
        <w:spacing w:line="360" w:lineRule="auto"/>
        <w:rPr>
          <w:rFonts w:cstheme="minorHAnsi"/>
          <w:b/>
          <w:bCs/>
          <w:sz w:val="32"/>
          <w:szCs w:val="32"/>
        </w:rPr>
      </w:pPr>
      <w:r w:rsidRPr="00320775">
        <w:rPr>
          <w:rFonts w:cstheme="minorHAnsi"/>
          <w:b/>
          <w:bCs/>
          <w:sz w:val="32"/>
          <w:szCs w:val="32"/>
        </w:rPr>
        <w:t>References</w:t>
      </w:r>
    </w:p>
    <w:p w14:paraId="07F53435" w14:textId="04B4157B" w:rsidR="001546D2" w:rsidRPr="00DE7500" w:rsidRDefault="001546D2" w:rsidP="000F57B3">
      <w:pPr>
        <w:pStyle w:val="ListParagraph"/>
        <w:numPr>
          <w:ilvl w:val="0"/>
          <w:numId w:val="3"/>
        </w:numPr>
        <w:spacing w:line="360" w:lineRule="auto"/>
        <w:rPr>
          <w:rFonts w:cstheme="minorHAnsi"/>
          <w:bCs/>
        </w:rPr>
      </w:pPr>
      <w:proofErr w:type="spellStart"/>
      <w:r w:rsidRPr="00DE7500">
        <w:rPr>
          <w:rFonts w:cstheme="minorHAnsi"/>
          <w:bCs/>
        </w:rPr>
        <w:t>Jinru</w:t>
      </w:r>
      <w:proofErr w:type="spellEnd"/>
      <w:r w:rsidRPr="00DE7500">
        <w:rPr>
          <w:rFonts w:cstheme="minorHAnsi"/>
          <w:bCs/>
        </w:rPr>
        <w:t xml:space="preserve">, X. and S. </w:t>
      </w:r>
      <w:proofErr w:type="spellStart"/>
      <w:r w:rsidRPr="00DE7500">
        <w:rPr>
          <w:rFonts w:cstheme="minorHAnsi"/>
          <w:bCs/>
        </w:rPr>
        <w:t>Baofeng</w:t>
      </w:r>
      <w:proofErr w:type="spellEnd"/>
      <w:r w:rsidRPr="00DE7500">
        <w:rPr>
          <w:rFonts w:cstheme="minorHAnsi"/>
          <w:bCs/>
        </w:rPr>
        <w:t>. (2017). Significant Remote Sensing Vegetation Indices: A Review of Developments and Applications. Journal of sensors. vol. 2017.</w:t>
      </w:r>
    </w:p>
    <w:p w14:paraId="2380540F" w14:textId="158E1CD7" w:rsidR="000F57B3" w:rsidRPr="00053E56" w:rsidRDefault="000F57B3" w:rsidP="000F57B3">
      <w:pPr>
        <w:pStyle w:val="ListParagraph"/>
        <w:numPr>
          <w:ilvl w:val="0"/>
          <w:numId w:val="3"/>
        </w:numPr>
        <w:spacing w:line="360" w:lineRule="auto"/>
        <w:rPr>
          <w:rFonts w:cstheme="minorHAnsi"/>
          <w:b/>
          <w:bCs/>
        </w:rPr>
      </w:pPr>
      <w:r w:rsidRPr="00240C16">
        <w:rPr>
          <w:rFonts w:cstheme="minorHAnsi"/>
          <w:color w:val="242424"/>
        </w:rPr>
        <w:lastRenderedPageBreak/>
        <w:t xml:space="preserve">TERN </w:t>
      </w:r>
      <w:proofErr w:type="spellStart"/>
      <w:r w:rsidRPr="00240C16">
        <w:rPr>
          <w:rFonts w:cstheme="minorHAnsi"/>
          <w:color w:val="242424"/>
        </w:rPr>
        <w:t>AusCover</w:t>
      </w:r>
      <w:proofErr w:type="spellEnd"/>
      <w:r w:rsidRPr="00240C16">
        <w:rPr>
          <w:rFonts w:cstheme="minorHAnsi"/>
          <w:color w:val="242424"/>
        </w:rPr>
        <w:t xml:space="preserve">. (2020). Seasonal fractional cover - Landsat, JRSRP algorithm, Australia coverage. Obtained from </w:t>
      </w:r>
      <w:hyperlink r:id="rId7" w:anchor="Comments" w:history="1">
        <w:r w:rsidRPr="00240C16">
          <w:rPr>
            <w:rStyle w:val="Hyperlink"/>
            <w:rFonts w:cstheme="minorHAnsi"/>
          </w:rPr>
          <w:t>http://data.auscover.org.au/xwiki/bin/view/Product+pages/Landsat+Seasonal+Fractional+Cover#Comments</w:t>
        </w:r>
      </w:hyperlink>
      <w:r w:rsidRPr="00240C16">
        <w:rPr>
          <w:rFonts w:cstheme="minorHAnsi"/>
          <w:color w:val="242424"/>
        </w:rPr>
        <w:t xml:space="preserve"> , made available by the </w:t>
      </w:r>
      <w:proofErr w:type="spellStart"/>
      <w:r w:rsidRPr="00240C16">
        <w:rPr>
          <w:rFonts w:cstheme="minorHAnsi"/>
          <w:color w:val="242424"/>
        </w:rPr>
        <w:t>AusCover</w:t>
      </w:r>
      <w:proofErr w:type="spellEnd"/>
      <w:r w:rsidRPr="00240C16">
        <w:rPr>
          <w:rFonts w:cstheme="minorHAnsi"/>
          <w:color w:val="242424"/>
        </w:rPr>
        <w:t xml:space="preserve"> facility (</w:t>
      </w:r>
      <w:hyperlink r:id="rId8" w:history="1">
        <w:r w:rsidRPr="00240C16">
          <w:rPr>
            <w:rStyle w:val="Hyperlink"/>
            <w:rFonts w:cstheme="minorHAnsi"/>
            <w:color w:val="AE552A"/>
          </w:rPr>
          <w:t>http://www.auscover.org.au</w:t>
        </w:r>
      </w:hyperlink>
      <w:r w:rsidRPr="00240C16">
        <w:rPr>
          <w:rFonts w:cstheme="minorHAnsi"/>
          <w:color w:val="242424"/>
        </w:rPr>
        <w:t>) of the Terrestrial Ecosystem Research Network (TERN, </w:t>
      </w:r>
      <w:hyperlink r:id="rId9" w:history="1">
        <w:r w:rsidRPr="00240C16">
          <w:rPr>
            <w:rStyle w:val="Hyperlink"/>
            <w:rFonts w:cstheme="minorHAnsi"/>
            <w:color w:val="AE552A"/>
          </w:rPr>
          <w:t>http://www.tern.org.au</w:t>
        </w:r>
      </w:hyperlink>
      <w:r w:rsidRPr="00240C16">
        <w:rPr>
          <w:rFonts w:cstheme="minorHAnsi"/>
          <w:color w:val="242424"/>
        </w:rPr>
        <w:t>). Accessed [15/09/2020].</w:t>
      </w:r>
    </w:p>
    <w:p w14:paraId="72FAC38D" w14:textId="4331EBD8" w:rsidR="000F57B3" w:rsidRPr="00A93750" w:rsidRDefault="000F57B3" w:rsidP="00240C16">
      <w:pPr>
        <w:pStyle w:val="ListParagraph"/>
        <w:numPr>
          <w:ilvl w:val="0"/>
          <w:numId w:val="3"/>
        </w:numPr>
        <w:spacing w:line="360" w:lineRule="auto"/>
        <w:rPr>
          <w:rFonts w:cstheme="minorHAnsi"/>
        </w:rPr>
      </w:pPr>
      <w:r>
        <w:rPr>
          <w:rFonts w:cstheme="minorHAnsi"/>
          <w:color w:val="242424"/>
        </w:rPr>
        <w:t>Australian Bureau of Statistics (ABS). (2016</w:t>
      </w:r>
      <w:r w:rsidRPr="00293CF6">
        <w:rPr>
          <w:rFonts w:cstheme="minorHAnsi"/>
          <w:color w:val="242424"/>
        </w:rPr>
        <w:t xml:space="preserve">). </w:t>
      </w:r>
      <w:r w:rsidRPr="00293CF6">
        <w:rPr>
          <w:rFonts w:cstheme="minorHAnsi"/>
          <w:color w:val="333333"/>
          <w:shd w:val="clear" w:color="auto" w:fill="FFFFFF"/>
        </w:rPr>
        <w:t>Australian Statistical Geography Standard (ASGS) Volume 1 - Main Structure and Greater Capital City Statistical Areas (cat no. 1270.0.55.001)</w:t>
      </w:r>
      <w:r>
        <w:rPr>
          <w:rFonts w:cstheme="minorHAnsi"/>
          <w:color w:val="333333"/>
          <w:shd w:val="clear" w:color="auto" w:fill="FFFFFF"/>
        </w:rPr>
        <w:t xml:space="preserve">. Obtained from </w:t>
      </w:r>
      <w:hyperlink r:id="rId10" w:history="1">
        <w:r w:rsidRPr="00E766FF">
          <w:rPr>
            <w:rStyle w:val="Hyperlink"/>
            <w:rFonts w:cstheme="minorHAnsi"/>
            <w:shd w:val="clear" w:color="auto" w:fill="FFFFFF"/>
          </w:rPr>
          <w:t>https://www.abs.gov.au/AUSSTATS/abs@.nsf/DetailsPage/1270.0.55.001July%202016?OpenDocument</w:t>
        </w:r>
      </w:hyperlink>
      <w:r>
        <w:rPr>
          <w:rFonts w:cstheme="minorHAnsi"/>
          <w:color w:val="333333"/>
          <w:shd w:val="clear" w:color="auto" w:fill="FFFFFF"/>
        </w:rPr>
        <w:t xml:space="preserve"> </w:t>
      </w:r>
    </w:p>
    <w:sectPr w:rsidR="000F57B3" w:rsidRPr="00A93750" w:rsidSect="00482552">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3231" w16cex:dateUtc="2021-06-15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DFCEF" w16cid:durableId="247432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961"/>
    <w:multiLevelType w:val="hybridMultilevel"/>
    <w:tmpl w:val="16E26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01691"/>
    <w:multiLevelType w:val="hybridMultilevel"/>
    <w:tmpl w:val="D6CE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12C11"/>
    <w:multiLevelType w:val="multilevel"/>
    <w:tmpl w:val="9574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D6C01"/>
    <w:multiLevelType w:val="hybridMultilevel"/>
    <w:tmpl w:val="E90AE572"/>
    <w:lvl w:ilvl="0" w:tplc="1DE67E90">
      <w:start w:val="1"/>
      <w:numFmt w:val="decimal"/>
      <w:lvlText w:val="%1."/>
      <w:lvlJc w:val="left"/>
      <w:pPr>
        <w:ind w:left="720" w:hanging="360"/>
      </w:pPr>
      <w:rPr>
        <w:rFonts w:hint="default"/>
        <w:b w:val="0"/>
        <w:color w:val="2424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3928DA"/>
    <w:multiLevelType w:val="hybridMultilevel"/>
    <w:tmpl w:val="D2F2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E97AD0"/>
    <w:multiLevelType w:val="hybridMultilevel"/>
    <w:tmpl w:val="AB38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450397"/>
    <w:multiLevelType w:val="hybridMultilevel"/>
    <w:tmpl w:val="EED2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FF7360"/>
    <w:multiLevelType w:val="hybridMultilevel"/>
    <w:tmpl w:val="1A6E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9F189B"/>
    <w:multiLevelType w:val="hybridMultilevel"/>
    <w:tmpl w:val="5436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584D2F"/>
    <w:multiLevelType w:val="hybridMultilevel"/>
    <w:tmpl w:val="BC246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5"/>
  </w:num>
  <w:num w:numId="5">
    <w:abstractNumId w:val="6"/>
  </w:num>
  <w:num w:numId="6">
    <w:abstractNumId w:val="8"/>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NjYxMzE2NTYyMzNX0lEKTi0uzszPAykwrAUAL3+5n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s5a2v24p9e2ues9r9xx22g0dfsvset2xwd&quot;&gt;My EndNote Library&lt;record-ids&gt;&lt;item&gt;1&lt;/item&gt;&lt;/record-ids&gt;&lt;/item&gt;&lt;/Libraries&gt;"/>
  </w:docVars>
  <w:rsids>
    <w:rsidRoot w:val="000251C1"/>
    <w:rsid w:val="00003675"/>
    <w:rsid w:val="000251C1"/>
    <w:rsid w:val="00053E56"/>
    <w:rsid w:val="000F4D3D"/>
    <w:rsid w:val="000F57B3"/>
    <w:rsid w:val="001546D2"/>
    <w:rsid w:val="00161BD6"/>
    <w:rsid w:val="00176DC7"/>
    <w:rsid w:val="001823A7"/>
    <w:rsid w:val="0019032C"/>
    <w:rsid w:val="00192B5D"/>
    <w:rsid w:val="001A1FB5"/>
    <w:rsid w:val="001A686C"/>
    <w:rsid w:val="001B3EDB"/>
    <w:rsid w:val="001F1885"/>
    <w:rsid w:val="00216287"/>
    <w:rsid w:val="00240C16"/>
    <w:rsid w:val="00246641"/>
    <w:rsid w:val="00263F53"/>
    <w:rsid w:val="00281BA4"/>
    <w:rsid w:val="00293CF6"/>
    <w:rsid w:val="002A675F"/>
    <w:rsid w:val="002C13DF"/>
    <w:rsid w:val="002D6F8F"/>
    <w:rsid w:val="002F536F"/>
    <w:rsid w:val="002F78E9"/>
    <w:rsid w:val="003110E6"/>
    <w:rsid w:val="00312903"/>
    <w:rsid w:val="0031632F"/>
    <w:rsid w:val="00320775"/>
    <w:rsid w:val="0033300F"/>
    <w:rsid w:val="003351D9"/>
    <w:rsid w:val="003611F0"/>
    <w:rsid w:val="003720B9"/>
    <w:rsid w:val="003F3D30"/>
    <w:rsid w:val="004201D1"/>
    <w:rsid w:val="004332BC"/>
    <w:rsid w:val="004637C6"/>
    <w:rsid w:val="00482552"/>
    <w:rsid w:val="00482C0A"/>
    <w:rsid w:val="004839CB"/>
    <w:rsid w:val="004A79DF"/>
    <w:rsid w:val="004B0E53"/>
    <w:rsid w:val="004B32A8"/>
    <w:rsid w:val="0053041A"/>
    <w:rsid w:val="005308F8"/>
    <w:rsid w:val="0053285C"/>
    <w:rsid w:val="005362A6"/>
    <w:rsid w:val="00541E48"/>
    <w:rsid w:val="00544708"/>
    <w:rsid w:val="00553B6D"/>
    <w:rsid w:val="005727E9"/>
    <w:rsid w:val="0057407C"/>
    <w:rsid w:val="00577A34"/>
    <w:rsid w:val="00581C0C"/>
    <w:rsid w:val="00586005"/>
    <w:rsid w:val="00586442"/>
    <w:rsid w:val="005A0D5E"/>
    <w:rsid w:val="00606AAB"/>
    <w:rsid w:val="006444C1"/>
    <w:rsid w:val="00692D7D"/>
    <w:rsid w:val="006A0292"/>
    <w:rsid w:val="006C07E7"/>
    <w:rsid w:val="006C63AE"/>
    <w:rsid w:val="006E44D5"/>
    <w:rsid w:val="007030AC"/>
    <w:rsid w:val="00704E43"/>
    <w:rsid w:val="0072034C"/>
    <w:rsid w:val="0073560E"/>
    <w:rsid w:val="00767394"/>
    <w:rsid w:val="00790E7D"/>
    <w:rsid w:val="007E3B84"/>
    <w:rsid w:val="00854734"/>
    <w:rsid w:val="00861768"/>
    <w:rsid w:val="008B4377"/>
    <w:rsid w:val="008C2398"/>
    <w:rsid w:val="008F08E8"/>
    <w:rsid w:val="00910D89"/>
    <w:rsid w:val="00911BCB"/>
    <w:rsid w:val="009239D8"/>
    <w:rsid w:val="009355B6"/>
    <w:rsid w:val="00955D09"/>
    <w:rsid w:val="00964C0E"/>
    <w:rsid w:val="0098707D"/>
    <w:rsid w:val="0099429A"/>
    <w:rsid w:val="009E3052"/>
    <w:rsid w:val="009E52F7"/>
    <w:rsid w:val="009F128E"/>
    <w:rsid w:val="00A02518"/>
    <w:rsid w:val="00A03432"/>
    <w:rsid w:val="00A039BC"/>
    <w:rsid w:val="00A05D1B"/>
    <w:rsid w:val="00A26AC7"/>
    <w:rsid w:val="00A55C18"/>
    <w:rsid w:val="00A57979"/>
    <w:rsid w:val="00A720BE"/>
    <w:rsid w:val="00A93750"/>
    <w:rsid w:val="00AB491F"/>
    <w:rsid w:val="00B13140"/>
    <w:rsid w:val="00B96BAD"/>
    <w:rsid w:val="00BA5E78"/>
    <w:rsid w:val="00BB198B"/>
    <w:rsid w:val="00BB5DD7"/>
    <w:rsid w:val="00BC2DD7"/>
    <w:rsid w:val="00BD12FB"/>
    <w:rsid w:val="00BD5845"/>
    <w:rsid w:val="00CB5869"/>
    <w:rsid w:val="00CC1CAC"/>
    <w:rsid w:val="00D1749C"/>
    <w:rsid w:val="00D24A26"/>
    <w:rsid w:val="00D425C9"/>
    <w:rsid w:val="00DC1286"/>
    <w:rsid w:val="00DC3194"/>
    <w:rsid w:val="00DE7500"/>
    <w:rsid w:val="00E02C46"/>
    <w:rsid w:val="00EA556C"/>
    <w:rsid w:val="00EB7875"/>
    <w:rsid w:val="00EC07A9"/>
    <w:rsid w:val="00ED118A"/>
    <w:rsid w:val="00F51C60"/>
    <w:rsid w:val="00F66859"/>
    <w:rsid w:val="00F74A4F"/>
    <w:rsid w:val="00F766B2"/>
    <w:rsid w:val="00FD0934"/>
    <w:rsid w:val="00FE7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C2FA"/>
  <w15:chartTrackingRefBased/>
  <w15:docId w15:val="{F3802443-EB66-424D-A7A7-38BC33A9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53"/>
    <w:pPr>
      <w:ind w:left="720"/>
      <w:contextualSpacing/>
    </w:pPr>
  </w:style>
  <w:style w:type="table" w:styleId="TableGrid">
    <w:name w:val="Table Grid"/>
    <w:basedOn w:val="TableNormal"/>
    <w:uiPriority w:val="39"/>
    <w:rsid w:val="00D1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64C0E"/>
    <w:pPr>
      <w:spacing w:after="200" w:line="240" w:lineRule="auto"/>
    </w:pPr>
    <w:rPr>
      <w:i/>
      <w:iCs/>
      <w:color w:val="44546A" w:themeColor="text2"/>
      <w:sz w:val="18"/>
      <w:szCs w:val="18"/>
    </w:rPr>
  </w:style>
  <w:style w:type="character" w:styleId="Hyperlink">
    <w:name w:val="Hyperlink"/>
    <w:basedOn w:val="DefaultParagraphFont"/>
    <w:uiPriority w:val="99"/>
    <w:unhideWhenUsed/>
    <w:rsid w:val="00003675"/>
    <w:rPr>
      <w:color w:val="0000FF"/>
      <w:u w:val="single"/>
    </w:rPr>
  </w:style>
  <w:style w:type="character" w:customStyle="1" w:styleId="UnresolvedMention1">
    <w:name w:val="Unresolved Mention1"/>
    <w:basedOn w:val="DefaultParagraphFont"/>
    <w:uiPriority w:val="99"/>
    <w:semiHidden/>
    <w:unhideWhenUsed/>
    <w:rsid w:val="00003675"/>
    <w:rPr>
      <w:color w:val="605E5C"/>
      <w:shd w:val="clear" w:color="auto" w:fill="E1DFDD"/>
    </w:rPr>
  </w:style>
  <w:style w:type="character" w:styleId="CommentReference">
    <w:name w:val="annotation reference"/>
    <w:basedOn w:val="DefaultParagraphFont"/>
    <w:uiPriority w:val="99"/>
    <w:semiHidden/>
    <w:unhideWhenUsed/>
    <w:rsid w:val="00216287"/>
    <w:rPr>
      <w:sz w:val="16"/>
      <w:szCs w:val="16"/>
    </w:rPr>
  </w:style>
  <w:style w:type="paragraph" w:styleId="CommentText">
    <w:name w:val="annotation text"/>
    <w:basedOn w:val="Normal"/>
    <w:link w:val="CommentTextChar"/>
    <w:uiPriority w:val="99"/>
    <w:semiHidden/>
    <w:unhideWhenUsed/>
    <w:rsid w:val="00216287"/>
    <w:pPr>
      <w:spacing w:line="240" w:lineRule="auto"/>
    </w:pPr>
    <w:rPr>
      <w:sz w:val="20"/>
      <w:szCs w:val="20"/>
    </w:rPr>
  </w:style>
  <w:style w:type="character" w:customStyle="1" w:styleId="CommentTextChar">
    <w:name w:val="Comment Text Char"/>
    <w:basedOn w:val="DefaultParagraphFont"/>
    <w:link w:val="CommentText"/>
    <w:uiPriority w:val="99"/>
    <w:semiHidden/>
    <w:rsid w:val="00216287"/>
    <w:rPr>
      <w:sz w:val="20"/>
      <w:szCs w:val="20"/>
    </w:rPr>
  </w:style>
  <w:style w:type="paragraph" w:styleId="CommentSubject">
    <w:name w:val="annotation subject"/>
    <w:basedOn w:val="CommentText"/>
    <w:next w:val="CommentText"/>
    <w:link w:val="CommentSubjectChar"/>
    <w:uiPriority w:val="99"/>
    <w:semiHidden/>
    <w:unhideWhenUsed/>
    <w:rsid w:val="00216287"/>
    <w:rPr>
      <w:b/>
      <w:bCs/>
    </w:rPr>
  </w:style>
  <w:style w:type="character" w:customStyle="1" w:styleId="CommentSubjectChar">
    <w:name w:val="Comment Subject Char"/>
    <w:basedOn w:val="CommentTextChar"/>
    <w:link w:val="CommentSubject"/>
    <w:uiPriority w:val="99"/>
    <w:semiHidden/>
    <w:rsid w:val="00216287"/>
    <w:rPr>
      <w:b/>
      <w:bCs/>
      <w:sz w:val="20"/>
      <w:szCs w:val="20"/>
    </w:rPr>
  </w:style>
  <w:style w:type="paragraph" w:styleId="BalloonText">
    <w:name w:val="Balloon Text"/>
    <w:basedOn w:val="Normal"/>
    <w:link w:val="BalloonTextChar"/>
    <w:uiPriority w:val="99"/>
    <w:semiHidden/>
    <w:unhideWhenUsed/>
    <w:rsid w:val="0021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87"/>
    <w:rPr>
      <w:rFonts w:ascii="Segoe UI" w:hAnsi="Segoe UI" w:cs="Segoe UI"/>
      <w:sz w:val="18"/>
      <w:szCs w:val="18"/>
    </w:rPr>
  </w:style>
  <w:style w:type="paragraph" w:styleId="NormalWeb">
    <w:name w:val="Normal (Web)"/>
    <w:basedOn w:val="Normal"/>
    <w:uiPriority w:val="99"/>
    <w:semiHidden/>
    <w:unhideWhenUsed/>
    <w:rsid w:val="00606AAB"/>
    <w:pPr>
      <w:spacing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4501">
      <w:bodyDiv w:val="1"/>
      <w:marLeft w:val="0"/>
      <w:marRight w:val="0"/>
      <w:marTop w:val="0"/>
      <w:marBottom w:val="0"/>
      <w:divBdr>
        <w:top w:val="none" w:sz="0" w:space="0" w:color="auto"/>
        <w:left w:val="none" w:sz="0" w:space="0" w:color="auto"/>
        <w:bottom w:val="none" w:sz="0" w:space="0" w:color="auto"/>
        <w:right w:val="none" w:sz="0" w:space="0" w:color="auto"/>
      </w:divBdr>
    </w:div>
    <w:div w:id="749427298">
      <w:bodyDiv w:val="1"/>
      <w:marLeft w:val="0"/>
      <w:marRight w:val="0"/>
      <w:marTop w:val="0"/>
      <w:marBottom w:val="0"/>
      <w:divBdr>
        <w:top w:val="none" w:sz="0" w:space="0" w:color="auto"/>
        <w:left w:val="none" w:sz="0" w:space="0" w:color="auto"/>
        <w:bottom w:val="none" w:sz="0" w:space="0" w:color="auto"/>
        <w:right w:val="none" w:sz="0" w:space="0" w:color="auto"/>
      </w:divBdr>
    </w:div>
    <w:div w:id="1679194261">
      <w:bodyDiv w:val="1"/>
      <w:marLeft w:val="0"/>
      <w:marRight w:val="0"/>
      <w:marTop w:val="0"/>
      <w:marBottom w:val="0"/>
      <w:divBdr>
        <w:top w:val="none" w:sz="0" w:space="0" w:color="auto"/>
        <w:left w:val="none" w:sz="0" w:space="0" w:color="auto"/>
        <w:bottom w:val="none" w:sz="0" w:space="0" w:color="auto"/>
        <w:right w:val="none" w:sz="0" w:space="0" w:color="auto"/>
      </w:divBdr>
    </w:div>
    <w:div w:id="1909462360">
      <w:bodyDiv w:val="1"/>
      <w:marLeft w:val="0"/>
      <w:marRight w:val="0"/>
      <w:marTop w:val="0"/>
      <w:marBottom w:val="0"/>
      <w:divBdr>
        <w:top w:val="none" w:sz="0" w:space="0" w:color="auto"/>
        <w:left w:val="none" w:sz="0" w:space="0" w:color="auto"/>
        <w:bottom w:val="none" w:sz="0" w:space="0" w:color="auto"/>
        <w:right w:val="none" w:sz="0" w:space="0" w:color="auto"/>
      </w:divBdr>
    </w:div>
    <w:div w:id="19905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cover.org.au/" TargetMode="External"/><Relationship Id="rId3" Type="http://schemas.openxmlformats.org/officeDocument/2006/relationships/settings" Target="settings.xml"/><Relationship Id="rId7" Type="http://schemas.openxmlformats.org/officeDocument/2006/relationships/hyperlink" Target="http://data.auscover.org.au/xwiki/bin/view/Product+pages/Landsat+Seasonal+Fractional+Cover"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mailto:l.knibbs@uq.edu.au"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abs.gov.au/AUSSTATS/abs@.nsf/DetailsPage/1270.0.55.001July%202016?OpenDocument" TargetMode="External"/><Relationship Id="rId4" Type="http://schemas.openxmlformats.org/officeDocument/2006/relationships/webSettings" Target="webSettings.xml"/><Relationship Id="rId9" Type="http://schemas.openxmlformats.org/officeDocument/2006/relationships/hyperlink" Target="http://www.ter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TAFZILA MOULY</dc:creator>
  <cp:keywords/>
  <dc:description/>
  <cp:lastModifiedBy>David Fitzgerald</cp:lastModifiedBy>
  <cp:revision>8</cp:revision>
  <cp:lastPrinted>2021-06-07T01:55:00Z</cp:lastPrinted>
  <dcterms:created xsi:type="dcterms:W3CDTF">2021-06-16T00:32:00Z</dcterms:created>
  <dcterms:modified xsi:type="dcterms:W3CDTF">2021-07-08T01:40:00Z</dcterms:modified>
</cp:coreProperties>
</file>