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color2="fill lighten(0)" method="linear sigma" focus="100%" type="gradient"/>
    </v:background>
  </w:background>
  <w:body>
    <w:p w14:paraId="36E95075" w14:textId="37F1B595" w:rsidR="007A70E3" w:rsidRDefault="003B3422" w:rsidP="00C841B0">
      <w:pPr>
        <w:spacing w:before="0" w:after="0"/>
        <w:jc w:val="center"/>
        <w:rPr>
          <w:b/>
          <w:sz w:val="52"/>
          <w:szCs w:val="52"/>
        </w:rPr>
      </w:pPr>
      <w:bookmarkStart w:id="0" w:name="_Hlk80116454"/>
      <w:bookmarkStart w:id="1" w:name="_Toc212876949"/>
      <w:bookmarkStart w:id="2" w:name="_Toc212880009"/>
      <w:bookmarkStart w:id="3" w:name="_Toc213635754"/>
      <w:bookmarkStart w:id="4" w:name="_Toc213636038"/>
      <w:bookmarkStart w:id="5" w:name="_Toc185053626"/>
      <w:bookmarkStart w:id="6" w:name="_Toc184608052"/>
      <w:bookmarkStart w:id="7" w:name="_Toc185053679"/>
      <w:bookmarkStart w:id="8" w:name="_Toc184608105"/>
      <w:bookmarkEnd w:id="0"/>
      <w:r>
        <w:rPr>
          <w:b/>
          <w:sz w:val="52"/>
          <w:szCs w:val="52"/>
        </w:rPr>
        <w:t xml:space="preserve"> </w:t>
      </w:r>
      <w:r w:rsidR="002A4C4A">
        <w:rPr>
          <w:b/>
          <w:sz w:val="52"/>
          <w:szCs w:val="52"/>
        </w:rPr>
        <w:t xml:space="preserve">                                                                               </w:t>
      </w:r>
    </w:p>
    <w:p w14:paraId="7580C50A" w14:textId="56FCAF98" w:rsidR="00C841B0" w:rsidRPr="00C841B0" w:rsidRDefault="00C841B0" w:rsidP="00C841B0">
      <w:pPr>
        <w:spacing w:before="0" w:after="0"/>
        <w:jc w:val="center"/>
        <w:rPr>
          <w:b/>
          <w:sz w:val="52"/>
          <w:szCs w:val="52"/>
        </w:rPr>
      </w:pPr>
      <w:r w:rsidRPr="00C841B0">
        <w:rPr>
          <w:b/>
          <w:sz w:val="52"/>
          <w:szCs w:val="52"/>
        </w:rPr>
        <w:t>Australian Longitudinal Study on Women’s Health</w:t>
      </w:r>
    </w:p>
    <w:p w14:paraId="4F9F0F07" w14:textId="77777777" w:rsidR="00C841B0" w:rsidRDefault="00C841B0" w:rsidP="00C841B0">
      <w:pPr>
        <w:spacing w:before="0" w:after="0"/>
        <w:jc w:val="center"/>
      </w:pPr>
    </w:p>
    <w:p w14:paraId="0B8CBDD6" w14:textId="77777777" w:rsidR="00C841B0" w:rsidRDefault="00C841B0" w:rsidP="00C841B0">
      <w:pPr>
        <w:spacing w:before="0" w:after="0"/>
        <w:jc w:val="center"/>
      </w:pPr>
    </w:p>
    <w:p w14:paraId="091BA731" w14:textId="77777777" w:rsidR="00C841B0" w:rsidRDefault="00C841B0" w:rsidP="00C841B0">
      <w:pPr>
        <w:spacing w:before="0" w:after="0"/>
        <w:jc w:val="center"/>
      </w:pPr>
    </w:p>
    <w:p w14:paraId="2FE95B00" w14:textId="112F7012" w:rsidR="00C841B0" w:rsidRDefault="00C841B0" w:rsidP="00C841B0">
      <w:pPr>
        <w:spacing w:before="0" w:after="0"/>
        <w:jc w:val="center"/>
      </w:pPr>
    </w:p>
    <w:p w14:paraId="63EB24C6" w14:textId="4EEEAFA6" w:rsidR="00C841B0" w:rsidRDefault="00C841B0" w:rsidP="00C841B0">
      <w:pPr>
        <w:spacing w:before="0" w:after="0"/>
        <w:jc w:val="center"/>
      </w:pPr>
    </w:p>
    <w:p w14:paraId="35D5467A" w14:textId="51FD819F" w:rsidR="00C841B0" w:rsidRDefault="00C841B0" w:rsidP="00C841B0">
      <w:pPr>
        <w:spacing w:before="0" w:after="0"/>
        <w:jc w:val="center"/>
      </w:pPr>
    </w:p>
    <w:p w14:paraId="05629FA9" w14:textId="77777777" w:rsidR="00C841B0" w:rsidRDefault="00C841B0" w:rsidP="00C841B0">
      <w:pPr>
        <w:spacing w:before="0" w:after="0"/>
        <w:jc w:val="center"/>
      </w:pPr>
    </w:p>
    <w:p w14:paraId="1326C502" w14:textId="77777777" w:rsidR="00C841B0" w:rsidRDefault="00C841B0" w:rsidP="00C841B0">
      <w:pPr>
        <w:spacing w:before="0" w:after="0"/>
        <w:jc w:val="center"/>
      </w:pPr>
    </w:p>
    <w:p w14:paraId="01F551C7" w14:textId="41F86344" w:rsidR="00C841B0" w:rsidRDefault="00C841B0" w:rsidP="00C841B0">
      <w:pPr>
        <w:spacing w:before="0" w:after="0"/>
        <w:jc w:val="center"/>
        <w:rPr>
          <w:sz w:val="52"/>
          <w:szCs w:val="52"/>
        </w:rPr>
      </w:pPr>
      <w:r w:rsidRPr="00C841B0">
        <w:rPr>
          <w:sz w:val="52"/>
          <w:szCs w:val="52"/>
        </w:rPr>
        <w:t>Technical Report #</w:t>
      </w:r>
      <w:r w:rsidR="007B1140" w:rsidRPr="00C841B0">
        <w:rPr>
          <w:sz w:val="52"/>
          <w:szCs w:val="52"/>
        </w:rPr>
        <w:t>4</w:t>
      </w:r>
      <w:r w:rsidR="007B1140">
        <w:rPr>
          <w:sz w:val="52"/>
          <w:szCs w:val="52"/>
        </w:rPr>
        <w:t>5</w:t>
      </w:r>
    </w:p>
    <w:p w14:paraId="3F80DD8D" w14:textId="77777777" w:rsidR="00C841B0" w:rsidRDefault="00C841B0">
      <w:pPr>
        <w:spacing w:before="0" w:after="0"/>
      </w:pPr>
    </w:p>
    <w:p w14:paraId="5B1E7471" w14:textId="77777777" w:rsidR="00C841B0" w:rsidRDefault="00C841B0">
      <w:pPr>
        <w:spacing w:before="0" w:after="0"/>
      </w:pPr>
    </w:p>
    <w:p w14:paraId="3F1C9C74" w14:textId="577EDFC3" w:rsidR="007A70E3" w:rsidRDefault="007A70E3">
      <w:pPr>
        <w:spacing w:before="0" w:after="0"/>
      </w:pPr>
    </w:p>
    <w:p w14:paraId="395B142E" w14:textId="0B27FEDB" w:rsidR="007A70E3" w:rsidRDefault="007A70E3">
      <w:pPr>
        <w:spacing w:before="0" w:after="0"/>
      </w:pPr>
    </w:p>
    <w:p w14:paraId="1868D36E" w14:textId="122A1912" w:rsidR="007A70E3" w:rsidRDefault="007A70E3">
      <w:pPr>
        <w:spacing w:before="0" w:after="0"/>
      </w:pPr>
    </w:p>
    <w:p w14:paraId="6FC81FC0" w14:textId="12283E53" w:rsidR="007A70E3" w:rsidRDefault="007A70E3">
      <w:pPr>
        <w:spacing w:before="0" w:after="0"/>
      </w:pPr>
    </w:p>
    <w:p w14:paraId="2CEBB53E" w14:textId="404898D6" w:rsidR="007A70E3" w:rsidRDefault="007A70E3">
      <w:pPr>
        <w:spacing w:before="0" w:after="0"/>
      </w:pPr>
    </w:p>
    <w:p w14:paraId="3C1C2BF9" w14:textId="785CA17C" w:rsidR="007A70E3" w:rsidRDefault="007A70E3">
      <w:pPr>
        <w:spacing w:before="0" w:after="0"/>
      </w:pPr>
    </w:p>
    <w:p w14:paraId="14ABFFE5" w14:textId="77777777" w:rsidR="007A70E3" w:rsidRDefault="007A70E3">
      <w:pPr>
        <w:spacing w:before="0" w:after="0"/>
      </w:pPr>
    </w:p>
    <w:p w14:paraId="13BD5EAE" w14:textId="47A48304" w:rsidR="007A70E3" w:rsidRDefault="007A70E3">
      <w:pPr>
        <w:spacing w:before="0" w:after="0"/>
      </w:pPr>
    </w:p>
    <w:p w14:paraId="0D43110A" w14:textId="5DE91604" w:rsidR="007A70E3" w:rsidRDefault="007A70E3">
      <w:pPr>
        <w:spacing w:before="0" w:after="0"/>
      </w:pPr>
    </w:p>
    <w:p w14:paraId="51FE8778" w14:textId="0A4D3B71" w:rsidR="007A70E3" w:rsidRDefault="007A70E3">
      <w:pPr>
        <w:spacing w:before="0" w:after="0"/>
      </w:pPr>
    </w:p>
    <w:p w14:paraId="4FEE11AD" w14:textId="77777777" w:rsidR="007A70E3" w:rsidRDefault="007A70E3">
      <w:pPr>
        <w:spacing w:before="0" w:after="0"/>
      </w:pPr>
    </w:p>
    <w:p w14:paraId="7A353F0A" w14:textId="3C864DF6" w:rsidR="000A4361" w:rsidRPr="000A4361" w:rsidRDefault="000C3B3F" w:rsidP="000A4361">
      <w:pPr>
        <w:spacing w:before="0" w:after="0"/>
        <w:jc w:val="left"/>
        <w:rPr>
          <w:sz w:val="24"/>
        </w:rPr>
      </w:pPr>
      <w:r>
        <w:rPr>
          <w:sz w:val="24"/>
        </w:rPr>
        <w:t xml:space="preserve">Final </w:t>
      </w:r>
      <w:r w:rsidR="00177D23">
        <w:rPr>
          <w:sz w:val="24"/>
        </w:rPr>
        <w:t>p</w:t>
      </w:r>
      <w:r w:rsidR="007A70E3" w:rsidRPr="00C841B0">
        <w:rPr>
          <w:sz w:val="24"/>
        </w:rPr>
        <w:t xml:space="preserve">repared </w:t>
      </w:r>
      <w:r>
        <w:rPr>
          <w:sz w:val="24"/>
        </w:rPr>
        <w:t xml:space="preserve">November </w:t>
      </w:r>
      <w:r w:rsidR="007B1140">
        <w:rPr>
          <w:sz w:val="24"/>
        </w:rPr>
        <w:t>2022</w:t>
      </w:r>
      <w:r w:rsidR="000A4361">
        <w:rPr>
          <w:sz w:val="24"/>
        </w:rPr>
        <w:t>.</w:t>
      </w:r>
      <w:r w:rsidR="000A4361" w:rsidRPr="000A4361">
        <w:rPr>
          <w:sz w:val="44"/>
          <w:szCs w:val="44"/>
        </w:rPr>
        <w:t xml:space="preserve"> </w:t>
      </w:r>
      <w:r w:rsidR="000A4361" w:rsidRPr="000A4361">
        <w:rPr>
          <w:sz w:val="24"/>
        </w:rPr>
        <w:t>(ISSN 2653-3235)</w:t>
      </w:r>
    </w:p>
    <w:p w14:paraId="0CA01706" w14:textId="67C05FFD" w:rsidR="00C841B0" w:rsidRDefault="00C841B0">
      <w:pPr>
        <w:spacing w:before="0" w:after="0"/>
      </w:pPr>
    </w:p>
    <w:p w14:paraId="260DA692" w14:textId="77777777" w:rsidR="00C841B0" w:rsidRDefault="00C841B0">
      <w:pPr>
        <w:spacing w:before="0" w:after="0"/>
      </w:pPr>
    </w:p>
    <w:p w14:paraId="2BD3632C" w14:textId="77777777" w:rsidR="007A70E3" w:rsidRDefault="007A70E3">
      <w:pPr>
        <w:spacing w:before="0" w:after="0"/>
        <w:sectPr w:rsidR="007A70E3" w:rsidSect="007A70E3">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080" w:left="1440" w:header="709" w:footer="709" w:gutter="0"/>
          <w:cols w:space="720"/>
          <w:titlePg/>
          <w:docGrid w:linePitch="299"/>
        </w:sectPr>
      </w:pPr>
    </w:p>
    <w:p w14:paraId="2ED1DA12" w14:textId="5F66F9E4" w:rsidR="005B65AD" w:rsidRPr="00DE377E" w:rsidRDefault="00300E37" w:rsidP="00503D34">
      <w:pPr>
        <w:tabs>
          <w:tab w:val="left" w:pos="1035"/>
        </w:tabs>
        <w:spacing w:before="160" w:after="160" w:line="240" w:lineRule="auto"/>
        <w:ind w:right="663"/>
        <w:jc w:val="center"/>
        <w:rPr>
          <w:rFonts w:cs="Arial"/>
          <w:b/>
          <w:sz w:val="28"/>
          <w:szCs w:val="28"/>
        </w:rPr>
      </w:pPr>
      <w:r w:rsidRPr="00DE377E">
        <w:rPr>
          <w:rFonts w:cs="Arial"/>
          <w:b/>
          <w:sz w:val="28"/>
          <w:szCs w:val="28"/>
        </w:rPr>
        <w:lastRenderedPageBreak/>
        <w:t>TABLE OF CONTENTS</w:t>
      </w:r>
    </w:p>
    <w:sdt>
      <w:sdtPr>
        <w:rPr>
          <w:b/>
          <w:caps/>
          <w:noProof/>
          <w:sz w:val="20"/>
          <w:szCs w:val="24"/>
          <w:lang w:val="en-AU" w:eastAsia="en-AU"/>
        </w:rPr>
        <w:id w:val="1694499379"/>
        <w:docPartObj>
          <w:docPartGallery w:val="Table of Contents"/>
          <w:docPartUnique/>
        </w:docPartObj>
      </w:sdtPr>
      <w:sdtEndPr/>
      <w:sdtContent>
        <w:p w14:paraId="4DD9DD39" w14:textId="5E563D71" w:rsidR="00B75C2F" w:rsidRPr="00DA1D76" w:rsidRDefault="00B75C2F" w:rsidP="001E5A1E">
          <w:pPr>
            <w:pStyle w:val="TOCHeading"/>
            <w:tabs>
              <w:tab w:val="left" w:pos="1985"/>
            </w:tabs>
            <w:spacing w:before="0" w:line="240" w:lineRule="auto"/>
            <w:jc w:val="center"/>
            <w:rPr>
              <w:b/>
            </w:rPr>
          </w:pPr>
        </w:p>
        <w:p w14:paraId="2D443E74" w14:textId="01500067" w:rsidR="007D19D7" w:rsidRDefault="00B75C2F" w:rsidP="007D19D7">
          <w:pPr>
            <w:pStyle w:val="TOC1"/>
            <w:rPr>
              <w:rFonts w:asciiTheme="minorHAnsi" w:eastAsiaTheme="minorEastAsia" w:hAnsiTheme="minorHAnsi" w:cstheme="minorBidi"/>
              <w:sz w:val="22"/>
              <w:szCs w:val="22"/>
            </w:rPr>
          </w:pPr>
          <w:r>
            <w:rPr>
              <w:bCs/>
            </w:rPr>
            <w:fldChar w:fldCharType="begin"/>
          </w:r>
          <w:r>
            <w:rPr>
              <w:bCs/>
            </w:rPr>
            <w:instrText xml:space="preserve"> TOC \o "1-3" \h \z \u </w:instrText>
          </w:r>
          <w:r>
            <w:rPr>
              <w:bCs/>
            </w:rPr>
            <w:fldChar w:fldCharType="separate"/>
          </w:r>
          <w:hyperlink w:anchor="_Toc124762758" w:history="1">
            <w:r w:rsidR="007D19D7" w:rsidRPr="009D2176">
              <w:rPr>
                <w:rStyle w:val="Hyperlink"/>
              </w:rPr>
              <w:t>1</w:t>
            </w:r>
            <w:r w:rsidR="007D19D7">
              <w:rPr>
                <w:rFonts w:asciiTheme="minorHAnsi" w:eastAsiaTheme="minorEastAsia" w:hAnsiTheme="minorHAnsi" w:cstheme="minorBidi"/>
                <w:sz w:val="22"/>
                <w:szCs w:val="22"/>
              </w:rPr>
              <w:tab/>
            </w:r>
            <w:r w:rsidR="007D19D7" w:rsidRPr="009D2176">
              <w:rPr>
                <w:rStyle w:val="Hyperlink"/>
              </w:rPr>
              <w:t>EXECUTIVE SUMMARY</w:t>
            </w:r>
            <w:r w:rsidR="007D19D7">
              <w:rPr>
                <w:webHidden/>
              </w:rPr>
              <w:tab/>
            </w:r>
            <w:r w:rsidR="007D19D7">
              <w:rPr>
                <w:webHidden/>
              </w:rPr>
              <w:fldChar w:fldCharType="begin"/>
            </w:r>
            <w:r w:rsidR="007D19D7">
              <w:rPr>
                <w:webHidden/>
              </w:rPr>
              <w:instrText xml:space="preserve"> PAGEREF _Toc124762758 \h </w:instrText>
            </w:r>
            <w:r w:rsidR="007D19D7">
              <w:rPr>
                <w:webHidden/>
              </w:rPr>
            </w:r>
            <w:r w:rsidR="007D19D7">
              <w:rPr>
                <w:webHidden/>
              </w:rPr>
              <w:fldChar w:fldCharType="separate"/>
            </w:r>
            <w:r w:rsidR="007D19D7">
              <w:rPr>
                <w:webHidden/>
              </w:rPr>
              <w:t>5</w:t>
            </w:r>
            <w:r w:rsidR="007D19D7">
              <w:rPr>
                <w:webHidden/>
              </w:rPr>
              <w:fldChar w:fldCharType="end"/>
            </w:r>
          </w:hyperlink>
        </w:p>
        <w:p w14:paraId="2E1CB83E" w14:textId="0AC39B39" w:rsidR="007D19D7" w:rsidRDefault="005B3C73" w:rsidP="007D19D7">
          <w:pPr>
            <w:pStyle w:val="TOC1"/>
            <w:rPr>
              <w:rFonts w:asciiTheme="minorHAnsi" w:eastAsiaTheme="minorEastAsia" w:hAnsiTheme="minorHAnsi" w:cstheme="minorBidi"/>
              <w:sz w:val="22"/>
              <w:szCs w:val="22"/>
            </w:rPr>
          </w:pPr>
          <w:hyperlink w:anchor="_Toc124762759" w:history="1">
            <w:r w:rsidR="007D19D7" w:rsidRPr="009D2176">
              <w:rPr>
                <w:rStyle w:val="Hyperlink"/>
                <w:rFonts w:cs="Arial"/>
              </w:rPr>
              <w:t>2</w:t>
            </w:r>
            <w:r w:rsidR="007D19D7">
              <w:rPr>
                <w:rFonts w:asciiTheme="minorHAnsi" w:eastAsiaTheme="minorEastAsia" w:hAnsiTheme="minorHAnsi" w:cstheme="minorBidi"/>
                <w:sz w:val="22"/>
                <w:szCs w:val="22"/>
              </w:rPr>
              <w:tab/>
            </w:r>
            <w:r w:rsidR="007D19D7" w:rsidRPr="009D2176">
              <w:rPr>
                <w:rStyle w:val="Hyperlink"/>
                <w:rFonts w:cs="Arial"/>
              </w:rPr>
              <w:t>INTRODUCTION</w:t>
            </w:r>
            <w:r w:rsidR="007D19D7">
              <w:rPr>
                <w:webHidden/>
              </w:rPr>
              <w:tab/>
            </w:r>
            <w:r w:rsidR="007D19D7">
              <w:rPr>
                <w:webHidden/>
              </w:rPr>
              <w:fldChar w:fldCharType="begin"/>
            </w:r>
            <w:r w:rsidR="007D19D7">
              <w:rPr>
                <w:webHidden/>
              </w:rPr>
              <w:instrText xml:space="preserve"> PAGEREF _Toc124762759 \h </w:instrText>
            </w:r>
            <w:r w:rsidR="007D19D7">
              <w:rPr>
                <w:webHidden/>
              </w:rPr>
            </w:r>
            <w:r w:rsidR="007D19D7">
              <w:rPr>
                <w:webHidden/>
              </w:rPr>
              <w:fldChar w:fldCharType="separate"/>
            </w:r>
            <w:r w:rsidR="007D19D7">
              <w:rPr>
                <w:webHidden/>
              </w:rPr>
              <w:t>9</w:t>
            </w:r>
            <w:r w:rsidR="007D19D7">
              <w:rPr>
                <w:webHidden/>
              </w:rPr>
              <w:fldChar w:fldCharType="end"/>
            </w:r>
          </w:hyperlink>
        </w:p>
        <w:p w14:paraId="1ED4DCAC" w14:textId="1B33F38D" w:rsidR="007D19D7" w:rsidRDefault="005B3C73" w:rsidP="007D19D7">
          <w:pPr>
            <w:pStyle w:val="TOC1"/>
            <w:rPr>
              <w:rFonts w:asciiTheme="minorHAnsi" w:eastAsiaTheme="minorEastAsia" w:hAnsiTheme="minorHAnsi" w:cstheme="minorBidi"/>
              <w:sz w:val="22"/>
              <w:szCs w:val="22"/>
            </w:rPr>
          </w:pPr>
          <w:hyperlink w:anchor="_Toc124762760" w:history="1">
            <w:r w:rsidR="007D19D7" w:rsidRPr="009D2176">
              <w:rPr>
                <w:rStyle w:val="Hyperlink"/>
              </w:rPr>
              <w:t>3</w:t>
            </w:r>
            <w:r w:rsidR="007D19D7">
              <w:rPr>
                <w:rFonts w:asciiTheme="minorHAnsi" w:eastAsiaTheme="minorEastAsia" w:hAnsiTheme="minorHAnsi" w:cstheme="minorBidi"/>
                <w:sz w:val="22"/>
                <w:szCs w:val="22"/>
              </w:rPr>
              <w:tab/>
            </w:r>
            <w:r w:rsidR="007D19D7" w:rsidRPr="009D2176">
              <w:rPr>
                <w:rStyle w:val="Hyperlink"/>
              </w:rPr>
              <w:t>Conduct of surveys</w:t>
            </w:r>
            <w:r w:rsidR="007D19D7">
              <w:rPr>
                <w:webHidden/>
              </w:rPr>
              <w:tab/>
            </w:r>
            <w:r w:rsidR="007D19D7">
              <w:rPr>
                <w:webHidden/>
              </w:rPr>
              <w:fldChar w:fldCharType="begin"/>
            </w:r>
            <w:r w:rsidR="007D19D7">
              <w:rPr>
                <w:webHidden/>
              </w:rPr>
              <w:instrText xml:space="preserve"> PAGEREF _Toc124762760 \h </w:instrText>
            </w:r>
            <w:r w:rsidR="007D19D7">
              <w:rPr>
                <w:webHidden/>
              </w:rPr>
            </w:r>
            <w:r w:rsidR="007D19D7">
              <w:rPr>
                <w:webHidden/>
              </w:rPr>
              <w:fldChar w:fldCharType="separate"/>
            </w:r>
            <w:r w:rsidR="007D19D7">
              <w:rPr>
                <w:webHidden/>
              </w:rPr>
              <w:t>11</w:t>
            </w:r>
            <w:r w:rsidR="007D19D7">
              <w:rPr>
                <w:webHidden/>
              </w:rPr>
              <w:fldChar w:fldCharType="end"/>
            </w:r>
          </w:hyperlink>
        </w:p>
        <w:p w14:paraId="67226429" w14:textId="000908F8" w:rsidR="007D19D7" w:rsidRDefault="005B3C73">
          <w:pPr>
            <w:pStyle w:val="TOC2"/>
            <w:rPr>
              <w:rFonts w:asciiTheme="minorHAnsi" w:eastAsiaTheme="minorEastAsia" w:hAnsiTheme="minorHAnsi" w:cstheme="minorBidi"/>
              <w:b w:val="0"/>
              <w:bCs w:val="0"/>
              <w:sz w:val="22"/>
              <w:szCs w:val="22"/>
            </w:rPr>
          </w:pPr>
          <w:hyperlink w:anchor="_Toc124762761" w:history="1">
            <w:r w:rsidR="007D19D7" w:rsidRPr="009D2176">
              <w:rPr>
                <w:rStyle w:val="Hyperlink"/>
              </w:rPr>
              <w:t>3.1</w:t>
            </w:r>
            <w:r w:rsidR="007D19D7">
              <w:rPr>
                <w:rFonts w:asciiTheme="minorHAnsi" w:eastAsiaTheme="minorEastAsia" w:hAnsiTheme="minorHAnsi" w:cstheme="minorBidi"/>
                <w:b w:val="0"/>
                <w:bCs w:val="0"/>
                <w:sz w:val="22"/>
                <w:szCs w:val="22"/>
              </w:rPr>
              <w:tab/>
            </w:r>
            <w:r w:rsidR="007D19D7" w:rsidRPr="009D2176">
              <w:rPr>
                <w:rStyle w:val="Hyperlink"/>
              </w:rPr>
              <w:t>1973-78 cohort</w:t>
            </w:r>
            <w:r w:rsidR="007D19D7">
              <w:rPr>
                <w:webHidden/>
              </w:rPr>
              <w:tab/>
            </w:r>
            <w:r w:rsidR="007D19D7">
              <w:rPr>
                <w:webHidden/>
              </w:rPr>
              <w:fldChar w:fldCharType="begin"/>
            </w:r>
            <w:r w:rsidR="007D19D7">
              <w:rPr>
                <w:webHidden/>
              </w:rPr>
              <w:instrText xml:space="preserve"> PAGEREF _Toc124762761 \h </w:instrText>
            </w:r>
            <w:r w:rsidR="007D19D7">
              <w:rPr>
                <w:webHidden/>
              </w:rPr>
            </w:r>
            <w:r w:rsidR="007D19D7">
              <w:rPr>
                <w:webHidden/>
              </w:rPr>
              <w:fldChar w:fldCharType="separate"/>
            </w:r>
            <w:r w:rsidR="007D19D7">
              <w:rPr>
                <w:webHidden/>
              </w:rPr>
              <w:t>11</w:t>
            </w:r>
            <w:r w:rsidR="007D19D7">
              <w:rPr>
                <w:webHidden/>
              </w:rPr>
              <w:fldChar w:fldCharType="end"/>
            </w:r>
          </w:hyperlink>
        </w:p>
        <w:p w14:paraId="2D696325" w14:textId="0D779EEE" w:rsidR="007D19D7" w:rsidRDefault="005B3C73">
          <w:pPr>
            <w:pStyle w:val="TOC3"/>
            <w:rPr>
              <w:rFonts w:asciiTheme="minorHAnsi" w:eastAsiaTheme="minorEastAsia" w:hAnsiTheme="minorHAnsi" w:cstheme="minorBidi"/>
              <w:b w:val="0"/>
              <w:bCs w:val="0"/>
              <w:sz w:val="22"/>
              <w:szCs w:val="22"/>
            </w:rPr>
          </w:pPr>
          <w:hyperlink w:anchor="_Toc124762762" w:history="1">
            <w:r w:rsidR="007D19D7" w:rsidRPr="009D2176">
              <w:rPr>
                <w:rStyle w:val="Hyperlink"/>
              </w:rPr>
              <w:t>3.1.1</w:t>
            </w:r>
            <w:r w:rsidR="007D19D7">
              <w:rPr>
                <w:rFonts w:asciiTheme="minorHAnsi" w:eastAsiaTheme="minorEastAsia" w:hAnsiTheme="minorHAnsi" w:cstheme="minorBidi"/>
                <w:b w:val="0"/>
                <w:bCs w:val="0"/>
                <w:sz w:val="22"/>
                <w:szCs w:val="22"/>
              </w:rPr>
              <w:tab/>
            </w:r>
            <w:r w:rsidR="007D19D7" w:rsidRPr="009D2176">
              <w:rPr>
                <w:rStyle w:val="Hyperlink"/>
              </w:rPr>
              <w:t>Main Survey 9</w:t>
            </w:r>
            <w:r w:rsidR="007D19D7">
              <w:rPr>
                <w:webHidden/>
              </w:rPr>
              <w:tab/>
            </w:r>
            <w:r w:rsidR="007D19D7">
              <w:rPr>
                <w:webHidden/>
              </w:rPr>
              <w:fldChar w:fldCharType="begin"/>
            </w:r>
            <w:r w:rsidR="007D19D7">
              <w:rPr>
                <w:webHidden/>
              </w:rPr>
              <w:instrText xml:space="preserve"> PAGEREF _Toc124762762 \h </w:instrText>
            </w:r>
            <w:r w:rsidR="007D19D7">
              <w:rPr>
                <w:webHidden/>
              </w:rPr>
            </w:r>
            <w:r w:rsidR="007D19D7">
              <w:rPr>
                <w:webHidden/>
              </w:rPr>
              <w:fldChar w:fldCharType="separate"/>
            </w:r>
            <w:r w:rsidR="007D19D7">
              <w:rPr>
                <w:webHidden/>
              </w:rPr>
              <w:t>11</w:t>
            </w:r>
            <w:r w:rsidR="007D19D7">
              <w:rPr>
                <w:webHidden/>
              </w:rPr>
              <w:fldChar w:fldCharType="end"/>
            </w:r>
          </w:hyperlink>
        </w:p>
        <w:p w14:paraId="3F0D4BA6" w14:textId="7043C749" w:rsidR="007D19D7" w:rsidRDefault="005B3C73">
          <w:pPr>
            <w:pStyle w:val="TOC3"/>
            <w:rPr>
              <w:rFonts w:asciiTheme="minorHAnsi" w:eastAsiaTheme="minorEastAsia" w:hAnsiTheme="minorHAnsi" w:cstheme="minorBidi"/>
              <w:b w:val="0"/>
              <w:bCs w:val="0"/>
              <w:sz w:val="22"/>
              <w:szCs w:val="22"/>
            </w:rPr>
          </w:pPr>
          <w:hyperlink w:anchor="_Toc124762763" w:history="1">
            <w:r w:rsidR="007D19D7" w:rsidRPr="009D2176">
              <w:rPr>
                <w:rStyle w:val="Hyperlink"/>
              </w:rPr>
              <w:t>3.1.2</w:t>
            </w:r>
            <w:r w:rsidR="007D19D7">
              <w:rPr>
                <w:rFonts w:asciiTheme="minorHAnsi" w:eastAsiaTheme="minorEastAsia" w:hAnsiTheme="minorHAnsi" w:cstheme="minorBidi"/>
                <w:b w:val="0"/>
                <w:bCs w:val="0"/>
                <w:sz w:val="22"/>
                <w:szCs w:val="22"/>
              </w:rPr>
              <w:tab/>
            </w:r>
            <w:r w:rsidR="007D19D7" w:rsidRPr="009D2176">
              <w:rPr>
                <w:rStyle w:val="Hyperlink"/>
              </w:rPr>
              <w:t>1946-51 Pilot Cohort - Survey 10</w:t>
            </w:r>
            <w:r w:rsidR="007D19D7">
              <w:rPr>
                <w:webHidden/>
              </w:rPr>
              <w:tab/>
            </w:r>
            <w:r w:rsidR="007D19D7">
              <w:rPr>
                <w:webHidden/>
              </w:rPr>
              <w:fldChar w:fldCharType="begin"/>
            </w:r>
            <w:r w:rsidR="007D19D7">
              <w:rPr>
                <w:webHidden/>
              </w:rPr>
              <w:instrText xml:space="preserve"> PAGEREF _Toc124762763 \h </w:instrText>
            </w:r>
            <w:r w:rsidR="007D19D7">
              <w:rPr>
                <w:webHidden/>
              </w:rPr>
            </w:r>
            <w:r w:rsidR="007D19D7">
              <w:rPr>
                <w:webHidden/>
              </w:rPr>
              <w:fldChar w:fldCharType="separate"/>
            </w:r>
            <w:r w:rsidR="007D19D7">
              <w:rPr>
                <w:webHidden/>
              </w:rPr>
              <w:t>12</w:t>
            </w:r>
            <w:r w:rsidR="007D19D7">
              <w:rPr>
                <w:webHidden/>
              </w:rPr>
              <w:fldChar w:fldCharType="end"/>
            </w:r>
          </w:hyperlink>
        </w:p>
        <w:p w14:paraId="7C1BE489" w14:textId="263015E4" w:rsidR="007D19D7" w:rsidRDefault="005B3C73">
          <w:pPr>
            <w:pStyle w:val="TOC3"/>
            <w:rPr>
              <w:rFonts w:asciiTheme="minorHAnsi" w:eastAsiaTheme="minorEastAsia" w:hAnsiTheme="minorHAnsi" w:cstheme="minorBidi"/>
              <w:b w:val="0"/>
              <w:bCs w:val="0"/>
              <w:sz w:val="22"/>
              <w:szCs w:val="22"/>
            </w:rPr>
          </w:pPr>
          <w:hyperlink w:anchor="_Toc124762764" w:history="1">
            <w:r w:rsidR="007D19D7" w:rsidRPr="009D2176">
              <w:rPr>
                <w:rStyle w:val="Hyperlink"/>
              </w:rPr>
              <w:t>3.1.3</w:t>
            </w:r>
            <w:r w:rsidR="007D19D7">
              <w:rPr>
                <w:rFonts w:asciiTheme="minorHAnsi" w:eastAsiaTheme="minorEastAsia" w:hAnsiTheme="minorHAnsi" w:cstheme="minorBidi"/>
                <w:b w:val="0"/>
                <w:bCs w:val="0"/>
                <w:sz w:val="22"/>
                <w:szCs w:val="22"/>
              </w:rPr>
              <w:tab/>
            </w:r>
            <w:r w:rsidR="007D19D7" w:rsidRPr="009D2176">
              <w:rPr>
                <w:rStyle w:val="Hyperlink"/>
              </w:rPr>
              <w:t>Main Survey 10</w:t>
            </w:r>
            <w:r w:rsidR="007D19D7">
              <w:rPr>
                <w:webHidden/>
              </w:rPr>
              <w:tab/>
            </w:r>
            <w:r w:rsidR="007D19D7">
              <w:rPr>
                <w:webHidden/>
              </w:rPr>
              <w:fldChar w:fldCharType="begin"/>
            </w:r>
            <w:r w:rsidR="007D19D7">
              <w:rPr>
                <w:webHidden/>
              </w:rPr>
              <w:instrText xml:space="preserve"> PAGEREF _Toc124762764 \h </w:instrText>
            </w:r>
            <w:r w:rsidR="007D19D7">
              <w:rPr>
                <w:webHidden/>
              </w:rPr>
            </w:r>
            <w:r w:rsidR="007D19D7">
              <w:rPr>
                <w:webHidden/>
              </w:rPr>
              <w:fldChar w:fldCharType="separate"/>
            </w:r>
            <w:r w:rsidR="007D19D7">
              <w:rPr>
                <w:webHidden/>
              </w:rPr>
              <w:t>31</w:t>
            </w:r>
            <w:r w:rsidR="007D19D7">
              <w:rPr>
                <w:webHidden/>
              </w:rPr>
              <w:fldChar w:fldCharType="end"/>
            </w:r>
          </w:hyperlink>
        </w:p>
        <w:p w14:paraId="551B55AD" w14:textId="187C8C2E" w:rsidR="007D19D7" w:rsidRDefault="005B3C73">
          <w:pPr>
            <w:pStyle w:val="TOC2"/>
            <w:rPr>
              <w:rFonts w:asciiTheme="minorHAnsi" w:eastAsiaTheme="minorEastAsia" w:hAnsiTheme="minorHAnsi" w:cstheme="minorBidi"/>
              <w:b w:val="0"/>
              <w:bCs w:val="0"/>
              <w:sz w:val="22"/>
              <w:szCs w:val="22"/>
            </w:rPr>
          </w:pPr>
          <w:hyperlink w:anchor="_Toc124762765" w:history="1">
            <w:r w:rsidR="007D19D7" w:rsidRPr="009D2176">
              <w:rPr>
                <w:rStyle w:val="Hyperlink"/>
              </w:rPr>
              <w:t>3.2</w:t>
            </w:r>
            <w:r w:rsidR="007D19D7">
              <w:rPr>
                <w:rFonts w:asciiTheme="minorHAnsi" w:eastAsiaTheme="minorEastAsia" w:hAnsiTheme="minorHAnsi" w:cstheme="minorBidi"/>
                <w:b w:val="0"/>
                <w:bCs w:val="0"/>
                <w:sz w:val="22"/>
                <w:szCs w:val="22"/>
              </w:rPr>
              <w:tab/>
            </w:r>
            <w:r w:rsidR="007D19D7" w:rsidRPr="009D2176">
              <w:rPr>
                <w:rStyle w:val="Hyperlink"/>
              </w:rPr>
              <w:t>1921-26 cohort</w:t>
            </w:r>
            <w:r w:rsidR="007D19D7">
              <w:rPr>
                <w:webHidden/>
              </w:rPr>
              <w:tab/>
            </w:r>
            <w:r w:rsidR="007D19D7">
              <w:rPr>
                <w:webHidden/>
              </w:rPr>
              <w:fldChar w:fldCharType="begin"/>
            </w:r>
            <w:r w:rsidR="007D19D7">
              <w:rPr>
                <w:webHidden/>
              </w:rPr>
              <w:instrText xml:space="preserve"> PAGEREF _Toc124762765 \h </w:instrText>
            </w:r>
            <w:r w:rsidR="007D19D7">
              <w:rPr>
                <w:webHidden/>
              </w:rPr>
            </w:r>
            <w:r w:rsidR="007D19D7">
              <w:rPr>
                <w:webHidden/>
              </w:rPr>
              <w:fldChar w:fldCharType="separate"/>
            </w:r>
            <w:r w:rsidR="007D19D7">
              <w:rPr>
                <w:webHidden/>
              </w:rPr>
              <w:t>48</w:t>
            </w:r>
            <w:r w:rsidR="007D19D7">
              <w:rPr>
                <w:webHidden/>
              </w:rPr>
              <w:fldChar w:fldCharType="end"/>
            </w:r>
          </w:hyperlink>
        </w:p>
        <w:p w14:paraId="14B2BC12" w14:textId="7CFECF0D" w:rsidR="007D19D7" w:rsidRDefault="005B3C73">
          <w:pPr>
            <w:pStyle w:val="TOC3"/>
            <w:rPr>
              <w:rFonts w:asciiTheme="minorHAnsi" w:eastAsiaTheme="minorEastAsia" w:hAnsiTheme="minorHAnsi" w:cstheme="minorBidi"/>
              <w:b w:val="0"/>
              <w:bCs w:val="0"/>
              <w:sz w:val="22"/>
              <w:szCs w:val="22"/>
            </w:rPr>
          </w:pPr>
          <w:hyperlink w:anchor="_Toc124762766" w:history="1">
            <w:r w:rsidR="007D19D7" w:rsidRPr="009D2176">
              <w:rPr>
                <w:rStyle w:val="Hyperlink"/>
              </w:rPr>
              <w:t>3.2.1</w:t>
            </w:r>
            <w:r w:rsidR="007D19D7">
              <w:rPr>
                <w:rFonts w:asciiTheme="minorHAnsi" w:eastAsiaTheme="minorEastAsia" w:hAnsiTheme="minorHAnsi" w:cstheme="minorBidi"/>
                <w:b w:val="0"/>
                <w:bCs w:val="0"/>
                <w:sz w:val="22"/>
                <w:szCs w:val="22"/>
              </w:rPr>
              <w:tab/>
            </w:r>
            <w:r w:rsidR="007D19D7" w:rsidRPr="009D2176">
              <w:rPr>
                <w:rStyle w:val="Hyperlink"/>
              </w:rPr>
              <w:t>Six-Month Follow-Up Surveys</w:t>
            </w:r>
            <w:r w:rsidR="007D19D7">
              <w:rPr>
                <w:webHidden/>
              </w:rPr>
              <w:tab/>
            </w:r>
            <w:r w:rsidR="007D19D7">
              <w:rPr>
                <w:webHidden/>
              </w:rPr>
              <w:fldChar w:fldCharType="begin"/>
            </w:r>
            <w:r w:rsidR="007D19D7">
              <w:rPr>
                <w:webHidden/>
              </w:rPr>
              <w:instrText xml:space="preserve"> PAGEREF _Toc124762766 \h </w:instrText>
            </w:r>
            <w:r w:rsidR="007D19D7">
              <w:rPr>
                <w:webHidden/>
              </w:rPr>
            </w:r>
            <w:r w:rsidR="007D19D7">
              <w:rPr>
                <w:webHidden/>
              </w:rPr>
              <w:fldChar w:fldCharType="separate"/>
            </w:r>
            <w:r w:rsidR="007D19D7">
              <w:rPr>
                <w:webHidden/>
              </w:rPr>
              <w:t>48</w:t>
            </w:r>
            <w:r w:rsidR="007D19D7">
              <w:rPr>
                <w:webHidden/>
              </w:rPr>
              <w:fldChar w:fldCharType="end"/>
            </w:r>
          </w:hyperlink>
        </w:p>
        <w:p w14:paraId="27E5B96F" w14:textId="5B794653" w:rsidR="007D19D7" w:rsidRDefault="005B3C73">
          <w:pPr>
            <w:pStyle w:val="TOC2"/>
            <w:rPr>
              <w:rFonts w:asciiTheme="minorHAnsi" w:eastAsiaTheme="minorEastAsia" w:hAnsiTheme="minorHAnsi" w:cstheme="minorBidi"/>
              <w:b w:val="0"/>
              <w:bCs w:val="0"/>
              <w:sz w:val="22"/>
              <w:szCs w:val="22"/>
            </w:rPr>
          </w:pPr>
          <w:hyperlink w:anchor="_Toc124762767" w:history="1">
            <w:r w:rsidR="007D19D7" w:rsidRPr="009D2176">
              <w:rPr>
                <w:rStyle w:val="Hyperlink"/>
              </w:rPr>
              <w:t>3.3</w:t>
            </w:r>
            <w:r w:rsidR="007D19D7">
              <w:rPr>
                <w:rFonts w:asciiTheme="minorHAnsi" w:eastAsiaTheme="minorEastAsia" w:hAnsiTheme="minorHAnsi" w:cstheme="minorBidi"/>
                <w:b w:val="0"/>
                <w:bCs w:val="0"/>
                <w:sz w:val="22"/>
                <w:szCs w:val="22"/>
              </w:rPr>
              <w:tab/>
            </w:r>
            <w:r w:rsidR="007D19D7" w:rsidRPr="009D2176">
              <w:rPr>
                <w:rStyle w:val="Hyperlink"/>
              </w:rPr>
              <w:t>COVID-19 surveys</w:t>
            </w:r>
            <w:r w:rsidR="007D19D7">
              <w:rPr>
                <w:webHidden/>
              </w:rPr>
              <w:tab/>
            </w:r>
            <w:r w:rsidR="007D19D7">
              <w:rPr>
                <w:webHidden/>
              </w:rPr>
              <w:fldChar w:fldCharType="begin"/>
            </w:r>
            <w:r w:rsidR="007D19D7">
              <w:rPr>
                <w:webHidden/>
              </w:rPr>
              <w:instrText xml:space="preserve"> PAGEREF _Toc124762767 \h </w:instrText>
            </w:r>
            <w:r w:rsidR="007D19D7">
              <w:rPr>
                <w:webHidden/>
              </w:rPr>
            </w:r>
            <w:r w:rsidR="007D19D7">
              <w:rPr>
                <w:webHidden/>
              </w:rPr>
              <w:fldChar w:fldCharType="separate"/>
            </w:r>
            <w:r w:rsidR="007D19D7">
              <w:rPr>
                <w:webHidden/>
              </w:rPr>
              <w:t>52</w:t>
            </w:r>
            <w:r w:rsidR="007D19D7">
              <w:rPr>
                <w:webHidden/>
              </w:rPr>
              <w:fldChar w:fldCharType="end"/>
            </w:r>
          </w:hyperlink>
        </w:p>
        <w:p w14:paraId="3307A853" w14:textId="4D5FCBEE" w:rsidR="007D19D7" w:rsidRDefault="005B3C73">
          <w:pPr>
            <w:pStyle w:val="TOC3"/>
            <w:rPr>
              <w:rFonts w:asciiTheme="minorHAnsi" w:eastAsiaTheme="minorEastAsia" w:hAnsiTheme="minorHAnsi" w:cstheme="minorBidi"/>
              <w:b w:val="0"/>
              <w:bCs w:val="0"/>
              <w:sz w:val="22"/>
              <w:szCs w:val="22"/>
            </w:rPr>
          </w:pPr>
          <w:hyperlink w:anchor="_Toc124762768" w:history="1">
            <w:r w:rsidR="007D19D7" w:rsidRPr="009D2176">
              <w:rPr>
                <w:rStyle w:val="Hyperlink"/>
                <w:rFonts w:cs="Arial"/>
              </w:rPr>
              <w:t>3.3.1</w:t>
            </w:r>
            <w:r w:rsidR="007D19D7">
              <w:rPr>
                <w:rFonts w:asciiTheme="minorHAnsi" w:eastAsiaTheme="minorEastAsia" w:hAnsiTheme="minorHAnsi" w:cstheme="minorBidi"/>
                <w:b w:val="0"/>
                <w:bCs w:val="0"/>
                <w:sz w:val="22"/>
                <w:szCs w:val="22"/>
              </w:rPr>
              <w:tab/>
            </w:r>
            <w:r w:rsidR="007D19D7" w:rsidRPr="009D2176">
              <w:rPr>
                <w:rStyle w:val="Hyperlink"/>
                <w:rFonts w:cs="Arial"/>
              </w:rPr>
              <w:t>COVID-19 Surveys - Vaccination survey</w:t>
            </w:r>
            <w:r w:rsidR="007D19D7">
              <w:rPr>
                <w:webHidden/>
              </w:rPr>
              <w:tab/>
            </w:r>
            <w:r w:rsidR="007D19D7">
              <w:rPr>
                <w:webHidden/>
              </w:rPr>
              <w:fldChar w:fldCharType="begin"/>
            </w:r>
            <w:r w:rsidR="007D19D7">
              <w:rPr>
                <w:webHidden/>
              </w:rPr>
              <w:instrText xml:space="preserve"> PAGEREF _Toc124762768 \h </w:instrText>
            </w:r>
            <w:r w:rsidR="007D19D7">
              <w:rPr>
                <w:webHidden/>
              </w:rPr>
            </w:r>
            <w:r w:rsidR="007D19D7">
              <w:rPr>
                <w:webHidden/>
              </w:rPr>
              <w:fldChar w:fldCharType="separate"/>
            </w:r>
            <w:r w:rsidR="007D19D7">
              <w:rPr>
                <w:webHidden/>
              </w:rPr>
              <w:t>52</w:t>
            </w:r>
            <w:r w:rsidR="007D19D7">
              <w:rPr>
                <w:webHidden/>
              </w:rPr>
              <w:fldChar w:fldCharType="end"/>
            </w:r>
          </w:hyperlink>
        </w:p>
        <w:p w14:paraId="47D13931" w14:textId="1EFB0069" w:rsidR="007D19D7" w:rsidRDefault="005B3C73">
          <w:pPr>
            <w:pStyle w:val="TOC3"/>
            <w:rPr>
              <w:rFonts w:asciiTheme="minorHAnsi" w:eastAsiaTheme="minorEastAsia" w:hAnsiTheme="minorHAnsi" w:cstheme="minorBidi"/>
              <w:b w:val="0"/>
              <w:bCs w:val="0"/>
              <w:sz w:val="22"/>
              <w:szCs w:val="22"/>
            </w:rPr>
          </w:pPr>
          <w:hyperlink w:anchor="_Toc124762769" w:history="1">
            <w:r w:rsidR="007D19D7" w:rsidRPr="009D2176">
              <w:rPr>
                <w:rStyle w:val="Hyperlink"/>
                <w:rFonts w:cs="Arial"/>
              </w:rPr>
              <w:t>3.3.2</w:t>
            </w:r>
            <w:r w:rsidR="007D19D7">
              <w:rPr>
                <w:rFonts w:asciiTheme="minorHAnsi" w:eastAsiaTheme="minorEastAsia" w:hAnsiTheme="minorHAnsi" w:cstheme="minorBidi"/>
                <w:b w:val="0"/>
                <w:bCs w:val="0"/>
                <w:sz w:val="22"/>
                <w:szCs w:val="22"/>
              </w:rPr>
              <w:tab/>
            </w:r>
            <w:r w:rsidR="007D19D7" w:rsidRPr="009D2176">
              <w:rPr>
                <w:rStyle w:val="Hyperlink"/>
                <w:rFonts w:cs="Arial"/>
              </w:rPr>
              <w:t>References</w:t>
            </w:r>
            <w:r w:rsidR="007D19D7">
              <w:rPr>
                <w:webHidden/>
              </w:rPr>
              <w:tab/>
            </w:r>
            <w:r w:rsidR="007D19D7">
              <w:rPr>
                <w:webHidden/>
              </w:rPr>
              <w:fldChar w:fldCharType="begin"/>
            </w:r>
            <w:r w:rsidR="007D19D7">
              <w:rPr>
                <w:webHidden/>
              </w:rPr>
              <w:instrText xml:space="preserve"> PAGEREF _Toc124762769 \h </w:instrText>
            </w:r>
            <w:r w:rsidR="007D19D7">
              <w:rPr>
                <w:webHidden/>
              </w:rPr>
            </w:r>
            <w:r w:rsidR="007D19D7">
              <w:rPr>
                <w:webHidden/>
              </w:rPr>
              <w:fldChar w:fldCharType="separate"/>
            </w:r>
            <w:r w:rsidR="007D19D7">
              <w:rPr>
                <w:webHidden/>
              </w:rPr>
              <w:t>53</w:t>
            </w:r>
            <w:r w:rsidR="007D19D7">
              <w:rPr>
                <w:webHidden/>
              </w:rPr>
              <w:fldChar w:fldCharType="end"/>
            </w:r>
          </w:hyperlink>
        </w:p>
        <w:p w14:paraId="408BD9C1" w14:textId="53DFC090" w:rsidR="007D19D7" w:rsidRDefault="005B3C73">
          <w:pPr>
            <w:pStyle w:val="TOC2"/>
            <w:rPr>
              <w:rFonts w:asciiTheme="minorHAnsi" w:eastAsiaTheme="minorEastAsia" w:hAnsiTheme="minorHAnsi" w:cstheme="minorBidi"/>
              <w:b w:val="0"/>
              <w:bCs w:val="0"/>
              <w:sz w:val="22"/>
              <w:szCs w:val="22"/>
            </w:rPr>
          </w:pPr>
          <w:hyperlink w:anchor="_Toc124762770" w:history="1">
            <w:r w:rsidR="007D19D7" w:rsidRPr="009D2176">
              <w:rPr>
                <w:rStyle w:val="Hyperlink"/>
              </w:rPr>
              <w:t>3.4</w:t>
            </w:r>
            <w:r w:rsidR="007D19D7">
              <w:rPr>
                <w:rFonts w:asciiTheme="minorHAnsi" w:eastAsiaTheme="minorEastAsia" w:hAnsiTheme="minorHAnsi" w:cstheme="minorBidi"/>
                <w:b w:val="0"/>
                <w:bCs w:val="0"/>
                <w:sz w:val="22"/>
                <w:szCs w:val="22"/>
              </w:rPr>
              <w:tab/>
            </w:r>
            <w:r w:rsidR="007D19D7" w:rsidRPr="009D2176">
              <w:rPr>
                <w:rStyle w:val="Hyperlink"/>
              </w:rPr>
              <w:t>‘Refresh’ of the 1973-78 cohort with women from Asian backgrounds</w:t>
            </w:r>
            <w:r w:rsidR="007D19D7">
              <w:rPr>
                <w:webHidden/>
              </w:rPr>
              <w:tab/>
            </w:r>
            <w:r w:rsidR="007D19D7">
              <w:rPr>
                <w:webHidden/>
              </w:rPr>
              <w:fldChar w:fldCharType="begin"/>
            </w:r>
            <w:r w:rsidR="007D19D7">
              <w:rPr>
                <w:webHidden/>
              </w:rPr>
              <w:instrText xml:space="preserve"> PAGEREF _Toc124762770 \h </w:instrText>
            </w:r>
            <w:r w:rsidR="007D19D7">
              <w:rPr>
                <w:webHidden/>
              </w:rPr>
            </w:r>
            <w:r w:rsidR="007D19D7">
              <w:rPr>
                <w:webHidden/>
              </w:rPr>
              <w:fldChar w:fldCharType="separate"/>
            </w:r>
            <w:r w:rsidR="007D19D7">
              <w:rPr>
                <w:webHidden/>
              </w:rPr>
              <w:t>54</w:t>
            </w:r>
            <w:r w:rsidR="007D19D7">
              <w:rPr>
                <w:webHidden/>
              </w:rPr>
              <w:fldChar w:fldCharType="end"/>
            </w:r>
          </w:hyperlink>
        </w:p>
        <w:p w14:paraId="502D897E" w14:textId="61AEF94D" w:rsidR="007D19D7" w:rsidRDefault="005B3C73">
          <w:pPr>
            <w:pStyle w:val="TOC3"/>
            <w:rPr>
              <w:rFonts w:asciiTheme="minorHAnsi" w:eastAsiaTheme="minorEastAsia" w:hAnsiTheme="minorHAnsi" w:cstheme="minorBidi"/>
              <w:b w:val="0"/>
              <w:bCs w:val="0"/>
              <w:sz w:val="22"/>
              <w:szCs w:val="22"/>
            </w:rPr>
          </w:pPr>
          <w:hyperlink w:anchor="_Toc124762771" w:history="1">
            <w:r w:rsidR="007D19D7" w:rsidRPr="009D2176">
              <w:rPr>
                <w:rStyle w:val="Hyperlink"/>
              </w:rPr>
              <w:t>3.4.1</w:t>
            </w:r>
            <w:r w:rsidR="007D19D7">
              <w:rPr>
                <w:rFonts w:asciiTheme="minorHAnsi" w:eastAsiaTheme="minorEastAsia" w:hAnsiTheme="minorHAnsi" w:cstheme="minorBidi"/>
                <w:b w:val="0"/>
                <w:bCs w:val="0"/>
                <w:sz w:val="22"/>
                <w:szCs w:val="22"/>
              </w:rPr>
              <w:tab/>
            </w:r>
            <w:r w:rsidR="007D19D7" w:rsidRPr="009D2176">
              <w:rPr>
                <w:rStyle w:val="Hyperlink"/>
              </w:rPr>
              <w:t>Background</w:t>
            </w:r>
            <w:r w:rsidR="007D19D7">
              <w:rPr>
                <w:webHidden/>
              </w:rPr>
              <w:tab/>
            </w:r>
            <w:r w:rsidR="007D19D7">
              <w:rPr>
                <w:webHidden/>
              </w:rPr>
              <w:fldChar w:fldCharType="begin"/>
            </w:r>
            <w:r w:rsidR="007D19D7">
              <w:rPr>
                <w:webHidden/>
              </w:rPr>
              <w:instrText xml:space="preserve"> PAGEREF _Toc124762771 \h </w:instrText>
            </w:r>
            <w:r w:rsidR="007D19D7">
              <w:rPr>
                <w:webHidden/>
              </w:rPr>
            </w:r>
            <w:r w:rsidR="007D19D7">
              <w:rPr>
                <w:webHidden/>
              </w:rPr>
              <w:fldChar w:fldCharType="separate"/>
            </w:r>
            <w:r w:rsidR="007D19D7">
              <w:rPr>
                <w:webHidden/>
              </w:rPr>
              <w:t>54</w:t>
            </w:r>
            <w:r w:rsidR="007D19D7">
              <w:rPr>
                <w:webHidden/>
              </w:rPr>
              <w:fldChar w:fldCharType="end"/>
            </w:r>
          </w:hyperlink>
        </w:p>
        <w:p w14:paraId="7E009271" w14:textId="38CDF6C9" w:rsidR="007D19D7" w:rsidRDefault="005B3C73">
          <w:pPr>
            <w:pStyle w:val="TOC3"/>
            <w:rPr>
              <w:rFonts w:asciiTheme="minorHAnsi" w:eastAsiaTheme="minorEastAsia" w:hAnsiTheme="minorHAnsi" w:cstheme="minorBidi"/>
              <w:b w:val="0"/>
              <w:bCs w:val="0"/>
              <w:sz w:val="22"/>
              <w:szCs w:val="22"/>
            </w:rPr>
          </w:pPr>
          <w:hyperlink w:anchor="_Toc124762772" w:history="1">
            <w:r w:rsidR="007D19D7" w:rsidRPr="009D2176">
              <w:rPr>
                <w:rStyle w:val="Hyperlink"/>
              </w:rPr>
              <w:t>3.4.2</w:t>
            </w:r>
            <w:r w:rsidR="007D19D7">
              <w:rPr>
                <w:rFonts w:asciiTheme="minorHAnsi" w:eastAsiaTheme="minorEastAsia" w:hAnsiTheme="minorHAnsi" w:cstheme="minorBidi"/>
                <w:b w:val="0"/>
                <w:bCs w:val="0"/>
                <w:sz w:val="22"/>
                <w:szCs w:val="22"/>
              </w:rPr>
              <w:tab/>
            </w:r>
            <w:r w:rsidR="007D19D7" w:rsidRPr="009D2176">
              <w:rPr>
                <w:rStyle w:val="Hyperlink"/>
              </w:rPr>
              <w:t>1973-78 cohort ‘refresh’ development and progress</w:t>
            </w:r>
            <w:r w:rsidR="007D19D7">
              <w:rPr>
                <w:webHidden/>
              </w:rPr>
              <w:tab/>
            </w:r>
            <w:r w:rsidR="007D19D7">
              <w:rPr>
                <w:webHidden/>
              </w:rPr>
              <w:fldChar w:fldCharType="begin"/>
            </w:r>
            <w:r w:rsidR="007D19D7">
              <w:rPr>
                <w:webHidden/>
              </w:rPr>
              <w:instrText xml:space="preserve"> PAGEREF _Toc124762772 \h </w:instrText>
            </w:r>
            <w:r w:rsidR="007D19D7">
              <w:rPr>
                <w:webHidden/>
              </w:rPr>
            </w:r>
            <w:r w:rsidR="007D19D7">
              <w:rPr>
                <w:webHidden/>
              </w:rPr>
              <w:fldChar w:fldCharType="separate"/>
            </w:r>
            <w:r w:rsidR="007D19D7">
              <w:rPr>
                <w:webHidden/>
              </w:rPr>
              <w:t>54</w:t>
            </w:r>
            <w:r w:rsidR="007D19D7">
              <w:rPr>
                <w:webHidden/>
              </w:rPr>
              <w:fldChar w:fldCharType="end"/>
            </w:r>
          </w:hyperlink>
        </w:p>
        <w:p w14:paraId="76FEF9ED" w14:textId="0E86353C" w:rsidR="007D19D7" w:rsidRDefault="005B3C73">
          <w:pPr>
            <w:pStyle w:val="TOC3"/>
            <w:rPr>
              <w:rFonts w:asciiTheme="minorHAnsi" w:eastAsiaTheme="minorEastAsia" w:hAnsiTheme="minorHAnsi" w:cstheme="minorBidi"/>
              <w:b w:val="0"/>
              <w:bCs w:val="0"/>
              <w:sz w:val="22"/>
              <w:szCs w:val="22"/>
            </w:rPr>
          </w:pPr>
          <w:hyperlink w:anchor="_Toc124762773" w:history="1">
            <w:r w:rsidR="007D19D7" w:rsidRPr="009D2176">
              <w:rPr>
                <w:rStyle w:val="Hyperlink"/>
              </w:rPr>
              <w:t>3.4.3</w:t>
            </w:r>
            <w:r w:rsidR="007D19D7">
              <w:rPr>
                <w:rFonts w:asciiTheme="minorHAnsi" w:eastAsiaTheme="minorEastAsia" w:hAnsiTheme="minorHAnsi" w:cstheme="minorBidi"/>
                <w:b w:val="0"/>
                <w:bCs w:val="0"/>
                <w:sz w:val="22"/>
                <w:szCs w:val="22"/>
              </w:rPr>
              <w:tab/>
            </w:r>
            <w:r w:rsidR="007D19D7" w:rsidRPr="009D2176">
              <w:rPr>
                <w:rStyle w:val="Hyperlink"/>
              </w:rPr>
              <w:t>Future plans</w:t>
            </w:r>
            <w:r w:rsidR="007D19D7">
              <w:rPr>
                <w:webHidden/>
              </w:rPr>
              <w:tab/>
            </w:r>
            <w:r w:rsidR="007D19D7">
              <w:rPr>
                <w:webHidden/>
              </w:rPr>
              <w:fldChar w:fldCharType="begin"/>
            </w:r>
            <w:r w:rsidR="007D19D7">
              <w:rPr>
                <w:webHidden/>
              </w:rPr>
              <w:instrText xml:space="preserve"> PAGEREF _Toc124762773 \h </w:instrText>
            </w:r>
            <w:r w:rsidR="007D19D7">
              <w:rPr>
                <w:webHidden/>
              </w:rPr>
            </w:r>
            <w:r w:rsidR="007D19D7">
              <w:rPr>
                <w:webHidden/>
              </w:rPr>
              <w:fldChar w:fldCharType="separate"/>
            </w:r>
            <w:r w:rsidR="007D19D7">
              <w:rPr>
                <w:webHidden/>
              </w:rPr>
              <w:t>56</w:t>
            </w:r>
            <w:r w:rsidR="007D19D7">
              <w:rPr>
                <w:webHidden/>
              </w:rPr>
              <w:fldChar w:fldCharType="end"/>
            </w:r>
          </w:hyperlink>
        </w:p>
        <w:p w14:paraId="2EC6E31F" w14:textId="30384AB1" w:rsidR="007D19D7" w:rsidRDefault="005B3C73">
          <w:pPr>
            <w:pStyle w:val="TOC3"/>
            <w:rPr>
              <w:rFonts w:asciiTheme="minorHAnsi" w:eastAsiaTheme="minorEastAsia" w:hAnsiTheme="minorHAnsi" w:cstheme="minorBidi"/>
              <w:b w:val="0"/>
              <w:bCs w:val="0"/>
              <w:sz w:val="22"/>
              <w:szCs w:val="22"/>
            </w:rPr>
          </w:pPr>
          <w:hyperlink w:anchor="_Toc124762774" w:history="1">
            <w:r w:rsidR="007D19D7" w:rsidRPr="009D2176">
              <w:rPr>
                <w:rStyle w:val="Hyperlink"/>
              </w:rPr>
              <w:t>3.4.4</w:t>
            </w:r>
            <w:r w:rsidR="007D19D7">
              <w:rPr>
                <w:rFonts w:asciiTheme="minorHAnsi" w:eastAsiaTheme="minorEastAsia" w:hAnsiTheme="minorHAnsi" w:cstheme="minorBidi"/>
                <w:b w:val="0"/>
                <w:bCs w:val="0"/>
                <w:sz w:val="22"/>
                <w:szCs w:val="22"/>
              </w:rPr>
              <w:tab/>
            </w:r>
            <w:r w:rsidR="007D19D7" w:rsidRPr="009D2176">
              <w:rPr>
                <w:rStyle w:val="Hyperlink"/>
              </w:rPr>
              <w:t>References</w:t>
            </w:r>
            <w:r w:rsidR="007D19D7">
              <w:rPr>
                <w:webHidden/>
              </w:rPr>
              <w:tab/>
            </w:r>
            <w:r w:rsidR="007D19D7">
              <w:rPr>
                <w:webHidden/>
              </w:rPr>
              <w:fldChar w:fldCharType="begin"/>
            </w:r>
            <w:r w:rsidR="007D19D7">
              <w:rPr>
                <w:webHidden/>
              </w:rPr>
              <w:instrText xml:space="preserve"> PAGEREF _Toc124762774 \h </w:instrText>
            </w:r>
            <w:r w:rsidR="007D19D7">
              <w:rPr>
                <w:webHidden/>
              </w:rPr>
            </w:r>
            <w:r w:rsidR="007D19D7">
              <w:rPr>
                <w:webHidden/>
              </w:rPr>
              <w:fldChar w:fldCharType="separate"/>
            </w:r>
            <w:r w:rsidR="007D19D7">
              <w:rPr>
                <w:webHidden/>
              </w:rPr>
              <w:t>56</w:t>
            </w:r>
            <w:r w:rsidR="007D19D7">
              <w:rPr>
                <w:webHidden/>
              </w:rPr>
              <w:fldChar w:fldCharType="end"/>
            </w:r>
          </w:hyperlink>
        </w:p>
        <w:p w14:paraId="1F03F701" w14:textId="6F240B63" w:rsidR="007D19D7" w:rsidRDefault="005B3C73" w:rsidP="007D19D7">
          <w:pPr>
            <w:pStyle w:val="TOC1"/>
            <w:rPr>
              <w:rFonts w:asciiTheme="minorHAnsi" w:eastAsiaTheme="minorEastAsia" w:hAnsiTheme="minorHAnsi" w:cstheme="minorBidi"/>
              <w:sz w:val="22"/>
              <w:szCs w:val="22"/>
            </w:rPr>
          </w:pPr>
          <w:hyperlink w:anchor="_Toc124762775" w:history="1">
            <w:r w:rsidR="007D19D7" w:rsidRPr="009D2176">
              <w:rPr>
                <w:rStyle w:val="Hyperlink"/>
                <w:rFonts w:cs="Arial"/>
              </w:rPr>
              <w:t>4</w:t>
            </w:r>
            <w:r w:rsidR="007D19D7">
              <w:rPr>
                <w:rFonts w:asciiTheme="minorHAnsi" w:eastAsiaTheme="minorEastAsia" w:hAnsiTheme="minorHAnsi" w:cstheme="minorBidi"/>
                <w:sz w:val="22"/>
                <w:szCs w:val="22"/>
              </w:rPr>
              <w:tab/>
            </w:r>
            <w:r w:rsidR="007D19D7" w:rsidRPr="009D2176">
              <w:rPr>
                <w:rStyle w:val="Hyperlink"/>
                <w:rFonts w:cs="Arial"/>
              </w:rPr>
              <w:t>Maintenance of cohorts</w:t>
            </w:r>
            <w:r w:rsidR="007D19D7">
              <w:rPr>
                <w:webHidden/>
              </w:rPr>
              <w:tab/>
            </w:r>
            <w:r w:rsidR="007D19D7">
              <w:rPr>
                <w:webHidden/>
              </w:rPr>
              <w:fldChar w:fldCharType="begin"/>
            </w:r>
            <w:r w:rsidR="007D19D7">
              <w:rPr>
                <w:webHidden/>
              </w:rPr>
              <w:instrText xml:space="preserve"> PAGEREF _Toc124762775 \h </w:instrText>
            </w:r>
            <w:r w:rsidR="007D19D7">
              <w:rPr>
                <w:webHidden/>
              </w:rPr>
            </w:r>
            <w:r w:rsidR="007D19D7">
              <w:rPr>
                <w:webHidden/>
              </w:rPr>
              <w:fldChar w:fldCharType="separate"/>
            </w:r>
            <w:r w:rsidR="007D19D7">
              <w:rPr>
                <w:webHidden/>
              </w:rPr>
              <w:t>57</w:t>
            </w:r>
            <w:r w:rsidR="007D19D7">
              <w:rPr>
                <w:webHidden/>
              </w:rPr>
              <w:fldChar w:fldCharType="end"/>
            </w:r>
          </w:hyperlink>
        </w:p>
        <w:p w14:paraId="76279390" w14:textId="2B0C1C9C" w:rsidR="007D19D7" w:rsidRDefault="005B3C73">
          <w:pPr>
            <w:pStyle w:val="TOC2"/>
            <w:rPr>
              <w:rFonts w:asciiTheme="minorHAnsi" w:eastAsiaTheme="minorEastAsia" w:hAnsiTheme="minorHAnsi" w:cstheme="minorBidi"/>
              <w:b w:val="0"/>
              <w:bCs w:val="0"/>
              <w:sz w:val="22"/>
              <w:szCs w:val="22"/>
            </w:rPr>
          </w:pPr>
          <w:hyperlink w:anchor="_Toc124762776" w:history="1">
            <w:r w:rsidR="007D19D7" w:rsidRPr="009D2176">
              <w:rPr>
                <w:rStyle w:val="Hyperlink"/>
              </w:rPr>
              <w:t>4.1</w:t>
            </w:r>
            <w:r w:rsidR="007D19D7">
              <w:rPr>
                <w:rFonts w:asciiTheme="minorHAnsi" w:eastAsiaTheme="minorEastAsia" w:hAnsiTheme="minorHAnsi" w:cstheme="minorBidi"/>
                <w:b w:val="0"/>
                <w:bCs w:val="0"/>
                <w:sz w:val="22"/>
                <w:szCs w:val="22"/>
              </w:rPr>
              <w:tab/>
            </w:r>
            <w:r w:rsidR="007D19D7" w:rsidRPr="009D2176">
              <w:rPr>
                <w:rStyle w:val="Hyperlink"/>
              </w:rPr>
              <w:t>Update of cohorts and response rates</w:t>
            </w:r>
            <w:r w:rsidR="007D19D7">
              <w:rPr>
                <w:webHidden/>
              </w:rPr>
              <w:tab/>
            </w:r>
            <w:r w:rsidR="007D19D7">
              <w:rPr>
                <w:webHidden/>
              </w:rPr>
              <w:fldChar w:fldCharType="begin"/>
            </w:r>
            <w:r w:rsidR="007D19D7">
              <w:rPr>
                <w:webHidden/>
              </w:rPr>
              <w:instrText xml:space="preserve"> PAGEREF _Toc124762776 \h </w:instrText>
            </w:r>
            <w:r w:rsidR="007D19D7">
              <w:rPr>
                <w:webHidden/>
              </w:rPr>
            </w:r>
            <w:r w:rsidR="007D19D7">
              <w:rPr>
                <w:webHidden/>
              </w:rPr>
              <w:fldChar w:fldCharType="separate"/>
            </w:r>
            <w:r w:rsidR="007D19D7">
              <w:rPr>
                <w:webHidden/>
              </w:rPr>
              <w:t>57</w:t>
            </w:r>
            <w:r w:rsidR="007D19D7">
              <w:rPr>
                <w:webHidden/>
              </w:rPr>
              <w:fldChar w:fldCharType="end"/>
            </w:r>
          </w:hyperlink>
        </w:p>
        <w:p w14:paraId="6754EFF9" w14:textId="777E337E" w:rsidR="007D19D7" w:rsidRDefault="005B3C73">
          <w:pPr>
            <w:pStyle w:val="TOC3"/>
            <w:rPr>
              <w:rFonts w:asciiTheme="minorHAnsi" w:eastAsiaTheme="minorEastAsia" w:hAnsiTheme="minorHAnsi" w:cstheme="minorBidi"/>
              <w:b w:val="0"/>
              <w:bCs w:val="0"/>
              <w:sz w:val="22"/>
              <w:szCs w:val="22"/>
            </w:rPr>
          </w:pPr>
          <w:hyperlink w:anchor="_Toc124762777" w:history="1">
            <w:r w:rsidR="007D19D7" w:rsidRPr="009D2176">
              <w:rPr>
                <w:rStyle w:val="Hyperlink"/>
              </w:rPr>
              <w:t>4.1.1</w:t>
            </w:r>
            <w:r w:rsidR="007D19D7">
              <w:rPr>
                <w:rFonts w:asciiTheme="minorHAnsi" w:eastAsiaTheme="minorEastAsia" w:hAnsiTheme="minorHAnsi" w:cstheme="minorBidi"/>
                <w:b w:val="0"/>
                <w:bCs w:val="0"/>
                <w:sz w:val="22"/>
                <w:szCs w:val="22"/>
              </w:rPr>
              <w:tab/>
            </w:r>
            <w:r w:rsidR="007D19D7" w:rsidRPr="009D2176">
              <w:rPr>
                <w:rStyle w:val="Hyperlink"/>
              </w:rPr>
              <w:t>First survey of the 1973-78, 1946-51 and 1921-26 cohorts in 1996.</w:t>
            </w:r>
            <w:r w:rsidR="007D19D7">
              <w:rPr>
                <w:webHidden/>
              </w:rPr>
              <w:tab/>
            </w:r>
            <w:r w:rsidR="007D19D7">
              <w:rPr>
                <w:webHidden/>
              </w:rPr>
              <w:fldChar w:fldCharType="begin"/>
            </w:r>
            <w:r w:rsidR="007D19D7">
              <w:rPr>
                <w:webHidden/>
              </w:rPr>
              <w:instrText xml:space="preserve"> PAGEREF _Toc124762777 \h </w:instrText>
            </w:r>
            <w:r w:rsidR="007D19D7">
              <w:rPr>
                <w:webHidden/>
              </w:rPr>
            </w:r>
            <w:r w:rsidR="007D19D7">
              <w:rPr>
                <w:webHidden/>
              </w:rPr>
              <w:fldChar w:fldCharType="separate"/>
            </w:r>
            <w:r w:rsidR="007D19D7">
              <w:rPr>
                <w:webHidden/>
              </w:rPr>
              <w:t>57</w:t>
            </w:r>
            <w:r w:rsidR="007D19D7">
              <w:rPr>
                <w:webHidden/>
              </w:rPr>
              <w:fldChar w:fldCharType="end"/>
            </w:r>
          </w:hyperlink>
        </w:p>
        <w:p w14:paraId="40871C9E" w14:textId="3CB06792" w:rsidR="007D19D7" w:rsidRDefault="005B3C73">
          <w:pPr>
            <w:pStyle w:val="TOC3"/>
            <w:rPr>
              <w:rFonts w:asciiTheme="minorHAnsi" w:eastAsiaTheme="minorEastAsia" w:hAnsiTheme="minorHAnsi" w:cstheme="minorBidi"/>
              <w:b w:val="0"/>
              <w:bCs w:val="0"/>
              <w:sz w:val="22"/>
              <w:szCs w:val="22"/>
            </w:rPr>
          </w:pPr>
          <w:hyperlink w:anchor="_Toc124762778" w:history="1">
            <w:r w:rsidR="007D19D7" w:rsidRPr="009D2176">
              <w:rPr>
                <w:rStyle w:val="Hyperlink"/>
              </w:rPr>
              <w:t>4.1.2</w:t>
            </w:r>
            <w:r w:rsidR="007D19D7">
              <w:rPr>
                <w:rFonts w:asciiTheme="minorHAnsi" w:eastAsiaTheme="minorEastAsia" w:hAnsiTheme="minorHAnsi" w:cstheme="minorBidi"/>
                <w:b w:val="0"/>
                <w:bCs w:val="0"/>
                <w:sz w:val="22"/>
                <w:szCs w:val="22"/>
              </w:rPr>
              <w:tab/>
            </w:r>
            <w:r w:rsidR="007D19D7" w:rsidRPr="009D2176">
              <w:rPr>
                <w:rStyle w:val="Hyperlink"/>
              </w:rPr>
              <w:t>1973-78 cohort</w:t>
            </w:r>
            <w:r w:rsidR="007D19D7">
              <w:rPr>
                <w:webHidden/>
              </w:rPr>
              <w:tab/>
            </w:r>
            <w:r w:rsidR="007D19D7">
              <w:rPr>
                <w:webHidden/>
              </w:rPr>
              <w:fldChar w:fldCharType="begin"/>
            </w:r>
            <w:r w:rsidR="007D19D7">
              <w:rPr>
                <w:webHidden/>
              </w:rPr>
              <w:instrText xml:space="preserve"> PAGEREF _Toc124762778 \h </w:instrText>
            </w:r>
            <w:r w:rsidR="007D19D7">
              <w:rPr>
                <w:webHidden/>
              </w:rPr>
            </w:r>
            <w:r w:rsidR="007D19D7">
              <w:rPr>
                <w:webHidden/>
              </w:rPr>
              <w:fldChar w:fldCharType="separate"/>
            </w:r>
            <w:r w:rsidR="007D19D7">
              <w:rPr>
                <w:webHidden/>
              </w:rPr>
              <w:t>57</w:t>
            </w:r>
            <w:r w:rsidR="007D19D7">
              <w:rPr>
                <w:webHidden/>
              </w:rPr>
              <w:fldChar w:fldCharType="end"/>
            </w:r>
          </w:hyperlink>
        </w:p>
        <w:p w14:paraId="1A61A83A" w14:textId="57843679" w:rsidR="007D19D7" w:rsidRDefault="005B3C73">
          <w:pPr>
            <w:pStyle w:val="TOC3"/>
            <w:rPr>
              <w:rFonts w:asciiTheme="minorHAnsi" w:eastAsiaTheme="minorEastAsia" w:hAnsiTheme="minorHAnsi" w:cstheme="minorBidi"/>
              <w:b w:val="0"/>
              <w:bCs w:val="0"/>
              <w:sz w:val="22"/>
              <w:szCs w:val="22"/>
            </w:rPr>
          </w:pPr>
          <w:hyperlink w:anchor="_Toc124762779" w:history="1">
            <w:r w:rsidR="007D19D7" w:rsidRPr="009D2176">
              <w:rPr>
                <w:rStyle w:val="Hyperlink"/>
              </w:rPr>
              <w:t>4.1.3</w:t>
            </w:r>
            <w:r w:rsidR="007D19D7">
              <w:rPr>
                <w:rFonts w:asciiTheme="minorHAnsi" w:eastAsiaTheme="minorEastAsia" w:hAnsiTheme="minorHAnsi" w:cstheme="minorBidi"/>
                <w:b w:val="0"/>
                <w:bCs w:val="0"/>
                <w:sz w:val="22"/>
                <w:szCs w:val="22"/>
              </w:rPr>
              <w:tab/>
            </w:r>
            <w:r w:rsidR="007D19D7" w:rsidRPr="009D2176">
              <w:rPr>
                <w:rStyle w:val="Hyperlink"/>
              </w:rPr>
              <w:t>1946-51 cohort</w:t>
            </w:r>
            <w:r w:rsidR="007D19D7">
              <w:rPr>
                <w:webHidden/>
              </w:rPr>
              <w:tab/>
            </w:r>
            <w:r w:rsidR="007D19D7">
              <w:rPr>
                <w:webHidden/>
              </w:rPr>
              <w:fldChar w:fldCharType="begin"/>
            </w:r>
            <w:r w:rsidR="007D19D7">
              <w:rPr>
                <w:webHidden/>
              </w:rPr>
              <w:instrText xml:space="preserve"> PAGEREF _Toc124762779 \h </w:instrText>
            </w:r>
            <w:r w:rsidR="007D19D7">
              <w:rPr>
                <w:webHidden/>
              </w:rPr>
            </w:r>
            <w:r w:rsidR="007D19D7">
              <w:rPr>
                <w:webHidden/>
              </w:rPr>
              <w:fldChar w:fldCharType="separate"/>
            </w:r>
            <w:r w:rsidR="007D19D7">
              <w:rPr>
                <w:webHidden/>
              </w:rPr>
              <w:t>59</w:t>
            </w:r>
            <w:r w:rsidR="007D19D7">
              <w:rPr>
                <w:webHidden/>
              </w:rPr>
              <w:fldChar w:fldCharType="end"/>
            </w:r>
          </w:hyperlink>
        </w:p>
        <w:p w14:paraId="2F7F6FD8" w14:textId="2D12C4FF" w:rsidR="007D19D7" w:rsidRDefault="005B3C73">
          <w:pPr>
            <w:pStyle w:val="TOC3"/>
            <w:rPr>
              <w:rFonts w:asciiTheme="minorHAnsi" w:eastAsiaTheme="minorEastAsia" w:hAnsiTheme="minorHAnsi" w:cstheme="minorBidi"/>
              <w:b w:val="0"/>
              <w:bCs w:val="0"/>
              <w:sz w:val="22"/>
              <w:szCs w:val="22"/>
            </w:rPr>
          </w:pPr>
          <w:hyperlink w:anchor="_Toc124762780" w:history="1">
            <w:r w:rsidR="007D19D7" w:rsidRPr="009D2176">
              <w:rPr>
                <w:rStyle w:val="Hyperlink"/>
              </w:rPr>
              <w:t>4.1.4</w:t>
            </w:r>
            <w:r w:rsidR="007D19D7">
              <w:rPr>
                <w:rFonts w:asciiTheme="minorHAnsi" w:eastAsiaTheme="minorEastAsia" w:hAnsiTheme="minorHAnsi" w:cstheme="minorBidi"/>
                <w:b w:val="0"/>
                <w:bCs w:val="0"/>
                <w:sz w:val="22"/>
                <w:szCs w:val="22"/>
              </w:rPr>
              <w:tab/>
            </w:r>
            <w:r w:rsidR="007D19D7" w:rsidRPr="009D2176">
              <w:rPr>
                <w:rStyle w:val="Hyperlink"/>
              </w:rPr>
              <w:t>1921-26 cohort</w:t>
            </w:r>
            <w:r w:rsidR="007D19D7">
              <w:rPr>
                <w:webHidden/>
              </w:rPr>
              <w:tab/>
            </w:r>
            <w:r w:rsidR="007D19D7">
              <w:rPr>
                <w:webHidden/>
              </w:rPr>
              <w:fldChar w:fldCharType="begin"/>
            </w:r>
            <w:r w:rsidR="007D19D7">
              <w:rPr>
                <w:webHidden/>
              </w:rPr>
              <w:instrText xml:space="preserve"> PAGEREF _Toc124762780 \h </w:instrText>
            </w:r>
            <w:r w:rsidR="007D19D7">
              <w:rPr>
                <w:webHidden/>
              </w:rPr>
            </w:r>
            <w:r w:rsidR="007D19D7">
              <w:rPr>
                <w:webHidden/>
              </w:rPr>
              <w:fldChar w:fldCharType="separate"/>
            </w:r>
            <w:r w:rsidR="007D19D7">
              <w:rPr>
                <w:webHidden/>
              </w:rPr>
              <w:t>60</w:t>
            </w:r>
            <w:r w:rsidR="007D19D7">
              <w:rPr>
                <w:webHidden/>
              </w:rPr>
              <w:fldChar w:fldCharType="end"/>
            </w:r>
          </w:hyperlink>
        </w:p>
        <w:p w14:paraId="46F282D7" w14:textId="08E98B9D" w:rsidR="007D19D7" w:rsidRDefault="005B3C73">
          <w:pPr>
            <w:pStyle w:val="TOC3"/>
            <w:rPr>
              <w:rFonts w:asciiTheme="minorHAnsi" w:eastAsiaTheme="minorEastAsia" w:hAnsiTheme="minorHAnsi" w:cstheme="minorBidi"/>
              <w:b w:val="0"/>
              <w:bCs w:val="0"/>
              <w:sz w:val="22"/>
              <w:szCs w:val="22"/>
            </w:rPr>
          </w:pPr>
          <w:hyperlink w:anchor="_Toc124762781" w:history="1">
            <w:r w:rsidR="007D19D7" w:rsidRPr="009D2176">
              <w:rPr>
                <w:rStyle w:val="Hyperlink"/>
              </w:rPr>
              <w:t>4.1.5</w:t>
            </w:r>
            <w:r w:rsidR="007D19D7">
              <w:rPr>
                <w:rFonts w:asciiTheme="minorHAnsi" w:eastAsiaTheme="minorEastAsia" w:hAnsiTheme="minorHAnsi" w:cstheme="minorBidi"/>
                <w:b w:val="0"/>
                <w:bCs w:val="0"/>
                <w:sz w:val="22"/>
                <w:szCs w:val="22"/>
              </w:rPr>
              <w:tab/>
            </w:r>
            <w:r w:rsidR="007D19D7" w:rsidRPr="009D2176">
              <w:rPr>
                <w:rStyle w:val="Hyperlink"/>
              </w:rPr>
              <w:t>1989-95 cohort</w:t>
            </w:r>
            <w:r w:rsidR="007D19D7">
              <w:rPr>
                <w:webHidden/>
              </w:rPr>
              <w:tab/>
            </w:r>
            <w:r w:rsidR="007D19D7">
              <w:rPr>
                <w:webHidden/>
              </w:rPr>
              <w:fldChar w:fldCharType="begin"/>
            </w:r>
            <w:r w:rsidR="007D19D7">
              <w:rPr>
                <w:webHidden/>
              </w:rPr>
              <w:instrText xml:space="preserve"> PAGEREF _Toc124762781 \h </w:instrText>
            </w:r>
            <w:r w:rsidR="007D19D7">
              <w:rPr>
                <w:webHidden/>
              </w:rPr>
            </w:r>
            <w:r w:rsidR="007D19D7">
              <w:rPr>
                <w:webHidden/>
              </w:rPr>
              <w:fldChar w:fldCharType="separate"/>
            </w:r>
            <w:r w:rsidR="007D19D7">
              <w:rPr>
                <w:webHidden/>
              </w:rPr>
              <w:t>63</w:t>
            </w:r>
            <w:r w:rsidR="007D19D7">
              <w:rPr>
                <w:webHidden/>
              </w:rPr>
              <w:fldChar w:fldCharType="end"/>
            </w:r>
          </w:hyperlink>
        </w:p>
        <w:p w14:paraId="609255FC" w14:textId="7584238C" w:rsidR="007D19D7" w:rsidRDefault="005B3C73">
          <w:pPr>
            <w:pStyle w:val="TOC2"/>
            <w:rPr>
              <w:rFonts w:asciiTheme="minorHAnsi" w:eastAsiaTheme="minorEastAsia" w:hAnsiTheme="minorHAnsi" w:cstheme="minorBidi"/>
              <w:b w:val="0"/>
              <w:bCs w:val="0"/>
              <w:sz w:val="22"/>
              <w:szCs w:val="22"/>
            </w:rPr>
          </w:pPr>
          <w:hyperlink w:anchor="_Toc124762782" w:history="1">
            <w:r w:rsidR="007D19D7" w:rsidRPr="009D2176">
              <w:rPr>
                <w:rStyle w:val="Hyperlink"/>
              </w:rPr>
              <w:t>4.2</w:t>
            </w:r>
            <w:r w:rsidR="007D19D7">
              <w:rPr>
                <w:rFonts w:asciiTheme="minorHAnsi" w:eastAsiaTheme="minorEastAsia" w:hAnsiTheme="minorHAnsi" w:cstheme="minorBidi"/>
                <w:b w:val="0"/>
                <w:bCs w:val="0"/>
                <w:sz w:val="22"/>
                <w:szCs w:val="22"/>
              </w:rPr>
              <w:tab/>
            </w:r>
            <w:r w:rsidR="007D19D7" w:rsidRPr="009D2176">
              <w:rPr>
                <w:rStyle w:val="Hyperlink"/>
              </w:rPr>
              <w:t>Maintenance strategies</w:t>
            </w:r>
            <w:r w:rsidR="007D19D7">
              <w:rPr>
                <w:webHidden/>
              </w:rPr>
              <w:tab/>
            </w:r>
            <w:r w:rsidR="007D19D7">
              <w:rPr>
                <w:webHidden/>
              </w:rPr>
              <w:fldChar w:fldCharType="begin"/>
            </w:r>
            <w:r w:rsidR="007D19D7">
              <w:rPr>
                <w:webHidden/>
              </w:rPr>
              <w:instrText xml:space="preserve"> PAGEREF _Toc124762782 \h </w:instrText>
            </w:r>
            <w:r w:rsidR="007D19D7">
              <w:rPr>
                <w:webHidden/>
              </w:rPr>
            </w:r>
            <w:r w:rsidR="007D19D7">
              <w:rPr>
                <w:webHidden/>
              </w:rPr>
              <w:fldChar w:fldCharType="separate"/>
            </w:r>
            <w:r w:rsidR="007D19D7">
              <w:rPr>
                <w:webHidden/>
              </w:rPr>
              <w:t>63</w:t>
            </w:r>
            <w:r w:rsidR="007D19D7">
              <w:rPr>
                <w:webHidden/>
              </w:rPr>
              <w:fldChar w:fldCharType="end"/>
            </w:r>
          </w:hyperlink>
        </w:p>
        <w:p w14:paraId="68F98341" w14:textId="6F432F73" w:rsidR="007D19D7" w:rsidRDefault="005B3C73">
          <w:pPr>
            <w:pStyle w:val="TOC2"/>
            <w:rPr>
              <w:rFonts w:asciiTheme="minorHAnsi" w:eastAsiaTheme="minorEastAsia" w:hAnsiTheme="minorHAnsi" w:cstheme="minorBidi"/>
              <w:b w:val="0"/>
              <w:bCs w:val="0"/>
              <w:sz w:val="22"/>
              <w:szCs w:val="22"/>
            </w:rPr>
          </w:pPr>
          <w:hyperlink w:anchor="_Toc124762783" w:history="1">
            <w:r w:rsidR="007D19D7" w:rsidRPr="009D2176">
              <w:rPr>
                <w:rStyle w:val="Hyperlink"/>
              </w:rPr>
              <w:t>4.3</w:t>
            </w:r>
            <w:r w:rsidR="007D19D7">
              <w:rPr>
                <w:rFonts w:asciiTheme="minorHAnsi" w:eastAsiaTheme="minorEastAsia" w:hAnsiTheme="minorHAnsi" w:cstheme="minorBidi"/>
                <w:b w:val="0"/>
                <w:bCs w:val="0"/>
                <w:sz w:val="22"/>
                <w:szCs w:val="22"/>
              </w:rPr>
              <w:tab/>
            </w:r>
            <w:r w:rsidR="007D19D7" w:rsidRPr="009D2176">
              <w:rPr>
                <w:rStyle w:val="Hyperlink"/>
              </w:rPr>
              <w:t>References</w:t>
            </w:r>
            <w:r w:rsidR="007D19D7">
              <w:rPr>
                <w:webHidden/>
              </w:rPr>
              <w:tab/>
            </w:r>
            <w:r w:rsidR="007D19D7">
              <w:rPr>
                <w:webHidden/>
              </w:rPr>
              <w:fldChar w:fldCharType="begin"/>
            </w:r>
            <w:r w:rsidR="007D19D7">
              <w:rPr>
                <w:webHidden/>
              </w:rPr>
              <w:instrText xml:space="preserve"> PAGEREF _Toc124762783 \h </w:instrText>
            </w:r>
            <w:r w:rsidR="007D19D7">
              <w:rPr>
                <w:webHidden/>
              </w:rPr>
            </w:r>
            <w:r w:rsidR="007D19D7">
              <w:rPr>
                <w:webHidden/>
              </w:rPr>
              <w:fldChar w:fldCharType="separate"/>
            </w:r>
            <w:r w:rsidR="007D19D7">
              <w:rPr>
                <w:webHidden/>
              </w:rPr>
              <w:t>64</w:t>
            </w:r>
            <w:r w:rsidR="007D19D7">
              <w:rPr>
                <w:webHidden/>
              </w:rPr>
              <w:fldChar w:fldCharType="end"/>
            </w:r>
          </w:hyperlink>
        </w:p>
        <w:p w14:paraId="472D453B" w14:textId="78152858" w:rsidR="007D19D7" w:rsidRDefault="005B3C73" w:rsidP="007D19D7">
          <w:pPr>
            <w:pStyle w:val="TOC1"/>
            <w:rPr>
              <w:rFonts w:asciiTheme="minorHAnsi" w:eastAsiaTheme="minorEastAsia" w:hAnsiTheme="minorHAnsi" w:cstheme="minorBidi"/>
              <w:sz w:val="22"/>
              <w:szCs w:val="22"/>
            </w:rPr>
          </w:pPr>
          <w:hyperlink w:anchor="_Toc124762784" w:history="1">
            <w:r w:rsidR="007D19D7" w:rsidRPr="009D2176">
              <w:rPr>
                <w:rStyle w:val="Hyperlink"/>
                <w:rFonts w:cs="Arial"/>
              </w:rPr>
              <w:t>5</w:t>
            </w:r>
            <w:r w:rsidR="007D19D7">
              <w:rPr>
                <w:rFonts w:asciiTheme="minorHAnsi" w:eastAsiaTheme="minorEastAsia" w:hAnsiTheme="minorHAnsi" w:cstheme="minorBidi"/>
                <w:sz w:val="22"/>
                <w:szCs w:val="22"/>
              </w:rPr>
              <w:tab/>
            </w:r>
            <w:r w:rsidR="007D19D7" w:rsidRPr="009D2176">
              <w:rPr>
                <w:rStyle w:val="Hyperlink"/>
                <w:rFonts w:cs="Arial"/>
              </w:rPr>
              <w:t>Data linkage</w:t>
            </w:r>
            <w:r w:rsidR="007D19D7">
              <w:rPr>
                <w:webHidden/>
              </w:rPr>
              <w:tab/>
            </w:r>
            <w:r w:rsidR="007D19D7">
              <w:rPr>
                <w:webHidden/>
              </w:rPr>
              <w:fldChar w:fldCharType="begin"/>
            </w:r>
            <w:r w:rsidR="007D19D7">
              <w:rPr>
                <w:webHidden/>
              </w:rPr>
              <w:instrText xml:space="preserve"> PAGEREF _Toc124762784 \h </w:instrText>
            </w:r>
            <w:r w:rsidR="007D19D7">
              <w:rPr>
                <w:webHidden/>
              </w:rPr>
            </w:r>
            <w:r w:rsidR="007D19D7">
              <w:rPr>
                <w:webHidden/>
              </w:rPr>
              <w:fldChar w:fldCharType="separate"/>
            </w:r>
            <w:r w:rsidR="007D19D7">
              <w:rPr>
                <w:webHidden/>
              </w:rPr>
              <w:t>65</w:t>
            </w:r>
            <w:r w:rsidR="007D19D7">
              <w:rPr>
                <w:webHidden/>
              </w:rPr>
              <w:fldChar w:fldCharType="end"/>
            </w:r>
          </w:hyperlink>
        </w:p>
        <w:p w14:paraId="2EC5C280" w14:textId="153A48FA" w:rsidR="007D19D7" w:rsidRDefault="005B3C73">
          <w:pPr>
            <w:pStyle w:val="TOC2"/>
            <w:rPr>
              <w:rFonts w:asciiTheme="minorHAnsi" w:eastAsiaTheme="minorEastAsia" w:hAnsiTheme="minorHAnsi" w:cstheme="minorBidi"/>
              <w:b w:val="0"/>
              <w:bCs w:val="0"/>
              <w:sz w:val="22"/>
              <w:szCs w:val="22"/>
            </w:rPr>
          </w:pPr>
          <w:hyperlink w:anchor="_Toc124762785" w:history="1">
            <w:r w:rsidR="007D19D7" w:rsidRPr="009D2176">
              <w:rPr>
                <w:rStyle w:val="Hyperlink"/>
              </w:rPr>
              <w:t>5.1</w:t>
            </w:r>
            <w:r w:rsidR="007D19D7">
              <w:rPr>
                <w:rFonts w:asciiTheme="minorHAnsi" w:eastAsiaTheme="minorEastAsia" w:hAnsiTheme="minorHAnsi" w:cstheme="minorBidi"/>
                <w:b w:val="0"/>
                <w:bCs w:val="0"/>
                <w:sz w:val="22"/>
                <w:szCs w:val="22"/>
              </w:rPr>
              <w:tab/>
            </w:r>
            <w:r w:rsidR="007D19D7" w:rsidRPr="009D2176">
              <w:rPr>
                <w:rStyle w:val="Hyperlink"/>
              </w:rPr>
              <w:t>ALSWH linked data holdings</w:t>
            </w:r>
            <w:r w:rsidR="007D19D7">
              <w:rPr>
                <w:webHidden/>
              </w:rPr>
              <w:tab/>
            </w:r>
            <w:r w:rsidR="007D19D7">
              <w:rPr>
                <w:webHidden/>
              </w:rPr>
              <w:fldChar w:fldCharType="begin"/>
            </w:r>
            <w:r w:rsidR="007D19D7">
              <w:rPr>
                <w:webHidden/>
              </w:rPr>
              <w:instrText xml:space="preserve"> PAGEREF _Toc124762785 \h </w:instrText>
            </w:r>
            <w:r w:rsidR="007D19D7">
              <w:rPr>
                <w:webHidden/>
              </w:rPr>
            </w:r>
            <w:r w:rsidR="007D19D7">
              <w:rPr>
                <w:webHidden/>
              </w:rPr>
              <w:fldChar w:fldCharType="separate"/>
            </w:r>
            <w:r w:rsidR="007D19D7">
              <w:rPr>
                <w:webHidden/>
              </w:rPr>
              <w:t>65</w:t>
            </w:r>
            <w:r w:rsidR="007D19D7">
              <w:rPr>
                <w:webHidden/>
              </w:rPr>
              <w:fldChar w:fldCharType="end"/>
            </w:r>
          </w:hyperlink>
        </w:p>
        <w:p w14:paraId="73C368B6" w14:textId="598912FE" w:rsidR="007D19D7" w:rsidRDefault="005B3C73">
          <w:pPr>
            <w:pStyle w:val="TOC3"/>
            <w:rPr>
              <w:rFonts w:asciiTheme="minorHAnsi" w:eastAsiaTheme="minorEastAsia" w:hAnsiTheme="minorHAnsi" w:cstheme="minorBidi"/>
              <w:b w:val="0"/>
              <w:bCs w:val="0"/>
              <w:sz w:val="22"/>
              <w:szCs w:val="22"/>
            </w:rPr>
          </w:pPr>
          <w:hyperlink w:anchor="_Toc124762786" w:history="1">
            <w:r w:rsidR="007D19D7" w:rsidRPr="009D2176">
              <w:rPr>
                <w:rStyle w:val="Hyperlink"/>
              </w:rPr>
              <w:t>5.1.1</w:t>
            </w:r>
            <w:r w:rsidR="007D19D7">
              <w:rPr>
                <w:rFonts w:asciiTheme="minorHAnsi" w:eastAsiaTheme="minorEastAsia" w:hAnsiTheme="minorHAnsi" w:cstheme="minorBidi"/>
                <w:b w:val="0"/>
                <w:bCs w:val="0"/>
                <w:sz w:val="22"/>
                <w:szCs w:val="22"/>
              </w:rPr>
              <w:tab/>
            </w:r>
            <w:r w:rsidR="007D19D7" w:rsidRPr="009D2176">
              <w:rPr>
                <w:rStyle w:val="Hyperlink"/>
              </w:rPr>
              <w:t>National collections</w:t>
            </w:r>
            <w:r w:rsidR="007D19D7">
              <w:rPr>
                <w:webHidden/>
              </w:rPr>
              <w:tab/>
            </w:r>
            <w:r w:rsidR="007D19D7">
              <w:rPr>
                <w:webHidden/>
              </w:rPr>
              <w:fldChar w:fldCharType="begin"/>
            </w:r>
            <w:r w:rsidR="007D19D7">
              <w:rPr>
                <w:webHidden/>
              </w:rPr>
              <w:instrText xml:space="preserve"> PAGEREF _Toc124762786 \h </w:instrText>
            </w:r>
            <w:r w:rsidR="007D19D7">
              <w:rPr>
                <w:webHidden/>
              </w:rPr>
            </w:r>
            <w:r w:rsidR="007D19D7">
              <w:rPr>
                <w:webHidden/>
              </w:rPr>
              <w:fldChar w:fldCharType="separate"/>
            </w:r>
            <w:r w:rsidR="007D19D7">
              <w:rPr>
                <w:webHidden/>
              </w:rPr>
              <w:t>65</w:t>
            </w:r>
            <w:r w:rsidR="007D19D7">
              <w:rPr>
                <w:webHidden/>
              </w:rPr>
              <w:fldChar w:fldCharType="end"/>
            </w:r>
          </w:hyperlink>
        </w:p>
        <w:p w14:paraId="2A950182" w14:textId="7CB8DA37" w:rsidR="007D19D7" w:rsidRDefault="005B3C73">
          <w:pPr>
            <w:pStyle w:val="TOC3"/>
            <w:rPr>
              <w:rFonts w:asciiTheme="minorHAnsi" w:eastAsiaTheme="minorEastAsia" w:hAnsiTheme="minorHAnsi" w:cstheme="minorBidi"/>
              <w:b w:val="0"/>
              <w:bCs w:val="0"/>
              <w:sz w:val="22"/>
              <w:szCs w:val="22"/>
            </w:rPr>
          </w:pPr>
          <w:hyperlink w:anchor="_Toc124762787" w:history="1">
            <w:r w:rsidR="007D19D7" w:rsidRPr="009D2176">
              <w:rPr>
                <w:rStyle w:val="Hyperlink"/>
              </w:rPr>
              <w:t>5.1.2</w:t>
            </w:r>
            <w:r w:rsidR="007D19D7">
              <w:rPr>
                <w:rFonts w:asciiTheme="minorHAnsi" w:eastAsiaTheme="minorEastAsia" w:hAnsiTheme="minorHAnsi" w:cstheme="minorBidi"/>
                <w:b w:val="0"/>
                <w:bCs w:val="0"/>
                <w:sz w:val="22"/>
                <w:szCs w:val="22"/>
              </w:rPr>
              <w:tab/>
            </w:r>
            <w:r w:rsidR="007D19D7" w:rsidRPr="009D2176">
              <w:rPr>
                <w:rStyle w:val="Hyperlink"/>
              </w:rPr>
              <w:t>State and Territory collections</w:t>
            </w:r>
            <w:r w:rsidR="007D19D7">
              <w:rPr>
                <w:webHidden/>
              </w:rPr>
              <w:tab/>
            </w:r>
            <w:r w:rsidR="007D19D7">
              <w:rPr>
                <w:webHidden/>
              </w:rPr>
              <w:fldChar w:fldCharType="begin"/>
            </w:r>
            <w:r w:rsidR="007D19D7">
              <w:rPr>
                <w:webHidden/>
              </w:rPr>
              <w:instrText xml:space="preserve"> PAGEREF _Toc124762787 \h </w:instrText>
            </w:r>
            <w:r w:rsidR="007D19D7">
              <w:rPr>
                <w:webHidden/>
              </w:rPr>
            </w:r>
            <w:r w:rsidR="007D19D7">
              <w:rPr>
                <w:webHidden/>
              </w:rPr>
              <w:fldChar w:fldCharType="separate"/>
            </w:r>
            <w:r w:rsidR="007D19D7">
              <w:rPr>
                <w:webHidden/>
              </w:rPr>
              <w:t>68</w:t>
            </w:r>
            <w:r w:rsidR="007D19D7">
              <w:rPr>
                <w:webHidden/>
              </w:rPr>
              <w:fldChar w:fldCharType="end"/>
            </w:r>
          </w:hyperlink>
        </w:p>
        <w:p w14:paraId="3167A794" w14:textId="23F519C1" w:rsidR="007D19D7" w:rsidRDefault="005B3C73">
          <w:pPr>
            <w:pStyle w:val="TOC3"/>
            <w:rPr>
              <w:rFonts w:asciiTheme="minorHAnsi" w:eastAsiaTheme="minorEastAsia" w:hAnsiTheme="minorHAnsi" w:cstheme="minorBidi"/>
              <w:b w:val="0"/>
              <w:bCs w:val="0"/>
              <w:sz w:val="22"/>
              <w:szCs w:val="22"/>
            </w:rPr>
          </w:pPr>
          <w:hyperlink w:anchor="_Toc124762788" w:history="1">
            <w:r w:rsidR="007D19D7" w:rsidRPr="009D2176">
              <w:rPr>
                <w:rStyle w:val="Hyperlink"/>
              </w:rPr>
              <w:t>5.1.3</w:t>
            </w:r>
            <w:r w:rsidR="007D19D7">
              <w:rPr>
                <w:rFonts w:asciiTheme="minorHAnsi" w:eastAsiaTheme="minorEastAsia" w:hAnsiTheme="minorHAnsi" w:cstheme="minorBidi"/>
                <w:b w:val="0"/>
                <w:bCs w:val="0"/>
                <w:sz w:val="22"/>
                <w:szCs w:val="22"/>
              </w:rPr>
              <w:tab/>
            </w:r>
            <w:r w:rsidR="007D19D7" w:rsidRPr="009D2176">
              <w:rPr>
                <w:rStyle w:val="Hyperlink"/>
              </w:rPr>
              <w:t>Common Conditions from Multiple Sources (CCMS)</w:t>
            </w:r>
            <w:r w:rsidR="007D19D7">
              <w:rPr>
                <w:webHidden/>
              </w:rPr>
              <w:tab/>
            </w:r>
            <w:r w:rsidR="007D19D7">
              <w:rPr>
                <w:webHidden/>
              </w:rPr>
              <w:fldChar w:fldCharType="begin"/>
            </w:r>
            <w:r w:rsidR="007D19D7">
              <w:rPr>
                <w:webHidden/>
              </w:rPr>
              <w:instrText xml:space="preserve"> PAGEREF _Toc124762788 \h </w:instrText>
            </w:r>
            <w:r w:rsidR="007D19D7">
              <w:rPr>
                <w:webHidden/>
              </w:rPr>
            </w:r>
            <w:r w:rsidR="007D19D7">
              <w:rPr>
                <w:webHidden/>
              </w:rPr>
              <w:fldChar w:fldCharType="separate"/>
            </w:r>
            <w:r w:rsidR="007D19D7">
              <w:rPr>
                <w:webHidden/>
              </w:rPr>
              <w:t>70</w:t>
            </w:r>
            <w:r w:rsidR="007D19D7">
              <w:rPr>
                <w:webHidden/>
              </w:rPr>
              <w:fldChar w:fldCharType="end"/>
            </w:r>
          </w:hyperlink>
        </w:p>
        <w:p w14:paraId="709499F3" w14:textId="02003A23" w:rsidR="007D19D7" w:rsidRDefault="005B3C73">
          <w:pPr>
            <w:pStyle w:val="TOC3"/>
            <w:rPr>
              <w:rFonts w:asciiTheme="minorHAnsi" w:eastAsiaTheme="minorEastAsia" w:hAnsiTheme="minorHAnsi" w:cstheme="minorBidi"/>
              <w:b w:val="0"/>
              <w:bCs w:val="0"/>
              <w:sz w:val="22"/>
              <w:szCs w:val="22"/>
            </w:rPr>
          </w:pPr>
          <w:hyperlink w:anchor="_Toc124762789" w:history="1">
            <w:r w:rsidR="007D19D7" w:rsidRPr="009D2176">
              <w:rPr>
                <w:rStyle w:val="Hyperlink"/>
              </w:rPr>
              <w:t>5.1.4</w:t>
            </w:r>
            <w:r w:rsidR="007D19D7">
              <w:rPr>
                <w:rFonts w:asciiTheme="minorHAnsi" w:eastAsiaTheme="minorEastAsia" w:hAnsiTheme="minorHAnsi" w:cstheme="minorBidi"/>
                <w:b w:val="0"/>
                <w:bCs w:val="0"/>
                <w:sz w:val="22"/>
                <w:szCs w:val="22"/>
              </w:rPr>
              <w:tab/>
            </w:r>
            <w:r w:rsidR="007D19D7" w:rsidRPr="009D2176">
              <w:rPr>
                <w:rStyle w:val="Hyperlink"/>
              </w:rPr>
              <w:t>Substudies, and the 1973-78 Cohort and 1989-95 Cohort Refresh</w:t>
            </w:r>
            <w:r w:rsidR="007D19D7">
              <w:rPr>
                <w:webHidden/>
              </w:rPr>
              <w:tab/>
            </w:r>
            <w:r w:rsidR="007D19D7">
              <w:rPr>
                <w:webHidden/>
              </w:rPr>
              <w:fldChar w:fldCharType="begin"/>
            </w:r>
            <w:r w:rsidR="007D19D7">
              <w:rPr>
                <w:webHidden/>
              </w:rPr>
              <w:instrText xml:space="preserve"> PAGEREF _Toc124762789 \h </w:instrText>
            </w:r>
            <w:r w:rsidR="007D19D7">
              <w:rPr>
                <w:webHidden/>
              </w:rPr>
            </w:r>
            <w:r w:rsidR="007D19D7">
              <w:rPr>
                <w:webHidden/>
              </w:rPr>
              <w:fldChar w:fldCharType="separate"/>
            </w:r>
            <w:r w:rsidR="007D19D7">
              <w:rPr>
                <w:webHidden/>
              </w:rPr>
              <w:t>71</w:t>
            </w:r>
            <w:r w:rsidR="007D19D7">
              <w:rPr>
                <w:webHidden/>
              </w:rPr>
              <w:fldChar w:fldCharType="end"/>
            </w:r>
          </w:hyperlink>
        </w:p>
        <w:p w14:paraId="0FE30088" w14:textId="1C7F093F" w:rsidR="007D19D7" w:rsidRDefault="005B3C73">
          <w:pPr>
            <w:pStyle w:val="TOC2"/>
            <w:rPr>
              <w:rFonts w:asciiTheme="minorHAnsi" w:eastAsiaTheme="minorEastAsia" w:hAnsiTheme="minorHAnsi" w:cstheme="minorBidi"/>
              <w:b w:val="0"/>
              <w:bCs w:val="0"/>
              <w:sz w:val="22"/>
              <w:szCs w:val="22"/>
            </w:rPr>
          </w:pPr>
          <w:hyperlink w:anchor="_Toc124762790" w:history="1">
            <w:r w:rsidR="007D19D7" w:rsidRPr="009D2176">
              <w:rPr>
                <w:rStyle w:val="Hyperlink"/>
              </w:rPr>
              <w:t>5.2</w:t>
            </w:r>
            <w:r w:rsidR="007D19D7">
              <w:rPr>
                <w:rFonts w:asciiTheme="minorHAnsi" w:eastAsiaTheme="minorEastAsia" w:hAnsiTheme="minorHAnsi" w:cstheme="minorBidi"/>
                <w:b w:val="0"/>
                <w:bCs w:val="0"/>
                <w:sz w:val="22"/>
                <w:szCs w:val="22"/>
              </w:rPr>
              <w:tab/>
            </w:r>
            <w:r w:rsidR="007D19D7" w:rsidRPr="009D2176">
              <w:rPr>
                <w:rStyle w:val="Hyperlink"/>
              </w:rPr>
              <w:t>Data access procedures</w:t>
            </w:r>
            <w:r w:rsidR="007D19D7">
              <w:rPr>
                <w:webHidden/>
              </w:rPr>
              <w:tab/>
            </w:r>
            <w:r w:rsidR="007D19D7">
              <w:rPr>
                <w:webHidden/>
              </w:rPr>
              <w:fldChar w:fldCharType="begin"/>
            </w:r>
            <w:r w:rsidR="007D19D7">
              <w:rPr>
                <w:webHidden/>
              </w:rPr>
              <w:instrText xml:space="preserve"> PAGEREF _Toc124762790 \h </w:instrText>
            </w:r>
            <w:r w:rsidR="007D19D7">
              <w:rPr>
                <w:webHidden/>
              </w:rPr>
            </w:r>
            <w:r w:rsidR="007D19D7">
              <w:rPr>
                <w:webHidden/>
              </w:rPr>
              <w:fldChar w:fldCharType="separate"/>
            </w:r>
            <w:r w:rsidR="007D19D7">
              <w:rPr>
                <w:webHidden/>
              </w:rPr>
              <w:t>72</w:t>
            </w:r>
            <w:r w:rsidR="007D19D7">
              <w:rPr>
                <w:webHidden/>
              </w:rPr>
              <w:fldChar w:fldCharType="end"/>
            </w:r>
          </w:hyperlink>
        </w:p>
        <w:p w14:paraId="1298219F" w14:textId="1DF78E68" w:rsidR="007D19D7" w:rsidRDefault="005B3C73">
          <w:pPr>
            <w:pStyle w:val="TOC3"/>
            <w:rPr>
              <w:rFonts w:asciiTheme="minorHAnsi" w:eastAsiaTheme="minorEastAsia" w:hAnsiTheme="minorHAnsi" w:cstheme="minorBidi"/>
              <w:b w:val="0"/>
              <w:bCs w:val="0"/>
              <w:sz w:val="22"/>
              <w:szCs w:val="22"/>
            </w:rPr>
          </w:pPr>
          <w:hyperlink w:anchor="_Toc124762791" w:history="1">
            <w:r w:rsidR="007D19D7" w:rsidRPr="009D2176">
              <w:rPr>
                <w:rStyle w:val="Hyperlink"/>
              </w:rPr>
              <w:t>5.2.1</w:t>
            </w:r>
            <w:r w:rsidR="007D19D7">
              <w:rPr>
                <w:rFonts w:asciiTheme="minorHAnsi" w:eastAsiaTheme="minorEastAsia" w:hAnsiTheme="minorHAnsi" w:cstheme="minorBidi"/>
                <w:b w:val="0"/>
                <w:bCs w:val="0"/>
                <w:sz w:val="22"/>
                <w:szCs w:val="22"/>
              </w:rPr>
              <w:tab/>
            </w:r>
            <w:r w:rsidR="007D19D7" w:rsidRPr="009D2176">
              <w:rPr>
                <w:rStyle w:val="Hyperlink"/>
              </w:rPr>
              <w:t>Data user approvals</w:t>
            </w:r>
            <w:r w:rsidR="007D19D7">
              <w:rPr>
                <w:webHidden/>
              </w:rPr>
              <w:tab/>
            </w:r>
            <w:r w:rsidR="007D19D7">
              <w:rPr>
                <w:webHidden/>
              </w:rPr>
              <w:fldChar w:fldCharType="begin"/>
            </w:r>
            <w:r w:rsidR="007D19D7">
              <w:rPr>
                <w:webHidden/>
              </w:rPr>
              <w:instrText xml:space="preserve"> PAGEREF _Toc124762791 \h </w:instrText>
            </w:r>
            <w:r w:rsidR="007D19D7">
              <w:rPr>
                <w:webHidden/>
              </w:rPr>
            </w:r>
            <w:r w:rsidR="007D19D7">
              <w:rPr>
                <w:webHidden/>
              </w:rPr>
              <w:fldChar w:fldCharType="separate"/>
            </w:r>
            <w:r w:rsidR="007D19D7">
              <w:rPr>
                <w:webHidden/>
              </w:rPr>
              <w:t>72</w:t>
            </w:r>
            <w:r w:rsidR="007D19D7">
              <w:rPr>
                <w:webHidden/>
              </w:rPr>
              <w:fldChar w:fldCharType="end"/>
            </w:r>
          </w:hyperlink>
        </w:p>
        <w:p w14:paraId="714E9DC9" w14:textId="64733821" w:rsidR="007D19D7" w:rsidRDefault="005B3C73">
          <w:pPr>
            <w:pStyle w:val="TOC3"/>
            <w:rPr>
              <w:rFonts w:asciiTheme="minorHAnsi" w:eastAsiaTheme="minorEastAsia" w:hAnsiTheme="minorHAnsi" w:cstheme="minorBidi"/>
              <w:b w:val="0"/>
              <w:bCs w:val="0"/>
              <w:sz w:val="22"/>
              <w:szCs w:val="22"/>
            </w:rPr>
          </w:pPr>
          <w:hyperlink w:anchor="_Toc124762792" w:history="1">
            <w:r w:rsidR="007D19D7" w:rsidRPr="009D2176">
              <w:rPr>
                <w:rStyle w:val="Hyperlink"/>
              </w:rPr>
              <w:t>5.2.2</w:t>
            </w:r>
            <w:r w:rsidR="007D19D7">
              <w:rPr>
                <w:rFonts w:asciiTheme="minorHAnsi" w:eastAsiaTheme="minorEastAsia" w:hAnsiTheme="minorHAnsi" w:cstheme="minorBidi"/>
                <w:b w:val="0"/>
                <w:bCs w:val="0"/>
                <w:sz w:val="22"/>
                <w:szCs w:val="22"/>
              </w:rPr>
              <w:tab/>
            </w:r>
            <w:r w:rsidR="007D19D7" w:rsidRPr="009D2176">
              <w:rPr>
                <w:rStyle w:val="Hyperlink"/>
              </w:rPr>
              <w:t>Access options</w:t>
            </w:r>
            <w:r w:rsidR="007D19D7">
              <w:rPr>
                <w:webHidden/>
              </w:rPr>
              <w:tab/>
            </w:r>
            <w:r w:rsidR="007D19D7">
              <w:rPr>
                <w:webHidden/>
              </w:rPr>
              <w:fldChar w:fldCharType="begin"/>
            </w:r>
            <w:r w:rsidR="007D19D7">
              <w:rPr>
                <w:webHidden/>
              </w:rPr>
              <w:instrText xml:space="preserve"> PAGEREF _Toc124762792 \h </w:instrText>
            </w:r>
            <w:r w:rsidR="007D19D7">
              <w:rPr>
                <w:webHidden/>
              </w:rPr>
            </w:r>
            <w:r w:rsidR="007D19D7">
              <w:rPr>
                <w:webHidden/>
              </w:rPr>
              <w:fldChar w:fldCharType="separate"/>
            </w:r>
            <w:r w:rsidR="007D19D7">
              <w:rPr>
                <w:webHidden/>
              </w:rPr>
              <w:t>72</w:t>
            </w:r>
            <w:r w:rsidR="007D19D7">
              <w:rPr>
                <w:webHidden/>
              </w:rPr>
              <w:fldChar w:fldCharType="end"/>
            </w:r>
          </w:hyperlink>
        </w:p>
        <w:p w14:paraId="70081DBB" w14:textId="4ECA68B3" w:rsidR="007D19D7" w:rsidRDefault="005B3C73">
          <w:pPr>
            <w:pStyle w:val="TOC3"/>
            <w:rPr>
              <w:rFonts w:asciiTheme="minorHAnsi" w:eastAsiaTheme="minorEastAsia" w:hAnsiTheme="minorHAnsi" w:cstheme="minorBidi"/>
              <w:b w:val="0"/>
              <w:bCs w:val="0"/>
              <w:sz w:val="22"/>
              <w:szCs w:val="22"/>
            </w:rPr>
          </w:pPr>
          <w:hyperlink w:anchor="_Toc124762793" w:history="1">
            <w:r w:rsidR="007D19D7" w:rsidRPr="009D2176">
              <w:rPr>
                <w:rStyle w:val="Hyperlink"/>
              </w:rPr>
              <w:t>5.2.3</w:t>
            </w:r>
            <w:r w:rsidR="007D19D7">
              <w:rPr>
                <w:rFonts w:asciiTheme="minorHAnsi" w:eastAsiaTheme="minorEastAsia" w:hAnsiTheme="minorHAnsi" w:cstheme="minorBidi"/>
                <w:b w:val="0"/>
                <w:bCs w:val="0"/>
                <w:sz w:val="22"/>
                <w:szCs w:val="22"/>
              </w:rPr>
              <w:tab/>
            </w:r>
            <w:r w:rsidR="007D19D7" w:rsidRPr="009D2176">
              <w:rPr>
                <w:rStyle w:val="Hyperlink"/>
                <w:lang w:eastAsia="en-US"/>
              </w:rPr>
              <w:t>Data access conditions</w:t>
            </w:r>
            <w:r w:rsidR="007D19D7">
              <w:rPr>
                <w:webHidden/>
              </w:rPr>
              <w:tab/>
            </w:r>
            <w:r w:rsidR="007D19D7">
              <w:rPr>
                <w:webHidden/>
              </w:rPr>
              <w:fldChar w:fldCharType="begin"/>
            </w:r>
            <w:r w:rsidR="007D19D7">
              <w:rPr>
                <w:webHidden/>
              </w:rPr>
              <w:instrText xml:space="preserve"> PAGEREF _Toc124762793 \h </w:instrText>
            </w:r>
            <w:r w:rsidR="007D19D7">
              <w:rPr>
                <w:webHidden/>
              </w:rPr>
            </w:r>
            <w:r w:rsidR="007D19D7">
              <w:rPr>
                <w:webHidden/>
              </w:rPr>
              <w:fldChar w:fldCharType="separate"/>
            </w:r>
            <w:r w:rsidR="007D19D7">
              <w:rPr>
                <w:webHidden/>
              </w:rPr>
              <w:t>73</w:t>
            </w:r>
            <w:r w:rsidR="007D19D7">
              <w:rPr>
                <w:webHidden/>
              </w:rPr>
              <w:fldChar w:fldCharType="end"/>
            </w:r>
          </w:hyperlink>
        </w:p>
        <w:p w14:paraId="02697690" w14:textId="415A28BB" w:rsidR="007D19D7" w:rsidRDefault="005B3C73">
          <w:pPr>
            <w:pStyle w:val="TOC2"/>
            <w:rPr>
              <w:rFonts w:asciiTheme="minorHAnsi" w:eastAsiaTheme="minorEastAsia" w:hAnsiTheme="minorHAnsi" w:cstheme="minorBidi"/>
              <w:b w:val="0"/>
              <w:bCs w:val="0"/>
              <w:sz w:val="22"/>
              <w:szCs w:val="22"/>
            </w:rPr>
          </w:pPr>
          <w:hyperlink w:anchor="_Toc124762794" w:history="1">
            <w:r w:rsidR="007D19D7" w:rsidRPr="009D2176">
              <w:rPr>
                <w:rStyle w:val="Hyperlink"/>
              </w:rPr>
              <w:t>5.3</w:t>
            </w:r>
            <w:r w:rsidR="007D19D7">
              <w:rPr>
                <w:rFonts w:asciiTheme="minorHAnsi" w:eastAsiaTheme="minorEastAsia" w:hAnsiTheme="minorHAnsi" w:cstheme="minorBidi"/>
                <w:b w:val="0"/>
                <w:bCs w:val="0"/>
                <w:sz w:val="22"/>
                <w:szCs w:val="22"/>
              </w:rPr>
              <w:tab/>
            </w:r>
            <w:r w:rsidR="007D19D7" w:rsidRPr="009D2176">
              <w:rPr>
                <w:rStyle w:val="Hyperlink"/>
              </w:rPr>
              <w:t>Use of linked data</w:t>
            </w:r>
            <w:r w:rsidR="007D19D7">
              <w:rPr>
                <w:webHidden/>
              </w:rPr>
              <w:tab/>
            </w:r>
            <w:r w:rsidR="007D19D7">
              <w:rPr>
                <w:webHidden/>
              </w:rPr>
              <w:fldChar w:fldCharType="begin"/>
            </w:r>
            <w:r w:rsidR="007D19D7">
              <w:rPr>
                <w:webHidden/>
              </w:rPr>
              <w:instrText xml:space="preserve"> PAGEREF _Toc124762794 \h </w:instrText>
            </w:r>
            <w:r w:rsidR="007D19D7">
              <w:rPr>
                <w:webHidden/>
              </w:rPr>
            </w:r>
            <w:r w:rsidR="007D19D7">
              <w:rPr>
                <w:webHidden/>
              </w:rPr>
              <w:fldChar w:fldCharType="separate"/>
            </w:r>
            <w:r w:rsidR="007D19D7">
              <w:rPr>
                <w:webHidden/>
              </w:rPr>
              <w:t>74</w:t>
            </w:r>
            <w:r w:rsidR="007D19D7">
              <w:rPr>
                <w:webHidden/>
              </w:rPr>
              <w:fldChar w:fldCharType="end"/>
            </w:r>
          </w:hyperlink>
        </w:p>
        <w:p w14:paraId="22F62DE2" w14:textId="439C8F83" w:rsidR="007D19D7" w:rsidRDefault="005B3C73">
          <w:pPr>
            <w:pStyle w:val="TOC2"/>
            <w:rPr>
              <w:rFonts w:asciiTheme="minorHAnsi" w:eastAsiaTheme="minorEastAsia" w:hAnsiTheme="minorHAnsi" w:cstheme="minorBidi"/>
              <w:b w:val="0"/>
              <w:bCs w:val="0"/>
              <w:sz w:val="22"/>
              <w:szCs w:val="22"/>
            </w:rPr>
          </w:pPr>
          <w:hyperlink w:anchor="_Toc124762795" w:history="1">
            <w:r w:rsidR="007D19D7" w:rsidRPr="009D2176">
              <w:rPr>
                <w:rStyle w:val="Hyperlink"/>
              </w:rPr>
              <w:t>5.4</w:t>
            </w:r>
            <w:r w:rsidR="007D19D7">
              <w:rPr>
                <w:rFonts w:asciiTheme="minorHAnsi" w:eastAsiaTheme="minorEastAsia" w:hAnsiTheme="minorHAnsi" w:cstheme="minorBidi"/>
                <w:b w:val="0"/>
                <w:bCs w:val="0"/>
                <w:sz w:val="22"/>
                <w:szCs w:val="22"/>
              </w:rPr>
              <w:tab/>
            </w:r>
            <w:r w:rsidR="007D19D7" w:rsidRPr="009D2176">
              <w:rPr>
                <w:rStyle w:val="Hyperlink"/>
              </w:rPr>
              <w:t>Other activities</w:t>
            </w:r>
            <w:r w:rsidR="007D19D7">
              <w:rPr>
                <w:webHidden/>
              </w:rPr>
              <w:tab/>
            </w:r>
            <w:r w:rsidR="007D19D7">
              <w:rPr>
                <w:webHidden/>
              </w:rPr>
              <w:fldChar w:fldCharType="begin"/>
            </w:r>
            <w:r w:rsidR="007D19D7">
              <w:rPr>
                <w:webHidden/>
              </w:rPr>
              <w:instrText xml:space="preserve"> PAGEREF _Toc124762795 \h </w:instrText>
            </w:r>
            <w:r w:rsidR="007D19D7">
              <w:rPr>
                <w:webHidden/>
              </w:rPr>
            </w:r>
            <w:r w:rsidR="007D19D7">
              <w:rPr>
                <w:webHidden/>
              </w:rPr>
              <w:fldChar w:fldCharType="separate"/>
            </w:r>
            <w:r w:rsidR="007D19D7">
              <w:rPr>
                <w:webHidden/>
              </w:rPr>
              <w:t>75</w:t>
            </w:r>
            <w:r w:rsidR="007D19D7">
              <w:rPr>
                <w:webHidden/>
              </w:rPr>
              <w:fldChar w:fldCharType="end"/>
            </w:r>
          </w:hyperlink>
        </w:p>
        <w:p w14:paraId="594AFA17" w14:textId="2585B9CE" w:rsidR="007D19D7" w:rsidRDefault="005B3C73">
          <w:pPr>
            <w:pStyle w:val="TOC2"/>
            <w:rPr>
              <w:rFonts w:asciiTheme="minorHAnsi" w:eastAsiaTheme="minorEastAsia" w:hAnsiTheme="minorHAnsi" w:cstheme="minorBidi"/>
              <w:b w:val="0"/>
              <w:bCs w:val="0"/>
              <w:sz w:val="22"/>
              <w:szCs w:val="22"/>
            </w:rPr>
          </w:pPr>
          <w:hyperlink w:anchor="_Toc124762796" w:history="1">
            <w:r w:rsidR="007D19D7" w:rsidRPr="009D2176">
              <w:rPr>
                <w:rStyle w:val="Hyperlink"/>
              </w:rPr>
              <w:t>5.5</w:t>
            </w:r>
            <w:r w:rsidR="007D19D7">
              <w:rPr>
                <w:rFonts w:asciiTheme="minorHAnsi" w:eastAsiaTheme="minorEastAsia" w:hAnsiTheme="minorHAnsi" w:cstheme="minorBidi"/>
                <w:b w:val="0"/>
                <w:bCs w:val="0"/>
                <w:sz w:val="22"/>
                <w:szCs w:val="22"/>
              </w:rPr>
              <w:tab/>
            </w:r>
            <w:r w:rsidR="007D19D7" w:rsidRPr="009D2176">
              <w:rPr>
                <w:rStyle w:val="Hyperlink"/>
              </w:rPr>
              <w:t>Legal and ethical considerations for health record linkage</w:t>
            </w:r>
            <w:r w:rsidR="007D19D7">
              <w:rPr>
                <w:webHidden/>
              </w:rPr>
              <w:tab/>
            </w:r>
            <w:r w:rsidR="007D19D7">
              <w:rPr>
                <w:webHidden/>
              </w:rPr>
              <w:fldChar w:fldCharType="begin"/>
            </w:r>
            <w:r w:rsidR="007D19D7">
              <w:rPr>
                <w:webHidden/>
              </w:rPr>
              <w:instrText xml:space="preserve"> PAGEREF _Toc124762796 \h </w:instrText>
            </w:r>
            <w:r w:rsidR="007D19D7">
              <w:rPr>
                <w:webHidden/>
              </w:rPr>
            </w:r>
            <w:r w:rsidR="007D19D7">
              <w:rPr>
                <w:webHidden/>
              </w:rPr>
              <w:fldChar w:fldCharType="separate"/>
            </w:r>
            <w:r w:rsidR="007D19D7">
              <w:rPr>
                <w:webHidden/>
              </w:rPr>
              <w:t>76</w:t>
            </w:r>
            <w:r w:rsidR="007D19D7">
              <w:rPr>
                <w:webHidden/>
              </w:rPr>
              <w:fldChar w:fldCharType="end"/>
            </w:r>
          </w:hyperlink>
        </w:p>
        <w:p w14:paraId="2C691DAC" w14:textId="2CE92329" w:rsidR="007D19D7" w:rsidRDefault="005B3C73">
          <w:pPr>
            <w:pStyle w:val="TOC3"/>
            <w:rPr>
              <w:rFonts w:asciiTheme="minorHAnsi" w:eastAsiaTheme="minorEastAsia" w:hAnsiTheme="minorHAnsi" w:cstheme="minorBidi"/>
              <w:b w:val="0"/>
              <w:bCs w:val="0"/>
              <w:sz w:val="22"/>
              <w:szCs w:val="22"/>
            </w:rPr>
          </w:pPr>
          <w:hyperlink w:anchor="_Toc124762797" w:history="1">
            <w:r w:rsidR="007D19D7" w:rsidRPr="009D2176">
              <w:rPr>
                <w:rStyle w:val="Hyperlink"/>
              </w:rPr>
              <w:t>5.5.1</w:t>
            </w:r>
            <w:r w:rsidR="007D19D7">
              <w:rPr>
                <w:rFonts w:asciiTheme="minorHAnsi" w:eastAsiaTheme="minorEastAsia" w:hAnsiTheme="minorHAnsi" w:cstheme="minorBidi"/>
                <w:b w:val="0"/>
                <w:bCs w:val="0"/>
                <w:sz w:val="22"/>
                <w:szCs w:val="22"/>
              </w:rPr>
              <w:tab/>
            </w:r>
            <w:r w:rsidR="007D19D7" w:rsidRPr="009D2176">
              <w:rPr>
                <w:rStyle w:val="Hyperlink"/>
              </w:rPr>
              <w:t>Applicable legislation and guidelines</w:t>
            </w:r>
            <w:r w:rsidR="007D19D7">
              <w:rPr>
                <w:webHidden/>
              </w:rPr>
              <w:tab/>
            </w:r>
            <w:r w:rsidR="007D19D7">
              <w:rPr>
                <w:webHidden/>
              </w:rPr>
              <w:fldChar w:fldCharType="begin"/>
            </w:r>
            <w:r w:rsidR="007D19D7">
              <w:rPr>
                <w:webHidden/>
              </w:rPr>
              <w:instrText xml:space="preserve"> PAGEREF _Toc124762797 \h </w:instrText>
            </w:r>
            <w:r w:rsidR="007D19D7">
              <w:rPr>
                <w:webHidden/>
              </w:rPr>
            </w:r>
            <w:r w:rsidR="007D19D7">
              <w:rPr>
                <w:webHidden/>
              </w:rPr>
              <w:fldChar w:fldCharType="separate"/>
            </w:r>
            <w:r w:rsidR="007D19D7">
              <w:rPr>
                <w:webHidden/>
              </w:rPr>
              <w:t>76</w:t>
            </w:r>
            <w:r w:rsidR="007D19D7">
              <w:rPr>
                <w:webHidden/>
              </w:rPr>
              <w:fldChar w:fldCharType="end"/>
            </w:r>
          </w:hyperlink>
        </w:p>
        <w:p w14:paraId="57A416BD" w14:textId="3FACD5BB" w:rsidR="007D19D7" w:rsidRDefault="005B3C73">
          <w:pPr>
            <w:pStyle w:val="TOC3"/>
            <w:rPr>
              <w:rFonts w:asciiTheme="minorHAnsi" w:eastAsiaTheme="minorEastAsia" w:hAnsiTheme="minorHAnsi" w:cstheme="minorBidi"/>
              <w:b w:val="0"/>
              <w:bCs w:val="0"/>
              <w:sz w:val="22"/>
              <w:szCs w:val="22"/>
            </w:rPr>
          </w:pPr>
          <w:hyperlink w:anchor="_Toc124762798" w:history="1">
            <w:r w:rsidR="007D19D7" w:rsidRPr="009D2176">
              <w:rPr>
                <w:rStyle w:val="Hyperlink"/>
              </w:rPr>
              <w:t>5.5.2</w:t>
            </w:r>
            <w:r w:rsidR="007D19D7">
              <w:rPr>
                <w:rFonts w:asciiTheme="minorHAnsi" w:eastAsiaTheme="minorEastAsia" w:hAnsiTheme="minorHAnsi" w:cstheme="minorBidi"/>
                <w:b w:val="0"/>
                <w:bCs w:val="0"/>
                <w:sz w:val="22"/>
                <w:szCs w:val="22"/>
              </w:rPr>
              <w:tab/>
            </w:r>
            <w:r w:rsidR="007D19D7" w:rsidRPr="009D2176">
              <w:rPr>
                <w:rStyle w:val="Hyperlink"/>
              </w:rPr>
              <w:t>Consent status of ALSWH participants</w:t>
            </w:r>
            <w:r w:rsidR="007D19D7">
              <w:rPr>
                <w:webHidden/>
              </w:rPr>
              <w:tab/>
            </w:r>
            <w:r w:rsidR="007D19D7">
              <w:rPr>
                <w:webHidden/>
              </w:rPr>
              <w:fldChar w:fldCharType="begin"/>
            </w:r>
            <w:r w:rsidR="007D19D7">
              <w:rPr>
                <w:webHidden/>
              </w:rPr>
              <w:instrText xml:space="preserve"> PAGEREF _Toc124762798 \h </w:instrText>
            </w:r>
            <w:r w:rsidR="007D19D7">
              <w:rPr>
                <w:webHidden/>
              </w:rPr>
            </w:r>
            <w:r w:rsidR="007D19D7">
              <w:rPr>
                <w:webHidden/>
              </w:rPr>
              <w:fldChar w:fldCharType="separate"/>
            </w:r>
            <w:r w:rsidR="007D19D7">
              <w:rPr>
                <w:webHidden/>
              </w:rPr>
              <w:t>77</w:t>
            </w:r>
            <w:r w:rsidR="007D19D7">
              <w:rPr>
                <w:webHidden/>
              </w:rPr>
              <w:fldChar w:fldCharType="end"/>
            </w:r>
          </w:hyperlink>
        </w:p>
        <w:p w14:paraId="4D0946E6" w14:textId="0C768497" w:rsidR="007D19D7" w:rsidRDefault="005B3C73">
          <w:pPr>
            <w:pStyle w:val="TOC3"/>
            <w:rPr>
              <w:rFonts w:asciiTheme="minorHAnsi" w:eastAsiaTheme="minorEastAsia" w:hAnsiTheme="minorHAnsi" w:cstheme="minorBidi"/>
              <w:b w:val="0"/>
              <w:bCs w:val="0"/>
              <w:sz w:val="22"/>
              <w:szCs w:val="22"/>
            </w:rPr>
          </w:pPr>
          <w:hyperlink w:anchor="_Toc124762799" w:history="1">
            <w:r w:rsidR="007D19D7" w:rsidRPr="009D2176">
              <w:rPr>
                <w:rStyle w:val="Hyperlink"/>
              </w:rPr>
              <w:t>5.5.3</w:t>
            </w:r>
            <w:r w:rsidR="007D19D7">
              <w:rPr>
                <w:rFonts w:asciiTheme="minorHAnsi" w:eastAsiaTheme="minorEastAsia" w:hAnsiTheme="minorHAnsi" w:cstheme="minorBidi"/>
                <w:b w:val="0"/>
                <w:bCs w:val="0"/>
                <w:sz w:val="22"/>
                <w:szCs w:val="22"/>
              </w:rPr>
              <w:tab/>
            </w:r>
            <w:r w:rsidR="007D19D7" w:rsidRPr="009D2176">
              <w:rPr>
                <w:rStyle w:val="Hyperlink"/>
              </w:rPr>
              <w:t>Communicating with ALSWH participants about health record linkage</w:t>
            </w:r>
            <w:r w:rsidR="007D19D7">
              <w:rPr>
                <w:webHidden/>
              </w:rPr>
              <w:tab/>
            </w:r>
            <w:r w:rsidR="007D19D7">
              <w:rPr>
                <w:webHidden/>
              </w:rPr>
              <w:fldChar w:fldCharType="begin"/>
            </w:r>
            <w:r w:rsidR="007D19D7">
              <w:rPr>
                <w:webHidden/>
              </w:rPr>
              <w:instrText xml:space="preserve"> PAGEREF _Toc124762799 \h </w:instrText>
            </w:r>
            <w:r w:rsidR="007D19D7">
              <w:rPr>
                <w:webHidden/>
              </w:rPr>
            </w:r>
            <w:r w:rsidR="007D19D7">
              <w:rPr>
                <w:webHidden/>
              </w:rPr>
              <w:fldChar w:fldCharType="separate"/>
            </w:r>
            <w:r w:rsidR="007D19D7">
              <w:rPr>
                <w:webHidden/>
              </w:rPr>
              <w:t>78</w:t>
            </w:r>
            <w:r w:rsidR="007D19D7">
              <w:rPr>
                <w:webHidden/>
              </w:rPr>
              <w:fldChar w:fldCharType="end"/>
            </w:r>
          </w:hyperlink>
        </w:p>
        <w:p w14:paraId="77F1B127" w14:textId="78B24484" w:rsidR="007D19D7" w:rsidRDefault="005B3C73">
          <w:pPr>
            <w:pStyle w:val="TOC3"/>
            <w:rPr>
              <w:rFonts w:asciiTheme="minorHAnsi" w:eastAsiaTheme="minorEastAsia" w:hAnsiTheme="minorHAnsi" w:cstheme="minorBidi"/>
              <w:b w:val="0"/>
              <w:bCs w:val="0"/>
              <w:sz w:val="22"/>
              <w:szCs w:val="22"/>
            </w:rPr>
          </w:pPr>
          <w:hyperlink w:anchor="_Toc124762800" w:history="1">
            <w:r w:rsidR="007D19D7" w:rsidRPr="009D2176">
              <w:rPr>
                <w:rStyle w:val="Hyperlink"/>
              </w:rPr>
              <w:t>5.5.4</w:t>
            </w:r>
            <w:r w:rsidR="007D19D7">
              <w:rPr>
                <w:rFonts w:asciiTheme="minorHAnsi" w:eastAsiaTheme="minorEastAsia" w:hAnsiTheme="minorHAnsi" w:cstheme="minorBidi"/>
                <w:b w:val="0"/>
                <w:bCs w:val="0"/>
                <w:sz w:val="22"/>
                <w:szCs w:val="22"/>
              </w:rPr>
              <w:tab/>
            </w:r>
            <w:r w:rsidR="007D19D7" w:rsidRPr="009D2176">
              <w:rPr>
                <w:rStyle w:val="Hyperlink"/>
              </w:rPr>
              <w:t>Current HREC approvals for health record linkage</w:t>
            </w:r>
            <w:r w:rsidR="007D19D7">
              <w:rPr>
                <w:webHidden/>
              </w:rPr>
              <w:tab/>
            </w:r>
            <w:r w:rsidR="007D19D7">
              <w:rPr>
                <w:webHidden/>
              </w:rPr>
              <w:fldChar w:fldCharType="begin"/>
            </w:r>
            <w:r w:rsidR="007D19D7">
              <w:rPr>
                <w:webHidden/>
              </w:rPr>
              <w:instrText xml:space="preserve"> PAGEREF _Toc124762800 \h </w:instrText>
            </w:r>
            <w:r w:rsidR="007D19D7">
              <w:rPr>
                <w:webHidden/>
              </w:rPr>
            </w:r>
            <w:r w:rsidR="007D19D7">
              <w:rPr>
                <w:webHidden/>
              </w:rPr>
              <w:fldChar w:fldCharType="separate"/>
            </w:r>
            <w:r w:rsidR="007D19D7">
              <w:rPr>
                <w:webHidden/>
              </w:rPr>
              <w:t>78</w:t>
            </w:r>
            <w:r w:rsidR="007D19D7">
              <w:rPr>
                <w:webHidden/>
              </w:rPr>
              <w:fldChar w:fldCharType="end"/>
            </w:r>
          </w:hyperlink>
        </w:p>
        <w:p w14:paraId="0E262FF0" w14:textId="6D7B376F" w:rsidR="007D19D7" w:rsidRDefault="005B3C73" w:rsidP="007D19D7">
          <w:pPr>
            <w:pStyle w:val="TOC1"/>
            <w:rPr>
              <w:rFonts w:asciiTheme="minorHAnsi" w:eastAsiaTheme="minorEastAsia" w:hAnsiTheme="minorHAnsi" w:cstheme="minorBidi"/>
              <w:sz w:val="22"/>
              <w:szCs w:val="22"/>
            </w:rPr>
          </w:pPr>
          <w:hyperlink w:anchor="_Toc124762801" w:history="1">
            <w:r w:rsidR="007D19D7" w:rsidRPr="009D2176">
              <w:rPr>
                <w:rStyle w:val="Hyperlink"/>
                <w:rFonts w:cs="Arial"/>
              </w:rPr>
              <w:t>6</w:t>
            </w:r>
            <w:r w:rsidR="007D19D7">
              <w:rPr>
                <w:rFonts w:asciiTheme="minorHAnsi" w:eastAsiaTheme="minorEastAsia" w:hAnsiTheme="minorHAnsi" w:cstheme="minorBidi"/>
                <w:sz w:val="22"/>
                <w:szCs w:val="22"/>
              </w:rPr>
              <w:tab/>
            </w:r>
            <w:r w:rsidR="007D19D7" w:rsidRPr="009D2176">
              <w:rPr>
                <w:rStyle w:val="Hyperlink"/>
                <w:rFonts w:cs="Arial"/>
              </w:rPr>
              <w:t>Archiving</w:t>
            </w:r>
            <w:r w:rsidR="007D19D7">
              <w:rPr>
                <w:webHidden/>
              </w:rPr>
              <w:tab/>
            </w:r>
            <w:r w:rsidR="007D19D7">
              <w:rPr>
                <w:webHidden/>
              </w:rPr>
              <w:fldChar w:fldCharType="begin"/>
            </w:r>
            <w:r w:rsidR="007D19D7">
              <w:rPr>
                <w:webHidden/>
              </w:rPr>
              <w:instrText xml:space="preserve"> PAGEREF _Toc124762801 \h </w:instrText>
            </w:r>
            <w:r w:rsidR="007D19D7">
              <w:rPr>
                <w:webHidden/>
              </w:rPr>
            </w:r>
            <w:r w:rsidR="007D19D7">
              <w:rPr>
                <w:webHidden/>
              </w:rPr>
              <w:fldChar w:fldCharType="separate"/>
            </w:r>
            <w:r w:rsidR="007D19D7">
              <w:rPr>
                <w:webHidden/>
              </w:rPr>
              <w:t>81</w:t>
            </w:r>
            <w:r w:rsidR="007D19D7">
              <w:rPr>
                <w:webHidden/>
              </w:rPr>
              <w:fldChar w:fldCharType="end"/>
            </w:r>
          </w:hyperlink>
        </w:p>
        <w:p w14:paraId="6A09CCF2" w14:textId="4FBA87B1" w:rsidR="007D19D7" w:rsidRDefault="005B3C73" w:rsidP="007D19D7">
          <w:pPr>
            <w:pStyle w:val="TOC1"/>
            <w:rPr>
              <w:rFonts w:asciiTheme="minorHAnsi" w:eastAsiaTheme="minorEastAsia" w:hAnsiTheme="minorHAnsi" w:cstheme="minorBidi"/>
              <w:sz w:val="22"/>
              <w:szCs w:val="22"/>
            </w:rPr>
          </w:pPr>
          <w:hyperlink w:anchor="_Toc124762802" w:history="1">
            <w:r w:rsidR="007D19D7" w:rsidRPr="009D2176">
              <w:rPr>
                <w:rStyle w:val="Hyperlink"/>
                <w:rFonts w:cs="Arial"/>
              </w:rPr>
              <w:t>7</w:t>
            </w:r>
            <w:r w:rsidR="007D19D7">
              <w:rPr>
                <w:rFonts w:asciiTheme="minorHAnsi" w:eastAsiaTheme="minorEastAsia" w:hAnsiTheme="minorHAnsi" w:cstheme="minorBidi"/>
                <w:sz w:val="22"/>
                <w:szCs w:val="22"/>
              </w:rPr>
              <w:tab/>
            </w:r>
            <w:r w:rsidR="007D19D7" w:rsidRPr="009D2176">
              <w:rPr>
                <w:rStyle w:val="Hyperlink"/>
                <w:rFonts w:cs="Arial"/>
              </w:rPr>
              <w:t>Methodological issues</w:t>
            </w:r>
            <w:r w:rsidR="007D19D7">
              <w:rPr>
                <w:webHidden/>
              </w:rPr>
              <w:tab/>
            </w:r>
            <w:r w:rsidR="007D19D7">
              <w:rPr>
                <w:webHidden/>
              </w:rPr>
              <w:fldChar w:fldCharType="begin"/>
            </w:r>
            <w:r w:rsidR="007D19D7">
              <w:rPr>
                <w:webHidden/>
              </w:rPr>
              <w:instrText xml:space="preserve"> PAGEREF _Toc124762802 \h </w:instrText>
            </w:r>
            <w:r w:rsidR="007D19D7">
              <w:rPr>
                <w:webHidden/>
              </w:rPr>
            </w:r>
            <w:r w:rsidR="007D19D7">
              <w:rPr>
                <w:webHidden/>
              </w:rPr>
              <w:fldChar w:fldCharType="separate"/>
            </w:r>
            <w:r w:rsidR="007D19D7">
              <w:rPr>
                <w:webHidden/>
              </w:rPr>
              <w:t>82</w:t>
            </w:r>
            <w:r w:rsidR="007D19D7">
              <w:rPr>
                <w:webHidden/>
              </w:rPr>
              <w:fldChar w:fldCharType="end"/>
            </w:r>
          </w:hyperlink>
        </w:p>
        <w:p w14:paraId="15085A0D" w14:textId="58493B0D" w:rsidR="007D19D7" w:rsidRDefault="005B3C73">
          <w:pPr>
            <w:pStyle w:val="TOC2"/>
            <w:rPr>
              <w:rFonts w:asciiTheme="minorHAnsi" w:eastAsiaTheme="minorEastAsia" w:hAnsiTheme="minorHAnsi" w:cstheme="minorBidi"/>
              <w:b w:val="0"/>
              <w:bCs w:val="0"/>
              <w:sz w:val="22"/>
              <w:szCs w:val="22"/>
            </w:rPr>
          </w:pPr>
          <w:hyperlink w:anchor="_Toc124762803" w:history="1">
            <w:r w:rsidR="007D19D7" w:rsidRPr="009D2176">
              <w:rPr>
                <w:rStyle w:val="Hyperlink"/>
              </w:rPr>
              <w:t>7.1</w:t>
            </w:r>
            <w:r w:rsidR="007D19D7">
              <w:rPr>
                <w:rFonts w:asciiTheme="minorHAnsi" w:eastAsiaTheme="minorEastAsia" w:hAnsiTheme="minorHAnsi" w:cstheme="minorBidi"/>
                <w:b w:val="0"/>
                <w:bCs w:val="0"/>
                <w:sz w:val="22"/>
                <w:szCs w:val="22"/>
              </w:rPr>
              <w:tab/>
            </w:r>
            <w:r w:rsidR="007D19D7" w:rsidRPr="009D2176">
              <w:rPr>
                <w:rStyle w:val="Hyperlink"/>
              </w:rPr>
              <w:t>Mean stress derived variable in ALSWH</w:t>
            </w:r>
            <w:r w:rsidR="007D19D7">
              <w:rPr>
                <w:webHidden/>
              </w:rPr>
              <w:tab/>
            </w:r>
            <w:r w:rsidR="007D19D7">
              <w:rPr>
                <w:webHidden/>
              </w:rPr>
              <w:fldChar w:fldCharType="begin"/>
            </w:r>
            <w:r w:rsidR="007D19D7">
              <w:rPr>
                <w:webHidden/>
              </w:rPr>
              <w:instrText xml:space="preserve"> PAGEREF _Toc124762803 \h </w:instrText>
            </w:r>
            <w:r w:rsidR="007D19D7">
              <w:rPr>
                <w:webHidden/>
              </w:rPr>
            </w:r>
            <w:r w:rsidR="007D19D7">
              <w:rPr>
                <w:webHidden/>
              </w:rPr>
              <w:fldChar w:fldCharType="separate"/>
            </w:r>
            <w:r w:rsidR="007D19D7">
              <w:rPr>
                <w:webHidden/>
              </w:rPr>
              <w:t>82</w:t>
            </w:r>
            <w:r w:rsidR="007D19D7">
              <w:rPr>
                <w:webHidden/>
              </w:rPr>
              <w:fldChar w:fldCharType="end"/>
            </w:r>
          </w:hyperlink>
        </w:p>
        <w:p w14:paraId="7C735B0B" w14:textId="0B1A9AFE" w:rsidR="007D19D7" w:rsidRDefault="005B3C73">
          <w:pPr>
            <w:pStyle w:val="TOC3"/>
            <w:rPr>
              <w:rFonts w:asciiTheme="minorHAnsi" w:eastAsiaTheme="minorEastAsia" w:hAnsiTheme="minorHAnsi" w:cstheme="minorBidi"/>
              <w:b w:val="0"/>
              <w:bCs w:val="0"/>
              <w:sz w:val="22"/>
              <w:szCs w:val="22"/>
            </w:rPr>
          </w:pPr>
          <w:hyperlink w:anchor="_Toc124762804" w:history="1">
            <w:r w:rsidR="007D19D7" w:rsidRPr="009D2176">
              <w:rPr>
                <w:rStyle w:val="Hyperlink"/>
              </w:rPr>
              <w:t>7.1.1</w:t>
            </w:r>
            <w:r w:rsidR="007D19D7">
              <w:rPr>
                <w:rFonts w:asciiTheme="minorHAnsi" w:eastAsiaTheme="minorEastAsia" w:hAnsiTheme="minorHAnsi" w:cstheme="minorBidi"/>
                <w:b w:val="0"/>
                <w:bCs w:val="0"/>
                <w:sz w:val="22"/>
                <w:szCs w:val="22"/>
              </w:rPr>
              <w:tab/>
            </w:r>
            <w:r w:rsidR="007D19D7" w:rsidRPr="009D2176">
              <w:rPr>
                <w:rStyle w:val="Hyperlink"/>
              </w:rPr>
              <w:t>Introduction</w:t>
            </w:r>
            <w:r w:rsidR="007D19D7">
              <w:rPr>
                <w:webHidden/>
              </w:rPr>
              <w:tab/>
            </w:r>
            <w:r w:rsidR="007D19D7">
              <w:rPr>
                <w:webHidden/>
              </w:rPr>
              <w:fldChar w:fldCharType="begin"/>
            </w:r>
            <w:r w:rsidR="007D19D7">
              <w:rPr>
                <w:webHidden/>
              </w:rPr>
              <w:instrText xml:space="preserve"> PAGEREF _Toc124762804 \h </w:instrText>
            </w:r>
            <w:r w:rsidR="007D19D7">
              <w:rPr>
                <w:webHidden/>
              </w:rPr>
            </w:r>
            <w:r w:rsidR="007D19D7">
              <w:rPr>
                <w:webHidden/>
              </w:rPr>
              <w:fldChar w:fldCharType="separate"/>
            </w:r>
            <w:r w:rsidR="007D19D7">
              <w:rPr>
                <w:webHidden/>
              </w:rPr>
              <w:t>82</w:t>
            </w:r>
            <w:r w:rsidR="007D19D7">
              <w:rPr>
                <w:webHidden/>
              </w:rPr>
              <w:fldChar w:fldCharType="end"/>
            </w:r>
          </w:hyperlink>
        </w:p>
        <w:p w14:paraId="7078A948" w14:textId="4968DE2B" w:rsidR="007D19D7" w:rsidRDefault="005B3C73">
          <w:pPr>
            <w:pStyle w:val="TOC3"/>
            <w:rPr>
              <w:rFonts w:asciiTheme="minorHAnsi" w:eastAsiaTheme="minorEastAsia" w:hAnsiTheme="minorHAnsi" w:cstheme="minorBidi"/>
              <w:b w:val="0"/>
              <w:bCs w:val="0"/>
              <w:sz w:val="22"/>
              <w:szCs w:val="22"/>
            </w:rPr>
          </w:pPr>
          <w:hyperlink w:anchor="_Toc124762805" w:history="1">
            <w:r w:rsidR="007D19D7" w:rsidRPr="009D2176">
              <w:rPr>
                <w:rStyle w:val="Hyperlink"/>
              </w:rPr>
              <w:t>7.1.2</w:t>
            </w:r>
            <w:r w:rsidR="007D19D7">
              <w:rPr>
                <w:rFonts w:asciiTheme="minorHAnsi" w:eastAsiaTheme="minorEastAsia" w:hAnsiTheme="minorHAnsi" w:cstheme="minorBidi"/>
                <w:b w:val="0"/>
                <w:bCs w:val="0"/>
                <w:sz w:val="22"/>
                <w:szCs w:val="22"/>
              </w:rPr>
              <w:tab/>
            </w:r>
            <w:r w:rsidR="007D19D7" w:rsidRPr="009D2176">
              <w:rPr>
                <w:rStyle w:val="Hyperlink"/>
              </w:rPr>
              <w:t>Mean stress in ALSWH</w:t>
            </w:r>
            <w:r w:rsidR="007D19D7">
              <w:rPr>
                <w:webHidden/>
              </w:rPr>
              <w:tab/>
            </w:r>
            <w:r w:rsidR="007D19D7">
              <w:rPr>
                <w:webHidden/>
              </w:rPr>
              <w:fldChar w:fldCharType="begin"/>
            </w:r>
            <w:r w:rsidR="007D19D7">
              <w:rPr>
                <w:webHidden/>
              </w:rPr>
              <w:instrText xml:space="preserve"> PAGEREF _Toc124762805 \h </w:instrText>
            </w:r>
            <w:r w:rsidR="007D19D7">
              <w:rPr>
                <w:webHidden/>
              </w:rPr>
            </w:r>
            <w:r w:rsidR="007D19D7">
              <w:rPr>
                <w:webHidden/>
              </w:rPr>
              <w:fldChar w:fldCharType="separate"/>
            </w:r>
            <w:r w:rsidR="007D19D7">
              <w:rPr>
                <w:webHidden/>
              </w:rPr>
              <w:t>82</w:t>
            </w:r>
            <w:r w:rsidR="007D19D7">
              <w:rPr>
                <w:webHidden/>
              </w:rPr>
              <w:fldChar w:fldCharType="end"/>
            </w:r>
          </w:hyperlink>
        </w:p>
        <w:p w14:paraId="60032BC3" w14:textId="008A6184" w:rsidR="007D19D7" w:rsidRDefault="005B3C73">
          <w:pPr>
            <w:pStyle w:val="TOC3"/>
            <w:rPr>
              <w:rFonts w:asciiTheme="minorHAnsi" w:eastAsiaTheme="minorEastAsia" w:hAnsiTheme="minorHAnsi" w:cstheme="minorBidi"/>
              <w:b w:val="0"/>
              <w:bCs w:val="0"/>
              <w:sz w:val="22"/>
              <w:szCs w:val="22"/>
            </w:rPr>
          </w:pPr>
          <w:hyperlink w:anchor="_Toc124762806" w:history="1">
            <w:r w:rsidR="007D19D7" w:rsidRPr="009D2176">
              <w:rPr>
                <w:rStyle w:val="Hyperlink"/>
              </w:rPr>
              <w:t>7.1.2.1</w:t>
            </w:r>
            <w:r w:rsidR="007D19D7">
              <w:rPr>
                <w:rFonts w:asciiTheme="minorHAnsi" w:eastAsiaTheme="minorEastAsia" w:hAnsiTheme="minorHAnsi" w:cstheme="minorBidi"/>
                <w:b w:val="0"/>
                <w:bCs w:val="0"/>
                <w:sz w:val="22"/>
                <w:szCs w:val="22"/>
              </w:rPr>
              <w:tab/>
            </w:r>
            <w:r w:rsidR="007D19D7" w:rsidRPr="009D2176">
              <w:rPr>
                <w:rStyle w:val="Hyperlink"/>
              </w:rPr>
              <w:t>The change in 2021 / 2022</w:t>
            </w:r>
            <w:r w:rsidR="007D19D7">
              <w:rPr>
                <w:webHidden/>
              </w:rPr>
              <w:tab/>
            </w:r>
            <w:r w:rsidR="007D19D7">
              <w:rPr>
                <w:webHidden/>
              </w:rPr>
              <w:fldChar w:fldCharType="begin"/>
            </w:r>
            <w:r w:rsidR="007D19D7">
              <w:rPr>
                <w:webHidden/>
              </w:rPr>
              <w:instrText xml:space="preserve"> PAGEREF _Toc124762806 \h </w:instrText>
            </w:r>
            <w:r w:rsidR="007D19D7">
              <w:rPr>
                <w:webHidden/>
              </w:rPr>
            </w:r>
            <w:r w:rsidR="007D19D7">
              <w:rPr>
                <w:webHidden/>
              </w:rPr>
              <w:fldChar w:fldCharType="separate"/>
            </w:r>
            <w:r w:rsidR="007D19D7">
              <w:rPr>
                <w:webHidden/>
              </w:rPr>
              <w:t>84</w:t>
            </w:r>
            <w:r w:rsidR="007D19D7">
              <w:rPr>
                <w:webHidden/>
              </w:rPr>
              <w:fldChar w:fldCharType="end"/>
            </w:r>
          </w:hyperlink>
        </w:p>
        <w:p w14:paraId="74B2B460" w14:textId="3D6C45C4" w:rsidR="007D19D7" w:rsidRDefault="005B3C73">
          <w:pPr>
            <w:pStyle w:val="TOC3"/>
            <w:rPr>
              <w:rFonts w:asciiTheme="minorHAnsi" w:eastAsiaTheme="minorEastAsia" w:hAnsiTheme="minorHAnsi" w:cstheme="minorBidi"/>
              <w:b w:val="0"/>
              <w:bCs w:val="0"/>
              <w:sz w:val="22"/>
              <w:szCs w:val="22"/>
            </w:rPr>
          </w:pPr>
          <w:hyperlink w:anchor="_Toc124762807" w:history="1">
            <w:r w:rsidR="007D19D7" w:rsidRPr="009D2176">
              <w:rPr>
                <w:rStyle w:val="Hyperlink"/>
              </w:rPr>
              <w:t>7.1.2.2</w:t>
            </w:r>
            <w:r w:rsidR="007D19D7">
              <w:rPr>
                <w:rFonts w:asciiTheme="minorHAnsi" w:eastAsiaTheme="minorEastAsia" w:hAnsiTheme="minorHAnsi" w:cstheme="minorBidi"/>
                <w:b w:val="0"/>
                <w:bCs w:val="0"/>
                <w:sz w:val="22"/>
                <w:szCs w:val="22"/>
              </w:rPr>
              <w:tab/>
            </w:r>
            <w:r w:rsidR="007D19D7" w:rsidRPr="009D2176">
              <w:rPr>
                <w:rStyle w:val="Hyperlink"/>
              </w:rPr>
              <w:t>Implications</w:t>
            </w:r>
            <w:r w:rsidR="007D19D7">
              <w:rPr>
                <w:webHidden/>
              </w:rPr>
              <w:tab/>
            </w:r>
            <w:r w:rsidR="007D19D7">
              <w:rPr>
                <w:webHidden/>
              </w:rPr>
              <w:fldChar w:fldCharType="begin"/>
            </w:r>
            <w:r w:rsidR="007D19D7">
              <w:rPr>
                <w:webHidden/>
              </w:rPr>
              <w:instrText xml:space="preserve"> PAGEREF _Toc124762807 \h </w:instrText>
            </w:r>
            <w:r w:rsidR="007D19D7">
              <w:rPr>
                <w:webHidden/>
              </w:rPr>
            </w:r>
            <w:r w:rsidR="007D19D7">
              <w:rPr>
                <w:webHidden/>
              </w:rPr>
              <w:fldChar w:fldCharType="separate"/>
            </w:r>
            <w:r w:rsidR="007D19D7">
              <w:rPr>
                <w:webHidden/>
              </w:rPr>
              <w:t>85</w:t>
            </w:r>
            <w:r w:rsidR="007D19D7">
              <w:rPr>
                <w:webHidden/>
              </w:rPr>
              <w:fldChar w:fldCharType="end"/>
            </w:r>
          </w:hyperlink>
        </w:p>
        <w:p w14:paraId="06BEAD3B" w14:textId="5E5341C2" w:rsidR="007D19D7" w:rsidRDefault="005B3C73">
          <w:pPr>
            <w:pStyle w:val="TOC2"/>
            <w:rPr>
              <w:rFonts w:asciiTheme="minorHAnsi" w:eastAsiaTheme="minorEastAsia" w:hAnsiTheme="minorHAnsi" w:cstheme="minorBidi"/>
              <w:b w:val="0"/>
              <w:bCs w:val="0"/>
              <w:sz w:val="22"/>
              <w:szCs w:val="22"/>
            </w:rPr>
          </w:pPr>
          <w:hyperlink w:anchor="_Toc124762808" w:history="1">
            <w:r w:rsidR="007D19D7" w:rsidRPr="009D2176">
              <w:rPr>
                <w:rStyle w:val="Hyperlink"/>
                <w:rFonts w:cs="Times New Roman"/>
              </w:rPr>
              <w:t>7.2</w:t>
            </w:r>
            <w:r w:rsidR="007D19D7">
              <w:rPr>
                <w:rFonts w:asciiTheme="minorHAnsi" w:eastAsiaTheme="minorEastAsia" w:hAnsiTheme="minorHAnsi" w:cstheme="minorBidi"/>
                <w:b w:val="0"/>
                <w:bCs w:val="0"/>
                <w:sz w:val="22"/>
                <w:szCs w:val="22"/>
              </w:rPr>
              <w:tab/>
            </w:r>
            <w:r w:rsidR="007D19D7" w:rsidRPr="009D2176">
              <w:rPr>
                <w:rStyle w:val="Hyperlink"/>
              </w:rPr>
              <w:t>Measuring sexual violence in ALSWH Surveys</w:t>
            </w:r>
            <w:r w:rsidR="007D19D7">
              <w:rPr>
                <w:webHidden/>
              </w:rPr>
              <w:tab/>
            </w:r>
            <w:r w:rsidR="007D19D7">
              <w:rPr>
                <w:webHidden/>
              </w:rPr>
              <w:fldChar w:fldCharType="begin"/>
            </w:r>
            <w:r w:rsidR="007D19D7">
              <w:rPr>
                <w:webHidden/>
              </w:rPr>
              <w:instrText xml:space="preserve"> PAGEREF _Toc124762808 \h </w:instrText>
            </w:r>
            <w:r w:rsidR="007D19D7">
              <w:rPr>
                <w:webHidden/>
              </w:rPr>
            </w:r>
            <w:r w:rsidR="007D19D7">
              <w:rPr>
                <w:webHidden/>
              </w:rPr>
              <w:fldChar w:fldCharType="separate"/>
            </w:r>
            <w:r w:rsidR="007D19D7">
              <w:rPr>
                <w:webHidden/>
              </w:rPr>
              <w:t>86</w:t>
            </w:r>
            <w:r w:rsidR="007D19D7">
              <w:rPr>
                <w:webHidden/>
              </w:rPr>
              <w:fldChar w:fldCharType="end"/>
            </w:r>
          </w:hyperlink>
        </w:p>
        <w:p w14:paraId="5C0868B4" w14:textId="396026F5" w:rsidR="007D19D7" w:rsidRDefault="005B3C73">
          <w:pPr>
            <w:pStyle w:val="TOC3"/>
            <w:rPr>
              <w:rFonts w:asciiTheme="minorHAnsi" w:eastAsiaTheme="minorEastAsia" w:hAnsiTheme="minorHAnsi" w:cstheme="minorBidi"/>
              <w:b w:val="0"/>
              <w:bCs w:val="0"/>
              <w:sz w:val="22"/>
              <w:szCs w:val="22"/>
            </w:rPr>
          </w:pPr>
          <w:hyperlink w:anchor="_Toc124762809" w:history="1">
            <w:r w:rsidR="007D19D7" w:rsidRPr="009D2176">
              <w:rPr>
                <w:rStyle w:val="Hyperlink"/>
              </w:rPr>
              <w:t>7.2.1</w:t>
            </w:r>
            <w:r w:rsidR="007D19D7">
              <w:rPr>
                <w:rFonts w:asciiTheme="minorHAnsi" w:eastAsiaTheme="minorEastAsia" w:hAnsiTheme="minorHAnsi" w:cstheme="minorBidi"/>
                <w:b w:val="0"/>
                <w:bCs w:val="0"/>
                <w:sz w:val="22"/>
                <w:szCs w:val="22"/>
              </w:rPr>
              <w:tab/>
            </w:r>
            <w:r w:rsidR="007D19D7" w:rsidRPr="009D2176">
              <w:rPr>
                <w:rStyle w:val="Hyperlink"/>
              </w:rPr>
              <w:t>Introduction</w:t>
            </w:r>
            <w:r w:rsidR="007D19D7">
              <w:rPr>
                <w:webHidden/>
              </w:rPr>
              <w:tab/>
            </w:r>
            <w:r w:rsidR="007D19D7">
              <w:rPr>
                <w:webHidden/>
              </w:rPr>
              <w:fldChar w:fldCharType="begin"/>
            </w:r>
            <w:r w:rsidR="007D19D7">
              <w:rPr>
                <w:webHidden/>
              </w:rPr>
              <w:instrText xml:space="preserve"> PAGEREF _Toc124762809 \h </w:instrText>
            </w:r>
            <w:r w:rsidR="007D19D7">
              <w:rPr>
                <w:webHidden/>
              </w:rPr>
            </w:r>
            <w:r w:rsidR="007D19D7">
              <w:rPr>
                <w:webHidden/>
              </w:rPr>
              <w:fldChar w:fldCharType="separate"/>
            </w:r>
            <w:r w:rsidR="007D19D7">
              <w:rPr>
                <w:webHidden/>
              </w:rPr>
              <w:t>86</w:t>
            </w:r>
            <w:r w:rsidR="007D19D7">
              <w:rPr>
                <w:webHidden/>
              </w:rPr>
              <w:fldChar w:fldCharType="end"/>
            </w:r>
          </w:hyperlink>
        </w:p>
        <w:p w14:paraId="49A5AB0A" w14:textId="3A9E9031" w:rsidR="007D19D7" w:rsidRDefault="005B3C73">
          <w:pPr>
            <w:pStyle w:val="TOC3"/>
            <w:rPr>
              <w:rFonts w:asciiTheme="minorHAnsi" w:eastAsiaTheme="minorEastAsia" w:hAnsiTheme="minorHAnsi" w:cstheme="minorBidi"/>
              <w:b w:val="0"/>
              <w:bCs w:val="0"/>
              <w:sz w:val="22"/>
              <w:szCs w:val="22"/>
            </w:rPr>
          </w:pPr>
          <w:hyperlink w:anchor="_Toc124762810" w:history="1">
            <w:r w:rsidR="007D19D7" w:rsidRPr="009D2176">
              <w:rPr>
                <w:rStyle w:val="Hyperlink"/>
              </w:rPr>
              <w:t>7.2.2</w:t>
            </w:r>
            <w:r w:rsidR="007D19D7">
              <w:rPr>
                <w:rFonts w:asciiTheme="minorHAnsi" w:eastAsiaTheme="minorEastAsia" w:hAnsiTheme="minorHAnsi" w:cstheme="minorBidi"/>
                <w:b w:val="0"/>
                <w:bCs w:val="0"/>
                <w:sz w:val="22"/>
                <w:szCs w:val="22"/>
              </w:rPr>
              <w:tab/>
            </w:r>
            <w:r w:rsidR="007D19D7" w:rsidRPr="009D2176">
              <w:rPr>
                <w:rStyle w:val="Hyperlink"/>
              </w:rPr>
              <w:t>Measures of sexual violence in ALSWH</w:t>
            </w:r>
            <w:r w:rsidR="007D19D7">
              <w:rPr>
                <w:webHidden/>
              </w:rPr>
              <w:tab/>
            </w:r>
            <w:r w:rsidR="007D19D7">
              <w:rPr>
                <w:webHidden/>
              </w:rPr>
              <w:fldChar w:fldCharType="begin"/>
            </w:r>
            <w:r w:rsidR="007D19D7">
              <w:rPr>
                <w:webHidden/>
              </w:rPr>
              <w:instrText xml:space="preserve"> PAGEREF _Toc124762810 \h </w:instrText>
            </w:r>
            <w:r w:rsidR="007D19D7">
              <w:rPr>
                <w:webHidden/>
              </w:rPr>
            </w:r>
            <w:r w:rsidR="007D19D7">
              <w:rPr>
                <w:webHidden/>
              </w:rPr>
              <w:fldChar w:fldCharType="separate"/>
            </w:r>
            <w:r w:rsidR="007D19D7">
              <w:rPr>
                <w:webHidden/>
              </w:rPr>
              <w:t>86</w:t>
            </w:r>
            <w:r w:rsidR="007D19D7">
              <w:rPr>
                <w:webHidden/>
              </w:rPr>
              <w:fldChar w:fldCharType="end"/>
            </w:r>
          </w:hyperlink>
        </w:p>
        <w:p w14:paraId="739F7CD1" w14:textId="77D53F25" w:rsidR="007D19D7" w:rsidRDefault="005B3C73">
          <w:pPr>
            <w:pStyle w:val="TOC3"/>
            <w:rPr>
              <w:rFonts w:asciiTheme="minorHAnsi" w:eastAsiaTheme="minorEastAsia" w:hAnsiTheme="minorHAnsi" w:cstheme="minorBidi"/>
              <w:b w:val="0"/>
              <w:bCs w:val="0"/>
              <w:sz w:val="22"/>
              <w:szCs w:val="22"/>
            </w:rPr>
          </w:pPr>
          <w:hyperlink w:anchor="_Toc124762811" w:history="1">
            <w:r w:rsidR="007D19D7" w:rsidRPr="009D2176">
              <w:rPr>
                <w:rStyle w:val="Hyperlink"/>
              </w:rPr>
              <w:t>7.2.3</w:t>
            </w:r>
            <w:r w:rsidR="007D19D7">
              <w:rPr>
                <w:rFonts w:asciiTheme="minorHAnsi" w:eastAsiaTheme="minorEastAsia" w:hAnsiTheme="minorHAnsi" w:cstheme="minorBidi"/>
                <w:b w:val="0"/>
                <w:bCs w:val="0"/>
                <w:sz w:val="22"/>
                <w:szCs w:val="22"/>
              </w:rPr>
              <w:tab/>
            </w:r>
            <w:r w:rsidR="007D19D7" w:rsidRPr="009D2176">
              <w:rPr>
                <w:rStyle w:val="Hyperlink"/>
              </w:rPr>
              <w:t>Issues with measuring sexual violence using ALSWH data</w:t>
            </w:r>
            <w:r w:rsidR="007D19D7">
              <w:rPr>
                <w:webHidden/>
              </w:rPr>
              <w:tab/>
            </w:r>
            <w:r w:rsidR="007D19D7">
              <w:rPr>
                <w:webHidden/>
              </w:rPr>
              <w:fldChar w:fldCharType="begin"/>
            </w:r>
            <w:r w:rsidR="007D19D7">
              <w:rPr>
                <w:webHidden/>
              </w:rPr>
              <w:instrText xml:space="preserve"> PAGEREF _Toc124762811 \h </w:instrText>
            </w:r>
            <w:r w:rsidR="007D19D7">
              <w:rPr>
                <w:webHidden/>
              </w:rPr>
            </w:r>
            <w:r w:rsidR="007D19D7">
              <w:rPr>
                <w:webHidden/>
              </w:rPr>
              <w:fldChar w:fldCharType="separate"/>
            </w:r>
            <w:r w:rsidR="007D19D7">
              <w:rPr>
                <w:webHidden/>
              </w:rPr>
              <w:t>88</w:t>
            </w:r>
            <w:r w:rsidR="007D19D7">
              <w:rPr>
                <w:webHidden/>
              </w:rPr>
              <w:fldChar w:fldCharType="end"/>
            </w:r>
          </w:hyperlink>
        </w:p>
        <w:p w14:paraId="48844421" w14:textId="3517287D" w:rsidR="007D19D7" w:rsidRDefault="005B3C73">
          <w:pPr>
            <w:pStyle w:val="TOC3"/>
            <w:rPr>
              <w:rFonts w:asciiTheme="minorHAnsi" w:eastAsiaTheme="minorEastAsia" w:hAnsiTheme="minorHAnsi" w:cstheme="minorBidi"/>
              <w:b w:val="0"/>
              <w:bCs w:val="0"/>
              <w:sz w:val="22"/>
              <w:szCs w:val="22"/>
            </w:rPr>
          </w:pPr>
          <w:hyperlink w:anchor="_Toc124762812" w:history="1">
            <w:r w:rsidR="007D19D7" w:rsidRPr="009D2176">
              <w:rPr>
                <w:rStyle w:val="Hyperlink"/>
              </w:rPr>
              <w:t>7.2.4</w:t>
            </w:r>
            <w:r w:rsidR="007D19D7">
              <w:rPr>
                <w:rFonts w:asciiTheme="minorHAnsi" w:eastAsiaTheme="minorEastAsia" w:hAnsiTheme="minorHAnsi" w:cstheme="minorBidi"/>
                <w:b w:val="0"/>
                <w:bCs w:val="0"/>
                <w:sz w:val="22"/>
                <w:szCs w:val="22"/>
              </w:rPr>
              <w:tab/>
            </w:r>
            <w:r w:rsidR="007D19D7" w:rsidRPr="009D2176">
              <w:rPr>
                <w:rStyle w:val="Hyperlink"/>
              </w:rPr>
              <w:t>References</w:t>
            </w:r>
            <w:r w:rsidR="007D19D7">
              <w:rPr>
                <w:webHidden/>
              </w:rPr>
              <w:tab/>
            </w:r>
            <w:r w:rsidR="007D19D7">
              <w:rPr>
                <w:webHidden/>
              </w:rPr>
              <w:fldChar w:fldCharType="begin"/>
            </w:r>
            <w:r w:rsidR="007D19D7">
              <w:rPr>
                <w:webHidden/>
              </w:rPr>
              <w:instrText xml:space="preserve"> PAGEREF _Toc124762812 \h </w:instrText>
            </w:r>
            <w:r w:rsidR="007D19D7">
              <w:rPr>
                <w:webHidden/>
              </w:rPr>
            </w:r>
            <w:r w:rsidR="007D19D7">
              <w:rPr>
                <w:webHidden/>
              </w:rPr>
              <w:fldChar w:fldCharType="separate"/>
            </w:r>
            <w:r w:rsidR="007D19D7">
              <w:rPr>
                <w:webHidden/>
              </w:rPr>
              <w:t>89</w:t>
            </w:r>
            <w:r w:rsidR="007D19D7">
              <w:rPr>
                <w:webHidden/>
              </w:rPr>
              <w:fldChar w:fldCharType="end"/>
            </w:r>
          </w:hyperlink>
        </w:p>
        <w:p w14:paraId="1536768A" w14:textId="41EBB9E2" w:rsidR="007D19D7" w:rsidRDefault="005B3C73">
          <w:pPr>
            <w:pStyle w:val="TOC2"/>
            <w:rPr>
              <w:rFonts w:asciiTheme="minorHAnsi" w:eastAsiaTheme="minorEastAsia" w:hAnsiTheme="minorHAnsi" w:cstheme="minorBidi"/>
              <w:b w:val="0"/>
              <w:bCs w:val="0"/>
              <w:sz w:val="22"/>
              <w:szCs w:val="22"/>
            </w:rPr>
          </w:pPr>
          <w:hyperlink w:anchor="_Toc124762813" w:history="1">
            <w:r w:rsidR="007D19D7" w:rsidRPr="009D2176">
              <w:rPr>
                <w:rStyle w:val="Hyperlink"/>
              </w:rPr>
              <w:t>7.3</w:t>
            </w:r>
            <w:r w:rsidR="007D19D7">
              <w:rPr>
                <w:rFonts w:asciiTheme="minorHAnsi" w:eastAsiaTheme="minorEastAsia" w:hAnsiTheme="minorHAnsi" w:cstheme="minorBidi"/>
                <w:b w:val="0"/>
                <w:bCs w:val="0"/>
                <w:sz w:val="22"/>
                <w:szCs w:val="22"/>
              </w:rPr>
              <w:tab/>
            </w:r>
            <w:r w:rsidR="007D19D7" w:rsidRPr="009D2176">
              <w:rPr>
                <w:rStyle w:val="Hyperlink"/>
              </w:rPr>
              <w:t>SEIFA percentiles in ALSWH</w:t>
            </w:r>
            <w:r w:rsidR="007D19D7">
              <w:rPr>
                <w:webHidden/>
              </w:rPr>
              <w:tab/>
            </w:r>
            <w:r w:rsidR="007D19D7">
              <w:rPr>
                <w:webHidden/>
              </w:rPr>
              <w:fldChar w:fldCharType="begin"/>
            </w:r>
            <w:r w:rsidR="007D19D7">
              <w:rPr>
                <w:webHidden/>
              </w:rPr>
              <w:instrText xml:space="preserve"> PAGEREF _Toc124762813 \h </w:instrText>
            </w:r>
            <w:r w:rsidR="007D19D7">
              <w:rPr>
                <w:webHidden/>
              </w:rPr>
            </w:r>
            <w:r w:rsidR="007D19D7">
              <w:rPr>
                <w:webHidden/>
              </w:rPr>
              <w:fldChar w:fldCharType="separate"/>
            </w:r>
            <w:r w:rsidR="007D19D7">
              <w:rPr>
                <w:webHidden/>
              </w:rPr>
              <w:t>91</w:t>
            </w:r>
            <w:r w:rsidR="007D19D7">
              <w:rPr>
                <w:webHidden/>
              </w:rPr>
              <w:fldChar w:fldCharType="end"/>
            </w:r>
          </w:hyperlink>
        </w:p>
        <w:p w14:paraId="656E49B9" w14:textId="3C07FF32" w:rsidR="007D19D7" w:rsidRDefault="005B3C73">
          <w:pPr>
            <w:pStyle w:val="TOC3"/>
            <w:rPr>
              <w:rFonts w:asciiTheme="minorHAnsi" w:eastAsiaTheme="minorEastAsia" w:hAnsiTheme="minorHAnsi" w:cstheme="minorBidi"/>
              <w:b w:val="0"/>
              <w:bCs w:val="0"/>
              <w:sz w:val="22"/>
              <w:szCs w:val="22"/>
            </w:rPr>
          </w:pPr>
          <w:hyperlink w:anchor="_Toc124762814" w:history="1">
            <w:r w:rsidR="007D19D7" w:rsidRPr="009D2176">
              <w:rPr>
                <w:rStyle w:val="Hyperlink"/>
                <w:iCs/>
              </w:rPr>
              <w:t>7.3.1</w:t>
            </w:r>
            <w:r w:rsidR="007D19D7">
              <w:rPr>
                <w:rFonts w:asciiTheme="minorHAnsi" w:eastAsiaTheme="minorEastAsia" w:hAnsiTheme="minorHAnsi" w:cstheme="minorBidi"/>
                <w:b w:val="0"/>
                <w:bCs w:val="0"/>
                <w:sz w:val="22"/>
                <w:szCs w:val="22"/>
              </w:rPr>
              <w:tab/>
            </w:r>
            <w:r w:rsidR="007D19D7" w:rsidRPr="009D2176">
              <w:rPr>
                <w:rStyle w:val="Hyperlink"/>
              </w:rPr>
              <w:t>Introduction</w:t>
            </w:r>
            <w:r w:rsidR="007D19D7">
              <w:rPr>
                <w:webHidden/>
              </w:rPr>
              <w:tab/>
            </w:r>
            <w:r w:rsidR="007D19D7">
              <w:rPr>
                <w:webHidden/>
              </w:rPr>
              <w:fldChar w:fldCharType="begin"/>
            </w:r>
            <w:r w:rsidR="007D19D7">
              <w:rPr>
                <w:webHidden/>
              </w:rPr>
              <w:instrText xml:space="preserve"> PAGEREF _Toc124762814 \h </w:instrText>
            </w:r>
            <w:r w:rsidR="007D19D7">
              <w:rPr>
                <w:webHidden/>
              </w:rPr>
            </w:r>
            <w:r w:rsidR="007D19D7">
              <w:rPr>
                <w:webHidden/>
              </w:rPr>
              <w:fldChar w:fldCharType="separate"/>
            </w:r>
            <w:r w:rsidR="007D19D7">
              <w:rPr>
                <w:webHidden/>
              </w:rPr>
              <w:t>91</w:t>
            </w:r>
            <w:r w:rsidR="007D19D7">
              <w:rPr>
                <w:webHidden/>
              </w:rPr>
              <w:fldChar w:fldCharType="end"/>
            </w:r>
          </w:hyperlink>
        </w:p>
        <w:p w14:paraId="530F23E2" w14:textId="4108472A" w:rsidR="007D19D7" w:rsidRDefault="005B3C73">
          <w:pPr>
            <w:pStyle w:val="TOC3"/>
            <w:rPr>
              <w:rFonts w:asciiTheme="minorHAnsi" w:eastAsiaTheme="minorEastAsia" w:hAnsiTheme="minorHAnsi" w:cstheme="minorBidi"/>
              <w:b w:val="0"/>
              <w:bCs w:val="0"/>
              <w:sz w:val="22"/>
              <w:szCs w:val="22"/>
            </w:rPr>
          </w:pPr>
          <w:hyperlink w:anchor="_Toc124762815" w:history="1">
            <w:r w:rsidR="007D19D7" w:rsidRPr="009D2176">
              <w:rPr>
                <w:rStyle w:val="Hyperlink"/>
              </w:rPr>
              <w:t>7.3.2</w:t>
            </w:r>
            <w:r w:rsidR="007D19D7">
              <w:rPr>
                <w:rFonts w:asciiTheme="minorHAnsi" w:eastAsiaTheme="minorEastAsia" w:hAnsiTheme="minorHAnsi" w:cstheme="minorBidi"/>
                <w:b w:val="0"/>
                <w:bCs w:val="0"/>
                <w:sz w:val="22"/>
                <w:szCs w:val="22"/>
              </w:rPr>
              <w:tab/>
            </w:r>
            <w:r w:rsidR="007D19D7" w:rsidRPr="009D2176">
              <w:rPr>
                <w:rStyle w:val="Hyperlink"/>
              </w:rPr>
              <w:t>SEIFA in ALSWH</w:t>
            </w:r>
            <w:r w:rsidR="007D19D7">
              <w:rPr>
                <w:webHidden/>
              </w:rPr>
              <w:tab/>
            </w:r>
            <w:r w:rsidR="007D19D7">
              <w:rPr>
                <w:webHidden/>
              </w:rPr>
              <w:fldChar w:fldCharType="begin"/>
            </w:r>
            <w:r w:rsidR="007D19D7">
              <w:rPr>
                <w:webHidden/>
              </w:rPr>
              <w:instrText xml:space="preserve"> PAGEREF _Toc124762815 \h </w:instrText>
            </w:r>
            <w:r w:rsidR="007D19D7">
              <w:rPr>
                <w:webHidden/>
              </w:rPr>
            </w:r>
            <w:r w:rsidR="007D19D7">
              <w:rPr>
                <w:webHidden/>
              </w:rPr>
              <w:fldChar w:fldCharType="separate"/>
            </w:r>
            <w:r w:rsidR="007D19D7">
              <w:rPr>
                <w:webHidden/>
              </w:rPr>
              <w:t>91</w:t>
            </w:r>
            <w:r w:rsidR="007D19D7">
              <w:rPr>
                <w:webHidden/>
              </w:rPr>
              <w:fldChar w:fldCharType="end"/>
            </w:r>
          </w:hyperlink>
        </w:p>
        <w:p w14:paraId="06E0819A" w14:textId="6DFA9A6A" w:rsidR="007D19D7" w:rsidRDefault="005B3C73">
          <w:pPr>
            <w:pStyle w:val="TOC3"/>
            <w:rPr>
              <w:rFonts w:asciiTheme="minorHAnsi" w:eastAsiaTheme="minorEastAsia" w:hAnsiTheme="minorHAnsi" w:cstheme="minorBidi"/>
              <w:b w:val="0"/>
              <w:bCs w:val="0"/>
              <w:sz w:val="22"/>
              <w:szCs w:val="22"/>
            </w:rPr>
          </w:pPr>
          <w:hyperlink w:anchor="_Toc124762816" w:history="1">
            <w:r w:rsidR="007D19D7" w:rsidRPr="009D2176">
              <w:rPr>
                <w:rStyle w:val="Hyperlink"/>
                <w:rFonts w:cs="Times New Roman"/>
              </w:rPr>
              <w:t>7.3.3</w:t>
            </w:r>
            <w:r w:rsidR="007D19D7">
              <w:rPr>
                <w:rFonts w:asciiTheme="minorHAnsi" w:eastAsiaTheme="minorEastAsia" w:hAnsiTheme="minorHAnsi" w:cstheme="minorBidi"/>
                <w:b w:val="0"/>
                <w:bCs w:val="0"/>
                <w:sz w:val="22"/>
                <w:szCs w:val="22"/>
              </w:rPr>
              <w:tab/>
            </w:r>
            <w:r w:rsidR="007D19D7" w:rsidRPr="009D2176">
              <w:rPr>
                <w:rStyle w:val="Hyperlink"/>
              </w:rPr>
              <w:t>Quantiles replacing index values</w:t>
            </w:r>
            <w:r w:rsidR="007D19D7">
              <w:rPr>
                <w:webHidden/>
              </w:rPr>
              <w:tab/>
            </w:r>
            <w:r w:rsidR="007D19D7">
              <w:rPr>
                <w:webHidden/>
              </w:rPr>
              <w:fldChar w:fldCharType="begin"/>
            </w:r>
            <w:r w:rsidR="007D19D7">
              <w:rPr>
                <w:webHidden/>
              </w:rPr>
              <w:instrText xml:space="preserve"> PAGEREF _Toc124762816 \h </w:instrText>
            </w:r>
            <w:r w:rsidR="007D19D7">
              <w:rPr>
                <w:webHidden/>
              </w:rPr>
            </w:r>
            <w:r w:rsidR="007D19D7">
              <w:rPr>
                <w:webHidden/>
              </w:rPr>
              <w:fldChar w:fldCharType="separate"/>
            </w:r>
            <w:r w:rsidR="007D19D7">
              <w:rPr>
                <w:webHidden/>
              </w:rPr>
              <w:t>92</w:t>
            </w:r>
            <w:r w:rsidR="007D19D7">
              <w:rPr>
                <w:webHidden/>
              </w:rPr>
              <w:fldChar w:fldCharType="end"/>
            </w:r>
          </w:hyperlink>
        </w:p>
        <w:p w14:paraId="6DD8A505" w14:textId="0014ADF9" w:rsidR="007D19D7" w:rsidRDefault="005B3C73">
          <w:pPr>
            <w:pStyle w:val="TOC3"/>
            <w:rPr>
              <w:rFonts w:asciiTheme="minorHAnsi" w:eastAsiaTheme="minorEastAsia" w:hAnsiTheme="minorHAnsi" w:cstheme="minorBidi"/>
              <w:b w:val="0"/>
              <w:bCs w:val="0"/>
              <w:sz w:val="22"/>
              <w:szCs w:val="22"/>
            </w:rPr>
          </w:pPr>
          <w:hyperlink w:anchor="_Toc124762817" w:history="1">
            <w:r w:rsidR="007D19D7" w:rsidRPr="009D2176">
              <w:rPr>
                <w:rStyle w:val="Hyperlink"/>
                <w:rFonts w:cs="Times New Roman"/>
              </w:rPr>
              <w:t>7.3.4</w:t>
            </w:r>
            <w:r w:rsidR="007D19D7">
              <w:rPr>
                <w:rFonts w:asciiTheme="minorHAnsi" w:eastAsiaTheme="minorEastAsia" w:hAnsiTheme="minorHAnsi" w:cstheme="minorBidi"/>
                <w:b w:val="0"/>
                <w:bCs w:val="0"/>
                <w:sz w:val="22"/>
                <w:szCs w:val="22"/>
              </w:rPr>
              <w:tab/>
            </w:r>
            <w:r w:rsidR="007D19D7" w:rsidRPr="009D2176">
              <w:rPr>
                <w:rStyle w:val="Hyperlink"/>
              </w:rPr>
              <w:t>SEIFA Quantiles in the ALSWH data</w:t>
            </w:r>
            <w:r w:rsidR="007D19D7">
              <w:rPr>
                <w:webHidden/>
              </w:rPr>
              <w:tab/>
            </w:r>
            <w:r w:rsidR="007D19D7">
              <w:rPr>
                <w:webHidden/>
              </w:rPr>
              <w:fldChar w:fldCharType="begin"/>
            </w:r>
            <w:r w:rsidR="007D19D7">
              <w:rPr>
                <w:webHidden/>
              </w:rPr>
              <w:instrText xml:space="preserve"> PAGEREF _Toc124762817 \h </w:instrText>
            </w:r>
            <w:r w:rsidR="007D19D7">
              <w:rPr>
                <w:webHidden/>
              </w:rPr>
            </w:r>
            <w:r w:rsidR="007D19D7">
              <w:rPr>
                <w:webHidden/>
              </w:rPr>
              <w:fldChar w:fldCharType="separate"/>
            </w:r>
            <w:r w:rsidR="007D19D7">
              <w:rPr>
                <w:webHidden/>
              </w:rPr>
              <w:t>92</w:t>
            </w:r>
            <w:r w:rsidR="007D19D7">
              <w:rPr>
                <w:webHidden/>
              </w:rPr>
              <w:fldChar w:fldCharType="end"/>
            </w:r>
          </w:hyperlink>
        </w:p>
        <w:p w14:paraId="2B3F93E0" w14:textId="50F620A9" w:rsidR="007D19D7" w:rsidRDefault="005B3C73">
          <w:pPr>
            <w:pStyle w:val="TOC3"/>
            <w:rPr>
              <w:rFonts w:asciiTheme="minorHAnsi" w:eastAsiaTheme="minorEastAsia" w:hAnsiTheme="minorHAnsi" w:cstheme="minorBidi"/>
              <w:b w:val="0"/>
              <w:bCs w:val="0"/>
              <w:sz w:val="22"/>
              <w:szCs w:val="22"/>
            </w:rPr>
          </w:pPr>
          <w:hyperlink w:anchor="_Toc124762818" w:history="1">
            <w:r w:rsidR="007D19D7" w:rsidRPr="009D2176">
              <w:rPr>
                <w:rStyle w:val="Hyperlink"/>
              </w:rPr>
              <w:t>7.3.5</w:t>
            </w:r>
            <w:r w:rsidR="007D19D7">
              <w:rPr>
                <w:rFonts w:asciiTheme="minorHAnsi" w:eastAsiaTheme="minorEastAsia" w:hAnsiTheme="minorHAnsi" w:cstheme="minorBidi"/>
                <w:b w:val="0"/>
                <w:bCs w:val="0"/>
                <w:sz w:val="22"/>
                <w:szCs w:val="22"/>
              </w:rPr>
              <w:tab/>
            </w:r>
            <w:r w:rsidR="007D19D7" w:rsidRPr="009D2176">
              <w:rPr>
                <w:rStyle w:val="Hyperlink"/>
              </w:rPr>
              <w:t>References</w:t>
            </w:r>
            <w:r w:rsidR="007D19D7">
              <w:rPr>
                <w:webHidden/>
              </w:rPr>
              <w:tab/>
            </w:r>
            <w:r w:rsidR="007D19D7">
              <w:rPr>
                <w:webHidden/>
              </w:rPr>
              <w:fldChar w:fldCharType="begin"/>
            </w:r>
            <w:r w:rsidR="007D19D7">
              <w:rPr>
                <w:webHidden/>
              </w:rPr>
              <w:instrText xml:space="preserve"> PAGEREF _Toc124762818 \h </w:instrText>
            </w:r>
            <w:r w:rsidR="007D19D7">
              <w:rPr>
                <w:webHidden/>
              </w:rPr>
            </w:r>
            <w:r w:rsidR="007D19D7">
              <w:rPr>
                <w:webHidden/>
              </w:rPr>
              <w:fldChar w:fldCharType="separate"/>
            </w:r>
            <w:r w:rsidR="007D19D7">
              <w:rPr>
                <w:webHidden/>
              </w:rPr>
              <w:t>94</w:t>
            </w:r>
            <w:r w:rsidR="007D19D7">
              <w:rPr>
                <w:webHidden/>
              </w:rPr>
              <w:fldChar w:fldCharType="end"/>
            </w:r>
          </w:hyperlink>
        </w:p>
        <w:p w14:paraId="4118B0F2" w14:textId="48A3F26D" w:rsidR="007D19D7" w:rsidRDefault="005B3C73" w:rsidP="007D19D7">
          <w:pPr>
            <w:pStyle w:val="TOC1"/>
            <w:rPr>
              <w:rFonts w:asciiTheme="minorHAnsi" w:eastAsiaTheme="minorEastAsia" w:hAnsiTheme="minorHAnsi" w:cstheme="minorBidi"/>
              <w:sz w:val="22"/>
              <w:szCs w:val="22"/>
            </w:rPr>
          </w:pPr>
          <w:hyperlink w:anchor="_Toc124762819" w:history="1">
            <w:r w:rsidR="007D19D7" w:rsidRPr="009D2176">
              <w:rPr>
                <w:rStyle w:val="Hyperlink"/>
              </w:rPr>
              <w:t>8</w:t>
            </w:r>
            <w:r w:rsidR="007D19D7">
              <w:rPr>
                <w:rFonts w:asciiTheme="minorHAnsi" w:eastAsiaTheme="minorEastAsia" w:hAnsiTheme="minorHAnsi" w:cstheme="minorBidi"/>
                <w:sz w:val="22"/>
                <w:szCs w:val="22"/>
              </w:rPr>
              <w:tab/>
            </w:r>
            <w:r w:rsidR="007D19D7" w:rsidRPr="009D2176">
              <w:rPr>
                <w:rStyle w:val="Hyperlink"/>
              </w:rPr>
              <w:t>2021 Major Report</w:t>
            </w:r>
            <w:r w:rsidR="007D19D7">
              <w:rPr>
                <w:webHidden/>
              </w:rPr>
              <w:tab/>
            </w:r>
            <w:r w:rsidR="007D19D7">
              <w:rPr>
                <w:webHidden/>
              </w:rPr>
              <w:fldChar w:fldCharType="begin"/>
            </w:r>
            <w:r w:rsidR="007D19D7">
              <w:rPr>
                <w:webHidden/>
              </w:rPr>
              <w:instrText xml:space="preserve"> PAGEREF _Toc124762819 \h </w:instrText>
            </w:r>
            <w:r w:rsidR="007D19D7">
              <w:rPr>
                <w:webHidden/>
              </w:rPr>
            </w:r>
            <w:r w:rsidR="007D19D7">
              <w:rPr>
                <w:webHidden/>
              </w:rPr>
              <w:fldChar w:fldCharType="separate"/>
            </w:r>
            <w:r w:rsidR="007D19D7">
              <w:rPr>
                <w:webHidden/>
              </w:rPr>
              <w:t>95</w:t>
            </w:r>
            <w:r w:rsidR="007D19D7">
              <w:rPr>
                <w:webHidden/>
              </w:rPr>
              <w:fldChar w:fldCharType="end"/>
            </w:r>
          </w:hyperlink>
        </w:p>
        <w:p w14:paraId="6B491312" w14:textId="6B92FE28" w:rsidR="007D19D7" w:rsidRDefault="005B3C73">
          <w:pPr>
            <w:pStyle w:val="TOC2"/>
            <w:rPr>
              <w:rFonts w:asciiTheme="minorHAnsi" w:eastAsiaTheme="minorEastAsia" w:hAnsiTheme="minorHAnsi" w:cstheme="minorBidi"/>
              <w:b w:val="0"/>
              <w:bCs w:val="0"/>
              <w:sz w:val="22"/>
              <w:szCs w:val="22"/>
            </w:rPr>
          </w:pPr>
          <w:hyperlink w:anchor="_Toc124762820" w:history="1">
            <w:r w:rsidR="007D19D7" w:rsidRPr="009D2176">
              <w:rPr>
                <w:rStyle w:val="Hyperlink"/>
              </w:rPr>
              <w:t>8.1</w:t>
            </w:r>
            <w:r w:rsidR="007D19D7">
              <w:rPr>
                <w:rFonts w:asciiTheme="minorHAnsi" w:eastAsiaTheme="minorEastAsia" w:hAnsiTheme="minorHAnsi" w:cstheme="minorBidi"/>
                <w:b w:val="0"/>
                <w:bCs w:val="0"/>
                <w:sz w:val="22"/>
                <w:szCs w:val="22"/>
              </w:rPr>
              <w:tab/>
            </w:r>
            <w:r w:rsidR="007D19D7" w:rsidRPr="009D2176">
              <w:rPr>
                <w:rStyle w:val="Hyperlink"/>
              </w:rPr>
              <w:t>Overview of the four ALSWH cohorts across the life course</w:t>
            </w:r>
            <w:r w:rsidR="007D19D7">
              <w:rPr>
                <w:webHidden/>
              </w:rPr>
              <w:tab/>
            </w:r>
            <w:r w:rsidR="007D19D7">
              <w:rPr>
                <w:webHidden/>
              </w:rPr>
              <w:fldChar w:fldCharType="begin"/>
            </w:r>
            <w:r w:rsidR="007D19D7">
              <w:rPr>
                <w:webHidden/>
              </w:rPr>
              <w:instrText xml:space="preserve"> PAGEREF _Toc124762820 \h </w:instrText>
            </w:r>
            <w:r w:rsidR="007D19D7">
              <w:rPr>
                <w:webHidden/>
              </w:rPr>
            </w:r>
            <w:r w:rsidR="007D19D7">
              <w:rPr>
                <w:webHidden/>
              </w:rPr>
              <w:fldChar w:fldCharType="separate"/>
            </w:r>
            <w:r w:rsidR="007D19D7">
              <w:rPr>
                <w:webHidden/>
              </w:rPr>
              <w:t>95</w:t>
            </w:r>
            <w:r w:rsidR="007D19D7">
              <w:rPr>
                <w:webHidden/>
              </w:rPr>
              <w:fldChar w:fldCharType="end"/>
            </w:r>
          </w:hyperlink>
        </w:p>
        <w:p w14:paraId="6D6D8D9A" w14:textId="3EFAE5E8" w:rsidR="007D19D7" w:rsidRDefault="005B3C73">
          <w:pPr>
            <w:pStyle w:val="TOC2"/>
            <w:rPr>
              <w:rFonts w:asciiTheme="minorHAnsi" w:eastAsiaTheme="minorEastAsia" w:hAnsiTheme="minorHAnsi" w:cstheme="minorBidi"/>
              <w:b w:val="0"/>
              <w:bCs w:val="0"/>
              <w:sz w:val="22"/>
              <w:szCs w:val="22"/>
            </w:rPr>
          </w:pPr>
          <w:hyperlink w:anchor="_Toc124762821" w:history="1">
            <w:r w:rsidR="007D19D7" w:rsidRPr="009D2176">
              <w:rPr>
                <w:rStyle w:val="Hyperlink"/>
              </w:rPr>
              <w:t>8.2</w:t>
            </w:r>
            <w:r w:rsidR="007D19D7">
              <w:rPr>
                <w:rFonts w:asciiTheme="minorHAnsi" w:eastAsiaTheme="minorEastAsia" w:hAnsiTheme="minorHAnsi" w:cstheme="minorBidi"/>
                <w:b w:val="0"/>
                <w:bCs w:val="0"/>
                <w:sz w:val="22"/>
                <w:szCs w:val="22"/>
              </w:rPr>
              <w:tab/>
            </w:r>
            <w:r w:rsidR="007D19D7" w:rsidRPr="009D2176">
              <w:rPr>
                <w:rStyle w:val="Hyperlink"/>
              </w:rPr>
              <w:t>Then and now: Comparing two generations of women during midlife</w:t>
            </w:r>
            <w:r w:rsidR="007D19D7">
              <w:rPr>
                <w:webHidden/>
              </w:rPr>
              <w:tab/>
            </w:r>
            <w:r w:rsidR="007D19D7">
              <w:rPr>
                <w:webHidden/>
              </w:rPr>
              <w:fldChar w:fldCharType="begin"/>
            </w:r>
            <w:r w:rsidR="007D19D7">
              <w:rPr>
                <w:webHidden/>
              </w:rPr>
              <w:instrText xml:space="preserve"> PAGEREF _Toc124762821 \h </w:instrText>
            </w:r>
            <w:r w:rsidR="007D19D7">
              <w:rPr>
                <w:webHidden/>
              </w:rPr>
            </w:r>
            <w:r w:rsidR="007D19D7">
              <w:rPr>
                <w:webHidden/>
              </w:rPr>
              <w:fldChar w:fldCharType="separate"/>
            </w:r>
            <w:r w:rsidR="007D19D7">
              <w:rPr>
                <w:webHidden/>
              </w:rPr>
              <w:t>95</w:t>
            </w:r>
            <w:r w:rsidR="007D19D7">
              <w:rPr>
                <w:webHidden/>
              </w:rPr>
              <w:fldChar w:fldCharType="end"/>
            </w:r>
          </w:hyperlink>
        </w:p>
        <w:p w14:paraId="1EDE34B9" w14:textId="14A7637F" w:rsidR="007D19D7" w:rsidRDefault="005B3C73">
          <w:pPr>
            <w:pStyle w:val="TOC2"/>
            <w:rPr>
              <w:rFonts w:asciiTheme="minorHAnsi" w:eastAsiaTheme="minorEastAsia" w:hAnsiTheme="minorHAnsi" w:cstheme="minorBidi"/>
              <w:b w:val="0"/>
              <w:bCs w:val="0"/>
              <w:sz w:val="22"/>
              <w:szCs w:val="22"/>
            </w:rPr>
          </w:pPr>
          <w:hyperlink w:anchor="_Toc124762822" w:history="1">
            <w:r w:rsidR="007D19D7" w:rsidRPr="009D2176">
              <w:rPr>
                <w:rStyle w:val="Hyperlink"/>
              </w:rPr>
              <w:t>8.3</w:t>
            </w:r>
            <w:r w:rsidR="007D19D7">
              <w:rPr>
                <w:rFonts w:asciiTheme="minorHAnsi" w:eastAsiaTheme="minorEastAsia" w:hAnsiTheme="minorHAnsi" w:cstheme="minorBidi"/>
                <w:b w:val="0"/>
                <w:bCs w:val="0"/>
                <w:sz w:val="22"/>
                <w:szCs w:val="22"/>
              </w:rPr>
              <w:tab/>
            </w:r>
            <w:r w:rsidR="007D19D7" w:rsidRPr="009D2176">
              <w:rPr>
                <w:rStyle w:val="Hyperlink"/>
              </w:rPr>
              <w:t>Social and personal circumstances</w:t>
            </w:r>
            <w:r w:rsidR="007D19D7">
              <w:rPr>
                <w:webHidden/>
              </w:rPr>
              <w:tab/>
            </w:r>
            <w:r w:rsidR="007D19D7">
              <w:rPr>
                <w:webHidden/>
              </w:rPr>
              <w:fldChar w:fldCharType="begin"/>
            </w:r>
            <w:r w:rsidR="007D19D7">
              <w:rPr>
                <w:webHidden/>
              </w:rPr>
              <w:instrText xml:space="preserve"> PAGEREF _Toc124762822 \h </w:instrText>
            </w:r>
            <w:r w:rsidR="007D19D7">
              <w:rPr>
                <w:webHidden/>
              </w:rPr>
            </w:r>
            <w:r w:rsidR="007D19D7">
              <w:rPr>
                <w:webHidden/>
              </w:rPr>
              <w:fldChar w:fldCharType="separate"/>
            </w:r>
            <w:r w:rsidR="007D19D7">
              <w:rPr>
                <w:webHidden/>
              </w:rPr>
              <w:t>96</w:t>
            </w:r>
            <w:r w:rsidR="007D19D7">
              <w:rPr>
                <w:webHidden/>
              </w:rPr>
              <w:fldChar w:fldCharType="end"/>
            </w:r>
          </w:hyperlink>
        </w:p>
        <w:p w14:paraId="4D9966B6" w14:textId="56BFA260" w:rsidR="007D19D7" w:rsidRDefault="005B3C73">
          <w:pPr>
            <w:pStyle w:val="TOC2"/>
            <w:rPr>
              <w:rFonts w:asciiTheme="minorHAnsi" w:eastAsiaTheme="minorEastAsia" w:hAnsiTheme="minorHAnsi" w:cstheme="minorBidi"/>
              <w:b w:val="0"/>
              <w:bCs w:val="0"/>
              <w:sz w:val="22"/>
              <w:szCs w:val="22"/>
            </w:rPr>
          </w:pPr>
          <w:hyperlink w:anchor="_Toc124762823" w:history="1">
            <w:r w:rsidR="007D19D7" w:rsidRPr="009D2176">
              <w:rPr>
                <w:rStyle w:val="Hyperlink"/>
              </w:rPr>
              <w:t>8.4</w:t>
            </w:r>
            <w:r w:rsidR="007D19D7">
              <w:rPr>
                <w:rFonts w:asciiTheme="minorHAnsi" w:eastAsiaTheme="minorEastAsia" w:hAnsiTheme="minorHAnsi" w:cstheme="minorBidi"/>
                <w:b w:val="0"/>
                <w:bCs w:val="0"/>
                <w:sz w:val="22"/>
                <w:szCs w:val="22"/>
              </w:rPr>
              <w:tab/>
            </w:r>
            <w:r w:rsidR="007D19D7" w:rsidRPr="009D2176">
              <w:rPr>
                <w:rStyle w:val="Hyperlink"/>
              </w:rPr>
              <w:t>Abuse and violence in midlife</w:t>
            </w:r>
            <w:r w:rsidR="007D19D7">
              <w:rPr>
                <w:webHidden/>
              </w:rPr>
              <w:tab/>
            </w:r>
            <w:r w:rsidR="007D19D7">
              <w:rPr>
                <w:webHidden/>
              </w:rPr>
              <w:fldChar w:fldCharType="begin"/>
            </w:r>
            <w:r w:rsidR="007D19D7">
              <w:rPr>
                <w:webHidden/>
              </w:rPr>
              <w:instrText xml:space="preserve"> PAGEREF _Toc124762823 \h </w:instrText>
            </w:r>
            <w:r w:rsidR="007D19D7">
              <w:rPr>
                <w:webHidden/>
              </w:rPr>
            </w:r>
            <w:r w:rsidR="007D19D7">
              <w:rPr>
                <w:webHidden/>
              </w:rPr>
              <w:fldChar w:fldCharType="separate"/>
            </w:r>
            <w:r w:rsidR="007D19D7">
              <w:rPr>
                <w:webHidden/>
              </w:rPr>
              <w:t>97</w:t>
            </w:r>
            <w:r w:rsidR="007D19D7">
              <w:rPr>
                <w:webHidden/>
              </w:rPr>
              <w:fldChar w:fldCharType="end"/>
            </w:r>
          </w:hyperlink>
        </w:p>
        <w:p w14:paraId="1106353A" w14:textId="74C8B35B" w:rsidR="007D19D7" w:rsidRDefault="005B3C73">
          <w:pPr>
            <w:pStyle w:val="TOC2"/>
            <w:rPr>
              <w:rFonts w:asciiTheme="minorHAnsi" w:eastAsiaTheme="minorEastAsia" w:hAnsiTheme="minorHAnsi" w:cstheme="minorBidi"/>
              <w:b w:val="0"/>
              <w:bCs w:val="0"/>
              <w:sz w:val="22"/>
              <w:szCs w:val="22"/>
            </w:rPr>
          </w:pPr>
          <w:hyperlink w:anchor="_Toc124762824" w:history="1">
            <w:r w:rsidR="007D19D7" w:rsidRPr="009D2176">
              <w:rPr>
                <w:rStyle w:val="Hyperlink"/>
              </w:rPr>
              <w:t>8.5</w:t>
            </w:r>
            <w:r w:rsidR="007D19D7">
              <w:rPr>
                <w:rFonts w:asciiTheme="minorHAnsi" w:eastAsiaTheme="minorEastAsia" w:hAnsiTheme="minorHAnsi" w:cstheme="minorBidi"/>
                <w:b w:val="0"/>
                <w:bCs w:val="0"/>
                <w:sz w:val="22"/>
                <w:szCs w:val="22"/>
              </w:rPr>
              <w:tab/>
            </w:r>
            <w:r w:rsidR="007D19D7" w:rsidRPr="009D2176">
              <w:rPr>
                <w:rStyle w:val="Hyperlink"/>
              </w:rPr>
              <w:t>Then and now: Comparing two generations of women in their early 70s</w:t>
            </w:r>
            <w:r w:rsidR="007D19D7">
              <w:rPr>
                <w:webHidden/>
              </w:rPr>
              <w:tab/>
            </w:r>
            <w:r w:rsidR="007D19D7">
              <w:rPr>
                <w:webHidden/>
              </w:rPr>
              <w:fldChar w:fldCharType="begin"/>
            </w:r>
            <w:r w:rsidR="007D19D7">
              <w:rPr>
                <w:webHidden/>
              </w:rPr>
              <w:instrText xml:space="preserve"> PAGEREF _Toc124762824 \h </w:instrText>
            </w:r>
            <w:r w:rsidR="007D19D7">
              <w:rPr>
                <w:webHidden/>
              </w:rPr>
            </w:r>
            <w:r w:rsidR="007D19D7">
              <w:rPr>
                <w:webHidden/>
              </w:rPr>
              <w:fldChar w:fldCharType="separate"/>
            </w:r>
            <w:r w:rsidR="007D19D7">
              <w:rPr>
                <w:webHidden/>
              </w:rPr>
              <w:t>97</w:t>
            </w:r>
            <w:r w:rsidR="007D19D7">
              <w:rPr>
                <w:webHidden/>
              </w:rPr>
              <w:fldChar w:fldCharType="end"/>
            </w:r>
          </w:hyperlink>
        </w:p>
        <w:p w14:paraId="3634B522" w14:textId="50DFF309" w:rsidR="007D19D7" w:rsidRDefault="005B3C73">
          <w:pPr>
            <w:pStyle w:val="TOC2"/>
            <w:rPr>
              <w:rFonts w:asciiTheme="minorHAnsi" w:eastAsiaTheme="minorEastAsia" w:hAnsiTheme="minorHAnsi" w:cstheme="minorBidi"/>
              <w:b w:val="0"/>
              <w:bCs w:val="0"/>
              <w:sz w:val="22"/>
              <w:szCs w:val="22"/>
            </w:rPr>
          </w:pPr>
          <w:hyperlink w:anchor="_Toc124762825" w:history="1">
            <w:r w:rsidR="007D19D7" w:rsidRPr="009D2176">
              <w:rPr>
                <w:rStyle w:val="Hyperlink"/>
              </w:rPr>
              <w:t>8.6</w:t>
            </w:r>
            <w:r w:rsidR="007D19D7">
              <w:rPr>
                <w:rFonts w:asciiTheme="minorHAnsi" w:eastAsiaTheme="minorEastAsia" w:hAnsiTheme="minorHAnsi" w:cstheme="minorBidi"/>
                <w:b w:val="0"/>
                <w:bCs w:val="0"/>
                <w:sz w:val="22"/>
                <w:szCs w:val="22"/>
              </w:rPr>
              <w:tab/>
            </w:r>
            <w:r w:rsidR="007D19D7" w:rsidRPr="009D2176">
              <w:rPr>
                <w:rStyle w:val="Hyperlink"/>
              </w:rPr>
              <w:t>Women’s attitudes to ageing and their outlook for the future</w:t>
            </w:r>
            <w:r w:rsidR="007D19D7">
              <w:rPr>
                <w:webHidden/>
              </w:rPr>
              <w:tab/>
            </w:r>
            <w:r w:rsidR="007D19D7">
              <w:rPr>
                <w:webHidden/>
              </w:rPr>
              <w:fldChar w:fldCharType="begin"/>
            </w:r>
            <w:r w:rsidR="007D19D7">
              <w:rPr>
                <w:webHidden/>
              </w:rPr>
              <w:instrText xml:space="preserve"> PAGEREF _Toc124762825 \h </w:instrText>
            </w:r>
            <w:r w:rsidR="007D19D7">
              <w:rPr>
                <w:webHidden/>
              </w:rPr>
            </w:r>
            <w:r w:rsidR="007D19D7">
              <w:rPr>
                <w:webHidden/>
              </w:rPr>
              <w:fldChar w:fldCharType="separate"/>
            </w:r>
            <w:r w:rsidR="007D19D7">
              <w:rPr>
                <w:webHidden/>
              </w:rPr>
              <w:t>98</w:t>
            </w:r>
            <w:r w:rsidR="007D19D7">
              <w:rPr>
                <w:webHidden/>
              </w:rPr>
              <w:fldChar w:fldCharType="end"/>
            </w:r>
          </w:hyperlink>
        </w:p>
        <w:p w14:paraId="1F15A2A2" w14:textId="31528FF4" w:rsidR="007D19D7" w:rsidRDefault="005B3C73">
          <w:pPr>
            <w:pStyle w:val="TOC2"/>
            <w:rPr>
              <w:rFonts w:asciiTheme="minorHAnsi" w:eastAsiaTheme="minorEastAsia" w:hAnsiTheme="minorHAnsi" w:cstheme="minorBidi"/>
              <w:b w:val="0"/>
              <w:bCs w:val="0"/>
              <w:sz w:val="22"/>
              <w:szCs w:val="22"/>
            </w:rPr>
          </w:pPr>
          <w:hyperlink w:anchor="_Toc124762826" w:history="1">
            <w:r w:rsidR="007D19D7" w:rsidRPr="009D2176">
              <w:rPr>
                <w:rStyle w:val="Hyperlink"/>
              </w:rPr>
              <w:t>8.7</w:t>
            </w:r>
            <w:r w:rsidR="007D19D7">
              <w:rPr>
                <w:rFonts w:asciiTheme="minorHAnsi" w:eastAsiaTheme="minorEastAsia" w:hAnsiTheme="minorHAnsi" w:cstheme="minorBidi"/>
                <w:b w:val="0"/>
                <w:bCs w:val="0"/>
                <w:sz w:val="22"/>
                <w:szCs w:val="22"/>
              </w:rPr>
              <w:tab/>
            </w:r>
            <w:r w:rsidR="007D19D7" w:rsidRPr="009D2176">
              <w:rPr>
                <w:rStyle w:val="Hyperlink"/>
              </w:rPr>
              <w:t>Implications and recommendations</w:t>
            </w:r>
            <w:r w:rsidR="007D19D7">
              <w:rPr>
                <w:webHidden/>
              </w:rPr>
              <w:tab/>
            </w:r>
            <w:r w:rsidR="007D19D7">
              <w:rPr>
                <w:webHidden/>
              </w:rPr>
              <w:fldChar w:fldCharType="begin"/>
            </w:r>
            <w:r w:rsidR="007D19D7">
              <w:rPr>
                <w:webHidden/>
              </w:rPr>
              <w:instrText xml:space="preserve"> PAGEREF _Toc124762826 \h </w:instrText>
            </w:r>
            <w:r w:rsidR="007D19D7">
              <w:rPr>
                <w:webHidden/>
              </w:rPr>
            </w:r>
            <w:r w:rsidR="007D19D7">
              <w:rPr>
                <w:webHidden/>
              </w:rPr>
              <w:fldChar w:fldCharType="separate"/>
            </w:r>
            <w:r w:rsidR="007D19D7">
              <w:rPr>
                <w:webHidden/>
              </w:rPr>
              <w:t>98</w:t>
            </w:r>
            <w:r w:rsidR="007D19D7">
              <w:rPr>
                <w:webHidden/>
              </w:rPr>
              <w:fldChar w:fldCharType="end"/>
            </w:r>
          </w:hyperlink>
        </w:p>
        <w:p w14:paraId="1C0CED0E" w14:textId="2D68498F" w:rsidR="007D19D7" w:rsidRDefault="005B3C73" w:rsidP="007D19D7">
          <w:pPr>
            <w:pStyle w:val="TOC1"/>
            <w:rPr>
              <w:rFonts w:asciiTheme="minorHAnsi" w:eastAsiaTheme="minorEastAsia" w:hAnsiTheme="minorHAnsi" w:cstheme="minorBidi"/>
              <w:sz w:val="22"/>
              <w:szCs w:val="22"/>
            </w:rPr>
          </w:pPr>
          <w:hyperlink w:anchor="_Toc124762827" w:history="1">
            <w:r w:rsidR="007D19D7" w:rsidRPr="009D2176">
              <w:rPr>
                <w:rStyle w:val="Hyperlink"/>
                <w:rFonts w:cs="Arial"/>
              </w:rPr>
              <w:t>9</w:t>
            </w:r>
            <w:r w:rsidR="007D19D7">
              <w:rPr>
                <w:rFonts w:asciiTheme="minorHAnsi" w:eastAsiaTheme="minorEastAsia" w:hAnsiTheme="minorHAnsi" w:cstheme="minorBidi"/>
                <w:sz w:val="22"/>
                <w:szCs w:val="22"/>
              </w:rPr>
              <w:tab/>
            </w:r>
            <w:r w:rsidR="007D19D7" w:rsidRPr="009D2176">
              <w:rPr>
                <w:rStyle w:val="Hyperlink"/>
                <w:rFonts w:cs="Arial"/>
              </w:rPr>
              <w:t>DISSEMINATION OF STUDY FINDINGS</w:t>
            </w:r>
            <w:r w:rsidR="007D19D7">
              <w:rPr>
                <w:webHidden/>
              </w:rPr>
              <w:tab/>
            </w:r>
            <w:r w:rsidR="007D19D7">
              <w:rPr>
                <w:webHidden/>
              </w:rPr>
              <w:fldChar w:fldCharType="begin"/>
            </w:r>
            <w:r w:rsidR="007D19D7">
              <w:rPr>
                <w:webHidden/>
              </w:rPr>
              <w:instrText xml:space="preserve"> PAGEREF _Toc124762827 \h </w:instrText>
            </w:r>
            <w:r w:rsidR="007D19D7">
              <w:rPr>
                <w:webHidden/>
              </w:rPr>
            </w:r>
            <w:r w:rsidR="007D19D7">
              <w:rPr>
                <w:webHidden/>
              </w:rPr>
              <w:fldChar w:fldCharType="separate"/>
            </w:r>
            <w:r w:rsidR="007D19D7">
              <w:rPr>
                <w:webHidden/>
              </w:rPr>
              <w:t>100</w:t>
            </w:r>
            <w:r w:rsidR="007D19D7">
              <w:rPr>
                <w:webHidden/>
              </w:rPr>
              <w:fldChar w:fldCharType="end"/>
            </w:r>
          </w:hyperlink>
        </w:p>
        <w:p w14:paraId="36EF0183" w14:textId="276B2484" w:rsidR="007D19D7" w:rsidRDefault="005B3C73">
          <w:pPr>
            <w:pStyle w:val="TOC2"/>
            <w:rPr>
              <w:rFonts w:asciiTheme="minorHAnsi" w:eastAsiaTheme="minorEastAsia" w:hAnsiTheme="minorHAnsi" w:cstheme="minorBidi"/>
              <w:b w:val="0"/>
              <w:bCs w:val="0"/>
              <w:sz w:val="22"/>
              <w:szCs w:val="22"/>
            </w:rPr>
          </w:pPr>
          <w:hyperlink w:anchor="_Toc124762828" w:history="1">
            <w:r w:rsidR="007D19D7" w:rsidRPr="009D2176">
              <w:rPr>
                <w:rStyle w:val="Hyperlink"/>
              </w:rPr>
              <w:t>9.1</w:t>
            </w:r>
            <w:r w:rsidR="007D19D7">
              <w:rPr>
                <w:rFonts w:asciiTheme="minorHAnsi" w:eastAsiaTheme="minorEastAsia" w:hAnsiTheme="minorHAnsi" w:cstheme="minorBidi"/>
                <w:b w:val="0"/>
                <w:bCs w:val="0"/>
                <w:sz w:val="22"/>
                <w:szCs w:val="22"/>
              </w:rPr>
              <w:tab/>
            </w:r>
            <w:r w:rsidR="007D19D7" w:rsidRPr="009D2176">
              <w:rPr>
                <w:rStyle w:val="Hyperlink"/>
              </w:rPr>
              <w:t>Publications</w:t>
            </w:r>
            <w:r w:rsidR="007D19D7">
              <w:rPr>
                <w:webHidden/>
              </w:rPr>
              <w:tab/>
            </w:r>
            <w:r w:rsidR="007D19D7">
              <w:rPr>
                <w:webHidden/>
              </w:rPr>
              <w:fldChar w:fldCharType="begin"/>
            </w:r>
            <w:r w:rsidR="007D19D7">
              <w:rPr>
                <w:webHidden/>
              </w:rPr>
              <w:instrText xml:space="preserve"> PAGEREF _Toc124762828 \h </w:instrText>
            </w:r>
            <w:r w:rsidR="007D19D7">
              <w:rPr>
                <w:webHidden/>
              </w:rPr>
            </w:r>
            <w:r w:rsidR="007D19D7">
              <w:rPr>
                <w:webHidden/>
              </w:rPr>
              <w:fldChar w:fldCharType="separate"/>
            </w:r>
            <w:r w:rsidR="007D19D7">
              <w:rPr>
                <w:webHidden/>
              </w:rPr>
              <w:t>100</w:t>
            </w:r>
            <w:r w:rsidR="007D19D7">
              <w:rPr>
                <w:webHidden/>
              </w:rPr>
              <w:fldChar w:fldCharType="end"/>
            </w:r>
          </w:hyperlink>
        </w:p>
        <w:p w14:paraId="0A19C6C0" w14:textId="33B0C02C" w:rsidR="007D19D7" w:rsidRDefault="005B3C73">
          <w:pPr>
            <w:pStyle w:val="TOC2"/>
            <w:rPr>
              <w:rFonts w:asciiTheme="minorHAnsi" w:eastAsiaTheme="minorEastAsia" w:hAnsiTheme="minorHAnsi" w:cstheme="minorBidi"/>
              <w:b w:val="0"/>
              <w:bCs w:val="0"/>
              <w:sz w:val="22"/>
              <w:szCs w:val="22"/>
            </w:rPr>
          </w:pPr>
          <w:hyperlink w:anchor="_Toc124762829" w:history="1">
            <w:r w:rsidR="007D19D7" w:rsidRPr="009D2176">
              <w:rPr>
                <w:rStyle w:val="Hyperlink"/>
              </w:rPr>
              <w:t>9.2</w:t>
            </w:r>
            <w:r w:rsidR="007D19D7">
              <w:rPr>
                <w:rFonts w:asciiTheme="minorHAnsi" w:eastAsiaTheme="minorEastAsia" w:hAnsiTheme="minorHAnsi" w:cstheme="minorBidi"/>
                <w:b w:val="0"/>
                <w:bCs w:val="0"/>
                <w:sz w:val="22"/>
                <w:szCs w:val="22"/>
              </w:rPr>
              <w:tab/>
            </w:r>
            <w:r w:rsidR="007D19D7" w:rsidRPr="009D2176">
              <w:rPr>
                <w:rStyle w:val="Hyperlink"/>
              </w:rPr>
              <w:t>Conference Presentations</w:t>
            </w:r>
            <w:r w:rsidR="007D19D7">
              <w:rPr>
                <w:webHidden/>
              </w:rPr>
              <w:tab/>
            </w:r>
            <w:r w:rsidR="007D19D7">
              <w:rPr>
                <w:webHidden/>
              </w:rPr>
              <w:fldChar w:fldCharType="begin"/>
            </w:r>
            <w:r w:rsidR="007D19D7">
              <w:rPr>
                <w:webHidden/>
              </w:rPr>
              <w:instrText xml:space="preserve"> PAGEREF _Toc124762829 \h </w:instrText>
            </w:r>
            <w:r w:rsidR="007D19D7">
              <w:rPr>
                <w:webHidden/>
              </w:rPr>
            </w:r>
            <w:r w:rsidR="007D19D7">
              <w:rPr>
                <w:webHidden/>
              </w:rPr>
              <w:fldChar w:fldCharType="separate"/>
            </w:r>
            <w:r w:rsidR="007D19D7">
              <w:rPr>
                <w:webHidden/>
              </w:rPr>
              <w:t>111</w:t>
            </w:r>
            <w:r w:rsidR="007D19D7">
              <w:rPr>
                <w:webHidden/>
              </w:rPr>
              <w:fldChar w:fldCharType="end"/>
            </w:r>
          </w:hyperlink>
        </w:p>
        <w:p w14:paraId="19EA6428" w14:textId="27AE9BA5" w:rsidR="007D19D7" w:rsidRDefault="005B3C73">
          <w:pPr>
            <w:pStyle w:val="TOC2"/>
            <w:rPr>
              <w:rFonts w:asciiTheme="minorHAnsi" w:eastAsiaTheme="minorEastAsia" w:hAnsiTheme="minorHAnsi" w:cstheme="minorBidi"/>
              <w:b w:val="0"/>
              <w:bCs w:val="0"/>
              <w:sz w:val="22"/>
              <w:szCs w:val="22"/>
            </w:rPr>
          </w:pPr>
          <w:hyperlink w:anchor="_Toc124762830" w:history="1">
            <w:r w:rsidR="007D19D7" w:rsidRPr="009D2176">
              <w:rPr>
                <w:rStyle w:val="Hyperlink"/>
              </w:rPr>
              <w:t>9.3</w:t>
            </w:r>
            <w:r w:rsidR="007D19D7">
              <w:rPr>
                <w:rFonts w:asciiTheme="minorHAnsi" w:eastAsiaTheme="minorEastAsia" w:hAnsiTheme="minorHAnsi" w:cstheme="minorBidi"/>
                <w:b w:val="0"/>
                <w:bCs w:val="0"/>
                <w:sz w:val="22"/>
                <w:szCs w:val="22"/>
              </w:rPr>
              <w:tab/>
            </w:r>
            <w:r w:rsidR="007D19D7" w:rsidRPr="009D2176">
              <w:rPr>
                <w:rStyle w:val="Hyperlink"/>
              </w:rPr>
              <w:t>Media</w:t>
            </w:r>
            <w:r w:rsidR="007D19D7">
              <w:rPr>
                <w:webHidden/>
              </w:rPr>
              <w:tab/>
            </w:r>
            <w:r w:rsidR="007D19D7">
              <w:rPr>
                <w:webHidden/>
              </w:rPr>
              <w:fldChar w:fldCharType="begin"/>
            </w:r>
            <w:r w:rsidR="007D19D7">
              <w:rPr>
                <w:webHidden/>
              </w:rPr>
              <w:instrText xml:space="preserve"> PAGEREF _Toc124762830 \h </w:instrText>
            </w:r>
            <w:r w:rsidR="007D19D7">
              <w:rPr>
                <w:webHidden/>
              </w:rPr>
            </w:r>
            <w:r w:rsidR="007D19D7">
              <w:rPr>
                <w:webHidden/>
              </w:rPr>
              <w:fldChar w:fldCharType="separate"/>
            </w:r>
            <w:r w:rsidR="007D19D7">
              <w:rPr>
                <w:webHidden/>
              </w:rPr>
              <w:t>113</w:t>
            </w:r>
            <w:r w:rsidR="007D19D7">
              <w:rPr>
                <w:webHidden/>
              </w:rPr>
              <w:fldChar w:fldCharType="end"/>
            </w:r>
          </w:hyperlink>
        </w:p>
        <w:p w14:paraId="5011130B" w14:textId="3ED11F5C" w:rsidR="007D19D7" w:rsidRDefault="005B3C73">
          <w:pPr>
            <w:pStyle w:val="TOC2"/>
            <w:rPr>
              <w:rFonts w:asciiTheme="minorHAnsi" w:eastAsiaTheme="minorEastAsia" w:hAnsiTheme="minorHAnsi" w:cstheme="minorBidi"/>
              <w:b w:val="0"/>
              <w:bCs w:val="0"/>
              <w:sz w:val="22"/>
              <w:szCs w:val="22"/>
            </w:rPr>
          </w:pPr>
          <w:hyperlink w:anchor="_Toc124762831" w:history="1">
            <w:r w:rsidR="007D19D7" w:rsidRPr="009D2176">
              <w:rPr>
                <w:rStyle w:val="Hyperlink"/>
              </w:rPr>
              <w:t>9.4</w:t>
            </w:r>
            <w:r w:rsidR="007D19D7">
              <w:rPr>
                <w:rFonts w:asciiTheme="minorHAnsi" w:eastAsiaTheme="minorEastAsia" w:hAnsiTheme="minorHAnsi" w:cstheme="minorBidi"/>
                <w:b w:val="0"/>
                <w:bCs w:val="0"/>
                <w:sz w:val="22"/>
                <w:szCs w:val="22"/>
              </w:rPr>
              <w:tab/>
            </w:r>
            <w:r w:rsidR="007D19D7" w:rsidRPr="009D2176">
              <w:rPr>
                <w:rStyle w:val="Hyperlink"/>
              </w:rPr>
              <w:t>Social media</w:t>
            </w:r>
            <w:r w:rsidR="007D19D7">
              <w:rPr>
                <w:webHidden/>
              </w:rPr>
              <w:tab/>
            </w:r>
            <w:r w:rsidR="007D19D7">
              <w:rPr>
                <w:webHidden/>
              </w:rPr>
              <w:fldChar w:fldCharType="begin"/>
            </w:r>
            <w:r w:rsidR="007D19D7">
              <w:rPr>
                <w:webHidden/>
              </w:rPr>
              <w:instrText xml:space="preserve"> PAGEREF _Toc124762831 \h </w:instrText>
            </w:r>
            <w:r w:rsidR="007D19D7">
              <w:rPr>
                <w:webHidden/>
              </w:rPr>
            </w:r>
            <w:r w:rsidR="007D19D7">
              <w:rPr>
                <w:webHidden/>
              </w:rPr>
              <w:fldChar w:fldCharType="separate"/>
            </w:r>
            <w:r w:rsidR="007D19D7">
              <w:rPr>
                <w:webHidden/>
              </w:rPr>
              <w:t>114</w:t>
            </w:r>
            <w:r w:rsidR="007D19D7">
              <w:rPr>
                <w:webHidden/>
              </w:rPr>
              <w:fldChar w:fldCharType="end"/>
            </w:r>
          </w:hyperlink>
        </w:p>
        <w:p w14:paraId="3A1475E5" w14:textId="3BD44F00" w:rsidR="007D19D7" w:rsidRDefault="005B3C73">
          <w:pPr>
            <w:pStyle w:val="TOC2"/>
            <w:rPr>
              <w:rFonts w:asciiTheme="minorHAnsi" w:eastAsiaTheme="minorEastAsia" w:hAnsiTheme="minorHAnsi" w:cstheme="minorBidi"/>
              <w:b w:val="0"/>
              <w:bCs w:val="0"/>
              <w:sz w:val="22"/>
              <w:szCs w:val="22"/>
            </w:rPr>
          </w:pPr>
          <w:hyperlink w:anchor="_Toc124762832" w:history="1">
            <w:r w:rsidR="007D19D7" w:rsidRPr="009D2176">
              <w:rPr>
                <w:rStyle w:val="Hyperlink"/>
              </w:rPr>
              <w:t>9.5</w:t>
            </w:r>
            <w:r w:rsidR="007D19D7">
              <w:rPr>
                <w:rFonts w:asciiTheme="minorHAnsi" w:eastAsiaTheme="minorEastAsia" w:hAnsiTheme="minorHAnsi" w:cstheme="minorBidi"/>
                <w:b w:val="0"/>
                <w:bCs w:val="0"/>
                <w:sz w:val="22"/>
                <w:szCs w:val="22"/>
              </w:rPr>
              <w:tab/>
            </w:r>
            <w:r w:rsidR="007D19D7" w:rsidRPr="009D2176">
              <w:rPr>
                <w:rStyle w:val="Hyperlink"/>
              </w:rPr>
              <w:t>Website</w:t>
            </w:r>
            <w:r w:rsidR="007D19D7">
              <w:rPr>
                <w:webHidden/>
              </w:rPr>
              <w:tab/>
            </w:r>
            <w:r w:rsidR="007D19D7">
              <w:rPr>
                <w:webHidden/>
              </w:rPr>
              <w:fldChar w:fldCharType="begin"/>
            </w:r>
            <w:r w:rsidR="007D19D7">
              <w:rPr>
                <w:webHidden/>
              </w:rPr>
              <w:instrText xml:space="preserve"> PAGEREF _Toc124762832 \h </w:instrText>
            </w:r>
            <w:r w:rsidR="007D19D7">
              <w:rPr>
                <w:webHidden/>
              </w:rPr>
            </w:r>
            <w:r w:rsidR="007D19D7">
              <w:rPr>
                <w:webHidden/>
              </w:rPr>
              <w:fldChar w:fldCharType="separate"/>
            </w:r>
            <w:r w:rsidR="007D19D7">
              <w:rPr>
                <w:webHidden/>
              </w:rPr>
              <w:t>118</w:t>
            </w:r>
            <w:r w:rsidR="007D19D7">
              <w:rPr>
                <w:webHidden/>
              </w:rPr>
              <w:fldChar w:fldCharType="end"/>
            </w:r>
          </w:hyperlink>
        </w:p>
        <w:p w14:paraId="3DFBB76C" w14:textId="7E6978EA" w:rsidR="007D19D7" w:rsidRDefault="005B3C73">
          <w:pPr>
            <w:pStyle w:val="TOC2"/>
            <w:rPr>
              <w:rFonts w:asciiTheme="minorHAnsi" w:eastAsiaTheme="minorEastAsia" w:hAnsiTheme="minorHAnsi" w:cstheme="minorBidi"/>
              <w:b w:val="0"/>
              <w:bCs w:val="0"/>
              <w:sz w:val="22"/>
              <w:szCs w:val="22"/>
            </w:rPr>
          </w:pPr>
          <w:hyperlink w:anchor="_Toc124762833" w:history="1">
            <w:r w:rsidR="007D19D7" w:rsidRPr="009D2176">
              <w:rPr>
                <w:rStyle w:val="Hyperlink"/>
              </w:rPr>
              <w:t>9.6</w:t>
            </w:r>
            <w:r w:rsidR="007D19D7">
              <w:rPr>
                <w:rFonts w:asciiTheme="minorHAnsi" w:eastAsiaTheme="minorEastAsia" w:hAnsiTheme="minorHAnsi" w:cstheme="minorBidi"/>
                <w:b w:val="0"/>
                <w:bCs w:val="0"/>
                <w:sz w:val="22"/>
                <w:szCs w:val="22"/>
              </w:rPr>
              <w:tab/>
            </w:r>
            <w:r w:rsidR="007D19D7" w:rsidRPr="009D2176">
              <w:rPr>
                <w:rStyle w:val="Hyperlink"/>
              </w:rPr>
              <w:t>Newsletters</w:t>
            </w:r>
            <w:r w:rsidR="007D19D7">
              <w:rPr>
                <w:webHidden/>
              </w:rPr>
              <w:tab/>
            </w:r>
            <w:r w:rsidR="007D19D7">
              <w:rPr>
                <w:webHidden/>
              </w:rPr>
              <w:fldChar w:fldCharType="begin"/>
            </w:r>
            <w:r w:rsidR="007D19D7">
              <w:rPr>
                <w:webHidden/>
              </w:rPr>
              <w:instrText xml:space="preserve"> PAGEREF _Toc124762833 \h </w:instrText>
            </w:r>
            <w:r w:rsidR="007D19D7">
              <w:rPr>
                <w:webHidden/>
              </w:rPr>
            </w:r>
            <w:r w:rsidR="007D19D7">
              <w:rPr>
                <w:webHidden/>
              </w:rPr>
              <w:fldChar w:fldCharType="separate"/>
            </w:r>
            <w:r w:rsidR="007D19D7">
              <w:rPr>
                <w:webHidden/>
              </w:rPr>
              <w:t>118</w:t>
            </w:r>
            <w:r w:rsidR="007D19D7">
              <w:rPr>
                <w:webHidden/>
              </w:rPr>
              <w:fldChar w:fldCharType="end"/>
            </w:r>
          </w:hyperlink>
        </w:p>
        <w:p w14:paraId="7CB86CEB" w14:textId="43D195DD" w:rsidR="007D19D7" w:rsidRDefault="005B3C73" w:rsidP="007D19D7">
          <w:pPr>
            <w:pStyle w:val="TOC1"/>
            <w:rPr>
              <w:rFonts w:asciiTheme="minorHAnsi" w:eastAsiaTheme="minorEastAsia" w:hAnsiTheme="minorHAnsi" w:cstheme="minorBidi"/>
              <w:sz w:val="22"/>
              <w:szCs w:val="22"/>
            </w:rPr>
          </w:pPr>
          <w:hyperlink w:anchor="_Toc124762834" w:history="1">
            <w:r w:rsidR="007D19D7" w:rsidRPr="009D2176">
              <w:rPr>
                <w:rStyle w:val="Hyperlink"/>
                <w:rFonts w:cs="Arial"/>
              </w:rPr>
              <w:t>10</w:t>
            </w:r>
            <w:r w:rsidR="007D19D7">
              <w:rPr>
                <w:rFonts w:asciiTheme="minorHAnsi" w:eastAsiaTheme="minorEastAsia" w:hAnsiTheme="minorHAnsi" w:cstheme="minorBidi"/>
                <w:sz w:val="22"/>
                <w:szCs w:val="22"/>
              </w:rPr>
              <w:tab/>
            </w:r>
            <w:r w:rsidR="007D19D7" w:rsidRPr="009D2176">
              <w:rPr>
                <w:rStyle w:val="Hyperlink"/>
                <w:rFonts w:cs="Arial"/>
              </w:rPr>
              <w:t>Collaborative Research Activities</w:t>
            </w:r>
            <w:r w:rsidR="007D19D7">
              <w:rPr>
                <w:webHidden/>
              </w:rPr>
              <w:tab/>
            </w:r>
            <w:r w:rsidR="007D19D7">
              <w:rPr>
                <w:webHidden/>
              </w:rPr>
              <w:fldChar w:fldCharType="begin"/>
            </w:r>
            <w:r w:rsidR="007D19D7">
              <w:rPr>
                <w:webHidden/>
              </w:rPr>
              <w:instrText xml:space="preserve"> PAGEREF _Toc124762834 \h </w:instrText>
            </w:r>
            <w:r w:rsidR="007D19D7">
              <w:rPr>
                <w:webHidden/>
              </w:rPr>
            </w:r>
            <w:r w:rsidR="007D19D7">
              <w:rPr>
                <w:webHidden/>
              </w:rPr>
              <w:fldChar w:fldCharType="separate"/>
            </w:r>
            <w:r w:rsidR="007D19D7">
              <w:rPr>
                <w:webHidden/>
              </w:rPr>
              <w:t>119</w:t>
            </w:r>
            <w:r w:rsidR="007D19D7">
              <w:rPr>
                <w:webHidden/>
              </w:rPr>
              <w:fldChar w:fldCharType="end"/>
            </w:r>
          </w:hyperlink>
        </w:p>
        <w:p w14:paraId="4A376689" w14:textId="7570F7C8" w:rsidR="007D19D7" w:rsidRDefault="005B3C73">
          <w:pPr>
            <w:pStyle w:val="TOC2"/>
            <w:rPr>
              <w:rFonts w:asciiTheme="minorHAnsi" w:eastAsiaTheme="minorEastAsia" w:hAnsiTheme="minorHAnsi" w:cstheme="minorBidi"/>
              <w:b w:val="0"/>
              <w:bCs w:val="0"/>
              <w:sz w:val="22"/>
              <w:szCs w:val="22"/>
            </w:rPr>
          </w:pPr>
          <w:hyperlink w:anchor="_Toc124762835" w:history="1">
            <w:r w:rsidR="007D19D7" w:rsidRPr="009D2176">
              <w:rPr>
                <w:rStyle w:val="Hyperlink"/>
              </w:rPr>
              <w:t>10.1</w:t>
            </w:r>
            <w:r w:rsidR="007D19D7">
              <w:rPr>
                <w:rFonts w:asciiTheme="minorHAnsi" w:eastAsiaTheme="minorEastAsia" w:hAnsiTheme="minorHAnsi" w:cstheme="minorBidi"/>
                <w:b w:val="0"/>
                <w:bCs w:val="0"/>
                <w:sz w:val="22"/>
                <w:szCs w:val="22"/>
              </w:rPr>
              <w:tab/>
            </w:r>
            <w:r w:rsidR="007D19D7" w:rsidRPr="009D2176">
              <w:rPr>
                <w:rStyle w:val="Hyperlink"/>
              </w:rPr>
              <w:t>Scientific meetings and teleconferences among the research team</w:t>
            </w:r>
            <w:r w:rsidR="007D19D7">
              <w:rPr>
                <w:webHidden/>
              </w:rPr>
              <w:tab/>
            </w:r>
            <w:r w:rsidR="007D19D7">
              <w:rPr>
                <w:webHidden/>
              </w:rPr>
              <w:fldChar w:fldCharType="begin"/>
            </w:r>
            <w:r w:rsidR="007D19D7">
              <w:rPr>
                <w:webHidden/>
              </w:rPr>
              <w:instrText xml:space="preserve"> PAGEREF _Toc124762835 \h </w:instrText>
            </w:r>
            <w:r w:rsidR="007D19D7">
              <w:rPr>
                <w:webHidden/>
              </w:rPr>
            </w:r>
            <w:r w:rsidR="007D19D7">
              <w:rPr>
                <w:webHidden/>
              </w:rPr>
              <w:fldChar w:fldCharType="separate"/>
            </w:r>
            <w:r w:rsidR="007D19D7">
              <w:rPr>
                <w:webHidden/>
              </w:rPr>
              <w:t>119</w:t>
            </w:r>
            <w:r w:rsidR="007D19D7">
              <w:rPr>
                <w:webHidden/>
              </w:rPr>
              <w:fldChar w:fldCharType="end"/>
            </w:r>
          </w:hyperlink>
        </w:p>
        <w:p w14:paraId="4A6576A7" w14:textId="3F75F2F1" w:rsidR="007D19D7" w:rsidRDefault="005B3C73">
          <w:pPr>
            <w:pStyle w:val="TOC3"/>
            <w:rPr>
              <w:rFonts w:asciiTheme="minorHAnsi" w:eastAsiaTheme="minorEastAsia" w:hAnsiTheme="minorHAnsi" w:cstheme="minorBidi"/>
              <w:b w:val="0"/>
              <w:bCs w:val="0"/>
              <w:sz w:val="22"/>
              <w:szCs w:val="22"/>
            </w:rPr>
          </w:pPr>
          <w:hyperlink w:anchor="_Toc124762836" w:history="1">
            <w:r w:rsidR="007D19D7" w:rsidRPr="009D2176">
              <w:rPr>
                <w:rStyle w:val="Hyperlink"/>
              </w:rPr>
              <w:t>10.1.1</w:t>
            </w:r>
            <w:r w:rsidR="007D19D7">
              <w:rPr>
                <w:rFonts w:asciiTheme="minorHAnsi" w:eastAsiaTheme="minorEastAsia" w:hAnsiTheme="minorHAnsi" w:cstheme="minorBidi"/>
                <w:b w:val="0"/>
                <w:bCs w:val="0"/>
                <w:sz w:val="22"/>
                <w:szCs w:val="22"/>
              </w:rPr>
              <w:tab/>
            </w:r>
            <w:r w:rsidR="007D19D7" w:rsidRPr="009D2176">
              <w:rPr>
                <w:rStyle w:val="Hyperlink"/>
              </w:rPr>
              <w:t>Management Committee</w:t>
            </w:r>
            <w:r w:rsidR="007D19D7">
              <w:rPr>
                <w:webHidden/>
              </w:rPr>
              <w:tab/>
            </w:r>
            <w:r w:rsidR="007D19D7">
              <w:rPr>
                <w:webHidden/>
              </w:rPr>
              <w:fldChar w:fldCharType="begin"/>
            </w:r>
            <w:r w:rsidR="007D19D7">
              <w:rPr>
                <w:webHidden/>
              </w:rPr>
              <w:instrText xml:space="preserve"> PAGEREF _Toc124762836 \h </w:instrText>
            </w:r>
            <w:r w:rsidR="007D19D7">
              <w:rPr>
                <w:webHidden/>
              </w:rPr>
            </w:r>
            <w:r w:rsidR="007D19D7">
              <w:rPr>
                <w:webHidden/>
              </w:rPr>
              <w:fldChar w:fldCharType="separate"/>
            </w:r>
            <w:r w:rsidR="007D19D7">
              <w:rPr>
                <w:webHidden/>
              </w:rPr>
              <w:t>119</w:t>
            </w:r>
            <w:r w:rsidR="007D19D7">
              <w:rPr>
                <w:webHidden/>
              </w:rPr>
              <w:fldChar w:fldCharType="end"/>
            </w:r>
          </w:hyperlink>
        </w:p>
        <w:p w14:paraId="3185B930" w14:textId="36DA1F3B" w:rsidR="007D19D7" w:rsidRDefault="005B3C73">
          <w:pPr>
            <w:pStyle w:val="TOC3"/>
            <w:rPr>
              <w:rFonts w:asciiTheme="minorHAnsi" w:eastAsiaTheme="minorEastAsia" w:hAnsiTheme="minorHAnsi" w:cstheme="minorBidi"/>
              <w:b w:val="0"/>
              <w:bCs w:val="0"/>
              <w:sz w:val="22"/>
              <w:szCs w:val="22"/>
            </w:rPr>
          </w:pPr>
          <w:hyperlink w:anchor="_Toc124762837" w:history="1">
            <w:r w:rsidR="007D19D7" w:rsidRPr="009D2176">
              <w:rPr>
                <w:rStyle w:val="Hyperlink"/>
              </w:rPr>
              <w:t>10.1.2</w:t>
            </w:r>
            <w:r w:rsidR="007D19D7">
              <w:rPr>
                <w:rFonts w:asciiTheme="minorHAnsi" w:eastAsiaTheme="minorEastAsia" w:hAnsiTheme="minorHAnsi" w:cstheme="minorBidi"/>
                <w:b w:val="0"/>
                <w:bCs w:val="0"/>
                <w:sz w:val="22"/>
                <w:szCs w:val="22"/>
              </w:rPr>
              <w:tab/>
            </w:r>
            <w:r w:rsidR="007D19D7" w:rsidRPr="009D2176">
              <w:rPr>
                <w:rStyle w:val="Hyperlink"/>
              </w:rPr>
              <w:t>Data Management Group</w:t>
            </w:r>
            <w:r w:rsidR="007D19D7">
              <w:rPr>
                <w:webHidden/>
              </w:rPr>
              <w:tab/>
            </w:r>
            <w:r w:rsidR="007D19D7">
              <w:rPr>
                <w:webHidden/>
              </w:rPr>
              <w:fldChar w:fldCharType="begin"/>
            </w:r>
            <w:r w:rsidR="007D19D7">
              <w:rPr>
                <w:webHidden/>
              </w:rPr>
              <w:instrText xml:space="preserve"> PAGEREF _Toc124762837 \h </w:instrText>
            </w:r>
            <w:r w:rsidR="007D19D7">
              <w:rPr>
                <w:webHidden/>
              </w:rPr>
            </w:r>
            <w:r w:rsidR="007D19D7">
              <w:rPr>
                <w:webHidden/>
              </w:rPr>
              <w:fldChar w:fldCharType="separate"/>
            </w:r>
            <w:r w:rsidR="007D19D7">
              <w:rPr>
                <w:webHidden/>
              </w:rPr>
              <w:t>119</w:t>
            </w:r>
            <w:r w:rsidR="007D19D7">
              <w:rPr>
                <w:webHidden/>
              </w:rPr>
              <w:fldChar w:fldCharType="end"/>
            </w:r>
          </w:hyperlink>
        </w:p>
        <w:p w14:paraId="721E3C14" w14:textId="669D4501" w:rsidR="007D19D7" w:rsidRDefault="005B3C73">
          <w:pPr>
            <w:pStyle w:val="TOC3"/>
            <w:rPr>
              <w:rFonts w:asciiTheme="minorHAnsi" w:eastAsiaTheme="minorEastAsia" w:hAnsiTheme="minorHAnsi" w:cstheme="minorBidi"/>
              <w:b w:val="0"/>
              <w:bCs w:val="0"/>
              <w:sz w:val="22"/>
              <w:szCs w:val="22"/>
            </w:rPr>
          </w:pPr>
          <w:hyperlink w:anchor="_Toc124762838" w:history="1">
            <w:r w:rsidR="007D19D7" w:rsidRPr="009D2176">
              <w:rPr>
                <w:rStyle w:val="Hyperlink"/>
              </w:rPr>
              <w:t>10.1.3</w:t>
            </w:r>
            <w:r w:rsidR="007D19D7">
              <w:rPr>
                <w:rFonts w:asciiTheme="minorHAnsi" w:eastAsiaTheme="minorEastAsia" w:hAnsiTheme="minorHAnsi" w:cstheme="minorBidi"/>
                <w:b w:val="0"/>
                <w:bCs w:val="0"/>
                <w:sz w:val="22"/>
                <w:szCs w:val="22"/>
              </w:rPr>
              <w:tab/>
            </w:r>
            <w:r w:rsidR="007D19D7" w:rsidRPr="009D2176">
              <w:rPr>
                <w:rStyle w:val="Hyperlink"/>
              </w:rPr>
              <w:t>Data Access Committee</w:t>
            </w:r>
            <w:r w:rsidR="007D19D7">
              <w:rPr>
                <w:webHidden/>
              </w:rPr>
              <w:tab/>
            </w:r>
            <w:r w:rsidR="007D19D7">
              <w:rPr>
                <w:webHidden/>
              </w:rPr>
              <w:fldChar w:fldCharType="begin"/>
            </w:r>
            <w:r w:rsidR="007D19D7">
              <w:rPr>
                <w:webHidden/>
              </w:rPr>
              <w:instrText xml:space="preserve"> PAGEREF _Toc124762838 \h </w:instrText>
            </w:r>
            <w:r w:rsidR="007D19D7">
              <w:rPr>
                <w:webHidden/>
              </w:rPr>
            </w:r>
            <w:r w:rsidR="007D19D7">
              <w:rPr>
                <w:webHidden/>
              </w:rPr>
              <w:fldChar w:fldCharType="separate"/>
            </w:r>
            <w:r w:rsidR="007D19D7">
              <w:rPr>
                <w:webHidden/>
              </w:rPr>
              <w:t>120</w:t>
            </w:r>
            <w:r w:rsidR="007D19D7">
              <w:rPr>
                <w:webHidden/>
              </w:rPr>
              <w:fldChar w:fldCharType="end"/>
            </w:r>
          </w:hyperlink>
        </w:p>
        <w:p w14:paraId="0CF3BCB6" w14:textId="06D4D713" w:rsidR="007D19D7" w:rsidRDefault="005B3C73">
          <w:pPr>
            <w:pStyle w:val="TOC2"/>
            <w:rPr>
              <w:rFonts w:asciiTheme="minorHAnsi" w:eastAsiaTheme="minorEastAsia" w:hAnsiTheme="minorHAnsi" w:cstheme="minorBidi"/>
              <w:b w:val="0"/>
              <w:bCs w:val="0"/>
              <w:sz w:val="22"/>
              <w:szCs w:val="22"/>
            </w:rPr>
          </w:pPr>
          <w:hyperlink w:anchor="_Toc124762839" w:history="1">
            <w:r w:rsidR="007D19D7" w:rsidRPr="009D2176">
              <w:rPr>
                <w:rStyle w:val="Hyperlink"/>
              </w:rPr>
              <w:t>10.2</w:t>
            </w:r>
            <w:r w:rsidR="007D19D7">
              <w:rPr>
                <w:rFonts w:asciiTheme="minorHAnsi" w:eastAsiaTheme="minorEastAsia" w:hAnsiTheme="minorHAnsi" w:cstheme="minorBidi"/>
                <w:b w:val="0"/>
                <w:bCs w:val="0"/>
                <w:sz w:val="22"/>
                <w:szCs w:val="22"/>
              </w:rPr>
              <w:tab/>
            </w:r>
            <w:r w:rsidR="007D19D7" w:rsidRPr="009D2176">
              <w:rPr>
                <w:rStyle w:val="Hyperlink"/>
              </w:rPr>
              <w:t>Research projects</w:t>
            </w:r>
            <w:r w:rsidR="007D19D7">
              <w:rPr>
                <w:webHidden/>
              </w:rPr>
              <w:tab/>
            </w:r>
            <w:r w:rsidR="007D19D7">
              <w:rPr>
                <w:webHidden/>
              </w:rPr>
              <w:fldChar w:fldCharType="begin"/>
            </w:r>
            <w:r w:rsidR="007D19D7">
              <w:rPr>
                <w:webHidden/>
              </w:rPr>
              <w:instrText xml:space="preserve"> PAGEREF _Toc124762839 \h </w:instrText>
            </w:r>
            <w:r w:rsidR="007D19D7">
              <w:rPr>
                <w:webHidden/>
              </w:rPr>
            </w:r>
            <w:r w:rsidR="007D19D7">
              <w:rPr>
                <w:webHidden/>
              </w:rPr>
              <w:fldChar w:fldCharType="separate"/>
            </w:r>
            <w:r w:rsidR="007D19D7">
              <w:rPr>
                <w:webHidden/>
              </w:rPr>
              <w:t>121</w:t>
            </w:r>
            <w:r w:rsidR="007D19D7">
              <w:rPr>
                <w:webHidden/>
              </w:rPr>
              <w:fldChar w:fldCharType="end"/>
            </w:r>
          </w:hyperlink>
        </w:p>
        <w:p w14:paraId="7D9B45E4" w14:textId="253BFE9D" w:rsidR="007D19D7" w:rsidRDefault="005B3C73">
          <w:pPr>
            <w:pStyle w:val="TOC3"/>
            <w:rPr>
              <w:rFonts w:asciiTheme="minorHAnsi" w:eastAsiaTheme="minorEastAsia" w:hAnsiTheme="minorHAnsi" w:cstheme="minorBidi"/>
              <w:b w:val="0"/>
              <w:bCs w:val="0"/>
              <w:sz w:val="22"/>
              <w:szCs w:val="22"/>
            </w:rPr>
          </w:pPr>
          <w:hyperlink w:anchor="_Toc124762840" w:history="1">
            <w:r w:rsidR="007D19D7" w:rsidRPr="009D2176">
              <w:rPr>
                <w:rStyle w:val="Hyperlink"/>
              </w:rPr>
              <w:t>10.2.1</w:t>
            </w:r>
            <w:r w:rsidR="007D19D7">
              <w:rPr>
                <w:rFonts w:asciiTheme="minorHAnsi" w:eastAsiaTheme="minorEastAsia" w:hAnsiTheme="minorHAnsi" w:cstheme="minorBidi"/>
                <w:b w:val="0"/>
                <w:bCs w:val="0"/>
                <w:sz w:val="22"/>
                <w:szCs w:val="22"/>
              </w:rPr>
              <w:tab/>
            </w:r>
            <w:r w:rsidR="007D19D7" w:rsidRPr="009D2176">
              <w:rPr>
                <w:rStyle w:val="Hyperlink"/>
              </w:rPr>
              <w:t>Full ALSWH datasets</w:t>
            </w:r>
            <w:r w:rsidR="007D19D7">
              <w:rPr>
                <w:webHidden/>
              </w:rPr>
              <w:tab/>
            </w:r>
            <w:r w:rsidR="007D19D7">
              <w:rPr>
                <w:webHidden/>
              </w:rPr>
              <w:fldChar w:fldCharType="begin"/>
            </w:r>
            <w:r w:rsidR="007D19D7">
              <w:rPr>
                <w:webHidden/>
              </w:rPr>
              <w:instrText xml:space="preserve"> PAGEREF _Toc124762840 \h </w:instrText>
            </w:r>
            <w:r w:rsidR="007D19D7">
              <w:rPr>
                <w:webHidden/>
              </w:rPr>
            </w:r>
            <w:r w:rsidR="007D19D7">
              <w:rPr>
                <w:webHidden/>
              </w:rPr>
              <w:fldChar w:fldCharType="separate"/>
            </w:r>
            <w:r w:rsidR="007D19D7">
              <w:rPr>
                <w:webHidden/>
              </w:rPr>
              <w:t>121</w:t>
            </w:r>
            <w:r w:rsidR="007D19D7">
              <w:rPr>
                <w:webHidden/>
              </w:rPr>
              <w:fldChar w:fldCharType="end"/>
            </w:r>
          </w:hyperlink>
        </w:p>
        <w:p w14:paraId="48D52960" w14:textId="636E71C4" w:rsidR="007D19D7" w:rsidRDefault="005B3C73">
          <w:pPr>
            <w:pStyle w:val="TOC3"/>
            <w:rPr>
              <w:rFonts w:asciiTheme="minorHAnsi" w:eastAsiaTheme="minorEastAsia" w:hAnsiTheme="minorHAnsi" w:cstheme="minorBidi"/>
              <w:b w:val="0"/>
              <w:bCs w:val="0"/>
              <w:sz w:val="22"/>
              <w:szCs w:val="22"/>
            </w:rPr>
          </w:pPr>
          <w:hyperlink w:anchor="_Toc124762841" w:history="1">
            <w:r w:rsidR="007D19D7" w:rsidRPr="009D2176">
              <w:rPr>
                <w:rStyle w:val="Hyperlink"/>
              </w:rPr>
              <w:t>10.2.2</w:t>
            </w:r>
            <w:r w:rsidR="007D19D7">
              <w:rPr>
                <w:rFonts w:asciiTheme="minorHAnsi" w:eastAsiaTheme="minorEastAsia" w:hAnsiTheme="minorHAnsi" w:cstheme="minorBidi"/>
                <w:b w:val="0"/>
                <w:bCs w:val="0"/>
                <w:sz w:val="22"/>
                <w:szCs w:val="22"/>
              </w:rPr>
              <w:tab/>
            </w:r>
            <w:r w:rsidR="007D19D7" w:rsidRPr="009D2176">
              <w:rPr>
                <w:rStyle w:val="Hyperlink"/>
              </w:rPr>
              <w:t>Core dataset</w:t>
            </w:r>
            <w:r w:rsidR="007D19D7">
              <w:rPr>
                <w:webHidden/>
              </w:rPr>
              <w:tab/>
            </w:r>
            <w:r w:rsidR="007D19D7">
              <w:rPr>
                <w:webHidden/>
              </w:rPr>
              <w:fldChar w:fldCharType="begin"/>
            </w:r>
            <w:r w:rsidR="007D19D7">
              <w:rPr>
                <w:webHidden/>
              </w:rPr>
              <w:instrText xml:space="preserve"> PAGEREF _Toc124762841 \h </w:instrText>
            </w:r>
            <w:r w:rsidR="007D19D7">
              <w:rPr>
                <w:webHidden/>
              </w:rPr>
            </w:r>
            <w:r w:rsidR="007D19D7">
              <w:rPr>
                <w:webHidden/>
              </w:rPr>
              <w:fldChar w:fldCharType="separate"/>
            </w:r>
            <w:r w:rsidR="007D19D7">
              <w:rPr>
                <w:webHidden/>
              </w:rPr>
              <w:t>121</w:t>
            </w:r>
            <w:r w:rsidR="007D19D7">
              <w:rPr>
                <w:webHidden/>
              </w:rPr>
              <w:fldChar w:fldCharType="end"/>
            </w:r>
          </w:hyperlink>
        </w:p>
        <w:p w14:paraId="34A110EE" w14:textId="28F33AAD" w:rsidR="007D19D7" w:rsidRDefault="005B3C73">
          <w:pPr>
            <w:pStyle w:val="TOC3"/>
            <w:rPr>
              <w:rFonts w:asciiTheme="minorHAnsi" w:eastAsiaTheme="minorEastAsia" w:hAnsiTheme="minorHAnsi" w:cstheme="minorBidi"/>
              <w:b w:val="0"/>
              <w:bCs w:val="0"/>
              <w:sz w:val="22"/>
              <w:szCs w:val="22"/>
            </w:rPr>
          </w:pPr>
          <w:hyperlink w:anchor="_Toc124762842" w:history="1">
            <w:r w:rsidR="007D19D7" w:rsidRPr="009D2176">
              <w:rPr>
                <w:rStyle w:val="Hyperlink"/>
              </w:rPr>
              <w:t>10.2.3</w:t>
            </w:r>
            <w:r w:rsidR="007D19D7">
              <w:rPr>
                <w:rFonts w:asciiTheme="minorHAnsi" w:eastAsiaTheme="minorEastAsia" w:hAnsiTheme="minorHAnsi" w:cstheme="minorBidi"/>
                <w:b w:val="0"/>
                <w:bCs w:val="0"/>
                <w:sz w:val="22"/>
                <w:szCs w:val="22"/>
              </w:rPr>
              <w:tab/>
            </w:r>
            <w:r w:rsidR="007D19D7" w:rsidRPr="009D2176">
              <w:rPr>
                <w:rStyle w:val="Hyperlink"/>
              </w:rPr>
              <w:t>Substudies</w:t>
            </w:r>
            <w:r w:rsidR="007D19D7">
              <w:rPr>
                <w:webHidden/>
              </w:rPr>
              <w:tab/>
            </w:r>
            <w:r w:rsidR="007D19D7">
              <w:rPr>
                <w:webHidden/>
              </w:rPr>
              <w:fldChar w:fldCharType="begin"/>
            </w:r>
            <w:r w:rsidR="007D19D7">
              <w:rPr>
                <w:webHidden/>
              </w:rPr>
              <w:instrText xml:space="preserve"> PAGEREF _Toc124762842 \h </w:instrText>
            </w:r>
            <w:r w:rsidR="007D19D7">
              <w:rPr>
                <w:webHidden/>
              </w:rPr>
            </w:r>
            <w:r w:rsidR="007D19D7">
              <w:rPr>
                <w:webHidden/>
              </w:rPr>
              <w:fldChar w:fldCharType="separate"/>
            </w:r>
            <w:r w:rsidR="007D19D7">
              <w:rPr>
                <w:webHidden/>
              </w:rPr>
              <w:t>124</w:t>
            </w:r>
            <w:r w:rsidR="007D19D7">
              <w:rPr>
                <w:webHidden/>
              </w:rPr>
              <w:fldChar w:fldCharType="end"/>
            </w:r>
          </w:hyperlink>
        </w:p>
        <w:p w14:paraId="22135820" w14:textId="3799D30D" w:rsidR="007D19D7" w:rsidRDefault="005B3C73">
          <w:pPr>
            <w:pStyle w:val="TOC3"/>
            <w:rPr>
              <w:rFonts w:asciiTheme="minorHAnsi" w:eastAsiaTheme="minorEastAsia" w:hAnsiTheme="minorHAnsi" w:cstheme="minorBidi"/>
              <w:b w:val="0"/>
              <w:bCs w:val="0"/>
              <w:sz w:val="22"/>
              <w:szCs w:val="22"/>
            </w:rPr>
          </w:pPr>
          <w:hyperlink w:anchor="_Toc124762843" w:history="1">
            <w:r w:rsidR="007D19D7" w:rsidRPr="009D2176">
              <w:rPr>
                <w:rStyle w:val="Hyperlink"/>
              </w:rPr>
              <w:t>10.2.4</w:t>
            </w:r>
            <w:r w:rsidR="007D19D7">
              <w:rPr>
                <w:rFonts w:asciiTheme="minorHAnsi" w:eastAsiaTheme="minorEastAsia" w:hAnsiTheme="minorHAnsi" w:cstheme="minorBidi"/>
                <w:b w:val="0"/>
                <w:bCs w:val="0"/>
                <w:sz w:val="22"/>
                <w:szCs w:val="22"/>
              </w:rPr>
              <w:tab/>
            </w:r>
            <w:r w:rsidR="007D19D7" w:rsidRPr="009D2176">
              <w:rPr>
                <w:rStyle w:val="Hyperlink"/>
              </w:rPr>
              <w:t>Student projects</w:t>
            </w:r>
            <w:r w:rsidR="007D19D7">
              <w:rPr>
                <w:webHidden/>
              </w:rPr>
              <w:tab/>
            </w:r>
            <w:r w:rsidR="007D19D7">
              <w:rPr>
                <w:webHidden/>
              </w:rPr>
              <w:fldChar w:fldCharType="begin"/>
            </w:r>
            <w:r w:rsidR="007D19D7">
              <w:rPr>
                <w:webHidden/>
              </w:rPr>
              <w:instrText xml:space="preserve"> PAGEREF _Toc124762843 \h </w:instrText>
            </w:r>
            <w:r w:rsidR="007D19D7">
              <w:rPr>
                <w:webHidden/>
              </w:rPr>
            </w:r>
            <w:r w:rsidR="007D19D7">
              <w:rPr>
                <w:webHidden/>
              </w:rPr>
              <w:fldChar w:fldCharType="separate"/>
            </w:r>
            <w:r w:rsidR="007D19D7">
              <w:rPr>
                <w:webHidden/>
              </w:rPr>
              <w:t>124</w:t>
            </w:r>
            <w:r w:rsidR="007D19D7">
              <w:rPr>
                <w:webHidden/>
              </w:rPr>
              <w:fldChar w:fldCharType="end"/>
            </w:r>
          </w:hyperlink>
        </w:p>
        <w:p w14:paraId="5B28790C" w14:textId="465E183C" w:rsidR="007D19D7" w:rsidRDefault="005B3C73" w:rsidP="007D19D7">
          <w:pPr>
            <w:pStyle w:val="TOC1"/>
            <w:rPr>
              <w:rFonts w:asciiTheme="minorHAnsi" w:eastAsiaTheme="minorEastAsia" w:hAnsiTheme="minorHAnsi" w:cstheme="minorBidi"/>
              <w:sz w:val="22"/>
              <w:szCs w:val="22"/>
            </w:rPr>
          </w:pPr>
          <w:hyperlink w:anchor="_Toc124762844" w:history="1">
            <w:r w:rsidR="007D19D7" w:rsidRPr="009D2176">
              <w:rPr>
                <w:rStyle w:val="Hyperlink"/>
              </w:rPr>
              <w:t>11</w:t>
            </w:r>
            <w:r w:rsidR="007D19D7">
              <w:rPr>
                <w:rFonts w:asciiTheme="minorHAnsi" w:eastAsiaTheme="minorEastAsia" w:hAnsiTheme="minorHAnsi" w:cstheme="minorBidi"/>
                <w:sz w:val="22"/>
                <w:szCs w:val="22"/>
              </w:rPr>
              <w:tab/>
            </w:r>
            <w:r w:rsidR="007D19D7" w:rsidRPr="009D2176">
              <w:rPr>
                <w:rStyle w:val="Hyperlink"/>
              </w:rPr>
              <w:t>Project staff</w:t>
            </w:r>
            <w:r w:rsidR="007D19D7">
              <w:rPr>
                <w:webHidden/>
              </w:rPr>
              <w:tab/>
            </w:r>
            <w:r w:rsidR="007D19D7">
              <w:rPr>
                <w:webHidden/>
              </w:rPr>
              <w:fldChar w:fldCharType="begin"/>
            </w:r>
            <w:r w:rsidR="007D19D7">
              <w:rPr>
                <w:webHidden/>
              </w:rPr>
              <w:instrText xml:space="preserve"> PAGEREF _Toc124762844 \h </w:instrText>
            </w:r>
            <w:r w:rsidR="007D19D7">
              <w:rPr>
                <w:webHidden/>
              </w:rPr>
            </w:r>
            <w:r w:rsidR="007D19D7">
              <w:rPr>
                <w:webHidden/>
              </w:rPr>
              <w:fldChar w:fldCharType="separate"/>
            </w:r>
            <w:r w:rsidR="007D19D7">
              <w:rPr>
                <w:webHidden/>
              </w:rPr>
              <w:t>125</w:t>
            </w:r>
            <w:r w:rsidR="007D19D7">
              <w:rPr>
                <w:webHidden/>
              </w:rPr>
              <w:fldChar w:fldCharType="end"/>
            </w:r>
          </w:hyperlink>
        </w:p>
        <w:p w14:paraId="3AB8AEC1" w14:textId="5182BBC5" w:rsidR="007D19D7" w:rsidRDefault="005B3C73" w:rsidP="007D19D7">
          <w:pPr>
            <w:pStyle w:val="TOC1"/>
            <w:rPr>
              <w:rFonts w:asciiTheme="minorHAnsi" w:eastAsiaTheme="minorEastAsia" w:hAnsiTheme="minorHAnsi" w:cstheme="minorBidi"/>
              <w:sz w:val="22"/>
              <w:szCs w:val="22"/>
            </w:rPr>
          </w:pPr>
          <w:hyperlink w:anchor="_Toc124762845" w:history="1">
            <w:r w:rsidR="007D19D7" w:rsidRPr="009D2176">
              <w:rPr>
                <w:rStyle w:val="Hyperlink"/>
              </w:rPr>
              <w:t>12</w:t>
            </w:r>
            <w:r w:rsidR="007D19D7">
              <w:rPr>
                <w:rFonts w:asciiTheme="minorHAnsi" w:eastAsiaTheme="minorEastAsia" w:hAnsiTheme="minorHAnsi" w:cstheme="minorBidi"/>
                <w:sz w:val="22"/>
                <w:szCs w:val="22"/>
              </w:rPr>
              <w:tab/>
            </w:r>
            <w:r w:rsidR="007D19D7" w:rsidRPr="009D2176">
              <w:rPr>
                <w:rStyle w:val="Hyperlink"/>
              </w:rPr>
              <w:t>Appendices: Progress reports for current and completed projects</w:t>
            </w:r>
            <w:r w:rsidR="007D19D7">
              <w:rPr>
                <w:webHidden/>
              </w:rPr>
              <w:tab/>
            </w:r>
            <w:r w:rsidR="007D19D7">
              <w:rPr>
                <w:webHidden/>
              </w:rPr>
              <w:fldChar w:fldCharType="begin"/>
            </w:r>
            <w:r w:rsidR="007D19D7">
              <w:rPr>
                <w:webHidden/>
              </w:rPr>
              <w:instrText xml:space="preserve"> PAGEREF _Toc124762845 \h </w:instrText>
            </w:r>
            <w:r w:rsidR="007D19D7">
              <w:rPr>
                <w:webHidden/>
              </w:rPr>
            </w:r>
            <w:r w:rsidR="007D19D7">
              <w:rPr>
                <w:webHidden/>
              </w:rPr>
              <w:fldChar w:fldCharType="separate"/>
            </w:r>
            <w:r w:rsidR="007D19D7">
              <w:rPr>
                <w:webHidden/>
              </w:rPr>
              <w:t>127</w:t>
            </w:r>
            <w:r w:rsidR="007D19D7">
              <w:rPr>
                <w:webHidden/>
              </w:rPr>
              <w:fldChar w:fldCharType="end"/>
            </w:r>
          </w:hyperlink>
        </w:p>
        <w:p w14:paraId="3A08C320" w14:textId="5472BC10" w:rsidR="00B75C2F" w:rsidRDefault="00B75C2F" w:rsidP="007D19D7">
          <w:pPr>
            <w:pStyle w:val="TOC1"/>
          </w:pPr>
          <w:r>
            <w:fldChar w:fldCharType="end"/>
          </w:r>
        </w:p>
      </w:sdtContent>
    </w:sdt>
    <w:p w14:paraId="26E221C1" w14:textId="05D87569" w:rsidR="0002379E" w:rsidRDefault="0002379E">
      <w:pPr>
        <w:spacing w:before="0" w:after="0" w:line="240" w:lineRule="auto"/>
        <w:jc w:val="left"/>
      </w:pPr>
    </w:p>
    <w:p w14:paraId="567A3D9A" w14:textId="77777777" w:rsidR="00FA5913" w:rsidRPr="00276B0A" w:rsidRDefault="00FA5913" w:rsidP="00FA5913">
      <w:pPr>
        <w:spacing w:before="0" w:after="0" w:line="240" w:lineRule="auto"/>
        <w:jc w:val="center"/>
        <w:rPr>
          <w:rFonts w:cs="Arial"/>
          <w:b/>
          <w:sz w:val="28"/>
          <w:szCs w:val="28"/>
        </w:rPr>
      </w:pPr>
    </w:p>
    <w:p w14:paraId="6D4485C2" w14:textId="77777777" w:rsidR="002D533F" w:rsidRDefault="002D533F">
      <w:pPr>
        <w:spacing w:before="0" w:after="0" w:line="240" w:lineRule="auto"/>
        <w:jc w:val="left"/>
        <w:sectPr w:rsidR="002D533F" w:rsidSect="00FA5913">
          <w:headerReference w:type="default" r:id="rId14"/>
          <w:footerReference w:type="default" r:id="rId15"/>
          <w:footerReference w:type="first" r:id="rId16"/>
          <w:pgSz w:w="12240" w:h="15840"/>
          <w:pgMar w:top="1080" w:right="1440" w:bottom="1080" w:left="1440" w:header="709" w:footer="709" w:gutter="0"/>
          <w:pgNumType w:fmt="lowerRoman"/>
          <w:cols w:space="720"/>
          <w:titlePg/>
          <w:docGrid w:linePitch="272"/>
        </w:sectPr>
      </w:pPr>
    </w:p>
    <w:p w14:paraId="393C0DE9" w14:textId="5AE0AA0B" w:rsidR="005F66F4" w:rsidRPr="00DE377E" w:rsidRDefault="005F66F4" w:rsidP="006B02B6">
      <w:pPr>
        <w:pStyle w:val="Heading1"/>
        <w:spacing w:line="276" w:lineRule="auto"/>
        <w:ind w:left="431" w:hanging="431"/>
      </w:pPr>
      <w:bookmarkStart w:id="9" w:name="_Toc498091947"/>
      <w:bookmarkStart w:id="10" w:name="_Toc124762758"/>
      <w:r>
        <w:lastRenderedPageBreak/>
        <w:t>EXECUTIVE SUMMARY</w:t>
      </w:r>
      <w:bookmarkEnd w:id="9"/>
      <w:bookmarkEnd w:id="10"/>
    </w:p>
    <w:p w14:paraId="59CE486A" w14:textId="77777777" w:rsidR="00EB5A53" w:rsidRPr="00EB5A53" w:rsidRDefault="00EB5A53" w:rsidP="00EB5A53"/>
    <w:p w14:paraId="59BCDF53" w14:textId="2B4E5D1C" w:rsidR="00EB5A53" w:rsidRPr="00EB5A53" w:rsidRDefault="00EB5A53" w:rsidP="00EB5A53">
      <w:r w:rsidRPr="00EB5A53">
        <w:t xml:space="preserve">This </w:t>
      </w:r>
      <w:r w:rsidR="007B1140">
        <w:t xml:space="preserve">draft </w:t>
      </w:r>
      <w:r w:rsidR="00F21B89">
        <w:t xml:space="preserve">technical </w:t>
      </w:r>
      <w:r w:rsidRPr="00EB5A53">
        <w:t xml:space="preserve">report covers the period from </w:t>
      </w:r>
      <w:r w:rsidR="00F16BF6">
        <w:t xml:space="preserve">December </w:t>
      </w:r>
      <w:r w:rsidR="007B1140">
        <w:t>2021</w:t>
      </w:r>
      <w:r w:rsidR="007B1140" w:rsidRPr="00EB5A53">
        <w:t xml:space="preserve"> </w:t>
      </w:r>
      <w:r w:rsidRPr="00EB5A53">
        <w:t>to</w:t>
      </w:r>
      <w:r w:rsidR="007832DC">
        <w:t xml:space="preserve"> </w:t>
      </w:r>
      <w:r w:rsidR="00B3546C">
        <w:t xml:space="preserve">November </w:t>
      </w:r>
      <w:r w:rsidRPr="00EB5A53">
        <w:t>20</w:t>
      </w:r>
      <w:r w:rsidR="00E812DF">
        <w:t>2</w:t>
      </w:r>
      <w:r w:rsidR="007B1140">
        <w:t>2</w:t>
      </w:r>
      <w:r w:rsidRPr="00EB5A53">
        <w:t xml:space="preserve">. The purpose of the report is to document the annual operational aspects of the </w:t>
      </w:r>
      <w:r w:rsidR="00F21B89">
        <w:t>Australian Longitudinal Study on Women’s Health (</w:t>
      </w:r>
      <w:r w:rsidRPr="00EB5A53">
        <w:t>ALSWH</w:t>
      </w:r>
      <w:r w:rsidR="00F21B89">
        <w:t>)</w:t>
      </w:r>
      <w:r w:rsidRPr="00EB5A53">
        <w:t xml:space="preserve">, as well as the progress and outcomes of the preceding year. </w:t>
      </w:r>
      <w:r w:rsidR="00A87A46">
        <w:t xml:space="preserve">The </w:t>
      </w:r>
      <w:r w:rsidR="008B1C79">
        <w:t>c</w:t>
      </w:r>
      <w:r w:rsidRPr="00EB5A53">
        <w:t>ontent includes data collection procedures and materials; the outcomes of data collection procedures in terms of retention and attrition (including that due to deaths) and cohort maintenance strategies used to mitigate attrition; reports on data linkage and archiving activities; reports on methodological issues that have arisen and the resolutions that were applied; the executive summary of the annual major report; summaries of dissemination activities including publications, conference presentations and media; and information about collaborations and staffing. This executive summary includes the main findings of each section of the report.</w:t>
      </w:r>
    </w:p>
    <w:p w14:paraId="3DD064AB" w14:textId="77777777" w:rsidR="00EB5A53" w:rsidRPr="00EB5A53" w:rsidRDefault="00EB5A53" w:rsidP="00EB5A53">
      <w:pPr>
        <w:rPr>
          <w:b/>
          <w:i/>
        </w:rPr>
      </w:pPr>
      <w:r w:rsidRPr="00EB5A53">
        <w:rPr>
          <w:b/>
          <w:i/>
        </w:rPr>
        <w:t>Introduction</w:t>
      </w:r>
    </w:p>
    <w:p w14:paraId="5687999A" w14:textId="7ABAFDA4" w:rsidR="00BB368C" w:rsidRDefault="00EB5A53" w:rsidP="00EB5A53">
      <w:pPr>
        <w:rPr>
          <w:b/>
          <w:i/>
        </w:rPr>
      </w:pPr>
      <w:r w:rsidRPr="00503D34">
        <w:t xml:space="preserve">This section introduces the ALSWH by briefly describing the </w:t>
      </w:r>
      <w:r w:rsidR="003E3038">
        <w:t>four</w:t>
      </w:r>
      <w:r w:rsidR="003E3038" w:rsidRPr="00503D34">
        <w:t xml:space="preserve"> </w:t>
      </w:r>
      <w:r w:rsidRPr="00503D34">
        <w:t xml:space="preserve">cohorts (born </w:t>
      </w:r>
      <w:r w:rsidR="00D2055E" w:rsidRPr="00503D34">
        <w:t>1989-95, 1973-78,</w:t>
      </w:r>
      <w:r w:rsidR="00FA5913">
        <w:t xml:space="preserve"> 1946-51 </w:t>
      </w:r>
      <w:r w:rsidRPr="00503D34">
        <w:t xml:space="preserve">and </w:t>
      </w:r>
      <w:r w:rsidR="00D2055E" w:rsidRPr="00503D34">
        <w:t>1921-26</w:t>
      </w:r>
      <w:r w:rsidRPr="00503D34">
        <w:t xml:space="preserve">) and the aims of the study. The women who comprise the cohorts regularly complete surveys </w:t>
      </w:r>
      <w:r w:rsidR="00F21B89">
        <w:t xml:space="preserve">(mailed or online) </w:t>
      </w:r>
      <w:r w:rsidRPr="00503D34">
        <w:t xml:space="preserve">that ask about diverse aspects of </w:t>
      </w:r>
      <w:r w:rsidR="00B3546C">
        <w:t xml:space="preserve">their </w:t>
      </w:r>
      <w:r w:rsidRPr="00503D34">
        <w:t xml:space="preserve">health, wellbeing, life experiences and demographics. ALSWH has met </w:t>
      </w:r>
      <w:proofErr w:type="gramStart"/>
      <w:r w:rsidRPr="00503D34">
        <w:t>all</w:t>
      </w:r>
      <w:r w:rsidR="008E3249">
        <w:t xml:space="preserve"> </w:t>
      </w:r>
      <w:r w:rsidRPr="00503D34">
        <w:t>of</w:t>
      </w:r>
      <w:proofErr w:type="gramEnd"/>
      <w:r w:rsidRPr="00503D34">
        <w:t xml:space="preserve"> the obligations and deliverables </w:t>
      </w:r>
      <w:r w:rsidR="00A742A4" w:rsidRPr="00503D34">
        <w:t xml:space="preserve">for the period December </w:t>
      </w:r>
      <w:r w:rsidR="007B1140" w:rsidRPr="00503D34">
        <w:t>20</w:t>
      </w:r>
      <w:r w:rsidR="007B1140">
        <w:t>21</w:t>
      </w:r>
      <w:r w:rsidR="007B1140" w:rsidRPr="00503D34">
        <w:t xml:space="preserve"> </w:t>
      </w:r>
      <w:r w:rsidR="00A742A4" w:rsidRPr="00503D34">
        <w:t>–</w:t>
      </w:r>
      <w:r w:rsidR="007C433D" w:rsidRPr="00503D34">
        <w:t xml:space="preserve"> </w:t>
      </w:r>
      <w:r w:rsidR="00B3546C">
        <w:t xml:space="preserve">November </w:t>
      </w:r>
      <w:r w:rsidR="006C088F" w:rsidRPr="00503D34">
        <w:t>20</w:t>
      </w:r>
      <w:r w:rsidR="00E812DF" w:rsidRPr="00503D34">
        <w:t>2</w:t>
      </w:r>
      <w:r w:rsidR="007B1140">
        <w:t>2</w:t>
      </w:r>
      <w:r w:rsidR="00A742A4" w:rsidRPr="00503D34">
        <w:t xml:space="preserve"> </w:t>
      </w:r>
      <w:r w:rsidRPr="00503D34">
        <w:t xml:space="preserve">contained in </w:t>
      </w:r>
      <w:r w:rsidR="005E37C7" w:rsidRPr="00503D34">
        <w:t xml:space="preserve">the relevant </w:t>
      </w:r>
      <w:r w:rsidRPr="00503D34">
        <w:t>contract</w:t>
      </w:r>
      <w:r w:rsidR="005E37C7" w:rsidRPr="00503D34">
        <w:t>s</w:t>
      </w:r>
      <w:r w:rsidRPr="00503D34">
        <w:t xml:space="preserve"> with the Department of Health</w:t>
      </w:r>
      <w:r w:rsidR="003E293F">
        <w:t xml:space="preserve"> and Aged Care </w:t>
      </w:r>
    </w:p>
    <w:p w14:paraId="2DA53BC1" w14:textId="77777777" w:rsidR="00EB5A53" w:rsidRPr="00306719" w:rsidRDefault="00EB5A53" w:rsidP="00EB5A53">
      <w:pPr>
        <w:rPr>
          <w:b/>
          <w:i/>
        </w:rPr>
      </w:pPr>
      <w:r w:rsidRPr="00306719">
        <w:rPr>
          <w:b/>
          <w:i/>
        </w:rPr>
        <w:t>Conduct of surveys</w:t>
      </w:r>
    </w:p>
    <w:p w14:paraId="36F22CB6" w14:textId="77777777" w:rsidR="00EB5A53" w:rsidRPr="00306719" w:rsidRDefault="00EB5A53" w:rsidP="00EB5A53">
      <w:r w:rsidRPr="00306719">
        <w:t>During this period, surveys have been conducted as follows:</w:t>
      </w:r>
    </w:p>
    <w:p w14:paraId="2EE2C47B" w14:textId="32312B87" w:rsidR="00EB5A53" w:rsidRDefault="00EB5A53" w:rsidP="00AC2E60">
      <w:pPr>
        <w:numPr>
          <w:ilvl w:val="0"/>
          <w:numId w:val="20"/>
        </w:numPr>
      </w:pPr>
      <w:r w:rsidRPr="00306719">
        <w:rPr>
          <w:i/>
        </w:rPr>
        <w:t>1973-78 cohort</w:t>
      </w:r>
      <w:r w:rsidRPr="00306719">
        <w:t>:</w:t>
      </w:r>
      <w:r w:rsidR="00194CE4" w:rsidRPr="00306719">
        <w:t xml:space="preserve"> </w:t>
      </w:r>
      <w:r w:rsidR="00967E22" w:rsidRPr="00306719">
        <w:t xml:space="preserve">Data collection for Main </w:t>
      </w:r>
      <w:r w:rsidR="00AC2E60" w:rsidRPr="00306719">
        <w:t>Survey 9</w:t>
      </w:r>
      <w:r w:rsidR="00967E22" w:rsidRPr="00306719">
        <w:t xml:space="preserve">, deployed in </w:t>
      </w:r>
      <w:r w:rsidR="00AC2E60" w:rsidRPr="00306719">
        <w:t>June 2021</w:t>
      </w:r>
      <w:r w:rsidR="00967E22" w:rsidRPr="00306719">
        <w:t>, continued throughout the year</w:t>
      </w:r>
      <w:r w:rsidR="0090126E">
        <w:t xml:space="preserve">, with </w:t>
      </w:r>
      <w:r w:rsidR="00E7298C">
        <w:t>12,</w:t>
      </w:r>
      <w:r w:rsidR="004B6839">
        <w:t>318</w:t>
      </w:r>
      <w:r w:rsidR="00967E22" w:rsidRPr="00306719">
        <w:t xml:space="preserve"> women </w:t>
      </w:r>
      <w:r w:rsidR="00AC2E60" w:rsidRPr="00306719">
        <w:t>invited to participate</w:t>
      </w:r>
      <w:r w:rsidR="0090126E">
        <w:t>. B</w:t>
      </w:r>
      <w:r w:rsidR="00516608" w:rsidRPr="00306719">
        <w:t xml:space="preserve">y </w:t>
      </w:r>
      <w:r w:rsidR="00901558" w:rsidRPr="00901558">
        <w:t>31 October</w:t>
      </w:r>
      <w:r w:rsidR="00967E22" w:rsidRPr="00901558">
        <w:t xml:space="preserve"> 2022,</w:t>
      </w:r>
      <w:r w:rsidR="00967E22" w:rsidRPr="00306719">
        <w:t xml:space="preserve"> </w:t>
      </w:r>
      <w:r w:rsidR="00E74556">
        <w:t xml:space="preserve">the survey had been completed by </w:t>
      </w:r>
      <w:r w:rsidR="00901558">
        <w:t>6,510</w:t>
      </w:r>
      <w:r w:rsidR="00967E22" w:rsidRPr="00306719">
        <w:t xml:space="preserve"> women</w:t>
      </w:r>
      <w:r w:rsidR="00E74556">
        <w:t xml:space="preserve">, and another </w:t>
      </w:r>
      <w:r w:rsidR="00901558" w:rsidRPr="00306719">
        <w:t>3</w:t>
      </w:r>
      <w:r w:rsidR="00901558">
        <w:t>63</w:t>
      </w:r>
      <w:r w:rsidR="00901558" w:rsidRPr="00306719">
        <w:t xml:space="preserve"> </w:t>
      </w:r>
      <w:r w:rsidR="0086218A" w:rsidRPr="00306719">
        <w:t xml:space="preserve">women had partially completed it. </w:t>
      </w:r>
      <w:r w:rsidR="0090126E">
        <w:t xml:space="preserve">Data collection for Survey 9 was closed in December 2022. </w:t>
      </w:r>
      <w:r w:rsidR="00AC2E60" w:rsidRPr="00306719">
        <w:t xml:space="preserve"> </w:t>
      </w:r>
      <w:r w:rsidR="00A90102" w:rsidRPr="00306719">
        <w:t xml:space="preserve"> </w:t>
      </w:r>
    </w:p>
    <w:p w14:paraId="79119182" w14:textId="6AA12EE0" w:rsidR="00603B7F" w:rsidRPr="00306719" w:rsidRDefault="00603B7F" w:rsidP="00AC2E60">
      <w:pPr>
        <w:numPr>
          <w:ilvl w:val="0"/>
          <w:numId w:val="20"/>
        </w:numPr>
      </w:pPr>
      <w:r>
        <w:rPr>
          <w:i/>
        </w:rPr>
        <w:t>1946</w:t>
      </w:r>
      <w:r w:rsidRPr="00306719">
        <w:t>-</w:t>
      </w:r>
      <w:r w:rsidRPr="00586FC1">
        <w:rPr>
          <w:i/>
          <w:iCs/>
        </w:rPr>
        <w:t>51</w:t>
      </w:r>
      <w:r>
        <w:t xml:space="preserve"> cohort: Planning for Survey 10 began with deployment of the Pilot Cohort Survey to 303 women in the Pilot Cohort in December 2021. The Pilot Survey was completed by 219 women, and partially completed by 4 women. Main Survey </w:t>
      </w:r>
      <w:r w:rsidR="007A4198">
        <w:t xml:space="preserve">9 </w:t>
      </w:r>
      <w:r>
        <w:t xml:space="preserve">was subsequently deployed </w:t>
      </w:r>
      <w:r w:rsidR="007A4198">
        <w:t xml:space="preserve">to 10,021 women in June 2022, when the women were aged 71 to 76 years. At </w:t>
      </w:r>
      <w:r w:rsidR="00901558">
        <w:t>31 October 2022</w:t>
      </w:r>
      <w:r w:rsidR="007A4198">
        <w:t xml:space="preserve">, surveys had been completed by </w:t>
      </w:r>
      <w:r w:rsidR="00901558">
        <w:t>5,915</w:t>
      </w:r>
      <w:r w:rsidR="007A4198">
        <w:t xml:space="preserve"> women, and partially completed by </w:t>
      </w:r>
      <w:r w:rsidR="00901558">
        <w:t xml:space="preserve">65 </w:t>
      </w:r>
      <w:r w:rsidR="007A4198">
        <w:t xml:space="preserve">women. Main Survey 10 is scheduled to close in the second half of 2023.  </w:t>
      </w:r>
      <w:r>
        <w:t xml:space="preserve"> </w:t>
      </w:r>
    </w:p>
    <w:p w14:paraId="7F090ABE" w14:textId="594291DD" w:rsidR="00BB368C" w:rsidRPr="00306719" w:rsidRDefault="00EB5A53" w:rsidP="007C433D">
      <w:pPr>
        <w:numPr>
          <w:ilvl w:val="0"/>
          <w:numId w:val="20"/>
        </w:numPr>
        <w:spacing w:after="0"/>
        <w:rPr>
          <w:b/>
          <w:i/>
        </w:rPr>
      </w:pPr>
      <w:r w:rsidRPr="00306719">
        <w:rPr>
          <w:i/>
        </w:rPr>
        <w:t>1921-26 cohort:</w:t>
      </w:r>
      <w:r w:rsidRPr="00306719">
        <w:t xml:space="preserve"> Women in this cohort receive a survey every </w:t>
      </w:r>
      <w:r w:rsidR="008D3AE4" w:rsidRPr="00306719">
        <w:t xml:space="preserve">6 </w:t>
      </w:r>
      <w:r w:rsidRPr="00306719">
        <w:t xml:space="preserve">months. The six-monthly follow-up (6MF) surveys are conducted on a rolling basis, so that women receive a survey </w:t>
      </w:r>
      <w:r w:rsidR="008D3AE4" w:rsidRPr="00306719">
        <w:t xml:space="preserve">6 </w:t>
      </w:r>
      <w:r w:rsidRPr="00306719">
        <w:t xml:space="preserve">months after they have completed their previous survey. Thus, both the numerator and denominator of the </w:t>
      </w:r>
      <w:r w:rsidRPr="00306719">
        <w:lastRenderedPageBreak/>
        <w:t>response rate are dynamic.</w:t>
      </w:r>
      <w:r w:rsidRPr="00306719" w:rsidDel="003B0501">
        <w:t xml:space="preserve"> </w:t>
      </w:r>
      <w:r w:rsidRPr="00306719">
        <w:t xml:space="preserve">The </w:t>
      </w:r>
      <w:r w:rsidR="007B1140" w:rsidRPr="00306719">
        <w:t xml:space="preserve">twenty-first </w:t>
      </w:r>
      <w:r w:rsidRPr="00306719">
        <w:t xml:space="preserve">round of survey distribution started in </w:t>
      </w:r>
      <w:r w:rsidR="00AC2E60" w:rsidRPr="00306719">
        <w:t xml:space="preserve">November </w:t>
      </w:r>
      <w:r w:rsidR="00E812DF" w:rsidRPr="00306719">
        <w:t>202</w:t>
      </w:r>
      <w:r w:rsidR="007B1140" w:rsidRPr="00306719">
        <w:t>1</w:t>
      </w:r>
      <w:r w:rsidR="00AC2E60" w:rsidRPr="00306719">
        <w:t xml:space="preserve">, and the </w:t>
      </w:r>
      <w:r w:rsidR="007B1140" w:rsidRPr="00306719">
        <w:t xml:space="preserve">twenty-second </w:t>
      </w:r>
      <w:r w:rsidR="00AC2E60" w:rsidRPr="00306719">
        <w:t xml:space="preserve">in </w:t>
      </w:r>
      <w:r w:rsidR="007A4198" w:rsidRPr="00306719">
        <w:t xml:space="preserve">June </w:t>
      </w:r>
      <w:r w:rsidR="00AC2E60" w:rsidRPr="00306719">
        <w:t>202</w:t>
      </w:r>
      <w:r w:rsidR="007B1140" w:rsidRPr="00306719">
        <w:t>2</w:t>
      </w:r>
      <w:r w:rsidR="00AC2E60" w:rsidRPr="00306719">
        <w:t xml:space="preserve">. </w:t>
      </w:r>
      <w:r w:rsidR="006F6D15" w:rsidRPr="00306719">
        <w:t xml:space="preserve"> </w:t>
      </w:r>
    </w:p>
    <w:p w14:paraId="18ED0ED0" w14:textId="5574308F" w:rsidR="00946E23" w:rsidRPr="00306719" w:rsidRDefault="007B1140" w:rsidP="00A80CB7">
      <w:pPr>
        <w:numPr>
          <w:ilvl w:val="0"/>
          <w:numId w:val="20"/>
        </w:numPr>
        <w:spacing w:after="0"/>
        <w:rPr>
          <w:b/>
          <w:i/>
        </w:rPr>
      </w:pPr>
      <w:r w:rsidRPr="00306719">
        <w:rPr>
          <w:iCs/>
        </w:rPr>
        <w:t xml:space="preserve">Recruitment commenced for </w:t>
      </w:r>
      <w:r w:rsidR="00F21B89" w:rsidRPr="00306719">
        <w:rPr>
          <w:iCs/>
        </w:rPr>
        <w:t xml:space="preserve">the ‘refresh’ of the </w:t>
      </w:r>
      <w:r w:rsidR="009445F9">
        <w:rPr>
          <w:iCs/>
        </w:rPr>
        <w:t>1973-78</w:t>
      </w:r>
      <w:r w:rsidR="00F21B89" w:rsidRPr="00306719">
        <w:rPr>
          <w:bCs/>
          <w:iCs/>
        </w:rPr>
        <w:t xml:space="preserve"> cohort with women from </w:t>
      </w:r>
      <w:r w:rsidR="007E045C" w:rsidRPr="00306719">
        <w:rPr>
          <w:bCs/>
          <w:iCs/>
        </w:rPr>
        <w:t xml:space="preserve">North-Eastern, </w:t>
      </w:r>
      <w:proofErr w:type="gramStart"/>
      <w:r w:rsidR="007E045C" w:rsidRPr="00306719">
        <w:rPr>
          <w:bCs/>
          <w:iCs/>
        </w:rPr>
        <w:t>South-Eastern</w:t>
      </w:r>
      <w:proofErr w:type="gramEnd"/>
      <w:r w:rsidR="007E045C" w:rsidRPr="00306719">
        <w:rPr>
          <w:bCs/>
          <w:iCs/>
        </w:rPr>
        <w:t xml:space="preserve"> and Southern A</w:t>
      </w:r>
      <w:r w:rsidR="00F21B89" w:rsidRPr="00306719">
        <w:rPr>
          <w:bCs/>
          <w:iCs/>
        </w:rPr>
        <w:t>sian backgrounds.</w:t>
      </w:r>
      <w:r w:rsidR="00D53CA9">
        <w:rPr>
          <w:bCs/>
          <w:iCs/>
        </w:rPr>
        <w:t xml:space="preserve"> By early November 2022, 70 women from these backgrounds had completed the survey.  Of these women, 38 (about 55%) met all the eligibility criteria for participation (i.e., provided contact details and Medicare information).  An additional 584 women have completed the survey but are not from the target backgrounds.  Similarly, only 304 (just over 50%) of these women met all the eligibility criteria for participation in the cohort.   </w:t>
      </w:r>
    </w:p>
    <w:p w14:paraId="70616B2F" w14:textId="4359C8FB" w:rsidR="00EB5A53" w:rsidRPr="00306719" w:rsidRDefault="00EB5A53" w:rsidP="00EB5A53">
      <w:pPr>
        <w:rPr>
          <w:b/>
          <w:i/>
        </w:rPr>
      </w:pPr>
      <w:r w:rsidRPr="00306719">
        <w:rPr>
          <w:b/>
          <w:i/>
        </w:rPr>
        <w:t>Maintenance of cohorts</w:t>
      </w:r>
    </w:p>
    <w:p w14:paraId="384753C6" w14:textId="238E3D65" w:rsidR="007A0DA2" w:rsidRPr="00306719" w:rsidRDefault="00EB5A53" w:rsidP="00EB5A53">
      <w:r w:rsidRPr="00306719">
        <w:t xml:space="preserve">Retention of participants in </w:t>
      </w:r>
      <w:r w:rsidR="00557772" w:rsidRPr="00306719">
        <w:t xml:space="preserve">the </w:t>
      </w:r>
      <w:r w:rsidR="008D3AE4" w:rsidRPr="00306719">
        <w:t xml:space="preserve">3 </w:t>
      </w:r>
      <w:r w:rsidR="00557772" w:rsidRPr="00306719">
        <w:t xml:space="preserve">youngest </w:t>
      </w:r>
      <w:r w:rsidRPr="00306719">
        <w:t>cohor</w:t>
      </w:r>
      <w:r w:rsidR="00557772" w:rsidRPr="00306719">
        <w:t>ts</w:t>
      </w:r>
      <w:r w:rsidR="007A0DA2" w:rsidRPr="00306719">
        <w:t xml:space="preserve"> </w:t>
      </w:r>
      <w:r w:rsidRPr="00306719">
        <w:t xml:space="preserve">has </w:t>
      </w:r>
      <w:r w:rsidR="007E49BD" w:rsidRPr="00306719">
        <w:t>remained</w:t>
      </w:r>
      <w:r w:rsidRPr="00306719">
        <w:t xml:space="preserve"> </w:t>
      </w:r>
      <w:r w:rsidR="006350D7" w:rsidRPr="00306719">
        <w:t>stable</w:t>
      </w:r>
      <w:r w:rsidRPr="00306719">
        <w:t xml:space="preserve">, at </w:t>
      </w:r>
      <w:r w:rsidR="00874B23" w:rsidRPr="00306719">
        <w:t>approximately 60% for the women born 1989-95 (now aged 2</w:t>
      </w:r>
      <w:r w:rsidR="007B1140" w:rsidRPr="00306719">
        <w:t>7</w:t>
      </w:r>
      <w:r w:rsidR="00874B23" w:rsidRPr="00306719">
        <w:t>–3</w:t>
      </w:r>
      <w:r w:rsidR="007B1140" w:rsidRPr="00306719">
        <w:t>3</w:t>
      </w:r>
      <w:r w:rsidR="00874B23" w:rsidRPr="00306719">
        <w:t>) and women born 1973-78 (now aged 4</w:t>
      </w:r>
      <w:r w:rsidR="007B1140" w:rsidRPr="00306719">
        <w:t>4</w:t>
      </w:r>
      <w:r w:rsidR="00874B23" w:rsidRPr="00306719">
        <w:t>-4</w:t>
      </w:r>
      <w:r w:rsidR="007B1140" w:rsidRPr="00306719">
        <w:t>9</w:t>
      </w:r>
      <w:r w:rsidR="00874B23" w:rsidRPr="00306719">
        <w:t>)</w:t>
      </w:r>
      <w:r w:rsidR="007A0DA2" w:rsidRPr="00306719">
        <w:t>,</w:t>
      </w:r>
      <w:r w:rsidR="00874B23" w:rsidRPr="00306719">
        <w:t xml:space="preserve"> and </w:t>
      </w:r>
      <w:r w:rsidRPr="00306719">
        <w:t xml:space="preserve">over </w:t>
      </w:r>
      <w:r w:rsidR="007814D6" w:rsidRPr="00306719">
        <w:t>75</w:t>
      </w:r>
      <w:r w:rsidRPr="00306719">
        <w:t xml:space="preserve">% for the </w:t>
      </w:r>
      <w:r w:rsidR="00557772" w:rsidRPr="00306719">
        <w:t>women born 1946-51 (now aged 7</w:t>
      </w:r>
      <w:r w:rsidR="007B1140" w:rsidRPr="00306719">
        <w:t>1</w:t>
      </w:r>
      <w:r w:rsidR="00557772" w:rsidRPr="00306719">
        <w:t>-7</w:t>
      </w:r>
      <w:r w:rsidR="007B1140" w:rsidRPr="00306719">
        <w:t>6</w:t>
      </w:r>
      <w:r w:rsidR="00557772" w:rsidRPr="00306719">
        <w:t>)</w:t>
      </w:r>
      <w:r w:rsidR="00874B23" w:rsidRPr="00306719">
        <w:t>.</w:t>
      </w:r>
      <w:r w:rsidRPr="00306719">
        <w:t xml:space="preserve"> </w:t>
      </w:r>
      <w:r w:rsidR="00874B23" w:rsidRPr="00306719">
        <w:t>Women in the oldest cohort, born 1921-26, received their last full survey in 2011, when</w:t>
      </w:r>
      <w:r w:rsidR="0018036E" w:rsidRPr="00306719">
        <w:t xml:space="preserve"> </w:t>
      </w:r>
      <w:r w:rsidR="00874B23" w:rsidRPr="00306719">
        <w:t xml:space="preserve">they were aged 85-90, </w:t>
      </w:r>
      <w:r w:rsidR="007A0DA2" w:rsidRPr="00306719">
        <w:t>which</w:t>
      </w:r>
      <w:r w:rsidR="00874B23" w:rsidRPr="00306719">
        <w:t xml:space="preserve"> was completed by just over 4,000 women. Since then, this cohort have received shortened surveys at six-monthly intervals. Now aged 9</w:t>
      </w:r>
      <w:r w:rsidR="007B1140" w:rsidRPr="00306719">
        <w:t>6</w:t>
      </w:r>
      <w:r w:rsidR="00874B23" w:rsidRPr="00306719">
        <w:t>-10</w:t>
      </w:r>
      <w:r w:rsidR="007B1140" w:rsidRPr="00306719">
        <w:t>1</w:t>
      </w:r>
      <w:r w:rsidR="00874B23" w:rsidRPr="00306719">
        <w:t xml:space="preserve"> years, there are </w:t>
      </w:r>
      <w:r w:rsidR="00C76E3E" w:rsidRPr="00306719">
        <w:t xml:space="preserve">less than </w:t>
      </w:r>
      <w:r w:rsidR="00874B23" w:rsidRPr="00306719">
        <w:t>500 women still participating</w:t>
      </w:r>
      <w:r w:rsidR="007A0DA2" w:rsidRPr="00306719">
        <w:t xml:space="preserve">, with </w:t>
      </w:r>
      <w:r w:rsidR="00C76E3E" w:rsidRPr="00306719">
        <w:t>approximately 150</w:t>
      </w:r>
      <w:r w:rsidR="007A0DA2" w:rsidRPr="00306719">
        <w:t xml:space="preserve"> returning six-mont</w:t>
      </w:r>
      <w:r w:rsidR="00EF2EA4" w:rsidRPr="00306719">
        <w:t>h</w:t>
      </w:r>
      <w:r w:rsidR="007A0DA2" w:rsidRPr="00306719">
        <w:t xml:space="preserve">ly surveys in </w:t>
      </w:r>
      <w:r w:rsidR="00C76E3E" w:rsidRPr="00306719">
        <w:t>2022</w:t>
      </w:r>
      <w:r w:rsidR="007A0DA2" w:rsidRPr="00306719">
        <w:t>.</w:t>
      </w:r>
    </w:p>
    <w:p w14:paraId="6459E315" w14:textId="3DFA73D1" w:rsidR="00EB5A53" w:rsidRPr="0066508C" w:rsidRDefault="00EB6AD0" w:rsidP="00EB5A53">
      <w:r w:rsidRPr="00306719">
        <w:rPr>
          <w:rFonts w:cstheme="minorHAnsi"/>
        </w:rPr>
        <w:t xml:space="preserve">Since the initial ALSWH participants were recruited, their representativeness of the Australian population has declined due to immigration. This is particularly apparent for women from North-East Asia (mainly China, Hong Kong, Taiwan, </w:t>
      </w:r>
      <w:proofErr w:type="gramStart"/>
      <w:r w:rsidRPr="00306719">
        <w:rPr>
          <w:rFonts w:cstheme="minorHAnsi"/>
        </w:rPr>
        <w:t>Japan</w:t>
      </w:r>
      <w:proofErr w:type="gramEnd"/>
      <w:r w:rsidRPr="00306719">
        <w:rPr>
          <w:rFonts w:cstheme="minorHAnsi"/>
        </w:rPr>
        <w:t xml:space="preserve"> and Korea), South-East Asia (e.g., Vietnam, Indonesia and the Philippines) and South Asia (including India, Sri Lanka and Pakistan) in the 1989-95 and 1973-78 cohorts.  According to the 2016 Census, about 10-15% of the general population of women were born in these countries, but for women in the two youngest ALSWH cohorts, only about 1-2% were born in these regions. </w:t>
      </w:r>
      <w:r w:rsidR="00EF2EA4" w:rsidRPr="00306719">
        <w:t xml:space="preserve">To </w:t>
      </w:r>
      <w:r w:rsidR="00C76E3E" w:rsidRPr="00306719">
        <w:t>address this imbalance</w:t>
      </w:r>
      <w:r w:rsidR="00EF2EA4" w:rsidRPr="00306719">
        <w:t xml:space="preserve">, recruitment of at least 1,000 women with ancestry </w:t>
      </w:r>
      <w:r w:rsidR="00656531" w:rsidRPr="00306719">
        <w:t>from North-East</w:t>
      </w:r>
      <w:r w:rsidR="007E045C" w:rsidRPr="00306719">
        <w:t>ern</w:t>
      </w:r>
      <w:r w:rsidR="00656531" w:rsidRPr="00306719">
        <w:t>, South-East</w:t>
      </w:r>
      <w:r w:rsidR="007E045C" w:rsidRPr="00306719">
        <w:t>ern</w:t>
      </w:r>
      <w:r w:rsidR="00656531" w:rsidRPr="00306719">
        <w:t xml:space="preserve"> and Southern Asia </w:t>
      </w:r>
      <w:r w:rsidR="00227D2A" w:rsidRPr="00306719">
        <w:t xml:space="preserve">to the 1973-78 cohort </w:t>
      </w:r>
      <w:r w:rsidR="00C76E3E" w:rsidRPr="00306719">
        <w:t xml:space="preserve">began </w:t>
      </w:r>
      <w:r w:rsidR="00EF2EA4" w:rsidRPr="00306719">
        <w:t>this year</w:t>
      </w:r>
      <w:r w:rsidR="00C76E3E" w:rsidRPr="00306719">
        <w:t>. R</w:t>
      </w:r>
      <w:r w:rsidR="00EF2EA4" w:rsidRPr="00306719">
        <w:t>ecruitment for the 1989-95 cohort</w:t>
      </w:r>
      <w:r w:rsidR="00C76E3E" w:rsidRPr="00306719">
        <w:t xml:space="preserve"> is expected to begin </w:t>
      </w:r>
      <w:r w:rsidR="00EF2EA4" w:rsidRPr="00306719">
        <w:t>in 2023.</w:t>
      </w:r>
      <w:r w:rsidR="00EF2EA4" w:rsidRPr="0066508C">
        <w:t xml:space="preserve"> </w:t>
      </w:r>
    </w:p>
    <w:p w14:paraId="676983F4" w14:textId="78C951A7" w:rsidR="00EB5A53" w:rsidRPr="00746BC0" w:rsidRDefault="00EB5A53" w:rsidP="00EB5A53">
      <w:pPr>
        <w:rPr>
          <w:b/>
          <w:i/>
        </w:rPr>
      </w:pPr>
      <w:r w:rsidRPr="00746BC0">
        <w:rPr>
          <w:b/>
          <w:i/>
        </w:rPr>
        <w:t>Data linkage</w:t>
      </w:r>
    </w:p>
    <w:p w14:paraId="0326DFEB" w14:textId="4C4131C0" w:rsidR="00BB368C" w:rsidRPr="0066508C" w:rsidRDefault="00EB5A53" w:rsidP="000C3B3F">
      <w:r w:rsidRPr="00746BC0">
        <w:t xml:space="preserve">Data linkage has continued to be an important component of the Study. </w:t>
      </w:r>
      <w:r w:rsidR="00683B12" w:rsidRPr="00841EDE">
        <w:t>Thirty-</w:t>
      </w:r>
      <w:r w:rsidR="00746BC0" w:rsidRPr="00841EDE">
        <w:t xml:space="preserve">four </w:t>
      </w:r>
      <w:r w:rsidRPr="00841EDE">
        <w:t>administrative</w:t>
      </w:r>
      <w:r w:rsidRPr="00746BC0">
        <w:t xml:space="preserve"> datasets are linked with survey data</w:t>
      </w:r>
      <w:r w:rsidR="003444B8" w:rsidRPr="00746BC0">
        <w:t xml:space="preserve"> </w:t>
      </w:r>
      <w:r w:rsidR="00746BC0" w:rsidRPr="00746BC0">
        <w:t xml:space="preserve">(including data from the Mothers and their Children’s Health </w:t>
      </w:r>
      <w:r w:rsidR="003B3422" w:rsidRPr="00746BC0">
        <w:t>sub study</w:t>
      </w:r>
      <w:r w:rsidR="00746BC0" w:rsidRPr="00746BC0">
        <w:t xml:space="preserve">) </w:t>
      </w:r>
      <w:r w:rsidR="003444B8" w:rsidRPr="00746BC0">
        <w:t xml:space="preserve">and </w:t>
      </w:r>
      <w:r w:rsidR="00746BC0" w:rsidRPr="00841EDE">
        <w:t>2</w:t>
      </w:r>
      <w:r w:rsidR="00746BC0" w:rsidRPr="00746BC0">
        <w:t xml:space="preserve">64 </w:t>
      </w:r>
      <w:r w:rsidR="003444B8" w:rsidRPr="00746BC0">
        <w:t xml:space="preserve">projects are currently </w:t>
      </w:r>
      <w:r w:rsidR="00BD1EDB" w:rsidRPr="00746BC0">
        <w:t>approved to use the l</w:t>
      </w:r>
      <w:r w:rsidR="003444B8" w:rsidRPr="00746BC0">
        <w:t>inked data.</w:t>
      </w:r>
      <w:r w:rsidR="006F6D15" w:rsidRPr="00746BC0">
        <w:t xml:space="preserve"> </w:t>
      </w:r>
      <w:r w:rsidR="00237A17" w:rsidRPr="00841EDE">
        <w:t xml:space="preserve">This year we </w:t>
      </w:r>
      <w:r w:rsidR="00746BC0" w:rsidRPr="00841EDE">
        <w:t xml:space="preserve">updated and expanded </w:t>
      </w:r>
      <w:r w:rsidR="00237A17" w:rsidRPr="00841EDE">
        <w:t xml:space="preserve">the ALSWH </w:t>
      </w:r>
      <w:r w:rsidR="00746BC0" w:rsidRPr="00841EDE">
        <w:t xml:space="preserve">Common </w:t>
      </w:r>
      <w:r w:rsidR="00237A17" w:rsidRPr="00841EDE">
        <w:t xml:space="preserve">Conditions from Multiple Sources (CCMS) datasets, which contain indicator variables for </w:t>
      </w:r>
      <w:r w:rsidR="00C825D4" w:rsidRPr="00841EDE">
        <w:t xml:space="preserve">8 </w:t>
      </w:r>
      <w:r w:rsidR="00237A17" w:rsidRPr="00841EDE">
        <w:t>common chronic conditions (cancer, dementia, diabetes, ischaemic heart disease, mental health, musculoskeletal conditions, respiratory conditions, and stroke) derived from both survey</w:t>
      </w:r>
      <w:r w:rsidR="00237A17" w:rsidRPr="00746BC0">
        <w:t xml:space="preserve"> and linked health record data. These datasets have been made available to research collaborators, subject to standard ethics/data custodian approvals for linked data. </w:t>
      </w:r>
      <w:r w:rsidR="003444B8" w:rsidRPr="00746BC0">
        <w:t xml:space="preserve">Analyses using linked data have been included in </w:t>
      </w:r>
      <w:r w:rsidR="00BD1EDB" w:rsidRPr="00746BC0">
        <w:t xml:space="preserve">over </w:t>
      </w:r>
      <w:r w:rsidR="00746BC0" w:rsidRPr="00746BC0">
        <w:t>11</w:t>
      </w:r>
      <w:r w:rsidR="00B3546C">
        <w:t xml:space="preserve">0 </w:t>
      </w:r>
      <w:r w:rsidR="003444B8" w:rsidRPr="00746BC0">
        <w:t>publications (journal articles and reports).</w:t>
      </w:r>
      <w:r w:rsidR="007A1AC4" w:rsidRPr="00746BC0">
        <w:t xml:space="preserve"> </w:t>
      </w:r>
      <w:r w:rsidR="00237A17" w:rsidRPr="00746BC0">
        <w:t xml:space="preserve">Planning also </w:t>
      </w:r>
      <w:r w:rsidR="00746BC0" w:rsidRPr="00746BC0">
        <w:t xml:space="preserve">continued </w:t>
      </w:r>
      <w:r w:rsidR="00237A17" w:rsidRPr="00746BC0">
        <w:t>this year to access a Secure e-Research Platform (SERP).</w:t>
      </w:r>
    </w:p>
    <w:p w14:paraId="29239D6A" w14:textId="24927A7D" w:rsidR="00EB5A53" w:rsidRPr="0066508C" w:rsidRDefault="00EB5A53" w:rsidP="00EB5A53">
      <w:pPr>
        <w:rPr>
          <w:b/>
          <w:i/>
        </w:rPr>
      </w:pPr>
      <w:r w:rsidRPr="0066508C">
        <w:rPr>
          <w:b/>
          <w:i/>
        </w:rPr>
        <w:lastRenderedPageBreak/>
        <w:t>Archiving</w:t>
      </w:r>
    </w:p>
    <w:p w14:paraId="565AB071" w14:textId="32B46237" w:rsidR="00EB5A53" w:rsidRPr="0066508C" w:rsidRDefault="00EB5A53" w:rsidP="00EB5A53">
      <w:r w:rsidRPr="00EF5028">
        <w:t xml:space="preserve">ALSWH data are routinely archived with the Australian Data Archive (ADA). In </w:t>
      </w:r>
      <w:r w:rsidR="008D5FF6" w:rsidRPr="00EF5028">
        <w:t>202</w:t>
      </w:r>
      <w:r w:rsidR="00AB282F" w:rsidRPr="00EF5028">
        <w:t>2</w:t>
      </w:r>
      <w:r w:rsidRPr="00EF5028">
        <w:t xml:space="preserve">, </w:t>
      </w:r>
      <w:r w:rsidR="00237A17" w:rsidRPr="00EF5028">
        <w:t xml:space="preserve">recent data </w:t>
      </w:r>
      <w:r w:rsidR="008D5FF6" w:rsidRPr="00EF5028">
        <w:t xml:space="preserve">from the </w:t>
      </w:r>
      <w:r w:rsidR="00276B0A" w:rsidRPr="00EF5028">
        <w:t xml:space="preserve">ongoing </w:t>
      </w:r>
      <w:r w:rsidR="0064684C" w:rsidRPr="00EF5028">
        <w:t>six-month follow-up surveys of the 1921-26 cohort</w:t>
      </w:r>
      <w:r w:rsidR="00EF5028" w:rsidRPr="00EF5028">
        <w:t xml:space="preserve"> was archived</w:t>
      </w:r>
      <w:r w:rsidR="00237A17" w:rsidRPr="00EF5028">
        <w:t>.</w:t>
      </w:r>
    </w:p>
    <w:p w14:paraId="702FBD15" w14:textId="7CFC23F6" w:rsidR="00EB5A53" w:rsidRPr="0066508C" w:rsidRDefault="00EB5A53" w:rsidP="00EB5A53">
      <w:pPr>
        <w:rPr>
          <w:b/>
          <w:i/>
        </w:rPr>
      </w:pPr>
      <w:r w:rsidRPr="0066508C">
        <w:rPr>
          <w:b/>
          <w:i/>
        </w:rPr>
        <w:t>Methodological issues</w:t>
      </w:r>
    </w:p>
    <w:p w14:paraId="25DE661D" w14:textId="0E7C74A2" w:rsidR="0087712A" w:rsidRPr="00EF5028" w:rsidRDefault="00EB5A53" w:rsidP="00EB5A53">
      <w:proofErr w:type="gramStart"/>
      <w:r w:rsidRPr="00EF5028">
        <w:t>A number of</w:t>
      </w:r>
      <w:proofErr w:type="gramEnd"/>
      <w:r w:rsidRPr="00EF5028">
        <w:t xml:space="preserve"> important methodological issues have been </w:t>
      </w:r>
      <w:r w:rsidR="003E755F" w:rsidRPr="00EF5028">
        <w:t xml:space="preserve">considered </w:t>
      </w:r>
      <w:r w:rsidRPr="00EF5028">
        <w:t xml:space="preserve">during </w:t>
      </w:r>
      <w:r w:rsidR="00D84D9A" w:rsidRPr="00EF5028">
        <w:t>202</w:t>
      </w:r>
      <w:r w:rsidR="007B1140" w:rsidRPr="00EF5028">
        <w:t>2</w:t>
      </w:r>
      <w:r w:rsidR="00AA4E77" w:rsidRPr="00EF5028">
        <w:t xml:space="preserve"> </w:t>
      </w:r>
      <w:r w:rsidRPr="00EF5028">
        <w:t>including</w:t>
      </w:r>
      <w:r w:rsidR="0087712A" w:rsidRPr="00EF5028">
        <w:t>:</w:t>
      </w:r>
    </w:p>
    <w:p w14:paraId="53B7EBDD" w14:textId="5646D703" w:rsidR="0087712A" w:rsidRPr="00B06975" w:rsidRDefault="00EF5028" w:rsidP="006B02B6">
      <w:pPr>
        <w:numPr>
          <w:ilvl w:val="0"/>
          <w:numId w:val="51"/>
        </w:numPr>
      </w:pPr>
      <w:r w:rsidRPr="00B06975">
        <w:t>changes to how the mean stress variable is derived</w:t>
      </w:r>
      <w:r>
        <w:t xml:space="preserve"> </w:t>
      </w:r>
    </w:p>
    <w:p w14:paraId="4BDA3AB0" w14:textId="424FD697" w:rsidR="00D84D9A" w:rsidRPr="00B06975" w:rsidRDefault="00EF5028" w:rsidP="006B02B6">
      <w:pPr>
        <w:numPr>
          <w:ilvl w:val="0"/>
          <w:numId w:val="51"/>
        </w:numPr>
      </w:pPr>
      <w:r w:rsidRPr="00B06975">
        <w:t xml:space="preserve">measurement of sexual violence in ALSWH </w:t>
      </w:r>
      <w:r w:rsidR="00884FAF">
        <w:t>su</w:t>
      </w:r>
      <w:r w:rsidR="001A6D63">
        <w:t>r</w:t>
      </w:r>
      <w:r w:rsidR="00884FAF">
        <w:t>veys</w:t>
      </w:r>
    </w:p>
    <w:p w14:paraId="4388ACD5" w14:textId="1339B40C" w:rsidR="00D84D9A" w:rsidRPr="00B06975" w:rsidRDefault="00EF5028" w:rsidP="006B02B6">
      <w:pPr>
        <w:numPr>
          <w:ilvl w:val="0"/>
          <w:numId w:val="51"/>
        </w:numPr>
      </w:pPr>
      <w:r w:rsidRPr="00B06975">
        <w:t>calculation of SEIFA percentiles</w:t>
      </w:r>
    </w:p>
    <w:p w14:paraId="2C5035EB" w14:textId="27D9F1A5" w:rsidR="00EB5A53" w:rsidRPr="0066508C" w:rsidRDefault="00EB5A53" w:rsidP="00EB5A53">
      <w:pPr>
        <w:rPr>
          <w:b/>
          <w:i/>
        </w:rPr>
      </w:pPr>
      <w:r w:rsidRPr="0066508C">
        <w:rPr>
          <w:b/>
          <w:i/>
        </w:rPr>
        <w:t xml:space="preserve">Major report </w:t>
      </w:r>
      <w:r w:rsidR="0064541D" w:rsidRPr="0066508C">
        <w:rPr>
          <w:b/>
          <w:i/>
        </w:rPr>
        <w:t>2021</w:t>
      </w:r>
    </w:p>
    <w:p w14:paraId="34BE55AE" w14:textId="1663A26A" w:rsidR="0064541D" w:rsidRDefault="0064541D" w:rsidP="0064541D">
      <w:r>
        <w:t xml:space="preserve">The </w:t>
      </w:r>
      <w:r w:rsidR="007B1140">
        <w:t xml:space="preserve">2022 </w:t>
      </w:r>
      <w:r>
        <w:t>Major Report focused on</w:t>
      </w:r>
      <w:r w:rsidR="0019343E">
        <w:t xml:space="preserve"> women’s health and risk factors at mid-life.</w:t>
      </w:r>
      <w:r>
        <w:t xml:space="preserve"> A summary is included here </w:t>
      </w:r>
      <w:r w:rsidR="00842630">
        <w:t xml:space="preserve">in </w:t>
      </w:r>
      <w:hyperlink w:anchor="_2021_Major_Report" w:history="1">
        <w:r w:rsidR="00842630" w:rsidRPr="00842630">
          <w:rPr>
            <w:rStyle w:val="Hyperlink"/>
          </w:rPr>
          <w:t>Section 8</w:t>
        </w:r>
      </w:hyperlink>
      <w:r w:rsidR="00842630">
        <w:t xml:space="preserve"> </w:t>
      </w:r>
      <w:r>
        <w:t xml:space="preserve">– the </w:t>
      </w:r>
      <w:hyperlink r:id="rId17" w:history="1">
        <w:r w:rsidRPr="002A5E54">
          <w:rPr>
            <w:rStyle w:val="Hyperlink"/>
          </w:rPr>
          <w:t>full report</w:t>
        </w:r>
      </w:hyperlink>
      <w:r>
        <w:t xml:space="preserve"> is available on the Study website.</w:t>
      </w:r>
    </w:p>
    <w:p w14:paraId="28ECCD28" w14:textId="3B554EFB" w:rsidR="00EB5A53" w:rsidRPr="00B9354F" w:rsidRDefault="00EB5A53" w:rsidP="00EB5A53">
      <w:pPr>
        <w:rPr>
          <w:b/>
          <w:i/>
        </w:rPr>
      </w:pPr>
      <w:r w:rsidRPr="00B9354F">
        <w:rPr>
          <w:b/>
          <w:i/>
        </w:rPr>
        <w:t>Dissemination of study findings</w:t>
      </w:r>
    </w:p>
    <w:p w14:paraId="1F873D24" w14:textId="7CA4E327" w:rsidR="00EB5A53" w:rsidRPr="00B9354F" w:rsidRDefault="00F16BF6" w:rsidP="00EB5A53">
      <w:r w:rsidRPr="00B9354F">
        <w:t xml:space="preserve">Since </w:t>
      </w:r>
      <w:r w:rsidR="0052219E">
        <w:t>November</w:t>
      </w:r>
      <w:r w:rsidR="0052219E" w:rsidRPr="00B9354F">
        <w:t xml:space="preserve"> </w:t>
      </w:r>
      <w:r w:rsidR="00D85573" w:rsidRPr="00B9354F">
        <w:t>202</w:t>
      </w:r>
      <w:r w:rsidR="00E51CB4">
        <w:t>1</w:t>
      </w:r>
      <w:r w:rsidRPr="00B9354F">
        <w:t xml:space="preserve">, </w:t>
      </w:r>
      <w:r w:rsidR="002B2D8C">
        <w:t xml:space="preserve">42 </w:t>
      </w:r>
      <w:r w:rsidR="00EB5A53" w:rsidRPr="00B9354F">
        <w:t xml:space="preserve">papers have been published in national and international scientific journals, and </w:t>
      </w:r>
      <w:r w:rsidR="00B3546C">
        <w:t xml:space="preserve">26 </w:t>
      </w:r>
      <w:r w:rsidR="00EB5A53" w:rsidRPr="00B9354F">
        <w:t>presentations have been made to scientific and professional audiences both in Australia and internationally</w:t>
      </w:r>
      <w:r w:rsidR="006F6D15" w:rsidRPr="00B9354F">
        <w:t xml:space="preserve"> </w:t>
      </w:r>
      <w:r w:rsidR="00AB11B6" w:rsidRPr="00B9354F">
        <w:t>(</w:t>
      </w:r>
      <w:r w:rsidR="0098104F">
        <w:t>c</w:t>
      </w:r>
      <w:r w:rsidR="00AB11B6" w:rsidRPr="00B9354F">
        <w:t xml:space="preserve">onference attendance has </w:t>
      </w:r>
      <w:r w:rsidR="00D85573" w:rsidRPr="00B9354F">
        <w:t>continued to be</w:t>
      </w:r>
      <w:r w:rsidR="0018036E">
        <w:t xml:space="preserve"> </w:t>
      </w:r>
      <w:r w:rsidR="0052219E">
        <w:t xml:space="preserve">somewhat </w:t>
      </w:r>
      <w:r w:rsidR="00AB11B6" w:rsidRPr="00B9354F">
        <w:t xml:space="preserve">affected by COVID-19 restrictions). </w:t>
      </w:r>
      <w:r w:rsidR="00EB5A53" w:rsidRPr="00B9354F">
        <w:t xml:space="preserve">During the year, the Study website </w:t>
      </w:r>
      <w:r w:rsidR="00E23CC9" w:rsidRPr="00B9354F">
        <w:t>has been</w:t>
      </w:r>
      <w:r w:rsidR="00EB5A53" w:rsidRPr="00B9354F">
        <w:t xml:space="preserve"> </w:t>
      </w:r>
      <w:r w:rsidR="00086142" w:rsidRPr="00B9354F">
        <w:t>updated regularly with new reports and published journal articles</w:t>
      </w:r>
      <w:r w:rsidR="00EB5A53" w:rsidRPr="00B9354F">
        <w:t xml:space="preserve">, and new factsheets </w:t>
      </w:r>
      <w:r w:rsidR="00E23CC9" w:rsidRPr="00B9354F">
        <w:t xml:space="preserve">have been </w:t>
      </w:r>
      <w:r w:rsidR="00EB5A53" w:rsidRPr="00B9354F">
        <w:t>made available on the resources page.</w:t>
      </w:r>
      <w:r w:rsidR="006F6D15" w:rsidRPr="00B9354F">
        <w:t xml:space="preserve"> </w:t>
      </w:r>
      <w:r w:rsidR="003E755F">
        <w:t xml:space="preserve">Newsletters have been distributed to participants, research collaborators, and other stakeholders. </w:t>
      </w:r>
      <w:r w:rsidR="00EB5A53" w:rsidRPr="00B9354F">
        <w:t xml:space="preserve">Social media continued to be used as </w:t>
      </w:r>
      <w:r w:rsidR="0085483B" w:rsidRPr="00B9354F">
        <w:t>a communication tool</w:t>
      </w:r>
      <w:r w:rsidR="00086142" w:rsidRPr="00B9354F">
        <w:t>.</w:t>
      </w:r>
      <w:r w:rsidR="00AF601E" w:rsidRPr="00B9354F">
        <w:t xml:space="preserve"> </w:t>
      </w:r>
    </w:p>
    <w:p w14:paraId="22415E1B" w14:textId="3EF24B4F" w:rsidR="00EB5A53" w:rsidRPr="00B9354F" w:rsidRDefault="00EB5A53" w:rsidP="00EB5A53">
      <w:pPr>
        <w:rPr>
          <w:b/>
          <w:i/>
        </w:rPr>
      </w:pPr>
      <w:r w:rsidRPr="00B9354F">
        <w:rPr>
          <w:b/>
          <w:i/>
        </w:rPr>
        <w:t>Collaborative research activities</w:t>
      </w:r>
    </w:p>
    <w:p w14:paraId="77F82A83" w14:textId="1CE94FA6" w:rsidR="007A1AC4" w:rsidRPr="00B9354F" w:rsidRDefault="00EA5E04" w:rsidP="00EB5A53">
      <w:r w:rsidRPr="00B9354F">
        <w:t xml:space="preserve">Since December </w:t>
      </w:r>
      <w:r w:rsidR="00E51CB4" w:rsidRPr="00B9354F">
        <w:t>202</w:t>
      </w:r>
      <w:r w:rsidR="00E51CB4">
        <w:t>1</w:t>
      </w:r>
      <w:r w:rsidR="00F16BF6" w:rsidRPr="00B9354F">
        <w:t xml:space="preserve">, </w:t>
      </w:r>
      <w:r w:rsidR="00EB5A53" w:rsidRPr="00B9354F">
        <w:t>data access has been approved</w:t>
      </w:r>
      <w:r w:rsidR="00123E10" w:rsidRPr="00B9354F">
        <w:t xml:space="preserve"> </w:t>
      </w:r>
      <w:r w:rsidR="00EB5A53" w:rsidRPr="00EF5028">
        <w:t xml:space="preserve">for </w:t>
      </w:r>
      <w:r w:rsidR="00B3546C">
        <w:t>32</w:t>
      </w:r>
      <w:r w:rsidR="00B3546C" w:rsidRPr="00EF5028">
        <w:t xml:space="preserve"> </w:t>
      </w:r>
      <w:r w:rsidR="00EB5A53" w:rsidRPr="00EF5028">
        <w:t xml:space="preserve">new </w:t>
      </w:r>
      <w:r w:rsidR="00EF5028">
        <w:t xml:space="preserve">or amended </w:t>
      </w:r>
      <w:r w:rsidR="00EB5A53" w:rsidRPr="00EF5028">
        <w:t>research</w:t>
      </w:r>
      <w:r w:rsidR="00EB5A53" w:rsidRPr="00B9354F">
        <w:t xml:space="preserve"> projects conducted by researchers at institutions across Australia and overseas. Progress reports have been provided for existing projects investigating</w:t>
      </w:r>
      <w:r w:rsidR="007A1AC4" w:rsidRPr="00B9354F">
        <w:t xml:space="preserve"> the following topics:</w:t>
      </w:r>
    </w:p>
    <w:p w14:paraId="71600E5C" w14:textId="32D606DE" w:rsidR="00BB368C" w:rsidRPr="00B9354F" w:rsidRDefault="007A1AC4" w:rsidP="00BB7C1F">
      <w:pPr>
        <w:numPr>
          <w:ilvl w:val="0"/>
          <w:numId w:val="47"/>
        </w:numPr>
      </w:pPr>
      <w:r w:rsidRPr="00B9354F">
        <w:t>C</w:t>
      </w:r>
      <w:r w:rsidR="00EB5A53" w:rsidRPr="00B9354F">
        <w:t>hronic conditions</w:t>
      </w:r>
      <w:r w:rsidRPr="00B9354F">
        <w:t xml:space="preserve"> (s</w:t>
      </w:r>
      <w:r w:rsidR="00EB5A53" w:rsidRPr="00B9354F">
        <w:t xml:space="preserve">uch as </w:t>
      </w:r>
      <w:r w:rsidR="0085483B" w:rsidRPr="00B9354F">
        <w:t>arthritis</w:t>
      </w:r>
      <w:r w:rsidR="00EB5A53" w:rsidRPr="00B9354F">
        <w:t xml:space="preserve">, cardiovascular conditions, </w:t>
      </w:r>
      <w:proofErr w:type="gramStart"/>
      <w:r w:rsidR="00EB5A53" w:rsidRPr="00B9354F">
        <w:t>cancer</w:t>
      </w:r>
      <w:proofErr w:type="gramEnd"/>
      <w:r w:rsidR="00EB5A53" w:rsidRPr="00B9354F">
        <w:t xml:space="preserve"> and diabetes</w:t>
      </w:r>
      <w:r w:rsidRPr="00B9354F">
        <w:t xml:space="preserve">) </w:t>
      </w:r>
    </w:p>
    <w:p w14:paraId="0AFCA237" w14:textId="0D13CF5E" w:rsidR="007A1AC4" w:rsidRPr="00B9354F" w:rsidRDefault="007A1AC4" w:rsidP="00BB7C1F">
      <w:pPr>
        <w:numPr>
          <w:ilvl w:val="0"/>
          <w:numId w:val="47"/>
        </w:numPr>
      </w:pPr>
      <w:r w:rsidRPr="00B9354F">
        <w:t>H</w:t>
      </w:r>
      <w:r w:rsidR="00EB5A53" w:rsidRPr="00B9354F">
        <w:t>ealth service use and systems</w:t>
      </w:r>
    </w:p>
    <w:p w14:paraId="53DFE903" w14:textId="022DE3C9" w:rsidR="007A1AC4" w:rsidRPr="00B9354F" w:rsidRDefault="007A1AC4" w:rsidP="00BB7C1F">
      <w:pPr>
        <w:numPr>
          <w:ilvl w:val="0"/>
          <w:numId w:val="47"/>
        </w:numPr>
      </w:pPr>
      <w:r w:rsidRPr="00B9354F">
        <w:t>Mental health</w:t>
      </w:r>
    </w:p>
    <w:p w14:paraId="283CC69E" w14:textId="303B944C" w:rsidR="007A1AC4" w:rsidRPr="00B9354F" w:rsidRDefault="007A1AC4" w:rsidP="00BB7C1F">
      <w:pPr>
        <w:numPr>
          <w:ilvl w:val="0"/>
          <w:numId w:val="47"/>
        </w:numPr>
      </w:pPr>
      <w:r w:rsidRPr="00B9354F">
        <w:t>Ageing</w:t>
      </w:r>
      <w:r w:rsidR="00472635" w:rsidRPr="00B9354F">
        <w:t xml:space="preserve"> and aged care</w:t>
      </w:r>
    </w:p>
    <w:p w14:paraId="5F86D089" w14:textId="323C900B" w:rsidR="007A1AC4" w:rsidRPr="00B9354F" w:rsidRDefault="007A1AC4" w:rsidP="00BB7C1F">
      <w:pPr>
        <w:numPr>
          <w:ilvl w:val="0"/>
          <w:numId w:val="47"/>
        </w:numPr>
      </w:pPr>
      <w:r w:rsidRPr="00B9354F">
        <w:t>Reproductive health</w:t>
      </w:r>
    </w:p>
    <w:p w14:paraId="721F42B4" w14:textId="2B8774AE" w:rsidR="007A1AC4" w:rsidRPr="00B9354F" w:rsidRDefault="007A1AC4" w:rsidP="00BB7C1F">
      <w:pPr>
        <w:numPr>
          <w:ilvl w:val="0"/>
          <w:numId w:val="47"/>
        </w:numPr>
      </w:pPr>
      <w:r w:rsidRPr="00B9354F">
        <w:t>Methodological issues</w:t>
      </w:r>
    </w:p>
    <w:p w14:paraId="5AAD0A11" w14:textId="1A326B6D" w:rsidR="007A1AC4" w:rsidRPr="00B9354F" w:rsidRDefault="007A1AC4" w:rsidP="00BB7C1F">
      <w:pPr>
        <w:numPr>
          <w:ilvl w:val="0"/>
          <w:numId w:val="47"/>
        </w:numPr>
      </w:pPr>
      <w:r w:rsidRPr="00B9354F">
        <w:t>Tobacco, alcohol</w:t>
      </w:r>
      <w:r w:rsidR="008E3249">
        <w:t>,</w:t>
      </w:r>
      <w:r w:rsidRPr="00B9354F">
        <w:t xml:space="preserve"> and other drugs </w:t>
      </w:r>
    </w:p>
    <w:p w14:paraId="2518E450" w14:textId="20C86064" w:rsidR="007A1AC4" w:rsidRPr="00B9354F" w:rsidRDefault="007A1AC4" w:rsidP="00BB7C1F">
      <w:pPr>
        <w:numPr>
          <w:ilvl w:val="0"/>
          <w:numId w:val="47"/>
        </w:numPr>
      </w:pPr>
      <w:r w:rsidRPr="00B9354F">
        <w:lastRenderedPageBreak/>
        <w:t xml:space="preserve">Medications </w:t>
      </w:r>
    </w:p>
    <w:p w14:paraId="3AADED15" w14:textId="7D6DE524" w:rsidR="007A1AC4" w:rsidRPr="00B9354F" w:rsidRDefault="007A1AC4" w:rsidP="00BB7C1F">
      <w:pPr>
        <w:numPr>
          <w:ilvl w:val="0"/>
          <w:numId w:val="47"/>
        </w:numPr>
      </w:pPr>
      <w:r w:rsidRPr="00B9354F">
        <w:t xml:space="preserve">Weight, </w:t>
      </w:r>
      <w:proofErr w:type="gramStart"/>
      <w:r w:rsidRPr="00B9354F">
        <w:t>nutrition</w:t>
      </w:r>
      <w:proofErr w:type="gramEnd"/>
      <w:r w:rsidRPr="00B9354F">
        <w:t xml:space="preserve"> and physical activity</w:t>
      </w:r>
    </w:p>
    <w:p w14:paraId="68A7C2BA" w14:textId="27A3DD08" w:rsidR="007A1AC4" w:rsidRPr="00B9354F" w:rsidRDefault="007A1AC4" w:rsidP="00BB7C1F">
      <w:pPr>
        <w:numPr>
          <w:ilvl w:val="0"/>
          <w:numId w:val="47"/>
        </w:numPr>
      </w:pPr>
      <w:r w:rsidRPr="00B9354F">
        <w:t>S</w:t>
      </w:r>
      <w:r w:rsidR="00EB5A53" w:rsidRPr="00B9354F">
        <w:t>ocial factors in health and well-</w:t>
      </w:r>
      <w:r w:rsidRPr="00B9354F">
        <w:t>being</w:t>
      </w:r>
    </w:p>
    <w:p w14:paraId="49B384C8" w14:textId="4B790192" w:rsidR="007A1AC4" w:rsidRPr="00B9354F" w:rsidRDefault="00472635" w:rsidP="00BB7C1F">
      <w:pPr>
        <w:numPr>
          <w:ilvl w:val="0"/>
          <w:numId w:val="47"/>
        </w:numPr>
      </w:pPr>
      <w:r w:rsidRPr="00B9354F">
        <w:t>Caregiving</w:t>
      </w:r>
    </w:p>
    <w:p w14:paraId="63B4E042" w14:textId="5DE3126F" w:rsidR="007A1AC4" w:rsidRPr="00B9354F" w:rsidRDefault="007A1AC4" w:rsidP="00BB7C1F">
      <w:pPr>
        <w:numPr>
          <w:ilvl w:val="0"/>
          <w:numId w:val="47"/>
        </w:numPr>
      </w:pPr>
      <w:r w:rsidRPr="00B9354F">
        <w:t>Abuse</w:t>
      </w:r>
      <w:r w:rsidR="00EB5A53" w:rsidRPr="00B9354F">
        <w:t xml:space="preserve"> </w:t>
      </w:r>
    </w:p>
    <w:p w14:paraId="6EDD18B8" w14:textId="34336A94" w:rsidR="002568B0" w:rsidRPr="00B9354F" w:rsidRDefault="004B6839" w:rsidP="00EB5A53">
      <w:r>
        <w:t>67</w:t>
      </w:r>
      <w:r w:rsidR="008D3AE4" w:rsidRPr="00B9354F">
        <w:t xml:space="preserve"> </w:t>
      </w:r>
      <w:r w:rsidR="00EB5A53" w:rsidRPr="00B9354F">
        <w:t>postgraduate students are currently working on aspects of the project.</w:t>
      </w:r>
      <w:r w:rsidR="00842630">
        <w:t xml:space="preserve"> </w:t>
      </w:r>
      <w:r w:rsidR="002568B0">
        <w:t xml:space="preserve">Progress summaries </w:t>
      </w:r>
      <w:r w:rsidR="00842630">
        <w:t xml:space="preserve">of all collaborative research projects </w:t>
      </w:r>
      <w:r w:rsidR="002568B0">
        <w:t>are provided in Appendi</w:t>
      </w:r>
      <w:r w:rsidR="00683B12">
        <w:t>x</w:t>
      </w:r>
      <w:r w:rsidR="00842630">
        <w:t xml:space="preserve">es A, B and C. </w:t>
      </w:r>
    </w:p>
    <w:p w14:paraId="363473B6" w14:textId="4BB902D9" w:rsidR="00EB5A53" w:rsidRPr="00B9354F" w:rsidRDefault="00EB5A53" w:rsidP="00EB5A53">
      <w:pPr>
        <w:rPr>
          <w:b/>
          <w:i/>
        </w:rPr>
      </w:pPr>
      <w:r w:rsidRPr="00B9354F">
        <w:rPr>
          <w:b/>
          <w:i/>
        </w:rPr>
        <w:t>Staff</w:t>
      </w:r>
    </w:p>
    <w:p w14:paraId="1547D0A1" w14:textId="522DCD5B" w:rsidR="000A5C8D" w:rsidRDefault="00EB5A53" w:rsidP="00EB5A53">
      <w:r w:rsidRPr="007D1E7F">
        <w:t xml:space="preserve">ALSWH staff are located at the University of Newcastle and the University of Queensland. </w:t>
      </w:r>
      <w:r w:rsidR="00A90102" w:rsidRPr="007D1E7F">
        <w:t>D</w:t>
      </w:r>
      <w:r w:rsidR="00432E16" w:rsidRPr="007D1E7F">
        <w:t xml:space="preserve">uring </w:t>
      </w:r>
      <w:r w:rsidR="00E51CB4" w:rsidRPr="007D1E7F">
        <w:t xml:space="preserve">2022 </w:t>
      </w:r>
      <w:r w:rsidRPr="007D1E7F">
        <w:t xml:space="preserve">over </w:t>
      </w:r>
      <w:r w:rsidR="00FA5913" w:rsidRPr="00306719">
        <w:t>35</w:t>
      </w:r>
      <w:r w:rsidR="00FA5913" w:rsidRPr="007D1E7F">
        <w:t xml:space="preserve"> </w:t>
      </w:r>
      <w:r w:rsidRPr="007D1E7F">
        <w:t xml:space="preserve">individuals </w:t>
      </w:r>
      <w:r w:rsidR="00432E16" w:rsidRPr="007D1E7F">
        <w:t>have been</w:t>
      </w:r>
      <w:r w:rsidRPr="007D1E7F">
        <w:t xml:space="preserve"> employed by ALSWH in casual, part-time</w:t>
      </w:r>
      <w:r w:rsidR="003B5F68" w:rsidRPr="007D1E7F">
        <w:t>,</w:t>
      </w:r>
      <w:r w:rsidRPr="007D1E7F">
        <w:t xml:space="preserve"> and full</w:t>
      </w:r>
      <w:r w:rsidR="00282258" w:rsidRPr="007D1E7F">
        <w:t>-</w:t>
      </w:r>
      <w:r w:rsidRPr="007D1E7F">
        <w:t xml:space="preserve">time positions. All staff are employed on </w:t>
      </w:r>
      <w:r w:rsidR="00282258" w:rsidRPr="007D1E7F">
        <w:t xml:space="preserve">fixed-term </w:t>
      </w:r>
      <w:r w:rsidRPr="007D1E7F">
        <w:t xml:space="preserve">contracts with their respective </w:t>
      </w:r>
      <w:proofErr w:type="gramStart"/>
      <w:r w:rsidRPr="007D1E7F">
        <w:t>universities</w:t>
      </w:r>
      <w:proofErr w:type="gramEnd"/>
      <w:r w:rsidRPr="007D1E7F">
        <w:t xml:space="preserve"> and none are in tenured (ongoing) positions. Positions are directly tied to the funding provided by the Department of Health</w:t>
      </w:r>
      <w:r w:rsidR="00884FAF">
        <w:t xml:space="preserve"> and Aged Care</w:t>
      </w:r>
      <w:r w:rsidRPr="007D1E7F">
        <w:t>.</w:t>
      </w:r>
    </w:p>
    <w:p w14:paraId="4544DB59" w14:textId="77777777" w:rsidR="000A5C8D" w:rsidRDefault="000A5C8D">
      <w:pPr>
        <w:spacing w:before="0" w:after="0"/>
      </w:pPr>
      <w:r>
        <w:br w:type="page"/>
      </w:r>
    </w:p>
    <w:p w14:paraId="62729F70" w14:textId="4CBA2BCE" w:rsidR="009C48FA" w:rsidRDefault="005F66F4" w:rsidP="006B02B6">
      <w:pPr>
        <w:pStyle w:val="Heading1"/>
        <w:spacing w:line="276" w:lineRule="auto"/>
        <w:rPr>
          <w:rFonts w:cs="Arial"/>
        </w:rPr>
      </w:pPr>
      <w:bookmarkStart w:id="11" w:name="_Toc498091948"/>
      <w:bookmarkStart w:id="12" w:name="_Toc124762759"/>
      <w:r>
        <w:rPr>
          <w:rFonts w:cs="Arial"/>
        </w:rPr>
        <w:lastRenderedPageBreak/>
        <w:t>INTRODUCTION</w:t>
      </w:r>
      <w:bookmarkEnd w:id="11"/>
      <w:bookmarkEnd w:id="12"/>
    </w:p>
    <w:p w14:paraId="76F1FAA9" w14:textId="77777777" w:rsidR="009C48FA" w:rsidRDefault="009C48FA" w:rsidP="003B5E0B">
      <w:pPr>
        <w:spacing w:before="0" w:after="0"/>
        <w:rPr>
          <w:rFonts w:cs="Arial"/>
        </w:rPr>
      </w:pPr>
    </w:p>
    <w:p w14:paraId="1305BD3F" w14:textId="197D92D8" w:rsidR="00EB5A53" w:rsidRPr="00B9354F" w:rsidRDefault="00EB5A53" w:rsidP="00A6766F">
      <w:r w:rsidRPr="00A6766F">
        <w:t xml:space="preserve">The Australian Longitudinal Study on Women’s Health (ALSWH) is a longitudinal population-based </w:t>
      </w:r>
      <w:r w:rsidRPr="00B9354F">
        <w:t>survey funded by the Australian Government Department of Health</w:t>
      </w:r>
      <w:r w:rsidR="00884FAF">
        <w:t xml:space="preserve"> and Aged Care (previously the Department of Health and hereafter referred to as the Department of Health and Aged Care)</w:t>
      </w:r>
      <w:r w:rsidRPr="00B9354F">
        <w:t>.</w:t>
      </w:r>
      <w:r w:rsidR="006F6D15" w:rsidRPr="00B9354F">
        <w:t xml:space="preserve"> </w:t>
      </w:r>
      <w:r w:rsidRPr="00B9354F">
        <w:t xml:space="preserve">The project began in 1996 and involves </w:t>
      </w:r>
      <w:r w:rsidR="008D3AE4">
        <w:t>4</w:t>
      </w:r>
      <w:r w:rsidR="008D3AE4" w:rsidRPr="00B9354F">
        <w:t xml:space="preserve"> </w:t>
      </w:r>
      <w:r w:rsidRPr="00B9354F">
        <w:t>large, nationally representative cohorts of Australian women representing four generations:</w:t>
      </w:r>
    </w:p>
    <w:p w14:paraId="5E39D2C1" w14:textId="2ED7135C" w:rsidR="00EB5A53" w:rsidRPr="00B9354F" w:rsidRDefault="00EB5A53" w:rsidP="00EB5A53">
      <w:pPr>
        <w:numPr>
          <w:ilvl w:val="0"/>
          <w:numId w:val="18"/>
        </w:numPr>
        <w:spacing w:before="0" w:after="40"/>
      </w:pPr>
      <w:r w:rsidRPr="004C5F62">
        <w:rPr>
          <w:b/>
          <w:bCs/>
        </w:rPr>
        <w:t>The 1989-95 cohort</w:t>
      </w:r>
      <w:r w:rsidR="00DE4672">
        <w:t xml:space="preserve">: </w:t>
      </w:r>
      <w:r w:rsidRPr="00B9354F">
        <w:t>aged 18 to 23 when first recruited in 2012/2013 (N = 17,015)</w:t>
      </w:r>
      <w:r w:rsidR="001825EA">
        <w:t xml:space="preserve"> and now aged 27 to 33</w:t>
      </w:r>
      <w:r w:rsidR="00DE4672">
        <w:t xml:space="preserve">.  </w:t>
      </w:r>
      <w:r w:rsidR="004B6839">
        <w:t>Their m</w:t>
      </w:r>
      <w:r w:rsidR="008625DF">
        <w:t xml:space="preserve">ost recent survey (Survey 6; 2019) was completed by 8,346 women. </w:t>
      </w:r>
    </w:p>
    <w:p w14:paraId="6B573125" w14:textId="7B3F02C1" w:rsidR="00EB5A53" w:rsidRPr="00B9354F" w:rsidRDefault="00EB5A53" w:rsidP="00EB5A53">
      <w:pPr>
        <w:numPr>
          <w:ilvl w:val="0"/>
          <w:numId w:val="18"/>
        </w:numPr>
        <w:spacing w:before="0" w:after="40"/>
      </w:pPr>
      <w:r w:rsidRPr="004C5F62">
        <w:rPr>
          <w:b/>
          <w:bCs/>
        </w:rPr>
        <w:t>The 1973-78 cohort</w:t>
      </w:r>
      <w:r w:rsidR="004B6839">
        <w:t xml:space="preserve">: </w:t>
      </w:r>
      <w:r w:rsidRPr="00B9354F">
        <w:t>aged 18 to 23 when first recruited in 1996 (N</w:t>
      </w:r>
      <w:r w:rsidR="000277AE" w:rsidRPr="00B9354F">
        <w:t xml:space="preserve"> </w:t>
      </w:r>
      <w:r w:rsidRPr="00B9354F">
        <w:t>=</w:t>
      </w:r>
      <w:r w:rsidR="000277AE" w:rsidRPr="00B9354F">
        <w:t xml:space="preserve"> </w:t>
      </w:r>
      <w:r w:rsidRPr="00B9354F">
        <w:t>14,247)</w:t>
      </w:r>
      <w:r w:rsidR="004B6839">
        <w:t xml:space="preserve"> and aged 44 to 49 in 2022.  Survey 9 of this cohort is underway, and </w:t>
      </w:r>
      <w:r w:rsidR="004C5F62">
        <w:t xml:space="preserve">by November 2022 had </w:t>
      </w:r>
      <w:r w:rsidR="004B6839">
        <w:t>been completed by 6,</w:t>
      </w:r>
      <w:r w:rsidR="00901558">
        <w:t xml:space="preserve">510 </w:t>
      </w:r>
      <w:r w:rsidR="004B6839">
        <w:t xml:space="preserve">women.  </w:t>
      </w:r>
    </w:p>
    <w:p w14:paraId="0B053C06" w14:textId="1A80B523" w:rsidR="00EB5A53" w:rsidRPr="00B9354F" w:rsidRDefault="00EB5A53" w:rsidP="00EB5A53">
      <w:pPr>
        <w:numPr>
          <w:ilvl w:val="0"/>
          <w:numId w:val="18"/>
        </w:numPr>
        <w:spacing w:before="0" w:after="40"/>
      </w:pPr>
      <w:r w:rsidRPr="004C5F62">
        <w:rPr>
          <w:b/>
          <w:bCs/>
        </w:rPr>
        <w:t>The 1946-51 cohort</w:t>
      </w:r>
      <w:r w:rsidR="004B6839">
        <w:t xml:space="preserve">: </w:t>
      </w:r>
      <w:r w:rsidRPr="00B9354F">
        <w:t>aged 45 to 50 years in 1996 (N</w:t>
      </w:r>
      <w:r w:rsidR="000277AE" w:rsidRPr="00B9354F">
        <w:t xml:space="preserve"> </w:t>
      </w:r>
      <w:r w:rsidRPr="00B9354F">
        <w:t>=</w:t>
      </w:r>
      <w:r w:rsidR="000277AE" w:rsidRPr="00B9354F">
        <w:t xml:space="preserve"> </w:t>
      </w:r>
      <w:r w:rsidRPr="00B9354F">
        <w:t>13,716)</w:t>
      </w:r>
      <w:r w:rsidR="004B6839">
        <w:t xml:space="preserve"> and now aged </w:t>
      </w:r>
      <w:r w:rsidR="00D85573" w:rsidRPr="00B9354F">
        <w:t>7</w:t>
      </w:r>
      <w:r w:rsidR="00E51CB4">
        <w:t>1</w:t>
      </w:r>
      <w:r w:rsidR="00D85573" w:rsidRPr="00B9354F">
        <w:t xml:space="preserve"> </w:t>
      </w:r>
      <w:r w:rsidRPr="00B9354F">
        <w:t>to 7</w:t>
      </w:r>
      <w:r w:rsidR="00E51CB4">
        <w:t>6</w:t>
      </w:r>
      <w:r w:rsidRPr="00B9354F">
        <w:t xml:space="preserve"> years</w:t>
      </w:r>
      <w:r w:rsidR="004B6839">
        <w:t xml:space="preserve">. 7,956 women completed Survey 9 in </w:t>
      </w:r>
      <w:r w:rsidR="001825EA">
        <w:t xml:space="preserve">2019. </w:t>
      </w:r>
    </w:p>
    <w:p w14:paraId="427ED887" w14:textId="73C27234" w:rsidR="009A2C14" w:rsidRDefault="00EB5A53" w:rsidP="00C07680">
      <w:pPr>
        <w:numPr>
          <w:ilvl w:val="0"/>
          <w:numId w:val="18"/>
        </w:numPr>
        <w:spacing w:before="0" w:after="40"/>
      </w:pPr>
      <w:r w:rsidRPr="004C5F62">
        <w:rPr>
          <w:b/>
          <w:bCs/>
        </w:rPr>
        <w:t>The 1921-26 cohort</w:t>
      </w:r>
      <w:r w:rsidR="001825EA">
        <w:t xml:space="preserve">: </w:t>
      </w:r>
      <w:r w:rsidRPr="00B9354F">
        <w:t>aged 70 to 75 years in 1996 (N</w:t>
      </w:r>
      <w:r w:rsidR="000277AE" w:rsidRPr="00B9354F">
        <w:t xml:space="preserve"> </w:t>
      </w:r>
      <w:r w:rsidRPr="00B9354F">
        <w:t>=</w:t>
      </w:r>
      <w:r w:rsidR="000277AE" w:rsidRPr="00B9354F">
        <w:t xml:space="preserve"> </w:t>
      </w:r>
      <w:r w:rsidRPr="00B9354F">
        <w:t>12,432)</w:t>
      </w:r>
      <w:r w:rsidR="001825EA">
        <w:t xml:space="preserve">.   Surviving women in this cohort are now aged 96 to 101 and are surveyed every six months (with an abbreviated questionnaire).  </w:t>
      </w:r>
      <w:r w:rsidR="004C5F62">
        <w:t>We estimate a</w:t>
      </w:r>
      <w:r w:rsidR="001825EA">
        <w:t xml:space="preserve">pproximately </w:t>
      </w:r>
      <w:r w:rsidR="00901558">
        <w:t xml:space="preserve">200 </w:t>
      </w:r>
      <w:r w:rsidR="009A2C14">
        <w:t xml:space="preserve">women </w:t>
      </w:r>
      <w:r w:rsidR="004C5F62">
        <w:t>are still participating in 2022.</w:t>
      </w:r>
    </w:p>
    <w:p w14:paraId="3E84D510" w14:textId="42F0BF32" w:rsidR="00EB5A53" w:rsidRPr="00EB5A53" w:rsidRDefault="00EB5A53" w:rsidP="000C3B3F">
      <w:pPr>
        <w:spacing w:before="0" w:after="40"/>
      </w:pPr>
      <w:r w:rsidRPr="00EB5A53">
        <w:t>ALSWH takes a comprehensive view of all aspects of women’s health and aims to provide scientifically valid information based on current, accurate data that are relevant to the development of health policy and practice in women’s health.</w:t>
      </w:r>
      <w:r w:rsidR="006F6D15">
        <w:t xml:space="preserve"> </w:t>
      </w:r>
      <w:r w:rsidRPr="00EB5A53">
        <w:t xml:space="preserve">The surveys cover </w:t>
      </w:r>
      <w:r w:rsidR="00C41478">
        <w:t>social</w:t>
      </w:r>
      <w:r w:rsidR="00E75E72">
        <w:t xml:space="preserve"> and </w:t>
      </w:r>
      <w:r w:rsidRPr="00EB5A53">
        <w:t>demographic variables, health behaviours, diagnoses, symptoms, general measures of health, such as the Health Survey 36 Short Form (SF-36), and access to</w:t>
      </w:r>
      <w:r w:rsidR="00D2055E">
        <w:t>,</w:t>
      </w:r>
      <w:r w:rsidRPr="00EB5A53">
        <w:t xml:space="preserve"> and use of</w:t>
      </w:r>
      <w:r w:rsidR="00D2055E">
        <w:t>,</w:t>
      </w:r>
      <w:r w:rsidRPr="00EB5A53">
        <w:t xml:space="preserve"> a range of health services.</w:t>
      </w:r>
      <w:r w:rsidR="006F6D15">
        <w:t xml:space="preserve"> </w:t>
      </w:r>
      <w:r w:rsidRPr="00EB5A53">
        <w:t>Survey data can be linked to administrative data on doctor visits, pharmaceutical prescriptions, hospital admissions, aged care services, cancer registries and death records.</w:t>
      </w:r>
      <w:r w:rsidR="006F6D15">
        <w:t xml:space="preserve"> </w:t>
      </w:r>
    </w:p>
    <w:p w14:paraId="44C701A7" w14:textId="4E7E79E3" w:rsidR="00EB5A53" w:rsidRPr="00EB5A53" w:rsidRDefault="00EB5A53" w:rsidP="00A6766F">
      <w:r w:rsidRPr="00EB5A53">
        <w:t xml:space="preserve">Women participating in the Study have now been surveyed </w:t>
      </w:r>
      <w:r w:rsidR="008449EA">
        <w:t>repeatedly</w:t>
      </w:r>
      <w:r w:rsidRPr="00EB5A53">
        <w:t xml:space="preserve"> over the past </w:t>
      </w:r>
      <w:r w:rsidR="00D85573" w:rsidRPr="00EB5A53">
        <w:t>2</w:t>
      </w:r>
      <w:r w:rsidR="00D85573">
        <w:t>6</w:t>
      </w:r>
      <w:r w:rsidR="00D85573" w:rsidRPr="00EB5A53">
        <w:t xml:space="preserve"> </w:t>
      </w:r>
      <w:r w:rsidRPr="00EB5A53">
        <w:t>years, providing a large amount of data on their lifestyles, use of health services</w:t>
      </w:r>
      <w:r w:rsidR="003B5F68">
        <w:t>,</w:t>
      </w:r>
      <w:r w:rsidRPr="00EB5A53">
        <w:t xml:space="preserve"> and health outcomes.</w:t>
      </w:r>
      <w:r w:rsidR="006F6D15">
        <w:t xml:space="preserve"> </w:t>
      </w:r>
      <w:r w:rsidRPr="00EB5A53">
        <w:t xml:space="preserve">Continuing participation is encouraged through regular newsletters, the Study website and social media, </w:t>
      </w:r>
      <w:r w:rsidR="003B5F68">
        <w:t xml:space="preserve">and </w:t>
      </w:r>
      <w:r w:rsidRPr="00EB5A53">
        <w:t>opportunities to participate in focused sub-studies and other activities.</w:t>
      </w:r>
      <w:r w:rsidR="006F6D15">
        <w:t xml:space="preserve"> </w:t>
      </w:r>
    </w:p>
    <w:p w14:paraId="40874843" w14:textId="692D5EA7" w:rsidR="00EB5A53" w:rsidRPr="00A6766F" w:rsidRDefault="00EB5A53" w:rsidP="00A6766F">
      <w:r w:rsidRPr="00A6766F">
        <w:t>This technical report (#</w:t>
      </w:r>
      <w:r w:rsidR="00683B12">
        <w:t>4</w:t>
      </w:r>
      <w:r w:rsidR="007F4EC5">
        <w:t>5</w:t>
      </w:r>
      <w:r w:rsidR="00D85573">
        <w:t>)</w:t>
      </w:r>
      <w:r w:rsidRPr="00A6766F">
        <w:t xml:space="preserve"> has been provided by the University of Queensland and the University of Newcastle as agreed in contracts between the Australian Government Department of Health</w:t>
      </w:r>
      <w:r w:rsidR="003B09EF">
        <w:t xml:space="preserve"> and Aged Care</w:t>
      </w:r>
      <w:r w:rsidR="00027AE5" w:rsidRPr="00A6766F">
        <w:t xml:space="preserve"> and the two universities</w:t>
      </w:r>
      <w:r w:rsidRPr="00A6766F">
        <w:t>.</w:t>
      </w:r>
      <w:r w:rsidR="006F6D15" w:rsidRPr="00A6766F">
        <w:t xml:space="preserve"> </w:t>
      </w:r>
      <w:r w:rsidRPr="00A6766F">
        <w:t>The report is presented in sections, with information on data collection and related activities provided first, followed by details of how ALSWH data have been used during the year.</w:t>
      </w:r>
      <w:r w:rsidR="006F6D15" w:rsidRPr="00A6766F">
        <w:t xml:space="preserve"> </w:t>
      </w:r>
    </w:p>
    <w:p w14:paraId="1C008259" w14:textId="6A3EF7B2" w:rsidR="00EB5A53" w:rsidRPr="00EB5A53" w:rsidRDefault="00EB5A53" w:rsidP="00EB5A53">
      <w:pPr>
        <w:spacing w:before="0" w:after="40"/>
      </w:pPr>
      <w:r w:rsidRPr="00EB5A53">
        <w:t xml:space="preserve">This report includes the following items, as required in </w:t>
      </w:r>
      <w:r w:rsidR="00D2055E">
        <w:t>c</w:t>
      </w:r>
      <w:r w:rsidRPr="00EB5A53">
        <w:t>ontractual agreements with the Department of Health</w:t>
      </w:r>
      <w:r w:rsidR="003B09EF">
        <w:t xml:space="preserve"> and Aged Care</w:t>
      </w:r>
      <w:r w:rsidR="00027AE5">
        <w:t>:</w:t>
      </w:r>
    </w:p>
    <w:p w14:paraId="5A955D6F" w14:textId="77777777" w:rsidR="00EB5A53" w:rsidRPr="00EB5A53" w:rsidRDefault="00EB5A53" w:rsidP="00EB5A53">
      <w:pPr>
        <w:numPr>
          <w:ilvl w:val="0"/>
          <w:numId w:val="19"/>
        </w:numPr>
        <w:spacing w:before="0" w:after="40"/>
      </w:pPr>
      <w:r w:rsidRPr="00EB5A53">
        <w:lastRenderedPageBreak/>
        <w:t>Sources and development of instruments used for data collection are included in Section 3: Conduct of Surveys.</w:t>
      </w:r>
    </w:p>
    <w:p w14:paraId="2F2E41A5" w14:textId="77777777" w:rsidR="00EB5A53" w:rsidRPr="00EB5A53" w:rsidRDefault="00EB5A53" w:rsidP="00EB5A53">
      <w:pPr>
        <w:numPr>
          <w:ilvl w:val="0"/>
          <w:numId w:val="19"/>
        </w:numPr>
        <w:spacing w:before="0" w:after="40"/>
      </w:pPr>
      <w:r w:rsidRPr="00EB5A53">
        <w:t>Response rates are provided in Section 4</w:t>
      </w:r>
      <w:r w:rsidRPr="00901558">
        <w:t>: Maintenance of cohorts.</w:t>
      </w:r>
      <w:r w:rsidRPr="00EB5A53">
        <w:t xml:space="preserve"> </w:t>
      </w:r>
    </w:p>
    <w:p w14:paraId="1C991403" w14:textId="3CB34549" w:rsidR="00EB5A53" w:rsidRPr="00EB5A53" w:rsidRDefault="00EB5A53" w:rsidP="00EB5A53">
      <w:pPr>
        <w:numPr>
          <w:ilvl w:val="0"/>
          <w:numId w:val="19"/>
        </w:numPr>
        <w:spacing w:before="0" w:after="40"/>
      </w:pPr>
      <w:r w:rsidRPr="00EB5A53">
        <w:t>Methodological issues relating to the surveys and data collection, as well as work relating to reliability, validity</w:t>
      </w:r>
      <w:r w:rsidR="00027AE5">
        <w:t>,</w:t>
      </w:r>
      <w:r w:rsidRPr="00EB5A53">
        <w:t xml:space="preserve"> and statistical issues for all cohorts are included in Section 7: Methodological Issues.</w:t>
      </w:r>
      <w:r w:rsidR="006F6D15">
        <w:t xml:space="preserve"> </w:t>
      </w:r>
    </w:p>
    <w:p w14:paraId="37A16BFD" w14:textId="12CA0147" w:rsidR="00EB5A53" w:rsidRPr="00EB5A53" w:rsidRDefault="00EB5A53" w:rsidP="00EB5A53">
      <w:pPr>
        <w:numPr>
          <w:ilvl w:val="0"/>
          <w:numId w:val="19"/>
        </w:numPr>
        <w:spacing w:before="0" w:after="40"/>
      </w:pPr>
      <w:r w:rsidRPr="00EB5A53">
        <w:t xml:space="preserve">Key new research findings for </w:t>
      </w:r>
      <w:r w:rsidR="00D85573" w:rsidRPr="00EB5A53">
        <w:t>20</w:t>
      </w:r>
      <w:r w:rsidR="00D85573">
        <w:t>2</w:t>
      </w:r>
      <w:r w:rsidR="007F4EC5">
        <w:t>2</w:t>
      </w:r>
      <w:r w:rsidR="00D85573" w:rsidRPr="00EB5A53">
        <w:t xml:space="preserve"> </w:t>
      </w:r>
      <w:r w:rsidRPr="00EB5A53">
        <w:t xml:space="preserve">and details of dissemination activities, such as publications in scientific journals and presentations at conferences during the year are found in Section 8: Major Reports, and Section 9: Dissemination of Study Findings. </w:t>
      </w:r>
    </w:p>
    <w:p w14:paraId="46B8ABE4" w14:textId="6C8114E8" w:rsidR="00EB5A53" w:rsidRDefault="00EB5A53" w:rsidP="00EB5A53">
      <w:pPr>
        <w:numPr>
          <w:ilvl w:val="0"/>
          <w:numId w:val="19"/>
        </w:numPr>
        <w:spacing w:before="0" w:after="40"/>
      </w:pPr>
      <w:r w:rsidRPr="00EB5A53">
        <w:t xml:space="preserve">Project materials and related items produced during </w:t>
      </w:r>
      <w:r w:rsidR="00D85573" w:rsidRPr="00EB5A53">
        <w:t>20</w:t>
      </w:r>
      <w:r w:rsidR="00D85573">
        <w:t>2</w:t>
      </w:r>
      <w:r w:rsidR="007F4EC5">
        <w:t>2</w:t>
      </w:r>
      <w:r w:rsidR="00D85573">
        <w:t xml:space="preserve"> </w:t>
      </w:r>
      <w:r w:rsidRPr="00EB5A53">
        <w:t>are provided in a separate appendix.</w:t>
      </w:r>
      <w:r w:rsidR="006F6D15">
        <w:t xml:space="preserve"> </w:t>
      </w:r>
    </w:p>
    <w:p w14:paraId="2F0BF381" w14:textId="77777777" w:rsidR="002B2D8C" w:rsidRDefault="002B2D8C" w:rsidP="002B2D8C">
      <w:pPr>
        <w:spacing w:before="0" w:after="40"/>
        <w:ind w:left="720"/>
      </w:pPr>
    </w:p>
    <w:p w14:paraId="35A721A5" w14:textId="4475C70E" w:rsidR="00EB5A53" w:rsidRPr="007D1E7F" w:rsidRDefault="00EB5A53" w:rsidP="00CD06A0">
      <w:pPr>
        <w:spacing w:before="0" w:after="40"/>
      </w:pPr>
      <w:r w:rsidRPr="007D1E7F">
        <w:t>All objectives, outcomes</w:t>
      </w:r>
      <w:r w:rsidR="00027AE5" w:rsidRPr="007D1E7F">
        <w:t>,</w:t>
      </w:r>
      <w:r w:rsidRPr="007D1E7F">
        <w:t xml:space="preserve"> and timeframes were met as required:</w:t>
      </w:r>
    </w:p>
    <w:p w14:paraId="44DBC072" w14:textId="03B003B5" w:rsidR="002B2D8C" w:rsidRDefault="002B2D8C" w:rsidP="00CD06A0">
      <w:pPr>
        <w:numPr>
          <w:ilvl w:val="0"/>
          <w:numId w:val="19"/>
        </w:numPr>
        <w:spacing w:before="0" w:after="40"/>
      </w:pPr>
      <w:r>
        <w:t>For the</w:t>
      </w:r>
      <w:r w:rsidR="00AA4E77" w:rsidRPr="00306719">
        <w:t xml:space="preserve"> </w:t>
      </w:r>
      <w:r w:rsidR="007F4EC5" w:rsidRPr="00306719">
        <w:t>1946-51</w:t>
      </w:r>
      <w:r w:rsidR="00AA4E77" w:rsidRPr="00306719">
        <w:t xml:space="preserve"> cohort</w:t>
      </w:r>
      <w:r>
        <w:t>, Pilot Survey 10</w:t>
      </w:r>
      <w:r w:rsidR="00AA4E77" w:rsidRPr="00306719">
        <w:t xml:space="preserve"> was conducted, and Main Survey </w:t>
      </w:r>
      <w:r w:rsidR="007D1E7F" w:rsidRPr="00306719">
        <w:t xml:space="preserve">10 began. </w:t>
      </w:r>
      <w:r>
        <w:t xml:space="preserve">In the 1973-78 cohort, Survey 9 continued.  </w:t>
      </w:r>
      <w:r w:rsidRPr="007D1E7F">
        <w:t xml:space="preserve">The </w:t>
      </w:r>
      <w:r w:rsidRPr="00306719">
        <w:t>nineteenth wave of the six-monthly follow-up surveys of the 1921-26 cohort continued and the twentieth wave commenced in May.</w:t>
      </w:r>
      <w:r w:rsidRPr="002B2D8C">
        <w:t xml:space="preserve"> </w:t>
      </w:r>
      <w:r>
        <w:t>Recruitment commenced</w:t>
      </w:r>
      <w:r w:rsidRPr="00B9354F">
        <w:t xml:space="preserve"> for the ‘refresh’ of the 1989-95 cohort with women from </w:t>
      </w:r>
      <w:r>
        <w:t xml:space="preserve">North-Eastern, </w:t>
      </w:r>
      <w:proofErr w:type="gramStart"/>
      <w:r>
        <w:t>South-Eastern</w:t>
      </w:r>
      <w:proofErr w:type="gramEnd"/>
      <w:r>
        <w:t xml:space="preserve"> and Southern </w:t>
      </w:r>
      <w:r w:rsidRPr="00B9354F">
        <w:t xml:space="preserve">Asian backgrounds. </w:t>
      </w:r>
    </w:p>
    <w:p w14:paraId="4D0B8357" w14:textId="775CF97A" w:rsidR="00EB5A53" w:rsidRPr="00B9354F" w:rsidRDefault="00EB5A53" w:rsidP="00CD06A0">
      <w:pPr>
        <w:numPr>
          <w:ilvl w:val="0"/>
          <w:numId w:val="19"/>
        </w:numPr>
        <w:spacing w:before="0" w:after="40"/>
      </w:pPr>
      <w:r w:rsidRPr="00B9354F">
        <w:t xml:space="preserve">A total of </w:t>
      </w:r>
      <w:r w:rsidR="009A2C14">
        <w:t>32</w:t>
      </w:r>
      <w:r w:rsidR="009A2C14" w:rsidRPr="00B9354F">
        <w:t xml:space="preserve"> </w:t>
      </w:r>
      <w:r w:rsidRPr="00B9354F">
        <w:t xml:space="preserve">new </w:t>
      </w:r>
      <w:r w:rsidR="0052219E">
        <w:t xml:space="preserve">or amended </w:t>
      </w:r>
      <w:r w:rsidR="00817A63" w:rsidRPr="00B9354F">
        <w:t xml:space="preserve">research </w:t>
      </w:r>
      <w:r w:rsidRPr="00B9354F">
        <w:t xml:space="preserve">projects </w:t>
      </w:r>
      <w:r w:rsidR="00AB11B6" w:rsidRPr="00B9354F">
        <w:t xml:space="preserve">have been </w:t>
      </w:r>
      <w:r w:rsidR="00817A63" w:rsidRPr="00B9354F">
        <w:t>given approval to use ALSWH data</w:t>
      </w:r>
      <w:r w:rsidR="00AB11B6" w:rsidRPr="00B9354F">
        <w:t>. Re</w:t>
      </w:r>
      <w:r w:rsidRPr="00B9354F">
        <w:t xml:space="preserve">sults from previously approved projects </w:t>
      </w:r>
      <w:r w:rsidR="00AB11B6" w:rsidRPr="00B9354F">
        <w:t xml:space="preserve">have been </w:t>
      </w:r>
      <w:r w:rsidRPr="00B9354F">
        <w:t>published</w:t>
      </w:r>
      <w:r w:rsidR="00263D93" w:rsidRPr="00B9354F">
        <w:t xml:space="preserve"> </w:t>
      </w:r>
      <w:r w:rsidRPr="00B9354F">
        <w:t xml:space="preserve">in </w:t>
      </w:r>
      <w:r w:rsidR="002B2D8C">
        <w:t>42</w:t>
      </w:r>
      <w:r w:rsidR="002B2D8C" w:rsidRPr="00B9354F">
        <w:t xml:space="preserve"> </w:t>
      </w:r>
      <w:r w:rsidRPr="00B9354F">
        <w:t xml:space="preserve">peer reviewed scientific journal articles and </w:t>
      </w:r>
      <w:r w:rsidR="001455AA" w:rsidRPr="002B2D8C">
        <w:t xml:space="preserve">used in </w:t>
      </w:r>
      <w:r w:rsidR="00B3546C" w:rsidRPr="002B2D8C">
        <w:t xml:space="preserve">26 </w:t>
      </w:r>
      <w:r w:rsidRPr="002B2D8C">
        <w:t>conference</w:t>
      </w:r>
      <w:r w:rsidRPr="00B9354F">
        <w:t xml:space="preserve"> presentations.</w:t>
      </w:r>
      <w:r w:rsidR="006F6D15" w:rsidRPr="00B9354F">
        <w:t xml:space="preserve"> </w:t>
      </w:r>
      <w:r w:rsidRPr="00B9354F">
        <w:t>Projects include analyses that:</w:t>
      </w:r>
    </w:p>
    <w:p w14:paraId="4DBA7FD7" w14:textId="21FCE565" w:rsidR="00EB5A53" w:rsidRPr="00B9354F" w:rsidRDefault="00EB5A53" w:rsidP="00CD06A0">
      <w:pPr>
        <w:numPr>
          <w:ilvl w:val="1"/>
          <w:numId w:val="19"/>
        </w:numPr>
        <w:spacing w:before="0" w:after="40"/>
      </w:pPr>
      <w:r w:rsidRPr="00B9354F">
        <w:t xml:space="preserve">clarify the </w:t>
      </w:r>
      <w:proofErr w:type="gramStart"/>
      <w:r w:rsidRPr="00B9354F">
        <w:t>cause and effect</w:t>
      </w:r>
      <w:proofErr w:type="gramEnd"/>
      <w:r w:rsidRPr="00B9354F">
        <w:t xml:space="preserve"> relationship between women’s health and a range of biological, psychological, social and lifestyle factors</w:t>
      </w:r>
      <w:r w:rsidR="009E609C">
        <w:t>;</w:t>
      </w:r>
    </w:p>
    <w:p w14:paraId="06C72FC7" w14:textId="7DF91374" w:rsidR="00EB5A53" w:rsidRPr="00B9354F" w:rsidRDefault="00EB5A53" w:rsidP="00CD06A0">
      <w:pPr>
        <w:numPr>
          <w:ilvl w:val="1"/>
          <w:numId w:val="19"/>
        </w:numPr>
        <w:spacing w:before="0" w:after="40"/>
      </w:pPr>
      <w:r w:rsidRPr="00B9354F">
        <w:t xml:space="preserve">assess the effects of changes in policy and </w:t>
      </w:r>
      <w:proofErr w:type="gramStart"/>
      <w:r w:rsidRPr="00B9354F">
        <w:t>practice</w:t>
      </w:r>
      <w:r w:rsidR="009E609C">
        <w:t>;</w:t>
      </w:r>
      <w:proofErr w:type="gramEnd"/>
    </w:p>
    <w:p w14:paraId="2280A283" w14:textId="576C3915" w:rsidR="00EB5A53" w:rsidRPr="00B9354F" w:rsidRDefault="00EB5A53" w:rsidP="00CD06A0">
      <w:pPr>
        <w:numPr>
          <w:ilvl w:val="1"/>
          <w:numId w:val="19"/>
        </w:numPr>
        <w:spacing w:before="0" w:after="40"/>
      </w:pPr>
      <w:r w:rsidRPr="00B9354F">
        <w:t xml:space="preserve">explore the factors that influence health among women who are broadly representative of the entire Australian </w:t>
      </w:r>
      <w:proofErr w:type="gramStart"/>
      <w:r w:rsidRPr="00B9354F">
        <w:t>population</w:t>
      </w:r>
      <w:r w:rsidR="009E609C">
        <w:t>;</w:t>
      </w:r>
      <w:proofErr w:type="gramEnd"/>
    </w:p>
    <w:p w14:paraId="3BE73E6D" w14:textId="6DD6C2DA" w:rsidR="00EB5A53" w:rsidRPr="00B9354F" w:rsidRDefault="00EB5A53" w:rsidP="00CD06A0">
      <w:pPr>
        <w:numPr>
          <w:ilvl w:val="1"/>
          <w:numId w:val="19"/>
        </w:numPr>
        <w:spacing w:before="0" w:after="40"/>
      </w:pPr>
      <w:r w:rsidRPr="00B9354F">
        <w:t>investigate all aspects of health throughout women’s lifespan</w:t>
      </w:r>
      <w:r w:rsidR="009E609C">
        <w:t xml:space="preserve"> </w:t>
      </w:r>
      <w:proofErr w:type="gramStart"/>
      <w:r w:rsidR="009E609C">
        <w:t>and;</w:t>
      </w:r>
      <w:proofErr w:type="gramEnd"/>
      <w:r w:rsidR="009E609C">
        <w:t xml:space="preserve"> </w:t>
      </w:r>
    </w:p>
    <w:p w14:paraId="3152B656" w14:textId="62FE186F" w:rsidR="00EB5A53" w:rsidRPr="00B9354F" w:rsidRDefault="00EB5A53" w:rsidP="00A6766F">
      <w:pPr>
        <w:numPr>
          <w:ilvl w:val="1"/>
          <w:numId w:val="19"/>
        </w:numPr>
        <w:spacing w:before="0" w:after="40"/>
        <w:ind w:left="1434" w:hanging="357"/>
      </w:pPr>
      <w:r w:rsidRPr="00B9354F">
        <w:t>provide an evidence base of the development and evaluation of health policy</w:t>
      </w:r>
      <w:r w:rsidR="003B09EF">
        <w:t xml:space="preserve">, other relevant </w:t>
      </w:r>
      <w:proofErr w:type="gramStart"/>
      <w:r w:rsidR="003B09EF">
        <w:t>policies</w:t>
      </w:r>
      <w:proofErr w:type="gramEnd"/>
      <w:r w:rsidRPr="00B9354F">
        <w:t xml:space="preserve"> and practice.</w:t>
      </w:r>
    </w:p>
    <w:p w14:paraId="4D29D9CF" w14:textId="539FC38E" w:rsidR="00EB5A53" w:rsidRPr="00D90AC7" w:rsidRDefault="00EB5A53" w:rsidP="00CD06A0">
      <w:pPr>
        <w:numPr>
          <w:ilvl w:val="0"/>
          <w:numId w:val="19"/>
        </w:numPr>
        <w:spacing w:before="0" w:after="40"/>
      </w:pPr>
      <w:r w:rsidRPr="00D90AC7">
        <w:t xml:space="preserve">An Annual Report for </w:t>
      </w:r>
      <w:r w:rsidR="00D85573" w:rsidRPr="00D90AC7">
        <w:t>20</w:t>
      </w:r>
      <w:r w:rsidR="00D85573">
        <w:t>2</w:t>
      </w:r>
      <w:r w:rsidR="0052219E">
        <w:t>1</w:t>
      </w:r>
      <w:r w:rsidR="00D85573" w:rsidRPr="00D90AC7">
        <w:t xml:space="preserve"> </w:t>
      </w:r>
      <w:r w:rsidRPr="00D90AC7">
        <w:t>and a Major Report (</w:t>
      </w:r>
      <w:r w:rsidR="00EA5E04" w:rsidRPr="00D90AC7">
        <w:t xml:space="preserve">examining </w:t>
      </w:r>
      <w:r w:rsidR="007F4EC5">
        <w:t>women’s health and risk factors at mid-life</w:t>
      </w:r>
      <w:r w:rsidRPr="00D90AC7">
        <w:t>) were prepared for the Department of Health.</w:t>
      </w:r>
    </w:p>
    <w:p w14:paraId="5995A880" w14:textId="679AED32" w:rsidR="00EB5A53" w:rsidRPr="00D90AC7" w:rsidRDefault="00EB5A53" w:rsidP="00A6766F">
      <w:pPr>
        <w:numPr>
          <w:ilvl w:val="0"/>
          <w:numId w:val="19"/>
        </w:numPr>
        <w:spacing w:before="0" w:after="40"/>
        <w:ind w:left="714" w:hanging="357"/>
      </w:pPr>
      <w:r w:rsidRPr="00D90AC7">
        <w:t xml:space="preserve">The Data </w:t>
      </w:r>
      <w:r w:rsidR="00D2055E" w:rsidRPr="00D90AC7">
        <w:t xml:space="preserve">Access </w:t>
      </w:r>
      <w:r w:rsidRPr="00D90AC7">
        <w:t xml:space="preserve">Committee oversaw access to linked data for: Medicare Benefits Schedule (MBS)/Pharmaceutical Benefits Scheme (PBS) data, hospital </w:t>
      </w:r>
      <w:r w:rsidR="00C41478" w:rsidRPr="00D90AC7">
        <w:t xml:space="preserve">admissions </w:t>
      </w:r>
      <w:r w:rsidRPr="00D90AC7">
        <w:t>data, aged care data, cancer data</w:t>
      </w:r>
      <w:r w:rsidR="00817A63" w:rsidRPr="00D90AC7">
        <w:t>,</w:t>
      </w:r>
      <w:r w:rsidRPr="00D90AC7">
        <w:t xml:space="preserve"> perinatal </w:t>
      </w:r>
      <w:proofErr w:type="gramStart"/>
      <w:r w:rsidRPr="00D90AC7">
        <w:t>data</w:t>
      </w:r>
      <w:proofErr w:type="gramEnd"/>
      <w:r w:rsidR="00817A63" w:rsidRPr="00D90AC7">
        <w:t xml:space="preserve"> and emergency services data</w:t>
      </w:r>
      <w:r w:rsidRPr="00D90AC7">
        <w:t>.</w:t>
      </w:r>
    </w:p>
    <w:p w14:paraId="5D6E0938" w14:textId="77777777" w:rsidR="00EB5A53" w:rsidRPr="009406F7" w:rsidRDefault="00EB5A53" w:rsidP="00A6766F">
      <w:pPr>
        <w:spacing w:before="0" w:after="0"/>
      </w:pPr>
    </w:p>
    <w:p w14:paraId="3C2A0D3F" w14:textId="08B62724" w:rsidR="00EB5A53" w:rsidRDefault="00EB5A53" w:rsidP="001A6D63">
      <w:pPr>
        <w:spacing w:before="0" w:after="40"/>
        <w:contextualSpacing/>
        <w:rPr>
          <w:rFonts w:cs="Arial"/>
        </w:rPr>
      </w:pPr>
      <w:r w:rsidRPr="009406F7">
        <w:rPr>
          <w:rFonts w:cs="Arial"/>
          <w:i/>
        </w:rPr>
        <w:t>Note:</w:t>
      </w:r>
      <w:r w:rsidRPr="009406F7">
        <w:rPr>
          <w:rFonts w:cs="Arial"/>
        </w:rPr>
        <w:t xml:space="preserve"> Percentages used in this report may not add up to 100 due to rounding.</w:t>
      </w:r>
      <w:r>
        <w:rPr>
          <w:rFonts w:cs="Arial"/>
        </w:rPr>
        <w:br w:type="page"/>
      </w:r>
    </w:p>
    <w:p w14:paraId="621B715F" w14:textId="3B9BE984" w:rsidR="007023F8" w:rsidRPr="0089528A" w:rsidRDefault="0089528A" w:rsidP="006B02B6">
      <w:pPr>
        <w:pStyle w:val="Heading1"/>
        <w:spacing w:line="276" w:lineRule="auto"/>
      </w:pPr>
      <w:bookmarkStart w:id="13" w:name="_Toc124762760"/>
      <w:bookmarkStart w:id="14" w:name="_Toc343675317"/>
      <w:bookmarkStart w:id="15" w:name="_Toc212876950"/>
      <w:bookmarkStart w:id="16" w:name="_Toc212880010"/>
      <w:bookmarkStart w:id="17" w:name="_Toc213635759"/>
      <w:bookmarkStart w:id="18" w:name="_Toc213636043"/>
      <w:bookmarkEnd w:id="1"/>
      <w:bookmarkEnd w:id="2"/>
      <w:bookmarkEnd w:id="3"/>
      <w:bookmarkEnd w:id="4"/>
      <w:r>
        <w:lastRenderedPageBreak/>
        <w:t>Conduct of surveys</w:t>
      </w:r>
      <w:bookmarkEnd w:id="13"/>
      <w:r w:rsidR="007023F8" w:rsidRPr="0089528A">
        <w:tab/>
      </w:r>
    </w:p>
    <w:p w14:paraId="2CA22C9F" w14:textId="02F8B464" w:rsidR="00E03A8D" w:rsidRDefault="00E03A8D">
      <w:pPr>
        <w:spacing w:before="0" w:after="0"/>
      </w:pPr>
    </w:p>
    <w:p w14:paraId="4BB4E9A0" w14:textId="77777777" w:rsidR="00A213C3" w:rsidRDefault="00A213C3" w:rsidP="00A213C3">
      <w:pPr>
        <w:pStyle w:val="Heading2"/>
        <w:ind w:left="576" w:hanging="576"/>
      </w:pPr>
      <w:bookmarkStart w:id="19" w:name="_Toc87012436"/>
      <w:bookmarkStart w:id="20" w:name="_Toc124762761"/>
      <w:bookmarkStart w:id="21" w:name="_Toc524019407"/>
      <w:r>
        <w:t>1973-78 cohort</w:t>
      </w:r>
      <w:bookmarkEnd w:id="19"/>
      <w:bookmarkEnd w:id="20"/>
    </w:p>
    <w:p w14:paraId="767388FF" w14:textId="77777777" w:rsidR="00A213C3" w:rsidRPr="00B14D72" w:rsidRDefault="00A213C3" w:rsidP="00A213C3">
      <w:pPr>
        <w:pStyle w:val="Heading3"/>
      </w:pPr>
      <w:bookmarkStart w:id="22" w:name="_Toc87012438"/>
      <w:bookmarkStart w:id="23" w:name="_Toc124762762"/>
      <w:bookmarkStart w:id="24" w:name="_Hlk118209137"/>
      <w:r w:rsidRPr="00F93234">
        <w:t>Main Survey</w:t>
      </w:r>
      <w:r>
        <w:t xml:space="preserve"> 9</w:t>
      </w:r>
      <w:bookmarkEnd w:id="22"/>
      <w:bookmarkEnd w:id="23"/>
      <w:r w:rsidRPr="00F93234">
        <w:t xml:space="preserve"> </w:t>
      </w:r>
    </w:p>
    <w:p w14:paraId="495B91BA" w14:textId="6C36D31D" w:rsidR="00A213C3" w:rsidRDefault="00A213C3" w:rsidP="00A213C3">
      <w:pPr>
        <w:spacing w:after="0"/>
        <w:rPr>
          <w:lang w:val="en-US"/>
        </w:rPr>
      </w:pPr>
      <w:r>
        <w:rPr>
          <w:rFonts w:cs="Arial"/>
        </w:rPr>
        <w:t xml:space="preserve">Survey 9 of </w:t>
      </w:r>
      <w:r w:rsidRPr="001946E8">
        <w:rPr>
          <w:rFonts w:cs="Arial"/>
        </w:rPr>
        <w:t xml:space="preserve">the 1973-78 cohort </w:t>
      </w:r>
      <w:r>
        <w:rPr>
          <w:rFonts w:cs="Arial"/>
        </w:rPr>
        <w:t xml:space="preserve">began in June 2021, when the women </w:t>
      </w:r>
      <w:r>
        <w:rPr>
          <w:lang w:val="en-US"/>
        </w:rPr>
        <w:t xml:space="preserve">were aged 43-48 years old. The survey was offered in two formats, both as an online survey and as a paper survey. For details concerning development of this survey and processes for data collection, please refer to the previous </w:t>
      </w:r>
      <w:hyperlink r:id="rId18" w:history="1">
        <w:r w:rsidRPr="000806FB">
          <w:rPr>
            <w:rStyle w:val="Hyperlink"/>
            <w:lang w:val="en-US"/>
          </w:rPr>
          <w:t>Technical Report (Report 44).</w:t>
        </w:r>
      </w:hyperlink>
    </w:p>
    <w:p w14:paraId="58F26668" w14:textId="5CCB3812" w:rsidR="00A213C3" w:rsidRDefault="00A213C3" w:rsidP="00A213C3">
      <w:r>
        <w:fldChar w:fldCharType="begin"/>
      </w:r>
      <w:r>
        <w:instrText xml:space="preserve"> REF _Ref113713515 \h </w:instrText>
      </w:r>
      <w:r>
        <w:fldChar w:fldCharType="separate"/>
      </w:r>
      <w:r w:rsidR="007D19D7" w:rsidRPr="0000266C">
        <w:t xml:space="preserve">Table </w:t>
      </w:r>
      <w:r w:rsidR="007D19D7">
        <w:rPr>
          <w:noProof/>
        </w:rPr>
        <w:t>3</w:t>
      </w:r>
      <w:r w:rsidR="007D19D7">
        <w:noBreakHyphen/>
      </w:r>
      <w:r w:rsidR="007D19D7">
        <w:rPr>
          <w:noProof/>
        </w:rPr>
        <w:t>1</w:t>
      </w:r>
      <w:r>
        <w:fldChar w:fldCharType="end"/>
      </w:r>
      <w:r>
        <w:t xml:space="preserve"> </w:t>
      </w:r>
      <w:r w:rsidRPr="00475556">
        <w:t>detail</w:t>
      </w:r>
      <w:r>
        <w:t>s</w:t>
      </w:r>
      <w:r w:rsidRPr="00475556">
        <w:t xml:space="preserve"> the interim response rates for </w:t>
      </w:r>
      <w:r>
        <w:t xml:space="preserve">the main </w:t>
      </w:r>
      <w:r w:rsidRPr="00475556">
        <w:t>survey</w:t>
      </w:r>
      <w:r>
        <w:t xml:space="preserve"> and the CSIRO food intake survey (which was included in the main survey)</w:t>
      </w:r>
      <w:r w:rsidRPr="00475556">
        <w:t xml:space="preserve">. </w:t>
      </w:r>
      <w:r w:rsidRPr="00A5283E">
        <w:t xml:space="preserve">By </w:t>
      </w:r>
      <w:r w:rsidR="00A5283E" w:rsidRPr="00A5283E">
        <w:t xml:space="preserve">31 October </w:t>
      </w:r>
      <w:r w:rsidRPr="00A5283E">
        <w:t>2022,</w:t>
      </w:r>
      <w:r>
        <w:t xml:space="preserve"> c</w:t>
      </w:r>
      <w:r w:rsidRPr="00475556">
        <w:t xml:space="preserve">ompleted (online or paper) </w:t>
      </w:r>
      <w:r>
        <w:t xml:space="preserve">main </w:t>
      </w:r>
      <w:r w:rsidRPr="00475556">
        <w:t>surveys ha</w:t>
      </w:r>
      <w:r>
        <w:t>d</w:t>
      </w:r>
      <w:r w:rsidRPr="00475556">
        <w:t xml:space="preserve"> been received from </w:t>
      </w:r>
      <w:r w:rsidR="00A5283E">
        <w:t>6,510</w:t>
      </w:r>
      <w:r w:rsidRPr="00475556">
        <w:t xml:space="preserve"> women, which is </w:t>
      </w:r>
      <w:r>
        <w:t>5</w:t>
      </w:r>
      <w:r w:rsidR="00A5283E">
        <w:t>3</w:t>
      </w:r>
      <w:r w:rsidRPr="00475556">
        <w:t xml:space="preserve">% of those </w:t>
      </w:r>
      <w:proofErr w:type="gramStart"/>
      <w:r w:rsidRPr="00475556">
        <w:t>invited;</w:t>
      </w:r>
      <w:proofErr w:type="gramEnd"/>
      <w:r w:rsidRPr="00475556">
        <w:t xml:space="preserve"> while another </w:t>
      </w:r>
      <w:r w:rsidR="00A5283E">
        <w:t>363</w:t>
      </w:r>
      <w:r w:rsidR="00A5283E" w:rsidRPr="00DC4861">
        <w:t xml:space="preserve"> </w:t>
      </w:r>
      <w:r w:rsidRPr="00DC4861">
        <w:t>(3%)</w:t>
      </w:r>
      <w:r w:rsidRPr="00475556">
        <w:t xml:space="preserve"> ha</w:t>
      </w:r>
      <w:r>
        <w:t>d</w:t>
      </w:r>
      <w:r w:rsidRPr="00475556">
        <w:t xml:space="preserve"> partially completed their survey online. </w:t>
      </w:r>
      <w:r w:rsidR="00A5283E">
        <w:t xml:space="preserve">Of the women who have not yet responded (n=5,145), active follow-up and contact has been made with 2,893 (56%).  Another 535 women (10%) are in tracking, and 795 women (15%) are lost to follow-up.  </w:t>
      </w:r>
    </w:p>
    <w:p w14:paraId="60C645CF" w14:textId="328EA76D" w:rsidR="00A213C3" w:rsidRPr="0000266C" w:rsidRDefault="00A213C3" w:rsidP="0000266C">
      <w:pPr>
        <w:pStyle w:val="Caption"/>
      </w:pPr>
      <w:bookmarkStart w:id="25" w:name="_Ref113713515"/>
      <w:r w:rsidRPr="0000266C">
        <w:t xml:space="preserve">Table </w:t>
      </w:r>
      <w:fldSimple w:instr=" STYLEREF 1 \s ">
        <w:r w:rsidR="007D19D7">
          <w:rPr>
            <w:noProof/>
          </w:rPr>
          <w:t>3</w:t>
        </w:r>
      </w:fldSimple>
      <w:r w:rsidR="00327D59">
        <w:noBreakHyphen/>
      </w:r>
      <w:fldSimple w:instr=" SEQ Table \* ARABIC \s 1 ">
        <w:r w:rsidR="007D19D7">
          <w:rPr>
            <w:noProof/>
          </w:rPr>
          <w:t>1</w:t>
        </w:r>
      </w:fldSimple>
      <w:bookmarkEnd w:id="25"/>
      <w:r w:rsidRPr="0000266C">
        <w:t xml:space="preserve"> Response rates for Main Survey 9 and the CSIRO Food Intake Survey for the 1973-78 cohort, </w:t>
      </w:r>
      <w:proofErr w:type="gramStart"/>
      <w:r w:rsidRPr="0000266C">
        <w:t>at</w:t>
      </w:r>
      <w:proofErr w:type="gramEnd"/>
      <w:r w:rsidRPr="0000266C">
        <w:t xml:space="preserve"> </w:t>
      </w:r>
      <w:r w:rsidR="00A5283E">
        <w:t>31 October 2022</w:t>
      </w:r>
      <w:r w:rsidRPr="0000266C">
        <w:t xml:space="preserve"> (N = 12,318)</w:t>
      </w:r>
    </w:p>
    <w:tbl>
      <w:tblPr>
        <w:tblW w:w="5061" w:type="pct"/>
        <w:tblBorders>
          <w:top w:val="single" w:sz="4" w:space="0" w:color="auto"/>
          <w:left w:val="single" w:sz="4" w:space="0" w:color="auto"/>
          <w:bottom w:val="single" w:sz="4" w:space="0" w:color="auto"/>
          <w:right w:val="single" w:sz="4" w:space="0" w:color="auto"/>
        </w:tblBorders>
        <w:tblCellMar>
          <w:top w:w="28" w:type="dxa"/>
          <w:left w:w="85" w:type="dxa"/>
          <w:bottom w:w="28" w:type="dxa"/>
          <w:right w:w="85" w:type="dxa"/>
        </w:tblCellMar>
        <w:tblLook w:val="04A0" w:firstRow="1" w:lastRow="0" w:firstColumn="1" w:lastColumn="0" w:noHBand="0" w:noVBand="1"/>
      </w:tblPr>
      <w:tblGrid>
        <w:gridCol w:w="3681"/>
        <w:gridCol w:w="1276"/>
        <w:gridCol w:w="1503"/>
        <w:gridCol w:w="1503"/>
        <w:gridCol w:w="1495"/>
        <w:gridCol w:w="6"/>
      </w:tblGrid>
      <w:tr w:rsidR="00A213C3" w:rsidRPr="00ED6106" w14:paraId="7D57E035" w14:textId="77777777" w:rsidTr="00E86D5D">
        <w:trPr>
          <w:trHeight w:hRule="exact" w:val="510"/>
          <w:tblHeader/>
        </w:trPr>
        <w:tc>
          <w:tcPr>
            <w:tcW w:w="1945" w:type="pct"/>
            <w:tcBorders>
              <w:top w:val="single" w:sz="4" w:space="0" w:color="auto"/>
              <w:left w:val="single" w:sz="4" w:space="0" w:color="auto"/>
              <w:bottom w:val="nil"/>
              <w:right w:val="nil"/>
            </w:tcBorders>
            <w:shd w:val="clear" w:color="auto" w:fill="E5DFEC" w:themeFill="accent4" w:themeFillTint="33"/>
            <w:vAlign w:val="center"/>
          </w:tcPr>
          <w:p w14:paraId="17197A51" w14:textId="77777777" w:rsidR="00A213C3" w:rsidRPr="001543A4" w:rsidRDefault="00A213C3" w:rsidP="00E86D5D">
            <w:pPr>
              <w:spacing w:before="0" w:after="0" w:line="240" w:lineRule="auto"/>
              <w:jc w:val="left"/>
              <w:rPr>
                <w:rFonts w:cs="Arial"/>
                <w:b/>
                <w:bCs/>
                <w:szCs w:val="20"/>
              </w:rPr>
            </w:pPr>
          </w:p>
        </w:tc>
        <w:tc>
          <w:tcPr>
            <w:tcW w:w="1468" w:type="pct"/>
            <w:gridSpan w:val="2"/>
            <w:tcBorders>
              <w:top w:val="single" w:sz="4" w:space="0" w:color="auto"/>
              <w:left w:val="nil"/>
              <w:bottom w:val="nil"/>
              <w:right w:val="nil"/>
            </w:tcBorders>
            <w:shd w:val="clear" w:color="auto" w:fill="E5DFEC" w:themeFill="accent4" w:themeFillTint="33"/>
            <w:vAlign w:val="center"/>
          </w:tcPr>
          <w:p w14:paraId="477643A7" w14:textId="77777777" w:rsidR="00A213C3" w:rsidRPr="001543A4" w:rsidRDefault="00A213C3" w:rsidP="00E86D5D">
            <w:pPr>
              <w:spacing w:before="0" w:after="0" w:line="240" w:lineRule="auto"/>
              <w:jc w:val="right"/>
              <w:rPr>
                <w:rFonts w:cs="Arial"/>
                <w:b/>
                <w:bCs/>
                <w:szCs w:val="20"/>
              </w:rPr>
            </w:pPr>
            <w:r w:rsidRPr="001543A4">
              <w:rPr>
                <w:rFonts w:cs="Arial"/>
                <w:b/>
                <w:bCs/>
                <w:szCs w:val="20"/>
              </w:rPr>
              <w:t>Main Survey</w:t>
            </w:r>
          </w:p>
        </w:tc>
        <w:tc>
          <w:tcPr>
            <w:tcW w:w="1587" w:type="pct"/>
            <w:gridSpan w:val="3"/>
            <w:tcBorders>
              <w:top w:val="single" w:sz="4" w:space="0" w:color="auto"/>
              <w:left w:val="nil"/>
              <w:bottom w:val="nil"/>
              <w:right w:val="single" w:sz="4" w:space="0" w:color="auto"/>
            </w:tcBorders>
            <w:shd w:val="clear" w:color="auto" w:fill="E5DFEC" w:themeFill="accent4" w:themeFillTint="33"/>
            <w:vAlign w:val="center"/>
          </w:tcPr>
          <w:p w14:paraId="1F0E296C" w14:textId="77777777" w:rsidR="00A213C3" w:rsidRPr="001543A4" w:rsidRDefault="00A213C3" w:rsidP="00E86D5D">
            <w:pPr>
              <w:spacing w:before="0" w:after="0" w:line="240" w:lineRule="auto"/>
              <w:jc w:val="right"/>
              <w:rPr>
                <w:rFonts w:cs="Arial"/>
                <w:b/>
                <w:bCs/>
                <w:szCs w:val="20"/>
              </w:rPr>
            </w:pPr>
            <w:r w:rsidRPr="001543A4">
              <w:rPr>
                <w:rFonts w:cs="Arial"/>
                <w:b/>
                <w:bCs/>
                <w:szCs w:val="20"/>
              </w:rPr>
              <w:t>CSIRO Food Intake Survey</w:t>
            </w:r>
          </w:p>
        </w:tc>
      </w:tr>
      <w:tr w:rsidR="00A213C3" w:rsidRPr="00ED6106" w14:paraId="6330DE18" w14:textId="77777777" w:rsidTr="00E86D5D">
        <w:trPr>
          <w:gridAfter w:val="1"/>
          <w:wAfter w:w="3" w:type="pct"/>
          <w:trHeight w:hRule="exact" w:val="510"/>
          <w:tblHeader/>
        </w:trPr>
        <w:tc>
          <w:tcPr>
            <w:tcW w:w="1945" w:type="pct"/>
            <w:tcBorders>
              <w:top w:val="nil"/>
              <w:left w:val="single" w:sz="4" w:space="0" w:color="auto"/>
              <w:bottom w:val="single" w:sz="4" w:space="0" w:color="auto"/>
              <w:right w:val="nil"/>
            </w:tcBorders>
            <w:shd w:val="clear" w:color="auto" w:fill="E5DFEC" w:themeFill="accent4" w:themeFillTint="33"/>
            <w:vAlign w:val="center"/>
          </w:tcPr>
          <w:p w14:paraId="2F415880" w14:textId="77777777" w:rsidR="00A213C3" w:rsidRPr="001543A4" w:rsidRDefault="00A213C3" w:rsidP="00E86D5D">
            <w:pPr>
              <w:spacing w:before="0" w:after="0" w:line="240" w:lineRule="auto"/>
              <w:jc w:val="left"/>
              <w:rPr>
                <w:rFonts w:cs="Arial"/>
                <w:b/>
                <w:bCs/>
                <w:szCs w:val="20"/>
              </w:rPr>
            </w:pPr>
          </w:p>
        </w:tc>
        <w:tc>
          <w:tcPr>
            <w:tcW w:w="674" w:type="pct"/>
            <w:tcBorders>
              <w:top w:val="nil"/>
              <w:left w:val="nil"/>
              <w:bottom w:val="single" w:sz="4" w:space="0" w:color="auto"/>
              <w:right w:val="nil"/>
            </w:tcBorders>
            <w:shd w:val="clear" w:color="auto" w:fill="E5DFEC" w:themeFill="accent4" w:themeFillTint="33"/>
            <w:vAlign w:val="center"/>
            <w:hideMark/>
          </w:tcPr>
          <w:p w14:paraId="78ECFB17" w14:textId="77777777" w:rsidR="00A213C3" w:rsidRPr="001543A4" w:rsidRDefault="00A213C3" w:rsidP="00E86D5D">
            <w:pPr>
              <w:spacing w:before="0" w:after="0" w:line="240" w:lineRule="auto"/>
              <w:jc w:val="right"/>
              <w:rPr>
                <w:rFonts w:cs="Arial"/>
                <w:b/>
                <w:bCs/>
                <w:szCs w:val="20"/>
              </w:rPr>
            </w:pPr>
            <w:r w:rsidRPr="001543A4">
              <w:rPr>
                <w:rFonts w:cs="Arial"/>
                <w:b/>
                <w:bCs/>
                <w:szCs w:val="20"/>
              </w:rPr>
              <w:t>N</w:t>
            </w:r>
          </w:p>
          <w:p w14:paraId="3669A455" w14:textId="77777777" w:rsidR="00A213C3" w:rsidRPr="001543A4" w:rsidRDefault="00A213C3" w:rsidP="00E86D5D">
            <w:pPr>
              <w:spacing w:before="0" w:after="0" w:line="240" w:lineRule="auto"/>
              <w:jc w:val="right"/>
              <w:rPr>
                <w:rFonts w:cs="Arial"/>
                <w:b/>
                <w:bCs/>
                <w:szCs w:val="20"/>
              </w:rPr>
            </w:pPr>
          </w:p>
        </w:tc>
        <w:tc>
          <w:tcPr>
            <w:tcW w:w="794" w:type="pct"/>
            <w:tcBorders>
              <w:top w:val="nil"/>
              <w:left w:val="nil"/>
              <w:bottom w:val="single" w:sz="4" w:space="0" w:color="auto"/>
              <w:right w:val="nil"/>
            </w:tcBorders>
            <w:shd w:val="clear" w:color="auto" w:fill="E5DFEC" w:themeFill="accent4" w:themeFillTint="33"/>
            <w:vAlign w:val="center"/>
            <w:hideMark/>
          </w:tcPr>
          <w:p w14:paraId="0DD217D7" w14:textId="77777777" w:rsidR="00A213C3" w:rsidRPr="001543A4" w:rsidRDefault="00A213C3" w:rsidP="00E86D5D">
            <w:pPr>
              <w:spacing w:before="0" w:after="0" w:line="240" w:lineRule="auto"/>
              <w:jc w:val="right"/>
              <w:rPr>
                <w:rFonts w:cs="Arial"/>
                <w:b/>
                <w:bCs/>
                <w:szCs w:val="20"/>
              </w:rPr>
            </w:pPr>
            <w:r w:rsidRPr="001543A4">
              <w:rPr>
                <w:rFonts w:cs="Arial"/>
                <w:b/>
                <w:bCs/>
                <w:szCs w:val="20"/>
              </w:rPr>
              <w:t>%</w:t>
            </w:r>
          </w:p>
        </w:tc>
        <w:tc>
          <w:tcPr>
            <w:tcW w:w="794" w:type="pct"/>
            <w:tcBorders>
              <w:top w:val="nil"/>
              <w:left w:val="nil"/>
              <w:bottom w:val="single" w:sz="4" w:space="0" w:color="auto"/>
              <w:right w:val="nil"/>
            </w:tcBorders>
            <w:shd w:val="clear" w:color="auto" w:fill="E5DFEC" w:themeFill="accent4" w:themeFillTint="33"/>
            <w:vAlign w:val="center"/>
          </w:tcPr>
          <w:p w14:paraId="4FE9471B" w14:textId="77777777" w:rsidR="00A213C3" w:rsidRPr="001543A4" w:rsidRDefault="00A213C3" w:rsidP="00E86D5D">
            <w:pPr>
              <w:spacing w:before="0" w:after="0" w:line="240" w:lineRule="auto"/>
              <w:jc w:val="right"/>
              <w:rPr>
                <w:rFonts w:cs="Arial"/>
                <w:b/>
                <w:bCs/>
                <w:szCs w:val="20"/>
              </w:rPr>
            </w:pPr>
            <w:r w:rsidRPr="001543A4">
              <w:rPr>
                <w:rFonts w:cs="Arial"/>
                <w:b/>
                <w:bCs/>
                <w:szCs w:val="20"/>
              </w:rPr>
              <w:t>N</w:t>
            </w:r>
          </w:p>
        </w:tc>
        <w:tc>
          <w:tcPr>
            <w:tcW w:w="790" w:type="pct"/>
            <w:tcBorders>
              <w:top w:val="nil"/>
              <w:left w:val="nil"/>
              <w:bottom w:val="single" w:sz="4" w:space="0" w:color="auto"/>
              <w:right w:val="single" w:sz="4" w:space="0" w:color="auto"/>
            </w:tcBorders>
            <w:shd w:val="clear" w:color="auto" w:fill="E5DFEC" w:themeFill="accent4" w:themeFillTint="33"/>
            <w:vAlign w:val="center"/>
          </w:tcPr>
          <w:p w14:paraId="4359B2E5" w14:textId="77777777" w:rsidR="00A213C3" w:rsidRPr="001543A4" w:rsidRDefault="00A213C3" w:rsidP="00E86D5D">
            <w:pPr>
              <w:spacing w:before="0" w:after="0" w:line="240" w:lineRule="auto"/>
              <w:jc w:val="right"/>
              <w:rPr>
                <w:rFonts w:cs="Arial"/>
                <w:b/>
                <w:bCs/>
                <w:szCs w:val="20"/>
              </w:rPr>
            </w:pPr>
            <w:r w:rsidRPr="001543A4">
              <w:rPr>
                <w:rFonts w:cs="Arial"/>
                <w:b/>
                <w:bCs/>
                <w:szCs w:val="20"/>
              </w:rPr>
              <w:t>%</w:t>
            </w:r>
          </w:p>
        </w:tc>
      </w:tr>
      <w:tr w:rsidR="00A213C3" w:rsidRPr="00475556" w14:paraId="30EE727B" w14:textId="77777777" w:rsidTr="00E86D5D">
        <w:trPr>
          <w:gridAfter w:val="1"/>
          <w:wAfter w:w="3" w:type="pct"/>
          <w:trHeight w:hRule="exact" w:val="340"/>
        </w:trPr>
        <w:tc>
          <w:tcPr>
            <w:tcW w:w="1945" w:type="pct"/>
            <w:tcBorders>
              <w:top w:val="single" w:sz="4" w:space="0" w:color="auto"/>
              <w:left w:val="single" w:sz="4" w:space="0" w:color="auto"/>
              <w:bottom w:val="nil"/>
              <w:right w:val="nil"/>
            </w:tcBorders>
            <w:vAlign w:val="center"/>
            <w:hideMark/>
          </w:tcPr>
          <w:p w14:paraId="64C535EE" w14:textId="77777777" w:rsidR="00A213C3" w:rsidRPr="001543A4" w:rsidRDefault="00A213C3" w:rsidP="00E86D5D">
            <w:pPr>
              <w:spacing w:before="0" w:after="0" w:line="240" w:lineRule="auto"/>
              <w:jc w:val="left"/>
              <w:rPr>
                <w:rFonts w:cs="Arial"/>
                <w:szCs w:val="20"/>
              </w:rPr>
            </w:pPr>
            <w:r w:rsidRPr="001543A4">
              <w:rPr>
                <w:rFonts w:cs="Arial"/>
                <w:szCs w:val="20"/>
              </w:rPr>
              <w:t>Completed online survey</w:t>
            </w:r>
          </w:p>
        </w:tc>
        <w:tc>
          <w:tcPr>
            <w:tcW w:w="674" w:type="pct"/>
            <w:tcBorders>
              <w:top w:val="single" w:sz="4" w:space="0" w:color="auto"/>
              <w:left w:val="nil"/>
              <w:bottom w:val="nil"/>
              <w:right w:val="nil"/>
            </w:tcBorders>
            <w:vAlign w:val="center"/>
          </w:tcPr>
          <w:p w14:paraId="7CB2C4EC" w14:textId="3380C316" w:rsidR="00A213C3" w:rsidRPr="001543A4" w:rsidRDefault="00A213C3" w:rsidP="00E86D5D">
            <w:pPr>
              <w:spacing w:before="0" w:after="0" w:line="240" w:lineRule="auto"/>
              <w:jc w:val="right"/>
              <w:rPr>
                <w:rFonts w:cs="Arial"/>
                <w:szCs w:val="20"/>
              </w:rPr>
            </w:pPr>
            <w:r>
              <w:rPr>
                <w:rFonts w:cs="Arial"/>
                <w:szCs w:val="20"/>
              </w:rPr>
              <w:t>5,</w:t>
            </w:r>
            <w:r w:rsidR="00A5283E">
              <w:rPr>
                <w:rFonts w:cs="Arial"/>
                <w:szCs w:val="20"/>
              </w:rPr>
              <w:t>390</w:t>
            </w:r>
          </w:p>
        </w:tc>
        <w:tc>
          <w:tcPr>
            <w:tcW w:w="794" w:type="pct"/>
            <w:tcBorders>
              <w:top w:val="single" w:sz="4" w:space="0" w:color="auto"/>
              <w:left w:val="nil"/>
              <w:bottom w:val="nil"/>
              <w:right w:val="nil"/>
            </w:tcBorders>
            <w:vAlign w:val="center"/>
          </w:tcPr>
          <w:p w14:paraId="71398D4A" w14:textId="6DC8F3C3" w:rsidR="00A213C3" w:rsidRPr="001543A4" w:rsidRDefault="00A213C3" w:rsidP="00E86D5D">
            <w:pPr>
              <w:spacing w:before="0" w:after="0" w:line="240" w:lineRule="auto"/>
              <w:jc w:val="right"/>
              <w:rPr>
                <w:rFonts w:cs="Arial"/>
                <w:szCs w:val="20"/>
              </w:rPr>
            </w:pPr>
            <w:r>
              <w:rPr>
                <w:rFonts w:cs="Arial"/>
                <w:szCs w:val="20"/>
              </w:rPr>
              <w:t>4</w:t>
            </w:r>
            <w:r w:rsidR="00A5283E">
              <w:rPr>
                <w:rFonts w:cs="Arial"/>
                <w:szCs w:val="20"/>
              </w:rPr>
              <w:t>3.8</w:t>
            </w:r>
          </w:p>
        </w:tc>
        <w:tc>
          <w:tcPr>
            <w:tcW w:w="794" w:type="pct"/>
            <w:tcBorders>
              <w:top w:val="single" w:sz="4" w:space="0" w:color="auto"/>
              <w:left w:val="nil"/>
              <w:bottom w:val="nil"/>
              <w:right w:val="nil"/>
            </w:tcBorders>
            <w:vAlign w:val="center"/>
          </w:tcPr>
          <w:p w14:paraId="47EE3DF4" w14:textId="513C78B3" w:rsidR="00A213C3" w:rsidRPr="001543A4" w:rsidRDefault="00A5283E" w:rsidP="00E86D5D">
            <w:pPr>
              <w:spacing w:before="0" w:after="0" w:line="240" w:lineRule="auto"/>
              <w:jc w:val="right"/>
              <w:rPr>
                <w:rFonts w:cs="Arial"/>
                <w:szCs w:val="20"/>
              </w:rPr>
            </w:pPr>
            <w:r>
              <w:rPr>
                <w:rFonts w:cs="Arial"/>
                <w:szCs w:val="20"/>
              </w:rPr>
              <w:t>5,042</w:t>
            </w:r>
          </w:p>
        </w:tc>
        <w:tc>
          <w:tcPr>
            <w:tcW w:w="790" w:type="pct"/>
            <w:tcBorders>
              <w:top w:val="single" w:sz="4" w:space="0" w:color="auto"/>
              <w:left w:val="nil"/>
              <w:bottom w:val="nil"/>
              <w:right w:val="single" w:sz="4" w:space="0" w:color="auto"/>
            </w:tcBorders>
            <w:vAlign w:val="center"/>
          </w:tcPr>
          <w:p w14:paraId="19CB8D0A" w14:textId="17EF446B" w:rsidR="00A213C3" w:rsidRPr="001543A4" w:rsidRDefault="00A5283E" w:rsidP="00E86D5D">
            <w:pPr>
              <w:spacing w:before="0" w:after="0" w:line="240" w:lineRule="auto"/>
              <w:jc w:val="right"/>
              <w:rPr>
                <w:rFonts w:cs="Arial"/>
                <w:szCs w:val="20"/>
              </w:rPr>
            </w:pPr>
            <w:r>
              <w:rPr>
                <w:rFonts w:cs="Arial"/>
                <w:szCs w:val="20"/>
              </w:rPr>
              <w:t>40.8</w:t>
            </w:r>
          </w:p>
        </w:tc>
      </w:tr>
      <w:tr w:rsidR="00A5283E" w:rsidRPr="00475556" w14:paraId="0F4B7A5D" w14:textId="77777777" w:rsidTr="00E86D5D">
        <w:trPr>
          <w:gridAfter w:val="1"/>
          <w:wAfter w:w="3" w:type="pct"/>
          <w:trHeight w:hRule="exact" w:val="340"/>
        </w:trPr>
        <w:tc>
          <w:tcPr>
            <w:tcW w:w="1945" w:type="pct"/>
            <w:tcBorders>
              <w:top w:val="nil"/>
              <w:left w:val="single" w:sz="4" w:space="0" w:color="auto"/>
              <w:bottom w:val="nil"/>
              <w:right w:val="nil"/>
            </w:tcBorders>
            <w:vAlign w:val="center"/>
          </w:tcPr>
          <w:p w14:paraId="79FDA9BF" w14:textId="43C8428A" w:rsidR="00A5283E" w:rsidRPr="001543A4" w:rsidRDefault="00A5283E" w:rsidP="00E86D5D">
            <w:pPr>
              <w:spacing w:before="0" w:after="0" w:line="240" w:lineRule="auto"/>
              <w:jc w:val="left"/>
              <w:rPr>
                <w:rFonts w:cs="Arial"/>
                <w:szCs w:val="20"/>
              </w:rPr>
            </w:pPr>
            <w:r>
              <w:rPr>
                <w:rFonts w:cs="Arial"/>
                <w:szCs w:val="20"/>
              </w:rPr>
              <w:t>Completed paper survey</w:t>
            </w:r>
          </w:p>
        </w:tc>
        <w:tc>
          <w:tcPr>
            <w:tcW w:w="674" w:type="pct"/>
            <w:tcBorders>
              <w:top w:val="nil"/>
              <w:left w:val="nil"/>
              <w:bottom w:val="nil"/>
              <w:right w:val="nil"/>
            </w:tcBorders>
            <w:vAlign w:val="center"/>
          </w:tcPr>
          <w:p w14:paraId="1365ED70" w14:textId="0CD02D42" w:rsidR="00A5283E" w:rsidRDefault="00A5283E" w:rsidP="00E86D5D">
            <w:pPr>
              <w:spacing w:before="0" w:after="0" w:line="240" w:lineRule="auto"/>
              <w:jc w:val="right"/>
              <w:rPr>
                <w:rFonts w:cs="Arial"/>
                <w:szCs w:val="20"/>
              </w:rPr>
            </w:pPr>
            <w:r>
              <w:rPr>
                <w:rFonts w:cs="Arial"/>
                <w:szCs w:val="20"/>
              </w:rPr>
              <w:t>1,120</w:t>
            </w:r>
          </w:p>
        </w:tc>
        <w:tc>
          <w:tcPr>
            <w:tcW w:w="794" w:type="pct"/>
            <w:tcBorders>
              <w:top w:val="nil"/>
              <w:left w:val="nil"/>
              <w:bottom w:val="nil"/>
              <w:right w:val="nil"/>
            </w:tcBorders>
            <w:vAlign w:val="center"/>
          </w:tcPr>
          <w:p w14:paraId="4852AEA4" w14:textId="1BEEB8CE" w:rsidR="00A5283E" w:rsidRDefault="00A5283E" w:rsidP="00E86D5D">
            <w:pPr>
              <w:spacing w:before="0" w:after="0" w:line="240" w:lineRule="auto"/>
              <w:jc w:val="right"/>
              <w:rPr>
                <w:rFonts w:cs="Arial"/>
                <w:szCs w:val="20"/>
              </w:rPr>
            </w:pPr>
            <w:r>
              <w:rPr>
                <w:rFonts w:cs="Arial"/>
                <w:szCs w:val="20"/>
              </w:rPr>
              <w:t>9.1</w:t>
            </w:r>
          </w:p>
        </w:tc>
        <w:tc>
          <w:tcPr>
            <w:tcW w:w="794" w:type="pct"/>
            <w:tcBorders>
              <w:top w:val="nil"/>
              <w:left w:val="nil"/>
              <w:bottom w:val="nil"/>
              <w:right w:val="nil"/>
            </w:tcBorders>
            <w:vAlign w:val="center"/>
          </w:tcPr>
          <w:p w14:paraId="270291F6" w14:textId="1C7DEFE8" w:rsidR="00A5283E" w:rsidRDefault="00A5283E" w:rsidP="00E86D5D">
            <w:pPr>
              <w:spacing w:before="0" w:after="0" w:line="240" w:lineRule="auto"/>
              <w:jc w:val="right"/>
              <w:rPr>
                <w:rFonts w:cs="Arial"/>
                <w:szCs w:val="20"/>
              </w:rPr>
            </w:pPr>
            <w:r>
              <w:rPr>
                <w:rFonts w:cs="Arial"/>
                <w:szCs w:val="20"/>
              </w:rPr>
              <w:t>1,078</w:t>
            </w:r>
          </w:p>
        </w:tc>
        <w:tc>
          <w:tcPr>
            <w:tcW w:w="790" w:type="pct"/>
            <w:tcBorders>
              <w:top w:val="nil"/>
              <w:left w:val="nil"/>
              <w:bottom w:val="nil"/>
              <w:right w:val="single" w:sz="4" w:space="0" w:color="auto"/>
            </w:tcBorders>
            <w:vAlign w:val="center"/>
          </w:tcPr>
          <w:p w14:paraId="28A64FAD" w14:textId="45A20A5E" w:rsidR="00A5283E" w:rsidRDefault="00A5283E" w:rsidP="00E86D5D">
            <w:pPr>
              <w:spacing w:before="0" w:after="0" w:line="240" w:lineRule="auto"/>
              <w:jc w:val="right"/>
              <w:rPr>
                <w:rFonts w:cs="Arial"/>
                <w:szCs w:val="20"/>
              </w:rPr>
            </w:pPr>
            <w:r>
              <w:rPr>
                <w:rFonts w:cs="Arial"/>
                <w:szCs w:val="20"/>
              </w:rPr>
              <w:t>8.8</w:t>
            </w:r>
          </w:p>
        </w:tc>
      </w:tr>
      <w:tr w:rsidR="00A213C3" w:rsidRPr="00475556" w14:paraId="0362241D" w14:textId="77777777" w:rsidTr="00E86D5D">
        <w:trPr>
          <w:gridAfter w:val="1"/>
          <w:wAfter w:w="3" w:type="pct"/>
          <w:trHeight w:hRule="exact" w:val="340"/>
        </w:trPr>
        <w:tc>
          <w:tcPr>
            <w:tcW w:w="1945" w:type="pct"/>
            <w:tcBorders>
              <w:top w:val="nil"/>
              <w:left w:val="single" w:sz="4" w:space="0" w:color="auto"/>
              <w:bottom w:val="nil"/>
              <w:right w:val="nil"/>
            </w:tcBorders>
            <w:vAlign w:val="center"/>
            <w:hideMark/>
          </w:tcPr>
          <w:p w14:paraId="46AA94DA" w14:textId="77777777" w:rsidR="00A213C3" w:rsidRPr="001543A4" w:rsidRDefault="00A213C3" w:rsidP="00E86D5D">
            <w:pPr>
              <w:spacing w:before="0" w:after="0" w:line="240" w:lineRule="auto"/>
              <w:jc w:val="left"/>
              <w:rPr>
                <w:rFonts w:cs="Arial"/>
                <w:szCs w:val="20"/>
              </w:rPr>
            </w:pPr>
            <w:r w:rsidRPr="001543A4">
              <w:rPr>
                <w:rFonts w:cs="Arial"/>
                <w:szCs w:val="20"/>
              </w:rPr>
              <w:t>Partially completed online surve</w:t>
            </w:r>
            <w:r>
              <w:rPr>
                <w:rFonts w:cs="Arial"/>
                <w:szCs w:val="20"/>
              </w:rPr>
              <w:t>y</w:t>
            </w:r>
          </w:p>
        </w:tc>
        <w:tc>
          <w:tcPr>
            <w:tcW w:w="674" w:type="pct"/>
            <w:tcBorders>
              <w:top w:val="nil"/>
              <w:left w:val="nil"/>
              <w:bottom w:val="nil"/>
              <w:right w:val="nil"/>
            </w:tcBorders>
            <w:vAlign w:val="center"/>
          </w:tcPr>
          <w:p w14:paraId="191D4391" w14:textId="51208B18" w:rsidR="00A213C3" w:rsidRPr="001543A4" w:rsidRDefault="00A5283E" w:rsidP="00E86D5D">
            <w:pPr>
              <w:spacing w:before="0" w:after="0" w:line="240" w:lineRule="auto"/>
              <w:jc w:val="right"/>
              <w:rPr>
                <w:rFonts w:cs="Arial"/>
                <w:szCs w:val="20"/>
              </w:rPr>
            </w:pPr>
            <w:r>
              <w:rPr>
                <w:rFonts w:cs="Arial"/>
                <w:szCs w:val="20"/>
              </w:rPr>
              <w:t>363</w:t>
            </w:r>
          </w:p>
        </w:tc>
        <w:tc>
          <w:tcPr>
            <w:tcW w:w="794" w:type="pct"/>
            <w:tcBorders>
              <w:top w:val="nil"/>
              <w:left w:val="nil"/>
              <w:bottom w:val="nil"/>
              <w:right w:val="nil"/>
            </w:tcBorders>
            <w:vAlign w:val="center"/>
          </w:tcPr>
          <w:p w14:paraId="12B5D963" w14:textId="688509D5" w:rsidR="00A213C3" w:rsidRPr="001543A4" w:rsidRDefault="00A5283E" w:rsidP="00E86D5D">
            <w:pPr>
              <w:spacing w:before="0" w:after="0" w:line="240" w:lineRule="auto"/>
              <w:jc w:val="right"/>
              <w:rPr>
                <w:rFonts w:cs="Arial"/>
                <w:szCs w:val="20"/>
              </w:rPr>
            </w:pPr>
            <w:r>
              <w:rPr>
                <w:rFonts w:cs="Arial"/>
                <w:szCs w:val="20"/>
              </w:rPr>
              <w:t>2.9</w:t>
            </w:r>
          </w:p>
        </w:tc>
        <w:tc>
          <w:tcPr>
            <w:tcW w:w="794" w:type="pct"/>
            <w:tcBorders>
              <w:top w:val="nil"/>
              <w:left w:val="nil"/>
              <w:bottom w:val="nil"/>
              <w:right w:val="nil"/>
            </w:tcBorders>
            <w:vAlign w:val="center"/>
          </w:tcPr>
          <w:p w14:paraId="656157EB" w14:textId="52D722B8" w:rsidR="00A213C3" w:rsidRPr="001543A4" w:rsidRDefault="00A5283E" w:rsidP="00E86D5D">
            <w:pPr>
              <w:spacing w:before="0" w:after="0" w:line="240" w:lineRule="auto"/>
              <w:jc w:val="right"/>
              <w:rPr>
                <w:rFonts w:cs="Arial"/>
                <w:szCs w:val="20"/>
              </w:rPr>
            </w:pPr>
            <w:r>
              <w:rPr>
                <w:rFonts w:cs="Arial"/>
                <w:szCs w:val="20"/>
              </w:rPr>
              <w:t>281</w:t>
            </w:r>
          </w:p>
        </w:tc>
        <w:tc>
          <w:tcPr>
            <w:tcW w:w="790" w:type="pct"/>
            <w:tcBorders>
              <w:top w:val="nil"/>
              <w:left w:val="nil"/>
              <w:bottom w:val="nil"/>
              <w:right w:val="single" w:sz="4" w:space="0" w:color="auto"/>
            </w:tcBorders>
            <w:vAlign w:val="center"/>
          </w:tcPr>
          <w:p w14:paraId="6276D1F9" w14:textId="225BCDBA" w:rsidR="00A213C3" w:rsidRPr="001543A4" w:rsidRDefault="00A213C3" w:rsidP="00E86D5D">
            <w:pPr>
              <w:spacing w:before="0" w:after="0" w:line="240" w:lineRule="auto"/>
              <w:jc w:val="right"/>
              <w:rPr>
                <w:rFonts w:cs="Arial"/>
                <w:szCs w:val="20"/>
              </w:rPr>
            </w:pPr>
            <w:r>
              <w:rPr>
                <w:rFonts w:cs="Arial"/>
                <w:szCs w:val="20"/>
              </w:rPr>
              <w:t>2.</w:t>
            </w:r>
            <w:r w:rsidR="00A5283E">
              <w:rPr>
                <w:rFonts w:cs="Arial"/>
                <w:szCs w:val="20"/>
              </w:rPr>
              <w:t>3</w:t>
            </w:r>
          </w:p>
        </w:tc>
      </w:tr>
      <w:tr w:rsidR="00A213C3" w:rsidRPr="00475556" w14:paraId="551FE1DF" w14:textId="77777777" w:rsidTr="00E86D5D">
        <w:trPr>
          <w:gridAfter w:val="1"/>
          <w:wAfter w:w="3" w:type="pct"/>
          <w:trHeight w:hRule="exact" w:val="340"/>
        </w:trPr>
        <w:tc>
          <w:tcPr>
            <w:tcW w:w="1945" w:type="pct"/>
            <w:tcBorders>
              <w:top w:val="nil"/>
              <w:left w:val="single" w:sz="4" w:space="0" w:color="auto"/>
              <w:bottom w:val="nil"/>
              <w:right w:val="nil"/>
            </w:tcBorders>
            <w:vAlign w:val="center"/>
          </w:tcPr>
          <w:p w14:paraId="60AC08C7" w14:textId="77777777" w:rsidR="00A213C3" w:rsidRPr="001543A4" w:rsidRDefault="00A213C3" w:rsidP="00E86D5D">
            <w:pPr>
              <w:spacing w:before="0" w:after="0" w:line="240" w:lineRule="auto"/>
              <w:jc w:val="left"/>
              <w:rPr>
                <w:rFonts w:cs="Arial"/>
                <w:szCs w:val="20"/>
              </w:rPr>
            </w:pPr>
            <w:r w:rsidRPr="001543A4">
              <w:rPr>
                <w:rFonts w:cs="Arial"/>
                <w:szCs w:val="20"/>
              </w:rPr>
              <w:t>Deceased</w:t>
            </w:r>
          </w:p>
        </w:tc>
        <w:tc>
          <w:tcPr>
            <w:tcW w:w="674" w:type="pct"/>
            <w:tcBorders>
              <w:top w:val="nil"/>
              <w:left w:val="nil"/>
              <w:bottom w:val="nil"/>
              <w:right w:val="nil"/>
            </w:tcBorders>
            <w:vAlign w:val="center"/>
          </w:tcPr>
          <w:p w14:paraId="42D9952F" w14:textId="77777777" w:rsidR="00A213C3" w:rsidRPr="001543A4" w:rsidRDefault="00A213C3" w:rsidP="00E86D5D">
            <w:pPr>
              <w:spacing w:before="0" w:after="0" w:line="240" w:lineRule="auto"/>
              <w:jc w:val="right"/>
              <w:rPr>
                <w:rFonts w:cs="Arial"/>
                <w:szCs w:val="20"/>
              </w:rPr>
            </w:pPr>
            <w:r>
              <w:rPr>
                <w:rFonts w:cs="Arial"/>
                <w:szCs w:val="20"/>
              </w:rPr>
              <w:t>9</w:t>
            </w:r>
          </w:p>
        </w:tc>
        <w:tc>
          <w:tcPr>
            <w:tcW w:w="794" w:type="pct"/>
            <w:tcBorders>
              <w:top w:val="nil"/>
              <w:left w:val="nil"/>
              <w:bottom w:val="nil"/>
              <w:right w:val="nil"/>
            </w:tcBorders>
            <w:vAlign w:val="center"/>
          </w:tcPr>
          <w:p w14:paraId="303D0338" w14:textId="77777777" w:rsidR="00A213C3" w:rsidRPr="001543A4" w:rsidRDefault="00A213C3" w:rsidP="00E86D5D">
            <w:pPr>
              <w:spacing w:before="0" w:after="0" w:line="240" w:lineRule="auto"/>
              <w:jc w:val="right"/>
              <w:rPr>
                <w:rFonts w:cs="Arial"/>
                <w:szCs w:val="20"/>
              </w:rPr>
            </w:pPr>
            <w:r>
              <w:rPr>
                <w:rFonts w:cs="Arial"/>
                <w:szCs w:val="20"/>
              </w:rPr>
              <w:t>0.0</w:t>
            </w:r>
          </w:p>
        </w:tc>
        <w:tc>
          <w:tcPr>
            <w:tcW w:w="794" w:type="pct"/>
            <w:tcBorders>
              <w:top w:val="nil"/>
              <w:left w:val="nil"/>
              <w:bottom w:val="nil"/>
              <w:right w:val="nil"/>
            </w:tcBorders>
            <w:vAlign w:val="center"/>
          </w:tcPr>
          <w:p w14:paraId="2FB13856" w14:textId="77777777" w:rsidR="00A213C3" w:rsidRPr="001543A4" w:rsidRDefault="00A213C3" w:rsidP="00E86D5D">
            <w:pPr>
              <w:spacing w:before="0" w:after="0" w:line="240" w:lineRule="auto"/>
              <w:jc w:val="right"/>
              <w:rPr>
                <w:rFonts w:cs="Arial"/>
                <w:szCs w:val="20"/>
              </w:rPr>
            </w:pPr>
            <w:r>
              <w:rPr>
                <w:rFonts w:cs="Arial"/>
                <w:szCs w:val="20"/>
              </w:rPr>
              <w:t>9</w:t>
            </w:r>
          </w:p>
        </w:tc>
        <w:tc>
          <w:tcPr>
            <w:tcW w:w="790" w:type="pct"/>
            <w:tcBorders>
              <w:top w:val="nil"/>
              <w:left w:val="nil"/>
              <w:bottom w:val="nil"/>
              <w:right w:val="single" w:sz="4" w:space="0" w:color="auto"/>
            </w:tcBorders>
            <w:vAlign w:val="center"/>
          </w:tcPr>
          <w:p w14:paraId="3CCB0F89" w14:textId="77777777" w:rsidR="00A213C3" w:rsidRPr="001543A4" w:rsidRDefault="00A213C3" w:rsidP="00E86D5D">
            <w:pPr>
              <w:spacing w:before="0" w:after="0" w:line="240" w:lineRule="auto"/>
              <w:jc w:val="right"/>
              <w:rPr>
                <w:rFonts w:cs="Arial"/>
                <w:szCs w:val="20"/>
              </w:rPr>
            </w:pPr>
            <w:r>
              <w:rPr>
                <w:rFonts w:cs="Arial"/>
                <w:szCs w:val="20"/>
              </w:rPr>
              <w:t>0.0</w:t>
            </w:r>
          </w:p>
        </w:tc>
      </w:tr>
      <w:tr w:rsidR="00A213C3" w:rsidRPr="00475556" w14:paraId="371266D2" w14:textId="77777777" w:rsidTr="00E86D5D">
        <w:trPr>
          <w:gridAfter w:val="1"/>
          <w:wAfter w:w="3" w:type="pct"/>
          <w:trHeight w:hRule="exact" w:val="340"/>
        </w:trPr>
        <w:tc>
          <w:tcPr>
            <w:tcW w:w="1945" w:type="pct"/>
            <w:tcBorders>
              <w:top w:val="nil"/>
              <w:left w:val="single" w:sz="4" w:space="0" w:color="auto"/>
              <w:bottom w:val="nil"/>
              <w:right w:val="nil"/>
            </w:tcBorders>
            <w:vAlign w:val="center"/>
            <w:hideMark/>
          </w:tcPr>
          <w:p w14:paraId="4328FF74" w14:textId="77777777" w:rsidR="00A213C3" w:rsidRPr="001543A4" w:rsidRDefault="00A213C3" w:rsidP="00E86D5D">
            <w:pPr>
              <w:spacing w:before="0" w:after="0" w:line="240" w:lineRule="auto"/>
              <w:jc w:val="left"/>
              <w:rPr>
                <w:rFonts w:cs="Arial"/>
                <w:szCs w:val="20"/>
              </w:rPr>
            </w:pPr>
            <w:r w:rsidRPr="001543A4">
              <w:rPr>
                <w:rFonts w:cs="Arial"/>
                <w:szCs w:val="20"/>
              </w:rPr>
              <w:t>Withdrawn</w:t>
            </w:r>
          </w:p>
        </w:tc>
        <w:tc>
          <w:tcPr>
            <w:tcW w:w="674" w:type="pct"/>
            <w:tcBorders>
              <w:top w:val="nil"/>
              <w:left w:val="nil"/>
              <w:bottom w:val="nil"/>
              <w:right w:val="nil"/>
            </w:tcBorders>
            <w:vAlign w:val="center"/>
          </w:tcPr>
          <w:p w14:paraId="16DCDE02" w14:textId="36F02D17" w:rsidR="00A213C3" w:rsidRPr="001543A4" w:rsidRDefault="00A213C3" w:rsidP="00E86D5D">
            <w:pPr>
              <w:spacing w:before="0" w:after="0" w:line="240" w:lineRule="auto"/>
              <w:jc w:val="right"/>
              <w:rPr>
                <w:rFonts w:cs="Arial"/>
                <w:szCs w:val="20"/>
              </w:rPr>
            </w:pPr>
            <w:r>
              <w:rPr>
                <w:rFonts w:cs="Arial"/>
                <w:szCs w:val="20"/>
              </w:rPr>
              <w:t>13</w:t>
            </w:r>
            <w:r w:rsidR="00A5283E">
              <w:rPr>
                <w:rFonts w:cs="Arial"/>
                <w:szCs w:val="20"/>
              </w:rPr>
              <w:t>7</w:t>
            </w:r>
          </w:p>
        </w:tc>
        <w:tc>
          <w:tcPr>
            <w:tcW w:w="794" w:type="pct"/>
            <w:tcBorders>
              <w:top w:val="nil"/>
              <w:left w:val="nil"/>
              <w:bottom w:val="nil"/>
              <w:right w:val="nil"/>
            </w:tcBorders>
            <w:vAlign w:val="center"/>
          </w:tcPr>
          <w:p w14:paraId="323DB68A" w14:textId="77777777" w:rsidR="00A213C3" w:rsidRPr="001543A4" w:rsidRDefault="00A213C3" w:rsidP="00E86D5D">
            <w:pPr>
              <w:spacing w:before="0" w:after="0" w:line="240" w:lineRule="auto"/>
              <w:jc w:val="right"/>
              <w:rPr>
                <w:rFonts w:cs="Arial"/>
                <w:szCs w:val="20"/>
              </w:rPr>
            </w:pPr>
            <w:r>
              <w:rPr>
                <w:rFonts w:cs="Arial"/>
                <w:szCs w:val="20"/>
              </w:rPr>
              <w:t>1.1</w:t>
            </w:r>
          </w:p>
        </w:tc>
        <w:tc>
          <w:tcPr>
            <w:tcW w:w="794" w:type="pct"/>
            <w:tcBorders>
              <w:top w:val="nil"/>
              <w:left w:val="nil"/>
              <w:bottom w:val="nil"/>
              <w:right w:val="nil"/>
            </w:tcBorders>
            <w:vAlign w:val="center"/>
          </w:tcPr>
          <w:p w14:paraId="04908E60" w14:textId="36FEA100" w:rsidR="00A213C3" w:rsidRPr="001543A4" w:rsidRDefault="00A213C3" w:rsidP="00E86D5D">
            <w:pPr>
              <w:spacing w:before="0" w:after="0" w:line="240" w:lineRule="auto"/>
              <w:jc w:val="right"/>
              <w:rPr>
                <w:rFonts w:cs="Arial"/>
                <w:szCs w:val="20"/>
              </w:rPr>
            </w:pPr>
            <w:r>
              <w:rPr>
                <w:rFonts w:cs="Arial"/>
                <w:szCs w:val="20"/>
              </w:rPr>
              <w:t>14</w:t>
            </w:r>
            <w:r w:rsidR="00A5283E">
              <w:rPr>
                <w:rFonts w:cs="Arial"/>
                <w:szCs w:val="20"/>
              </w:rPr>
              <w:t>5</w:t>
            </w:r>
          </w:p>
        </w:tc>
        <w:tc>
          <w:tcPr>
            <w:tcW w:w="790" w:type="pct"/>
            <w:tcBorders>
              <w:top w:val="nil"/>
              <w:left w:val="nil"/>
              <w:bottom w:val="nil"/>
              <w:right w:val="single" w:sz="4" w:space="0" w:color="auto"/>
            </w:tcBorders>
            <w:vAlign w:val="center"/>
          </w:tcPr>
          <w:p w14:paraId="38B29BDE" w14:textId="77777777" w:rsidR="00A213C3" w:rsidRPr="001543A4" w:rsidRDefault="00A213C3" w:rsidP="00E86D5D">
            <w:pPr>
              <w:spacing w:before="0" w:after="0" w:line="240" w:lineRule="auto"/>
              <w:jc w:val="right"/>
              <w:rPr>
                <w:rFonts w:cs="Arial"/>
                <w:szCs w:val="20"/>
              </w:rPr>
            </w:pPr>
            <w:r>
              <w:rPr>
                <w:rFonts w:cs="Arial"/>
                <w:szCs w:val="20"/>
              </w:rPr>
              <w:t>1.2</w:t>
            </w:r>
          </w:p>
        </w:tc>
      </w:tr>
      <w:tr w:rsidR="00A213C3" w:rsidRPr="00475556" w14:paraId="2795E599" w14:textId="77777777" w:rsidTr="00E86D5D">
        <w:trPr>
          <w:gridAfter w:val="1"/>
          <w:wAfter w:w="3" w:type="pct"/>
          <w:trHeight w:hRule="exact" w:val="340"/>
        </w:trPr>
        <w:tc>
          <w:tcPr>
            <w:tcW w:w="1945" w:type="pct"/>
            <w:tcBorders>
              <w:top w:val="nil"/>
              <w:left w:val="single" w:sz="4" w:space="0" w:color="auto"/>
              <w:bottom w:val="nil"/>
              <w:right w:val="nil"/>
            </w:tcBorders>
            <w:vAlign w:val="center"/>
            <w:hideMark/>
          </w:tcPr>
          <w:p w14:paraId="57FF5197" w14:textId="77777777" w:rsidR="00A213C3" w:rsidRPr="001543A4" w:rsidRDefault="00A213C3" w:rsidP="00E86D5D">
            <w:pPr>
              <w:spacing w:before="0" w:after="0" w:line="240" w:lineRule="auto"/>
              <w:jc w:val="left"/>
              <w:rPr>
                <w:rFonts w:cs="Arial"/>
                <w:szCs w:val="20"/>
              </w:rPr>
            </w:pPr>
            <w:r w:rsidRPr="001543A4">
              <w:rPr>
                <w:rFonts w:cs="Arial"/>
                <w:szCs w:val="20"/>
              </w:rPr>
              <w:t>Not this time</w:t>
            </w:r>
          </w:p>
        </w:tc>
        <w:tc>
          <w:tcPr>
            <w:tcW w:w="674" w:type="pct"/>
            <w:tcBorders>
              <w:top w:val="nil"/>
              <w:left w:val="nil"/>
              <w:bottom w:val="nil"/>
              <w:right w:val="nil"/>
            </w:tcBorders>
            <w:vAlign w:val="center"/>
          </w:tcPr>
          <w:p w14:paraId="78E9FCBF" w14:textId="61734814" w:rsidR="00A213C3" w:rsidRPr="001543A4" w:rsidRDefault="00A5283E" w:rsidP="00E86D5D">
            <w:pPr>
              <w:spacing w:before="0" w:after="0" w:line="240" w:lineRule="auto"/>
              <w:jc w:val="right"/>
              <w:rPr>
                <w:rFonts w:cs="Arial"/>
                <w:szCs w:val="20"/>
              </w:rPr>
            </w:pPr>
            <w:r>
              <w:rPr>
                <w:rFonts w:cs="Arial"/>
                <w:szCs w:val="20"/>
              </w:rPr>
              <w:t>154</w:t>
            </w:r>
          </w:p>
        </w:tc>
        <w:tc>
          <w:tcPr>
            <w:tcW w:w="794" w:type="pct"/>
            <w:tcBorders>
              <w:top w:val="nil"/>
              <w:left w:val="nil"/>
              <w:bottom w:val="nil"/>
              <w:right w:val="nil"/>
            </w:tcBorders>
            <w:vAlign w:val="center"/>
          </w:tcPr>
          <w:p w14:paraId="439224FF" w14:textId="1EA10142" w:rsidR="00A213C3" w:rsidRPr="001543A4" w:rsidRDefault="00A213C3" w:rsidP="00E86D5D">
            <w:pPr>
              <w:spacing w:before="0" w:after="0" w:line="240" w:lineRule="auto"/>
              <w:jc w:val="right"/>
              <w:rPr>
                <w:rFonts w:cs="Arial"/>
                <w:szCs w:val="20"/>
              </w:rPr>
            </w:pPr>
            <w:r>
              <w:rPr>
                <w:rFonts w:cs="Arial"/>
                <w:szCs w:val="20"/>
              </w:rPr>
              <w:t>1.</w:t>
            </w:r>
            <w:r w:rsidR="00A5283E">
              <w:rPr>
                <w:rFonts w:cs="Arial"/>
                <w:szCs w:val="20"/>
              </w:rPr>
              <w:t>3</w:t>
            </w:r>
          </w:p>
        </w:tc>
        <w:tc>
          <w:tcPr>
            <w:tcW w:w="794" w:type="pct"/>
            <w:tcBorders>
              <w:top w:val="nil"/>
              <w:left w:val="nil"/>
              <w:bottom w:val="nil"/>
              <w:right w:val="nil"/>
            </w:tcBorders>
            <w:vAlign w:val="center"/>
          </w:tcPr>
          <w:p w14:paraId="58A21CFB" w14:textId="77777777" w:rsidR="00A213C3" w:rsidRPr="001543A4" w:rsidRDefault="00A213C3" w:rsidP="00E86D5D">
            <w:pPr>
              <w:spacing w:before="0" w:after="0" w:line="240" w:lineRule="auto"/>
              <w:jc w:val="right"/>
              <w:rPr>
                <w:rFonts w:cs="Arial"/>
                <w:szCs w:val="20"/>
              </w:rPr>
            </w:pPr>
            <w:r>
              <w:rPr>
                <w:rFonts w:cs="Arial"/>
                <w:szCs w:val="20"/>
              </w:rPr>
              <w:t>9</w:t>
            </w:r>
          </w:p>
        </w:tc>
        <w:tc>
          <w:tcPr>
            <w:tcW w:w="790" w:type="pct"/>
            <w:tcBorders>
              <w:top w:val="nil"/>
              <w:left w:val="nil"/>
              <w:bottom w:val="nil"/>
              <w:right w:val="single" w:sz="4" w:space="0" w:color="auto"/>
            </w:tcBorders>
            <w:vAlign w:val="center"/>
          </w:tcPr>
          <w:p w14:paraId="5E3EBAEC" w14:textId="77777777" w:rsidR="00A213C3" w:rsidRPr="001543A4" w:rsidRDefault="00A213C3" w:rsidP="00E86D5D">
            <w:pPr>
              <w:spacing w:before="0" w:after="0" w:line="240" w:lineRule="auto"/>
              <w:jc w:val="right"/>
              <w:rPr>
                <w:rFonts w:cs="Arial"/>
                <w:szCs w:val="20"/>
              </w:rPr>
            </w:pPr>
            <w:r>
              <w:rPr>
                <w:rFonts w:cs="Arial"/>
                <w:szCs w:val="20"/>
              </w:rPr>
              <w:t>0.0</w:t>
            </w:r>
          </w:p>
        </w:tc>
      </w:tr>
      <w:tr w:rsidR="00A213C3" w:rsidRPr="00475556" w14:paraId="6AEDC13D" w14:textId="77777777" w:rsidTr="00E86D5D">
        <w:trPr>
          <w:gridAfter w:val="1"/>
          <w:wAfter w:w="3" w:type="pct"/>
          <w:trHeight w:hRule="exact" w:val="340"/>
        </w:trPr>
        <w:tc>
          <w:tcPr>
            <w:tcW w:w="1945" w:type="pct"/>
            <w:tcBorders>
              <w:top w:val="nil"/>
              <w:left w:val="single" w:sz="4" w:space="0" w:color="auto"/>
              <w:bottom w:val="single" w:sz="4" w:space="0" w:color="auto"/>
              <w:right w:val="nil"/>
            </w:tcBorders>
            <w:vAlign w:val="center"/>
          </w:tcPr>
          <w:p w14:paraId="3C95EDB5" w14:textId="77777777" w:rsidR="00A213C3" w:rsidRPr="001543A4" w:rsidRDefault="00A213C3" w:rsidP="00E86D5D">
            <w:pPr>
              <w:spacing w:before="0" w:after="0" w:line="240" w:lineRule="auto"/>
              <w:jc w:val="left"/>
              <w:rPr>
                <w:rFonts w:cs="Arial"/>
                <w:szCs w:val="20"/>
              </w:rPr>
            </w:pPr>
            <w:r w:rsidRPr="001543A4">
              <w:rPr>
                <w:rFonts w:cs="Arial"/>
                <w:szCs w:val="20"/>
              </w:rPr>
              <w:t>No response</w:t>
            </w:r>
          </w:p>
        </w:tc>
        <w:tc>
          <w:tcPr>
            <w:tcW w:w="674" w:type="pct"/>
            <w:tcBorders>
              <w:top w:val="nil"/>
              <w:left w:val="nil"/>
              <w:bottom w:val="single" w:sz="4" w:space="0" w:color="auto"/>
              <w:right w:val="nil"/>
            </w:tcBorders>
            <w:vAlign w:val="center"/>
          </w:tcPr>
          <w:p w14:paraId="5ECD0B66" w14:textId="21B9FA39" w:rsidR="00A213C3" w:rsidRPr="001543A4" w:rsidRDefault="00A213C3" w:rsidP="00E86D5D">
            <w:pPr>
              <w:spacing w:before="0" w:after="0" w:line="240" w:lineRule="auto"/>
              <w:jc w:val="right"/>
              <w:rPr>
                <w:rFonts w:cs="Arial"/>
                <w:szCs w:val="20"/>
              </w:rPr>
            </w:pPr>
            <w:r>
              <w:rPr>
                <w:rFonts w:cs="Arial"/>
                <w:szCs w:val="20"/>
              </w:rPr>
              <w:t>5,</w:t>
            </w:r>
            <w:r w:rsidR="00A5283E">
              <w:rPr>
                <w:rFonts w:cs="Arial"/>
                <w:szCs w:val="20"/>
              </w:rPr>
              <w:t>145</w:t>
            </w:r>
          </w:p>
        </w:tc>
        <w:tc>
          <w:tcPr>
            <w:tcW w:w="794" w:type="pct"/>
            <w:tcBorders>
              <w:top w:val="nil"/>
              <w:left w:val="nil"/>
              <w:bottom w:val="single" w:sz="4" w:space="0" w:color="auto"/>
              <w:right w:val="nil"/>
            </w:tcBorders>
            <w:vAlign w:val="center"/>
          </w:tcPr>
          <w:p w14:paraId="7B3B2F4D" w14:textId="6C08F988" w:rsidR="00A213C3" w:rsidRPr="001543A4" w:rsidRDefault="00A5283E" w:rsidP="00E86D5D">
            <w:pPr>
              <w:spacing w:before="0" w:after="0" w:line="240" w:lineRule="auto"/>
              <w:jc w:val="right"/>
              <w:rPr>
                <w:rFonts w:cs="Arial"/>
                <w:szCs w:val="20"/>
              </w:rPr>
            </w:pPr>
            <w:r>
              <w:rPr>
                <w:rFonts w:cs="Arial"/>
                <w:szCs w:val="20"/>
              </w:rPr>
              <w:t>41.8</w:t>
            </w:r>
          </w:p>
        </w:tc>
        <w:tc>
          <w:tcPr>
            <w:tcW w:w="794" w:type="pct"/>
            <w:tcBorders>
              <w:top w:val="nil"/>
              <w:left w:val="nil"/>
              <w:bottom w:val="single" w:sz="4" w:space="0" w:color="auto"/>
              <w:right w:val="nil"/>
            </w:tcBorders>
            <w:vAlign w:val="center"/>
          </w:tcPr>
          <w:p w14:paraId="2892A8B7" w14:textId="2F59C1A1" w:rsidR="00A213C3" w:rsidRPr="001543A4" w:rsidRDefault="00A213C3" w:rsidP="00E86D5D">
            <w:pPr>
              <w:spacing w:before="0" w:after="0" w:line="240" w:lineRule="auto"/>
              <w:jc w:val="right"/>
              <w:rPr>
                <w:rFonts w:cs="Arial"/>
                <w:szCs w:val="20"/>
              </w:rPr>
            </w:pPr>
            <w:r>
              <w:rPr>
                <w:rFonts w:cs="Arial"/>
                <w:szCs w:val="20"/>
              </w:rPr>
              <w:t>5,</w:t>
            </w:r>
            <w:r w:rsidR="00A5283E">
              <w:rPr>
                <w:rFonts w:cs="Arial"/>
                <w:szCs w:val="20"/>
              </w:rPr>
              <w:t>772</w:t>
            </w:r>
          </w:p>
        </w:tc>
        <w:tc>
          <w:tcPr>
            <w:tcW w:w="790" w:type="pct"/>
            <w:tcBorders>
              <w:top w:val="nil"/>
              <w:left w:val="nil"/>
              <w:bottom w:val="single" w:sz="4" w:space="0" w:color="auto"/>
              <w:right w:val="single" w:sz="4" w:space="0" w:color="auto"/>
            </w:tcBorders>
            <w:vAlign w:val="center"/>
          </w:tcPr>
          <w:p w14:paraId="1D5F452E" w14:textId="216614A2" w:rsidR="00A213C3" w:rsidRPr="001543A4" w:rsidRDefault="00A5283E" w:rsidP="00E86D5D">
            <w:pPr>
              <w:spacing w:before="0" w:after="0" w:line="240" w:lineRule="auto"/>
              <w:jc w:val="right"/>
              <w:rPr>
                <w:rFonts w:cs="Arial"/>
                <w:szCs w:val="20"/>
              </w:rPr>
            </w:pPr>
            <w:r>
              <w:rPr>
                <w:rFonts w:cs="Arial"/>
                <w:szCs w:val="20"/>
              </w:rPr>
              <w:t>46.9</w:t>
            </w:r>
          </w:p>
        </w:tc>
      </w:tr>
      <w:tr w:rsidR="00A213C3" w:rsidRPr="00ED6106" w14:paraId="381836C1" w14:textId="77777777" w:rsidTr="00E86D5D">
        <w:trPr>
          <w:gridAfter w:val="1"/>
          <w:wAfter w:w="3" w:type="pct"/>
          <w:trHeight w:hRule="exact" w:val="465"/>
        </w:trPr>
        <w:tc>
          <w:tcPr>
            <w:tcW w:w="1945" w:type="pct"/>
            <w:tcBorders>
              <w:top w:val="single" w:sz="4" w:space="0" w:color="auto"/>
              <w:left w:val="single" w:sz="4" w:space="0" w:color="auto"/>
              <w:bottom w:val="single" w:sz="4" w:space="0" w:color="auto"/>
              <w:right w:val="nil"/>
            </w:tcBorders>
            <w:vAlign w:val="center"/>
            <w:hideMark/>
          </w:tcPr>
          <w:p w14:paraId="3E1B1E99" w14:textId="77777777" w:rsidR="00A213C3" w:rsidRPr="001543A4" w:rsidRDefault="00A213C3" w:rsidP="00E86D5D">
            <w:pPr>
              <w:spacing w:before="0" w:after="0" w:line="240" w:lineRule="auto"/>
              <w:jc w:val="left"/>
              <w:rPr>
                <w:rFonts w:cs="Arial"/>
                <w:b/>
                <w:bCs/>
                <w:szCs w:val="20"/>
              </w:rPr>
            </w:pPr>
            <w:r w:rsidRPr="001543A4">
              <w:rPr>
                <w:rFonts w:cs="Arial"/>
                <w:b/>
                <w:bCs/>
                <w:szCs w:val="20"/>
              </w:rPr>
              <w:t xml:space="preserve">Total </w:t>
            </w:r>
          </w:p>
        </w:tc>
        <w:tc>
          <w:tcPr>
            <w:tcW w:w="674" w:type="pct"/>
            <w:tcBorders>
              <w:top w:val="single" w:sz="4" w:space="0" w:color="auto"/>
              <w:left w:val="nil"/>
              <w:bottom w:val="single" w:sz="4" w:space="0" w:color="auto"/>
              <w:right w:val="nil"/>
            </w:tcBorders>
            <w:vAlign w:val="center"/>
            <w:hideMark/>
          </w:tcPr>
          <w:p w14:paraId="31719A8A" w14:textId="77777777" w:rsidR="00A213C3" w:rsidRPr="001543A4" w:rsidRDefault="00A213C3" w:rsidP="00E86D5D">
            <w:pPr>
              <w:spacing w:before="0" w:after="0" w:line="240" w:lineRule="auto"/>
              <w:jc w:val="right"/>
              <w:rPr>
                <w:rFonts w:cs="Arial"/>
                <w:b/>
                <w:bCs/>
                <w:szCs w:val="20"/>
              </w:rPr>
            </w:pPr>
            <w:r>
              <w:rPr>
                <w:rFonts w:cs="Arial"/>
                <w:b/>
                <w:bCs/>
                <w:szCs w:val="20"/>
              </w:rPr>
              <w:t>12,318</w:t>
            </w:r>
          </w:p>
        </w:tc>
        <w:tc>
          <w:tcPr>
            <w:tcW w:w="794" w:type="pct"/>
            <w:tcBorders>
              <w:top w:val="single" w:sz="4" w:space="0" w:color="auto"/>
              <w:left w:val="nil"/>
              <w:bottom w:val="single" w:sz="4" w:space="0" w:color="auto"/>
              <w:right w:val="nil"/>
            </w:tcBorders>
            <w:vAlign w:val="center"/>
            <w:hideMark/>
          </w:tcPr>
          <w:p w14:paraId="6E427A7E" w14:textId="77777777" w:rsidR="00A213C3" w:rsidRPr="001543A4" w:rsidRDefault="00A213C3" w:rsidP="00E86D5D">
            <w:pPr>
              <w:spacing w:before="0" w:after="0" w:line="240" w:lineRule="auto"/>
              <w:jc w:val="right"/>
              <w:rPr>
                <w:rFonts w:cs="Arial"/>
                <w:b/>
                <w:bCs/>
                <w:szCs w:val="20"/>
              </w:rPr>
            </w:pPr>
            <w:r w:rsidRPr="001543A4">
              <w:rPr>
                <w:rFonts w:cs="Arial"/>
                <w:b/>
                <w:bCs/>
                <w:szCs w:val="20"/>
              </w:rPr>
              <w:t>100</w:t>
            </w:r>
          </w:p>
        </w:tc>
        <w:tc>
          <w:tcPr>
            <w:tcW w:w="794" w:type="pct"/>
            <w:tcBorders>
              <w:top w:val="single" w:sz="4" w:space="0" w:color="auto"/>
              <w:left w:val="nil"/>
              <w:bottom w:val="single" w:sz="4" w:space="0" w:color="auto"/>
              <w:right w:val="nil"/>
            </w:tcBorders>
            <w:vAlign w:val="center"/>
          </w:tcPr>
          <w:p w14:paraId="0762363A" w14:textId="77777777" w:rsidR="00A213C3" w:rsidRPr="001543A4" w:rsidRDefault="00A213C3" w:rsidP="00E86D5D">
            <w:pPr>
              <w:spacing w:before="0" w:after="0" w:line="240" w:lineRule="auto"/>
              <w:jc w:val="right"/>
              <w:rPr>
                <w:rFonts w:cs="Arial"/>
                <w:b/>
                <w:bCs/>
                <w:szCs w:val="20"/>
              </w:rPr>
            </w:pPr>
            <w:r>
              <w:rPr>
                <w:rFonts w:cs="Arial"/>
                <w:b/>
                <w:bCs/>
                <w:szCs w:val="20"/>
              </w:rPr>
              <w:t>12,318</w:t>
            </w:r>
          </w:p>
        </w:tc>
        <w:tc>
          <w:tcPr>
            <w:tcW w:w="790" w:type="pct"/>
            <w:tcBorders>
              <w:top w:val="single" w:sz="4" w:space="0" w:color="auto"/>
              <w:left w:val="nil"/>
              <w:bottom w:val="single" w:sz="4" w:space="0" w:color="auto"/>
              <w:right w:val="single" w:sz="4" w:space="0" w:color="auto"/>
            </w:tcBorders>
            <w:vAlign w:val="center"/>
          </w:tcPr>
          <w:p w14:paraId="5DC70BB0" w14:textId="77777777" w:rsidR="00A213C3" w:rsidRPr="001543A4" w:rsidRDefault="00A213C3" w:rsidP="00E86D5D">
            <w:pPr>
              <w:spacing w:before="0" w:after="0" w:line="240" w:lineRule="auto"/>
              <w:jc w:val="right"/>
              <w:rPr>
                <w:rFonts w:cs="Arial"/>
                <w:b/>
                <w:bCs/>
                <w:szCs w:val="20"/>
              </w:rPr>
            </w:pPr>
            <w:r w:rsidRPr="001543A4">
              <w:rPr>
                <w:rFonts w:cs="Arial"/>
                <w:b/>
                <w:bCs/>
                <w:szCs w:val="20"/>
              </w:rPr>
              <w:t>100</w:t>
            </w:r>
          </w:p>
        </w:tc>
      </w:tr>
    </w:tbl>
    <w:p w14:paraId="21FA5A04" w14:textId="6DA11448" w:rsidR="00A213C3" w:rsidRPr="00B57651" w:rsidRDefault="00A5283E" w:rsidP="00EE27C5">
      <w:pPr>
        <w:spacing w:after="0"/>
      </w:pPr>
      <w:r>
        <w:rPr>
          <w:lang w:val="en-US"/>
        </w:rPr>
        <w:t xml:space="preserve">Data collection for this </w:t>
      </w:r>
      <w:r w:rsidR="00A213C3">
        <w:rPr>
          <w:lang w:val="en-US"/>
        </w:rPr>
        <w:t xml:space="preserve">survey </w:t>
      </w:r>
      <w:r w:rsidR="0090126E">
        <w:rPr>
          <w:lang w:val="en-US"/>
        </w:rPr>
        <w:t>closed in mid-December 2022</w:t>
      </w:r>
      <w:r w:rsidR="00E74556">
        <w:rPr>
          <w:lang w:val="en-US"/>
        </w:rPr>
        <w:t xml:space="preserve">, and the </w:t>
      </w:r>
      <w:r w:rsidR="00216B9D">
        <w:rPr>
          <w:lang w:val="en-US"/>
        </w:rPr>
        <w:t>dataset will be made available to researchers in the first half of 2023</w:t>
      </w:r>
      <w:r w:rsidR="00A213C3">
        <w:rPr>
          <w:lang w:val="en-US"/>
        </w:rPr>
        <w:t xml:space="preserve">. </w:t>
      </w:r>
      <w:r w:rsidR="00A213C3" w:rsidRPr="00B66527">
        <w:rPr>
          <w:lang w:val="en-US"/>
        </w:rPr>
        <w:t>The Databook for Survey 9 of the 1973-78 cohort</w:t>
      </w:r>
      <w:r w:rsidR="00E74556">
        <w:rPr>
          <w:lang w:val="en-US"/>
        </w:rPr>
        <w:t xml:space="preserve">, </w:t>
      </w:r>
      <w:r w:rsidR="00EE27C5">
        <w:rPr>
          <w:lang w:val="en-US"/>
        </w:rPr>
        <w:t>(</w:t>
      </w:r>
      <w:r w:rsidR="00E74556">
        <w:rPr>
          <w:lang w:val="en-US"/>
        </w:rPr>
        <w:t xml:space="preserve">prepared with an </w:t>
      </w:r>
      <w:r>
        <w:rPr>
          <w:lang w:val="en-US"/>
        </w:rPr>
        <w:t>interim sample</w:t>
      </w:r>
      <w:r w:rsidR="00E74556">
        <w:rPr>
          <w:lang w:val="en-US"/>
        </w:rPr>
        <w:t xml:space="preserve"> in November 2022</w:t>
      </w:r>
      <w:r w:rsidR="00EE27C5">
        <w:rPr>
          <w:lang w:val="en-US"/>
        </w:rPr>
        <w:t>)</w:t>
      </w:r>
      <w:r w:rsidR="00E74556">
        <w:rPr>
          <w:lang w:val="en-US"/>
        </w:rPr>
        <w:t xml:space="preserve">, will also be updated on the Study website. </w:t>
      </w:r>
      <w:bookmarkEnd w:id="24"/>
    </w:p>
    <w:p w14:paraId="1C5C0334" w14:textId="4338B26F" w:rsidR="00A213C3" w:rsidRPr="007D19D7" w:rsidRDefault="00EE27C5" w:rsidP="007D19D7">
      <w:pPr>
        <w:pStyle w:val="Heading3"/>
      </w:pPr>
      <w:bookmarkStart w:id="26" w:name="_Toc124762763"/>
      <w:r w:rsidRPr="007D19D7">
        <w:lastRenderedPageBreak/>
        <w:t xml:space="preserve">1946-51 </w:t>
      </w:r>
      <w:r w:rsidR="00A213C3" w:rsidRPr="007D19D7">
        <w:t>Pilot Cohort - Survey 10</w:t>
      </w:r>
      <w:bookmarkEnd w:id="26"/>
    </w:p>
    <w:p w14:paraId="10F39AC4" w14:textId="77777777" w:rsidR="00A213C3" w:rsidRDefault="00A213C3" w:rsidP="00901558">
      <w:pPr>
        <w:pStyle w:val="Heading4"/>
      </w:pPr>
      <w:r w:rsidRPr="00500C30">
        <w:t>Development of survey materials</w:t>
      </w:r>
      <w:r>
        <w:t xml:space="preserve"> </w:t>
      </w:r>
    </w:p>
    <w:p w14:paraId="6C84FF82" w14:textId="77777777" w:rsidR="00A213C3" w:rsidRDefault="00A213C3" w:rsidP="00A213C3">
      <w:pPr>
        <w:keepNext/>
        <w:spacing w:after="0"/>
        <w:rPr>
          <w:rFonts w:cs="Arial"/>
        </w:rPr>
      </w:pPr>
      <w:r>
        <w:rPr>
          <w:rFonts w:cs="Arial"/>
        </w:rPr>
        <w:t xml:space="preserve">Several changes were made from the previous survey (Survey 9, deployed in 2019) for the Pilot Cohort Survey 10 of the 1946-51 cohort. </w:t>
      </w:r>
    </w:p>
    <w:p w14:paraId="454B01CE" w14:textId="77777777" w:rsidR="00A213C3" w:rsidRDefault="00A213C3" w:rsidP="00A213C3">
      <w:pPr>
        <w:keepNext/>
        <w:spacing w:after="0"/>
        <w:rPr>
          <w:rFonts w:cs="Arial"/>
          <w:bCs/>
          <w:szCs w:val="20"/>
        </w:rPr>
      </w:pPr>
      <w:r>
        <w:rPr>
          <w:rFonts w:cs="Arial"/>
        </w:rPr>
        <w:t>As the women in this cohort are now aged 71-76, t</w:t>
      </w:r>
      <w:r w:rsidRPr="00714026">
        <w:rPr>
          <w:rFonts w:cs="Arial"/>
          <w:bCs/>
          <w:szCs w:val="20"/>
        </w:rPr>
        <w:t>he font</w:t>
      </w:r>
      <w:r>
        <w:rPr>
          <w:rFonts w:cs="Arial"/>
          <w:bCs/>
          <w:szCs w:val="20"/>
        </w:rPr>
        <w:t xml:space="preserve"> size </w:t>
      </w:r>
      <w:r w:rsidRPr="00714026">
        <w:rPr>
          <w:rFonts w:cs="Arial"/>
          <w:bCs/>
          <w:szCs w:val="20"/>
        </w:rPr>
        <w:t xml:space="preserve">was increased </w:t>
      </w:r>
      <w:r>
        <w:rPr>
          <w:rFonts w:cs="Arial"/>
          <w:bCs/>
          <w:szCs w:val="20"/>
        </w:rPr>
        <w:t>throughout</w:t>
      </w:r>
      <w:r w:rsidRPr="00714026">
        <w:rPr>
          <w:rFonts w:cs="Arial"/>
          <w:bCs/>
          <w:szCs w:val="20"/>
        </w:rPr>
        <w:t xml:space="preserve"> the entire survey </w:t>
      </w:r>
      <w:r>
        <w:rPr>
          <w:rFonts w:cs="Arial"/>
          <w:bCs/>
          <w:szCs w:val="20"/>
        </w:rPr>
        <w:t xml:space="preserve">to accommodate the increased risk of </w:t>
      </w:r>
      <w:r w:rsidRPr="00714026">
        <w:rPr>
          <w:rFonts w:cs="Arial"/>
          <w:bCs/>
          <w:szCs w:val="20"/>
        </w:rPr>
        <w:t>deteriorating vision</w:t>
      </w:r>
      <w:r>
        <w:rPr>
          <w:rFonts w:cs="Arial"/>
          <w:bCs/>
          <w:szCs w:val="20"/>
        </w:rPr>
        <w:t xml:space="preserve">. Font size was increased to be a similar size to that used in Survey 2 for the </w:t>
      </w:r>
      <w:r w:rsidRPr="00714026">
        <w:rPr>
          <w:rFonts w:cs="Arial"/>
          <w:bCs/>
          <w:szCs w:val="20"/>
        </w:rPr>
        <w:t>1921-26 Cohort</w:t>
      </w:r>
      <w:r>
        <w:rPr>
          <w:rFonts w:cs="Arial"/>
          <w:bCs/>
          <w:szCs w:val="20"/>
        </w:rPr>
        <w:t xml:space="preserve"> (when those women were aged 73-78)</w:t>
      </w:r>
      <w:r w:rsidRPr="00714026">
        <w:rPr>
          <w:rFonts w:cs="Arial"/>
          <w:bCs/>
          <w:szCs w:val="20"/>
        </w:rPr>
        <w:t>.</w:t>
      </w:r>
      <w:r>
        <w:rPr>
          <w:rFonts w:cs="Arial"/>
          <w:bCs/>
          <w:szCs w:val="20"/>
        </w:rPr>
        <w:t xml:space="preserve"> </w:t>
      </w:r>
    </w:p>
    <w:p w14:paraId="6991251C" w14:textId="77777777" w:rsidR="00A213C3" w:rsidRPr="00D076DA" w:rsidRDefault="00A213C3" w:rsidP="00901558">
      <w:pPr>
        <w:pStyle w:val="Heading4"/>
      </w:pPr>
      <w:r w:rsidRPr="00D076DA">
        <w:t>Changes, additions and deletions</w:t>
      </w:r>
    </w:p>
    <w:p w14:paraId="004984E2" w14:textId="77777777" w:rsidR="00A213C3" w:rsidRPr="0061756B" w:rsidRDefault="00A213C3" w:rsidP="00A213C3">
      <w:pPr>
        <w:keepNext/>
        <w:spacing w:after="0"/>
        <w:rPr>
          <w:rFonts w:cs="Arial"/>
        </w:rPr>
      </w:pPr>
      <w:r>
        <w:rPr>
          <w:rFonts w:cs="Arial"/>
        </w:rPr>
        <w:t>Five new items were introduced into the pilot survey, including</w:t>
      </w:r>
      <w:r w:rsidRPr="0061756B">
        <w:rPr>
          <w:rFonts w:cs="Arial"/>
        </w:rPr>
        <w:t>:</w:t>
      </w:r>
    </w:p>
    <w:p w14:paraId="1F7B802F" w14:textId="77777777" w:rsidR="00A213C3" w:rsidRPr="004E56AE" w:rsidRDefault="00A213C3" w:rsidP="003D5E6A">
      <w:pPr>
        <w:pStyle w:val="ListParagraph"/>
        <w:numPr>
          <w:ilvl w:val="0"/>
          <w:numId w:val="89"/>
        </w:numPr>
        <w:spacing w:after="0"/>
        <w:rPr>
          <w:rFonts w:cs="Arial"/>
          <w:szCs w:val="20"/>
        </w:rPr>
      </w:pPr>
      <w:r w:rsidRPr="004E56AE">
        <w:rPr>
          <w:rFonts w:cs="Arial"/>
          <w:i/>
          <w:iCs/>
        </w:rPr>
        <w:t>COVID-19 positive test:</w:t>
      </w:r>
      <w:r w:rsidRPr="004E56AE">
        <w:rPr>
          <w:rFonts w:cs="Arial"/>
        </w:rPr>
        <w:t xml:space="preserve"> </w:t>
      </w:r>
      <w:r w:rsidRPr="004E56AE">
        <w:rPr>
          <w:rFonts w:cs="Arial"/>
          <w:szCs w:val="20"/>
        </w:rPr>
        <w:t xml:space="preserve">To capture </w:t>
      </w:r>
      <w:r>
        <w:rPr>
          <w:rFonts w:cs="Arial"/>
          <w:szCs w:val="20"/>
        </w:rPr>
        <w:t xml:space="preserve">the </w:t>
      </w:r>
      <w:r w:rsidRPr="004E56AE">
        <w:rPr>
          <w:rFonts w:cs="Arial"/>
          <w:szCs w:val="20"/>
        </w:rPr>
        <w:t xml:space="preserve">prevalence of women within the cohort </w:t>
      </w:r>
      <w:r>
        <w:rPr>
          <w:rFonts w:cs="Arial"/>
          <w:szCs w:val="20"/>
        </w:rPr>
        <w:t>who</w:t>
      </w:r>
      <w:r w:rsidRPr="004E56AE">
        <w:rPr>
          <w:rFonts w:cs="Arial"/>
          <w:szCs w:val="20"/>
        </w:rPr>
        <w:t xml:space="preserve"> </w:t>
      </w:r>
      <w:r>
        <w:rPr>
          <w:rFonts w:cs="Arial"/>
          <w:szCs w:val="20"/>
        </w:rPr>
        <w:t>had</w:t>
      </w:r>
      <w:r w:rsidRPr="004E56AE">
        <w:rPr>
          <w:rFonts w:cs="Arial"/>
          <w:szCs w:val="20"/>
        </w:rPr>
        <w:t xml:space="preserve"> received a positive test for COVID-19</w:t>
      </w:r>
    </w:p>
    <w:p w14:paraId="5FF159C0" w14:textId="77777777" w:rsidR="00A213C3" w:rsidRPr="004E56AE" w:rsidRDefault="00A213C3" w:rsidP="003D5E6A">
      <w:pPr>
        <w:pStyle w:val="ListParagraph"/>
        <w:numPr>
          <w:ilvl w:val="0"/>
          <w:numId w:val="89"/>
        </w:numPr>
        <w:spacing w:after="0"/>
        <w:rPr>
          <w:rFonts w:cs="Arial"/>
        </w:rPr>
      </w:pPr>
      <w:r w:rsidRPr="004E56AE">
        <w:rPr>
          <w:rFonts w:cs="Arial"/>
          <w:i/>
          <w:iCs/>
          <w:szCs w:val="20"/>
        </w:rPr>
        <w:t>COVID-19 vaccination status</w:t>
      </w:r>
      <w:r w:rsidRPr="004E56AE">
        <w:rPr>
          <w:rFonts w:cs="Arial"/>
          <w:szCs w:val="20"/>
        </w:rPr>
        <w:t xml:space="preserve">: To measure </w:t>
      </w:r>
      <w:r>
        <w:rPr>
          <w:rFonts w:cs="Arial"/>
          <w:szCs w:val="20"/>
        </w:rPr>
        <w:t xml:space="preserve">the </w:t>
      </w:r>
      <w:r w:rsidRPr="004E56AE">
        <w:rPr>
          <w:rFonts w:cs="Arial"/>
          <w:szCs w:val="20"/>
        </w:rPr>
        <w:t>prevalence of COVID-19 vaccination status</w:t>
      </w:r>
    </w:p>
    <w:p w14:paraId="490CF856" w14:textId="77777777" w:rsidR="00A213C3" w:rsidRPr="004E56AE" w:rsidRDefault="00A213C3" w:rsidP="003D5E6A">
      <w:pPr>
        <w:pStyle w:val="ListParagraph"/>
        <w:numPr>
          <w:ilvl w:val="0"/>
          <w:numId w:val="89"/>
        </w:numPr>
        <w:spacing w:after="0"/>
        <w:rPr>
          <w:rFonts w:cs="Arial"/>
        </w:rPr>
      </w:pPr>
      <w:r w:rsidRPr="004E56AE">
        <w:rPr>
          <w:rFonts w:cs="Arial"/>
          <w:i/>
          <w:iCs/>
          <w:szCs w:val="20"/>
        </w:rPr>
        <w:t>Pelvic Organ Prolapse diagnosed/ treated</w:t>
      </w:r>
      <w:r>
        <w:rPr>
          <w:rFonts w:cs="Arial"/>
          <w:szCs w:val="20"/>
        </w:rPr>
        <w:t>: To measure the prevalence of women with prolapse who may not have had an operation or procedure to correct it</w:t>
      </w:r>
    </w:p>
    <w:p w14:paraId="119FD010" w14:textId="77777777" w:rsidR="00A213C3" w:rsidRPr="004E56AE" w:rsidRDefault="00A213C3" w:rsidP="003D5E6A">
      <w:pPr>
        <w:pStyle w:val="ListParagraph"/>
        <w:numPr>
          <w:ilvl w:val="0"/>
          <w:numId w:val="89"/>
        </w:numPr>
        <w:spacing w:after="0"/>
        <w:rPr>
          <w:rFonts w:cs="Arial"/>
        </w:rPr>
      </w:pPr>
      <w:r w:rsidRPr="004E56AE">
        <w:rPr>
          <w:rFonts w:cs="Arial"/>
          <w:i/>
          <w:iCs/>
          <w:szCs w:val="20"/>
        </w:rPr>
        <w:t>Pelvic Organ Prolapse Inventory 6 (POPDI-6)</w:t>
      </w:r>
      <w:r>
        <w:rPr>
          <w:rFonts w:cs="Arial"/>
          <w:szCs w:val="20"/>
        </w:rPr>
        <w:t>: To measure the prevalence of prolapse symptoms</w:t>
      </w:r>
    </w:p>
    <w:p w14:paraId="3AFDC0F7" w14:textId="77777777" w:rsidR="00A213C3" w:rsidRPr="004E56AE" w:rsidRDefault="00A213C3" w:rsidP="003D5E6A">
      <w:pPr>
        <w:pStyle w:val="ListParagraph"/>
        <w:numPr>
          <w:ilvl w:val="0"/>
          <w:numId w:val="89"/>
        </w:numPr>
        <w:spacing w:after="0"/>
        <w:rPr>
          <w:rFonts w:cs="Arial"/>
        </w:rPr>
      </w:pPr>
      <w:r>
        <w:rPr>
          <w:rFonts w:cs="Arial"/>
          <w:i/>
          <w:iCs/>
          <w:szCs w:val="20"/>
        </w:rPr>
        <w:t>Adopted status</w:t>
      </w:r>
      <w:r w:rsidRPr="004E56AE">
        <w:rPr>
          <w:rFonts w:cs="Arial"/>
        </w:rPr>
        <w:t>:</w:t>
      </w:r>
      <w:r>
        <w:rPr>
          <w:rFonts w:cs="Arial"/>
        </w:rPr>
        <w:t xml:space="preserve"> </w:t>
      </w:r>
      <w:r>
        <w:rPr>
          <w:rFonts w:cs="Arial"/>
          <w:szCs w:val="20"/>
        </w:rPr>
        <w:t>To measure the prevalence of women who were adopted as children</w:t>
      </w:r>
    </w:p>
    <w:p w14:paraId="33E0A4B0" w14:textId="77777777" w:rsidR="00A213C3" w:rsidRDefault="00A213C3" w:rsidP="00A213C3">
      <w:pPr>
        <w:spacing w:after="0"/>
        <w:rPr>
          <w:rFonts w:cs="Arial"/>
        </w:rPr>
      </w:pPr>
      <w:r>
        <w:rPr>
          <w:rFonts w:cs="Arial"/>
        </w:rPr>
        <w:t>While many of the existing survey items from Main Survey 9 remained unchanged, 14 items were modified slightly to provide better clarity or instruction. The increased font size meant that there was less room to accommodate all previous questions from Main Survey 9. As a result, 20 items that were included in Main Survey 9 were removed for Pilot Survey 10. The CSIRO Food Intake Survey is not required in all surveys, so was also removed. These items have been reserved for inclusion at a later survey, as appropriate.</w:t>
      </w:r>
    </w:p>
    <w:p w14:paraId="4C1ACF6D" w14:textId="0DC85E85" w:rsidR="00A213C3" w:rsidRDefault="00A213C3" w:rsidP="00A213C3">
      <w:pPr>
        <w:spacing w:after="0"/>
        <w:rPr>
          <w:rFonts w:cs="Arial"/>
        </w:rPr>
      </w:pPr>
      <w:r>
        <w:rPr>
          <w:rFonts w:cs="Arial"/>
        </w:rPr>
        <w:t xml:space="preserve">For details about changes to existing survey items and the addition of new survey items from Main Survey 9 to Pilot Survey 10, </w:t>
      </w:r>
      <w:r w:rsidRPr="007D1E7F">
        <w:rPr>
          <w:rFonts w:cs="Arial"/>
        </w:rPr>
        <w:t>please refer to</w:t>
      </w:r>
      <w:r w:rsidR="007D1E7F" w:rsidRPr="007D1E7F">
        <w:rPr>
          <w:rFonts w:cs="Arial"/>
        </w:rPr>
        <w:t xml:space="preserve"> </w:t>
      </w:r>
      <w:r w:rsidR="007D1E7F" w:rsidRPr="007D1E7F">
        <w:rPr>
          <w:rFonts w:cs="Arial"/>
          <w:highlight w:val="cyan"/>
        </w:rPr>
        <w:fldChar w:fldCharType="begin"/>
      </w:r>
      <w:r w:rsidR="007D1E7F" w:rsidRPr="007D1E7F">
        <w:rPr>
          <w:rFonts w:cs="Arial"/>
        </w:rPr>
        <w:instrText xml:space="preserve"> REF _Ref113876406 \h </w:instrText>
      </w:r>
      <w:r w:rsidR="007D1E7F" w:rsidRPr="00306719">
        <w:rPr>
          <w:rFonts w:cs="Arial"/>
          <w:highlight w:val="cyan"/>
        </w:rPr>
        <w:instrText xml:space="preserve"> \* MERGEFORMAT </w:instrText>
      </w:r>
      <w:r w:rsidR="007D1E7F" w:rsidRPr="007D1E7F">
        <w:rPr>
          <w:rFonts w:cs="Arial"/>
          <w:highlight w:val="cyan"/>
        </w:rPr>
      </w:r>
      <w:r w:rsidR="007D1E7F" w:rsidRPr="007D1E7F">
        <w:rPr>
          <w:rFonts w:cs="Arial"/>
          <w:highlight w:val="cyan"/>
        </w:rPr>
        <w:fldChar w:fldCharType="separate"/>
      </w:r>
      <w:r w:rsidR="007D19D7" w:rsidRPr="007D19D7">
        <w:t xml:space="preserve">Table </w:t>
      </w:r>
      <w:r w:rsidR="007D19D7" w:rsidRPr="007D19D7">
        <w:rPr>
          <w:noProof/>
        </w:rPr>
        <w:t>3</w:t>
      </w:r>
      <w:r w:rsidR="007D19D7" w:rsidRPr="007D19D7">
        <w:rPr>
          <w:noProof/>
        </w:rPr>
        <w:noBreakHyphen/>
        <w:t>2</w:t>
      </w:r>
      <w:r w:rsidR="007D1E7F" w:rsidRPr="007D1E7F">
        <w:rPr>
          <w:rFonts w:cs="Arial"/>
          <w:highlight w:val="cyan"/>
        </w:rPr>
        <w:fldChar w:fldCharType="end"/>
      </w:r>
      <w:r w:rsidRPr="007D1E7F">
        <w:rPr>
          <w:rFonts w:cs="Arial"/>
        </w:rPr>
        <w:t xml:space="preserve">. For details about the </w:t>
      </w:r>
      <w:r w:rsidRPr="007D1E7F">
        <w:t>deleted items from Main Survey 9 to Pilot Survey 10 for the 1946-51 Cohort, please refer to</w:t>
      </w:r>
      <w:r w:rsidR="007D1E7F" w:rsidRPr="007D1E7F">
        <w:t xml:space="preserve"> </w:t>
      </w:r>
      <w:r w:rsidR="007D1E7F" w:rsidRPr="007D1E7F">
        <w:rPr>
          <w:highlight w:val="cyan"/>
        </w:rPr>
        <w:fldChar w:fldCharType="begin"/>
      </w:r>
      <w:r w:rsidR="007D1E7F" w:rsidRPr="007D1E7F">
        <w:instrText xml:space="preserve"> REF _Ref113876418 \h </w:instrText>
      </w:r>
      <w:r w:rsidR="007D1E7F" w:rsidRPr="00306719">
        <w:rPr>
          <w:highlight w:val="cyan"/>
        </w:rPr>
        <w:instrText xml:space="preserve"> \* MERGEFORMAT </w:instrText>
      </w:r>
      <w:r w:rsidR="007D1E7F" w:rsidRPr="007D1E7F">
        <w:rPr>
          <w:highlight w:val="cyan"/>
        </w:rPr>
      </w:r>
      <w:r w:rsidR="007D1E7F" w:rsidRPr="007D1E7F">
        <w:rPr>
          <w:highlight w:val="cyan"/>
        </w:rPr>
        <w:fldChar w:fldCharType="separate"/>
      </w:r>
      <w:r w:rsidR="007D19D7" w:rsidRPr="00B769F5">
        <w:t xml:space="preserve">Table </w:t>
      </w:r>
      <w:r w:rsidR="007D19D7">
        <w:rPr>
          <w:noProof/>
        </w:rPr>
        <w:t>3</w:t>
      </w:r>
      <w:r w:rsidR="007D19D7">
        <w:rPr>
          <w:noProof/>
        </w:rPr>
        <w:noBreakHyphen/>
        <w:t>3</w:t>
      </w:r>
      <w:r w:rsidR="007D1E7F" w:rsidRPr="007D1E7F">
        <w:rPr>
          <w:highlight w:val="cyan"/>
        </w:rPr>
        <w:fldChar w:fldCharType="end"/>
      </w:r>
      <w:r w:rsidRPr="007D1E7F">
        <w:t>.</w:t>
      </w:r>
    </w:p>
    <w:p w14:paraId="3B945A1F" w14:textId="77777777" w:rsidR="00A213C3" w:rsidRDefault="00A213C3" w:rsidP="00A213C3">
      <w:pPr>
        <w:spacing w:after="0"/>
        <w:rPr>
          <w:rFonts w:cs="Arial"/>
        </w:rPr>
      </w:pPr>
    </w:p>
    <w:p w14:paraId="455222B7" w14:textId="77777777" w:rsidR="00A213C3" w:rsidRDefault="00A213C3" w:rsidP="00A213C3">
      <w:pPr>
        <w:spacing w:after="0"/>
        <w:rPr>
          <w:rFonts w:cs="Arial"/>
        </w:rPr>
      </w:pPr>
    </w:p>
    <w:p w14:paraId="7B0A9CF2" w14:textId="77777777" w:rsidR="00A213C3" w:rsidRDefault="00A213C3" w:rsidP="00A213C3">
      <w:pPr>
        <w:spacing w:after="0"/>
        <w:rPr>
          <w:rFonts w:cs="Arial"/>
        </w:rPr>
        <w:sectPr w:rsidR="00A213C3" w:rsidSect="00D77057">
          <w:headerReference w:type="even" r:id="rId19"/>
          <w:headerReference w:type="default" r:id="rId20"/>
          <w:footerReference w:type="even" r:id="rId21"/>
          <w:footerReference w:type="default" r:id="rId22"/>
          <w:headerReference w:type="first" r:id="rId23"/>
          <w:footerReference w:type="first" r:id="rId24"/>
          <w:pgSz w:w="12240" w:h="15840"/>
          <w:pgMar w:top="1080" w:right="1440" w:bottom="1080" w:left="1440" w:header="709" w:footer="709" w:gutter="0"/>
          <w:cols w:space="720"/>
          <w:docGrid w:linePitch="272"/>
        </w:sectPr>
      </w:pPr>
    </w:p>
    <w:p w14:paraId="1E565A41" w14:textId="2BB61551" w:rsidR="00A213C3" w:rsidRPr="0000266C" w:rsidRDefault="0000266C" w:rsidP="0000266C">
      <w:pPr>
        <w:rPr>
          <w:b/>
          <w:bCs/>
        </w:rPr>
      </w:pPr>
      <w:bookmarkStart w:id="27" w:name="_Ref113876406"/>
      <w:r w:rsidRPr="0000266C">
        <w:rPr>
          <w:b/>
          <w:bCs/>
        </w:rPr>
        <w:lastRenderedPageBreak/>
        <w:t xml:space="preserve">Table </w:t>
      </w:r>
      <w:r w:rsidR="00327D59">
        <w:rPr>
          <w:b/>
          <w:bCs/>
        </w:rPr>
        <w:fldChar w:fldCharType="begin"/>
      </w:r>
      <w:r w:rsidR="00327D59">
        <w:rPr>
          <w:b/>
          <w:bCs/>
        </w:rPr>
        <w:instrText xml:space="preserve"> STYLEREF 1 \s </w:instrText>
      </w:r>
      <w:r w:rsidR="00327D59">
        <w:rPr>
          <w:b/>
          <w:bCs/>
        </w:rPr>
        <w:fldChar w:fldCharType="separate"/>
      </w:r>
      <w:r w:rsidR="007D19D7">
        <w:rPr>
          <w:b/>
          <w:bCs/>
          <w:noProof/>
        </w:rPr>
        <w:t>3</w:t>
      </w:r>
      <w:r w:rsidR="00327D59">
        <w:rPr>
          <w:b/>
          <w:bCs/>
        </w:rPr>
        <w:fldChar w:fldCharType="end"/>
      </w:r>
      <w:r w:rsidR="00327D59">
        <w:rPr>
          <w:b/>
          <w:bCs/>
        </w:rPr>
        <w:noBreakHyphen/>
      </w:r>
      <w:r w:rsidR="00327D59">
        <w:rPr>
          <w:b/>
          <w:bCs/>
        </w:rPr>
        <w:fldChar w:fldCharType="begin"/>
      </w:r>
      <w:r w:rsidR="00327D59">
        <w:rPr>
          <w:b/>
          <w:bCs/>
        </w:rPr>
        <w:instrText xml:space="preserve"> SEQ Table \* ARABIC \s 1 </w:instrText>
      </w:r>
      <w:r w:rsidR="00327D59">
        <w:rPr>
          <w:b/>
          <w:bCs/>
        </w:rPr>
        <w:fldChar w:fldCharType="separate"/>
      </w:r>
      <w:r w:rsidR="007D19D7">
        <w:rPr>
          <w:b/>
          <w:bCs/>
          <w:noProof/>
        </w:rPr>
        <w:t>2</w:t>
      </w:r>
      <w:r w:rsidR="00327D59">
        <w:rPr>
          <w:b/>
          <w:bCs/>
        </w:rPr>
        <w:fldChar w:fldCharType="end"/>
      </w:r>
      <w:bookmarkEnd w:id="27"/>
      <w:r w:rsidRPr="0000266C">
        <w:rPr>
          <w:b/>
          <w:bCs/>
        </w:rPr>
        <w:t xml:space="preserve"> </w:t>
      </w:r>
      <w:r w:rsidR="00A213C3" w:rsidRPr="0000266C">
        <w:rPr>
          <w:b/>
          <w:bCs/>
        </w:rPr>
        <w:t xml:space="preserve">Changes to existing items and additions of new items from Main Survey 9 to Pilot Survey 10 for the 1946-51 Pilot Cohort </w:t>
      </w:r>
    </w:p>
    <w:tbl>
      <w:tblPr>
        <w:tblW w:w="1360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1E0" w:firstRow="1" w:lastRow="1" w:firstColumn="1" w:lastColumn="1" w:noHBand="0" w:noVBand="0"/>
      </w:tblPr>
      <w:tblGrid>
        <w:gridCol w:w="992"/>
        <w:gridCol w:w="2079"/>
        <w:gridCol w:w="4158"/>
        <w:gridCol w:w="3828"/>
        <w:gridCol w:w="2551"/>
      </w:tblGrid>
      <w:tr w:rsidR="00A213C3" w:rsidRPr="00AD19BC" w14:paraId="4A717F42" w14:textId="77777777" w:rsidTr="007F282B">
        <w:trPr>
          <w:trHeight w:val="247"/>
          <w:tblHeader/>
        </w:trPr>
        <w:tc>
          <w:tcPr>
            <w:tcW w:w="992"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hideMark/>
          </w:tcPr>
          <w:p w14:paraId="71D133F2" w14:textId="77777777" w:rsidR="00A213C3" w:rsidRPr="00AD19BC" w:rsidRDefault="00A213C3" w:rsidP="00E86D5D">
            <w:pPr>
              <w:spacing w:before="40" w:after="40" w:line="276" w:lineRule="auto"/>
              <w:jc w:val="left"/>
              <w:rPr>
                <w:rFonts w:cs="Arial"/>
                <w:b/>
                <w:szCs w:val="20"/>
              </w:rPr>
            </w:pPr>
            <w:r w:rsidRPr="00AD19BC">
              <w:rPr>
                <w:rFonts w:cs="Arial"/>
                <w:b/>
                <w:szCs w:val="20"/>
              </w:rPr>
              <w:t>Item N</w:t>
            </w:r>
            <w:r>
              <w:rPr>
                <w:rFonts w:cs="Arial"/>
                <w:b/>
                <w:szCs w:val="20"/>
              </w:rPr>
              <w:t>o.</w:t>
            </w:r>
          </w:p>
        </w:tc>
        <w:tc>
          <w:tcPr>
            <w:tcW w:w="2079"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hideMark/>
          </w:tcPr>
          <w:p w14:paraId="01C2BDEF" w14:textId="77777777" w:rsidR="00A213C3" w:rsidRPr="00AD19BC" w:rsidRDefault="00A213C3" w:rsidP="00E86D5D">
            <w:pPr>
              <w:spacing w:before="40" w:after="40" w:line="276" w:lineRule="auto"/>
              <w:jc w:val="left"/>
              <w:rPr>
                <w:rFonts w:cs="Arial"/>
                <w:b/>
                <w:szCs w:val="20"/>
              </w:rPr>
            </w:pPr>
            <w:r w:rsidRPr="00AD19BC">
              <w:rPr>
                <w:rFonts w:cs="Arial"/>
                <w:b/>
                <w:szCs w:val="20"/>
              </w:rPr>
              <w:t>Topic</w:t>
            </w:r>
          </w:p>
        </w:tc>
        <w:tc>
          <w:tcPr>
            <w:tcW w:w="4158"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hideMark/>
          </w:tcPr>
          <w:p w14:paraId="26FD2669" w14:textId="77777777" w:rsidR="00A213C3" w:rsidRPr="00AD19BC" w:rsidRDefault="00A213C3" w:rsidP="00E86D5D">
            <w:pPr>
              <w:spacing w:before="40" w:after="40" w:line="276" w:lineRule="auto"/>
              <w:jc w:val="left"/>
              <w:rPr>
                <w:rFonts w:cs="Arial"/>
                <w:b/>
                <w:szCs w:val="20"/>
              </w:rPr>
            </w:pPr>
            <w:r w:rsidRPr="00AD19BC">
              <w:rPr>
                <w:rFonts w:cs="Arial"/>
                <w:b/>
                <w:szCs w:val="20"/>
              </w:rPr>
              <w:t>Source</w:t>
            </w:r>
          </w:p>
        </w:tc>
        <w:tc>
          <w:tcPr>
            <w:tcW w:w="3828"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hideMark/>
          </w:tcPr>
          <w:p w14:paraId="58B7408B" w14:textId="77777777" w:rsidR="00A213C3" w:rsidRPr="00AD19BC" w:rsidRDefault="00A213C3" w:rsidP="00E86D5D">
            <w:pPr>
              <w:spacing w:before="40" w:after="40" w:line="276" w:lineRule="auto"/>
              <w:jc w:val="left"/>
              <w:rPr>
                <w:rFonts w:cs="Arial"/>
                <w:b/>
                <w:szCs w:val="20"/>
              </w:rPr>
            </w:pPr>
            <w:r w:rsidRPr="00AD19BC">
              <w:rPr>
                <w:rFonts w:cs="Arial"/>
                <w:b/>
                <w:szCs w:val="20"/>
              </w:rPr>
              <w:t>Item change justification</w:t>
            </w:r>
          </w:p>
        </w:tc>
        <w:tc>
          <w:tcPr>
            <w:tcW w:w="2551"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hideMark/>
          </w:tcPr>
          <w:p w14:paraId="09340066" w14:textId="77777777" w:rsidR="00A213C3" w:rsidRPr="00AD19BC" w:rsidRDefault="00A213C3" w:rsidP="00E86D5D">
            <w:pPr>
              <w:spacing w:before="40" w:after="40" w:line="276" w:lineRule="auto"/>
              <w:jc w:val="left"/>
              <w:rPr>
                <w:rFonts w:cs="Arial"/>
                <w:b/>
                <w:szCs w:val="20"/>
              </w:rPr>
            </w:pPr>
            <w:r w:rsidRPr="00AD19BC">
              <w:rPr>
                <w:rFonts w:cs="Arial"/>
                <w:b/>
                <w:szCs w:val="20"/>
              </w:rPr>
              <w:t>New item justification</w:t>
            </w:r>
          </w:p>
        </w:tc>
      </w:tr>
      <w:tr w:rsidR="00A213C3" w:rsidRPr="00AD19BC" w14:paraId="3C810EEE" w14:textId="77777777" w:rsidTr="007F282B">
        <w:trPr>
          <w:trHeight w:val="935"/>
        </w:trPr>
        <w:tc>
          <w:tcPr>
            <w:tcW w:w="992" w:type="dxa"/>
            <w:tcBorders>
              <w:top w:val="single" w:sz="8" w:space="0" w:color="auto"/>
              <w:left w:val="single" w:sz="8" w:space="0" w:color="auto"/>
              <w:bottom w:val="single" w:sz="8" w:space="0" w:color="auto"/>
              <w:right w:val="single" w:sz="8" w:space="0" w:color="auto"/>
            </w:tcBorders>
            <w:hideMark/>
          </w:tcPr>
          <w:p w14:paraId="3703DC0C" w14:textId="77777777" w:rsidR="00A213C3" w:rsidRPr="00AD19BC" w:rsidRDefault="00A213C3" w:rsidP="00E86D5D">
            <w:pPr>
              <w:spacing w:before="40" w:after="40" w:line="276" w:lineRule="auto"/>
              <w:jc w:val="left"/>
              <w:rPr>
                <w:rFonts w:cs="Arial"/>
                <w:szCs w:val="20"/>
              </w:rPr>
            </w:pPr>
            <w:r>
              <w:rPr>
                <w:rFonts w:cs="Arial"/>
                <w:bCs/>
                <w:szCs w:val="20"/>
              </w:rPr>
              <w:t>All</w:t>
            </w:r>
          </w:p>
        </w:tc>
        <w:tc>
          <w:tcPr>
            <w:tcW w:w="2079" w:type="dxa"/>
            <w:tcBorders>
              <w:top w:val="single" w:sz="8" w:space="0" w:color="auto"/>
              <w:left w:val="single" w:sz="8" w:space="0" w:color="auto"/>
              <w:bottom w:val="single" w:sz="8" w:space="0" w:color="auto"/>
              <w:right w:val="single" w:sz="8" w:space="0" w:color="auto"/>
            </w:tcBorders>
            <w:hideMark/>
          </w:tcPr>
          <w:p w14:paraId="2A1D9426" w14:textId="77777777" w:rsidR="00A213C3" w:rsidRPr="00AD19BC" w:rsidRDefault="00A213C3" w:rsidP="00E86D5D">
            <w:pPr>
              <w:spacing w:before="40" w:after="40" w:line="276" w:lineRule="auto"/>
              <w:jc w:val="left"/>
              <w:rPr>
                <w:rFonts w:cs="Arial"/>
                <w:szCs w:val="20"/>
              </w:rPr>
            </w:pPr>
            <w:r w:rsidRPr="00AD19BC">
              <w:rPr>
                <w:rFonts w:cs="Arial"/>
                <w:bCs/>
                <w:szCs w:val="20"/>
              </w:rPr>
              <w:t>Text size</w:t>
            </w:r>
          </w:p>
        </w:tc>
        <w:tc>
          <w:tcPr>
            <w:tcW w:w="4158" w:type="dxa"/>
            <w:tcBorders>
              <w:top w:val="single" w:sz="8" w:space="0" w:color="auto"/>
              <w:left w:val="single" w:sz="8" w:space="0" w:color="auto"/>
              <w:bottom w:val="single" w:sz="8" w:space="0" w:color="auto"/>
              <w:right w:val="single" w:sz="8" w:space="0" w:color="auto"/>
            </w:tcBorders>
          </w:tcPr>
          <w:p w14:paraId="4BC93CD6" w14:textId="77777777" w:rsidR="00A213C3" w:rsidRPr="00AD19BC" w:rsidRDefault="00A213C3" w:rsidP="00E86D5D">
            <w:pPr>
              <w:spacing w:before="40" w:after="40" w:line="276" w:lineRule="auto"/>
              <w:jc w:val="left"/>
              <w:rPr>
                <w:rFonts w:cs="Arial"/>
                <w:szCs w:val="20"/>
              </w:rPr>
            </w:pPr>
          </w:p>
        </w:tc>
        <w:tc>
          <w:tcPr>
            <w:tcW w:w="3828" w:type="dxa"/>
            <w:tcBorders>
              <w:top w:val="single" w:sz="8" w:space="0" w:color="auto"/>
              <w:left w:val="single" w:sz="8" w:space="0" w:color="auto"/>
              <w:bottom w:val="single" w:sz="8" w:space="0" w:color="auto"/>
              <w:right w:val="single" w:sz="8" w:space="0" w:color="auto"/>
            </w:tcBorders>
            <w:hideMark/>
          </w:tcPr>
          <w:p w14:paraId="022FBF14" w14:textId="77777777" w:rsidR="00A213C3" w:rsidRPr="00AD19BC" w:rsidRDefault="00A213C3" w:rsidP="00E86D5D">
            <w:pPr>
              <w:spacing w:before="40" w:after="40" w:line="276" w:lineRule="auto"/>
              <w:jc w:val="left"/>
              <w:rPr>
                <w:rFonts w:cs="Arial"/>
                <w:szCs w:val="20"/>
              </w:rPr>
            </w:pPr>
            <w:r>
              <w:rPr>
                <w:rFonts w:cs="Arial"/>
                <w:bCs/>
                <w:szCs w:val="20"/>
              </w:rPr>
              <w:t>T</w:t>
            </w:r>
            <w:r w:rsidRPr="00AD19BC">
              <w:rPr>
                <w:rFonts w:cs="Arial"/>
                <w:bCs/>
                <w:szCs w:val="20"/>
              </w:rPr>
              <w:t xml:space="preserve">ext font </w:t>
            </w:r>
            <w:r>
              <w:rPr>
                <w:rFonts w:cs="Arial"/>
                <w:bCs/>
                <w:szCs w:val="20"/>
              </w:rPr>
              <w:t xml:space="preserve">size </w:t>
            </w:r>
            <w:r w:rsidRPr="00AD19BC">
              <w:rPr>
                <w:rFonts w:cs="Arial"/>
                <w:bCs/>
                <w:szCs w:val="20"/>
              </w:rPr>
              <w:t>increased for entire survey</w:t>
            </w:r>
            <w:r>
              <w:rPr>
                <w:rFonts w:cs="Arial"/>
                <w:bCs/>
                <w:szCs w:val="20"/>
              </w:rPr>
              <w:t xml:space="preserve"> (</w:t>
            </w:r>
            <w:proofErr w:type="gramStart"/>
            <w:r w:rsidRPr="00AD19BC">
              <w:rPr>
                <w:rFonts w:cs="Arial"/>
                <w:bCs/>
                <w:szCs w:val="20"/>
              </w:rPr>
              <w:t>similar to</w:t>
            </w:r>
            <w:proofErr w:type="gramEnd"/>
            <w:r w:rsidRPr="00AD19BC">
              <w:rPr>
                <w:rFonts w:cs="Arial"/>
                <w:bCs/>
                <w:szCs w:val="20"/>
              </w:rPr>
              <w:t xml:space="preserve"> </w:t>
            </w:r>
            <w:r>
              <w:rPr>
                <w:rFonts w:cs="Arial"/>
                <w:bCs/>
                <w:szCs w:val="20"/>
              </w:rPr>
              <w:t>1</w:t>
            </w:r>
            <w:r w:rsidRPr="00AD19BC">
              <w:rPr>
                <w:rFonts w:cs="Arial"/>
                <w:bCs/>
                <w:szCs w:val="20"/>
              </w:rPr>
              <w:t>921-26 Cohort Survey 2</w:t>
            </w:r>
            <w:r>
              <w:rPr>
                <w:rFonts w:cs="Arial"/>
                <w:bCs/>
                <w:szCs w:val="20"/>
              </w:rPr>
              <w:t>)</w:t>
            </w:r>
            <w:r w:rsidRPr="00AD19BC">
              <w:rPr>
                <w:rFonts w:cs="Arial"/>
                <w:bCs/>
                <w:szCs w:val="20"/>
              </w:rPr>
              <w:t xml:space="preserve"> to account for increased risk of deteriorating vision</w:t>
            </w:r>
            <w:r>
              <w:rPr>
                <w:rFonts w:cs="Arial"/>
                <w:bCs/>
                <w:szCs w:val="20"/>
              </w:rPr>
              <w:t xml:space="preserve">. </w:t>
            </w:r>
          </w:p>
        </w:tc>
        <w:tc>
          <w:tcPr>
            <w:tcW w:w="2551" w:type="dxa"/>
            <w:tcBorders>
              <w:top w:val="single" w:sz="8" w:space="0" w:color="auto"/>
              <w:left w:val="single" w:sz="8" w:space="0" w:color="auto"/>
              <w:bottom w:val="single" w:sz="8" w:space="0" w:color="auto"/>
              <w:right w:val="single" w:sz="8" w:space="0" w:color="auto"/>
            </w:tcBorders>
          </w:tcPr>
          <w:p w14:paraId="7CC213DD" w14:textId="77777777" w:rsidR="00A213C3" w:rsidRPr="00AD19BC" w:rsidRDefault="00A213C3" w:rsidP="00E86D5D">
            <w:pPr>
              <w:spacing w:before="40" w:after="40" w:line="276" w:lineRule="auto"/>
              <w:jc w:val="left"/>
              <w:rPr>
                <w:rFonts w:cs="Arial"/>
                <w:szCs w:val="20"/>
              </w:rPr>
            </w:pPr>
          </w:p>
        </w:tc>
      </w:tr>
      <w:tr w:rsidR="00A213C3" w:rsidRPr="00AD19BC" w14:paraId="33F25B15" w14:textId="77777777" w:rsidTr="007F282B">
        <w:trPr>
          <w:trHeight w:val="483"/>
        </w:trPr>
        <w:tc>
          <w:tcPr>
            <w:tcW w:w="992" w:type="dxa"/>
            <w:tcBorders>
              <w:top w:val="single" w:sz="8" w:space="0" w:color="auto"/>
              <w:left w:val="single" w:sz="8" w:space="0" w:color="auto"/>
              <w:bottom w:val="single" w:sz="8" w:space="0" w:color="auto"/>
              <w:right w:val="single" w:sz="8" w:space="0" w:color="auto"/>
            </w:tcBorders>
            <w:hideMark/>
          </w:tcPr>
          <w:p w14:paraId="3E26A4CA" w14:textId="77777777" w:rsidR="00A213C3" w:rsidRPr="00AD19BC" w:rsidRDefault="00A213C3" w:rsidP="00E86D5D">
            <w:pPr>
              <w:spacing w:before="40" w:after="40" w:line="276" w:lineRule="auto"/>
              <w:jc w:val="left"/>
              <w:rPr>
                <w:rFonts w:cs="Arial"/>
                <w:szCs w:val="20"/>
              </w:rPr>
            </w:pPr>
            <w:r w:rsidRPr="00AD19BC">
              <w:rPr>
                <w:rFonts w:cs="Arial"/>
                <w:szCs w:val="20"/>
              </w:rPr>
              <w:t>1</w:t>
            </w:r>
          </w:p>
        </w:tc>
        <w:tc>
          <w:tcPr>
            <w:tcW w:w="2079" w:type="dxa"/>
            <w:tcBorders>
              <w:top w:val="single" w:sz="8" w:space="0" w:color="auto"/>
              <w:left w:val="single" w:sz="8" w:space="0" w:color="auto"/>
              <w:bottom w:val="single" w:sz="8" w:space="0" w:color="auto"/>
              <w:right w:val="single" w:sz="8" w:space="0" w:color="auto"/>
            </w:tcBorders>
            <w:hideMark/>
          </w:tcPr>
          <w:p w14:paraId="6B8CBB89" w14:textId="77777777" w:rsidR="00A213C3" w:rsidRPr="00AD19BC" w:rsidRDefault="00A213C3" w:rsidP="00E86D5D">
            <w:pPr>
              <w:spacing w:before="40" w:after="40" w:line="276" w:lineRule="auto"/>
              <w:jc w:val="left"/>
              <w:rPr>
                <w:rFonts w:cs="Arial"/>
                <w:szCs w:val="20"/>
              </w:rPr>
            </w:pPr>
            <w:r w:rsidRPr="00AD19BC">
              <w:rPr>
                <w:rFonts w:cs="Arial"/>
                <w:szCs w:val="20"/>
              </w:rPr>
              <w:t>Date of birth</w:t>
            </w:r>
          </w:p>
        </w:tc>
        <w:tc>
          <w:tcPr>
            <w:tcW w:w="4158" w:type="dxa"/>
            <w:tcBorders>
              <w:top w:val="single" w:sz="8" w:space="0" w:color="auto"/>
              <w:left w:val="single" w:sz="8" w:space="0" w:color="auto"/>
              <w:bottom w:val="single" w:sz="8" w:space="0" w:color="auto"/>
              <w:right w:val="single" w:sz="8" w:space="0" w:color="auto"/>
            </w:tcBorders>
            <w:hideMark/>
          </w:tcPr>
          <w:p w14:paraId="11037507"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4CAD4391" w14:textId="77777777" w:rsidR="00A213C3" w:rsidRPr="00AD19BC" w:rsidRDefault="00A213C3" w:rsidP="00E86D5D">
            <w:pPr>
              <w:spacing w:before="40" w:after="40" w:line="276" w:lineRule="auto"/>
              <w:jc w:val="left"/>
              <w:rPr>
                <w:rFonts w:cs="Arial"/>
                <w:bCs/>
                <w:szCs w:val="20"/>
              </w:rPr>
            </w:pPr>
          </w:p>
        </w:tc>
        <w:tc>
          <w:tcPr>
            <w:tcW w:w="2551" w:type="dxa"/>
            <w:tcBorders>
              <w:top w:val="single" w:sz="8" w:space="0" w:color="auto"/>
              <w:left w:val="single" w:sz="8" w:space="0" w:color="auto"/>
              <w:bottom w:val="single" w:sz="8" w:space="0" w:color="auto"/>
              <w:right w:val="single" w:sz="8" w:space="0" w:color="auto"/>
            </w:tcBorders>
          </w:tcPr>
          <w:p w14:paraId="2E05EA18" w14:textId="77777777" w:rsidR="00A213C3" w:rsidRPr="00AD19BC" w:rsidRDefault="00A213C3" w:rsidP="00E86D5D">
            <w:pPr>
              <w:spacing w:before="40" w:after="40" w:line="276" w:lineRule="auto"/>
              <w:jc w:val="left"/>
              <w:rPr>
                <w:rFonts w:cs="Arial"/>
                <w:szCs w:val="20"/>
              </w:rPr>
            </w:pPr>
          </w:p>
        </w:tc>
      </w:tr>
      <w:tr w:rsidR="00A213C3" w:rsidRPr="00AD19BC" w14:paraId="39831FCA" w14:textId="77777777" w:rsidTr="007F282B">
        <w:trPr>
          <w:trHeight w:val="405"/>
        </w:trPr>
        <w:tc>
          <w:tcPr>
            <w:tcW w:w="992" w:type="dxa"/>
            <w:tcBorders>
              <w:top w:val="single" w:sz="8" w:space="0" w:color="auto"/>
              <w:left w:val="single" w:sz="8" w:space="0" w:color="auto"/>
              <w:bottom w:val="single" w:sz="8" w:space="0" w:color="auto"/>
              <w:right w:val="single" w:sz="8" w:space="0" w:color="auto"/>
            </w:tcBorders>
            <w:hideMark/>
          </w:tcPr>
          <w:p w14:paraId="739D0F97" w14:textId="77777777" w:rsidR="00A213C3" w:rsidRPr="00AD19BC" w:rsidRDefault="00A213C3" w:rsidP="00E86D5D">
            <w:pPr>
              <w:spacing w:before="40" w:after="40" w:line="276" w:lineRule="auto"/>
              <w:jc w:val="left"/>
              <w:rPr>
                <w:rFonts w:cs="Arial"/>
                <w:szCs w:val="20"/>
              </w:rPr>
            </w:pPr>
            <w:r w:rsidRPr="00AD19BC">
              <w:rPr>
                <w:rFonts w:cs="Arial"/>
                <w:szCs w:val="20"/>
              </w:rPr>
              <w:t>2</w:t>
            </w:r>
          </w:p>
        </w:tc>
        <w:tc>
          <w:tcPr>
            <w:tcW w:w="2079" w:type="dxa"/>
            <w:tcBorders>
              <w:top w:val="single" w:sz="8" w:space="0" w:color="auto"/>
              <w:left w:val="single" w:sz="8" w:space="0" w:color="auto"/>
              <w:bottom w:val="single" w:sz="8" w:space="0" w:color="auto"/>
              <w:right w:val="single" w:sz="8" w:space="0" w:color="auto"/>
            </w:tcBorders>
            <w:hideMark/>
          </w:tcPr>
          <w:p w14:paraId="6B6C0153" w14:textId="77777777" w:rsidR="00A213C3" w:rsidRPr="00AD19BC" w:rsidRDefault="00A213C3" w:rsidP="00E86D5D">
            <w:pPr>
              <w:spacing w:before="40" w:after="40" w:line="276" w:lineRule="auto"/>
              <w:jc w:val="left"/>
              <w:rPr>
                <w:rFonts w:cs="Arial"/>
                <w:szCs w:val="20"/>
              </w:rPr>
            </w:pPr>
            <w:r w:rsidRPr="00AD19BC">
              <w:rPr>
                <w:rFonts w:cs="Arial"/>
                <w:szCs w:val="20"/>
              </w:rPr>
              <w:t>Postcode</w:t>
            </w:r>
          </w:p>
        </w:tc>
        <w:tc>
          <w:tcPr>
            <w:tcW w:w="4158" w:type="dxa"/>
            <w:tcBorders>
              <w:top w:val="single" w:sz="8" w:space="0" w:color="auto"/>
              <w:left w:val="single" w:sz="8" w:space="0" w:color="auto"/>
              <w:bottom w:val="single" w:sz="8" w:space="0" w:color="auto"/>
              <w:right w:val="single" w:sz="8" w:space="0" w:color="auto"/>
            </w:tcBorders>
            <w:hideMark/>
          </w:tcPr>
          <w:p w14:paraId="297BB587"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09EFD6EF"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51154EF6" w14:textId="77777777" w:rsidR="00A213C3" w:rsidRPr="00AD19BC" w:rsidRDefault="00A213C3" w:rsidP="00E86D5D">
            <w:pPr>
              <w:spacing w:before="40" w:after="40" w:line="276" w:lineRule="auto"/>
              <w:jc w:val="left"/>
              <w:rPr>
                <w:rFonts w:cs="Arial"/>
                <w:szCs w:val="20"/>
              </w:rPr>
            </w:pPr>
          </w:p>
        </w:tc>
      </w:tr>
      <w:tr w:rsidR="00A213C3" w:rsidRPr="00AD19BC" w14:paraId="0A9042D3" w14:textId="77777777" w:rsidTr="007F282B">
        <w:trPr>
          <w:trHeight w:val="1289"/>
        </w:trPr>
        <w:tc>
          <w:tcPr>
            <w:tcW w:w="992" w:type="dxa"/>
            <w:tcBorders>
              <w:top w:val="single" w:sz="8" w:space="0" w:color="auto"/>
              <w:left w:val="single" w:sz="8" w:space="0" w:color="auto"/>
              <w:bottom w:val="single" w:sz="8" w:space="0" w:color="auto"/>
              <w:right w:val="single" w:sz="8" w:space="0" w:color="auto"/>
            </w:tcBorders>
            <w:hideMark/>
          </w:tcPr>
          <w:p w14:paraId="76675BDA" w14:textId="77777777" w:rsidR="00A213C3" w:rsidRPr="00AD19BC" w:rsidRDefault="00A213C3" w:rsidP="00E86D5D">
            <w:pPr>
              <w:spacing w:before="40" w:after="40" w:line="276" w:lineRule="auto"/>
              <w:jc w:val="left"/>
              <w:rPr>
                <w:rFonts w:cs="Arial"/>
                <w:szCs w:val="20"/>
              </w:rPr>
            </w:pPr>
            <w:r w:rsidRPr="00AD19BC">
              <w:rPr>
                <w:rFonts w:cs="Arial"/>
                <w:szCs w:val="20"/>
              </w:rPr>
              <w:t>3-13</w:t>
            </w:r>
          </w:p>
        </w:tc>
        <w:tc>
          <w:tcPr>
            <w:tcW w:w="2079" w:type="dxa"/>
            <w:tcBorders>
              <w:top w:val="single" w:sz="8" w:space="0" w:color="auto"/>
              <w:left w:val="single" w:sz="8" w:space="0" w:color="auto"/>
              <w:bottom w:val="single" w:sz="8" w:space="0" w:color="auto"/>
              <w:right w:val="single" w:sz="8" w:space="0" w:color="auto"/>
            </w:tcBorders>
            <w:hideMark/>
          </w:tcPr>
          <w:p w14:paraId="763BA15E" w14:textId="77777777" w:rsidR="00A213C3" w:rsidRPr="00AD19BC" w:rsidRDefault="00A213C3" w:rsidP="00E86D5D">
            <w:pPr>
              <w:spacing w:before="40" w:after="40" w:line="276" w:lineRule="auto"/>
              <w:jc w:val="left"/>
              <w:rPr>
                <w:rFonts w:cs="Arial"/>
                <w:szCs w:val="20"/>
              </w:rPr>
            </w:pPr>
            <w:r w:rsidRPr="00AD19BC">
              <w:rPr>
                <w:rFonts w:cs="Arial"/>
                <w:szCs w:val="20"/>
              </w:rPr>
              <w:t>SF-36</w:t>
            </w:r>
          </w:p>
        </w:tc>
        <w:tc>
          <w:tcPr>
            <w:tcW w:w="4158" w:type="dxa"/>
            <w:tcBorders>
              <w:top w:val="single" w:sz="8" w:space="0" w:color="auto"/>
              <w:left w:val="single" w:sz="8" w:space="0" w:color="auto"/>
              <w:bottom w:val="single" w:sz="8" w:space="0" w:color="auto"/>
              <w:right w:val="single" w:sz="8" w:space="0" w:color="auto"/>
            </w:tcBorders>
            <w:hideMark/>
          </w:tcPr>
          <w:p w14:paraId="68AA97FF"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Ware JE &amp; </w:t>
            </w:r>
            <w:proofErr w:type="spellStart"/>
            <w:r w:rsidRPr="00AD19BC">
              <w:rPr>
                <w:rFonts w:cs="Arial"/>
                <w:szCs w:val="20"/>
              </w:rPr>
              <w:t>Sherbourne</w:t>
            </w:r>
            <w:proofErr w:type="spellEnd"/>
            <w:r w:rsidRPr="00AD19BC">
              <w:rPr>
                <w:rFonts w:cs="Arial"/>
                <w:szCs w:val="20"/>
              </w:rPr>
              <w:t xml:space="preserve"> CD. (1992). The MOS 36-Item Short-Form Health Survey (SF-36): 1. Conceptual Framework and item selection, </w:t>
            </w:r>
            <w:r w:rsidRPr="00AD19BC">
              <w:rPr>
                <w:rFonts w:cs="Arial"/>
                <w:i/>
                <w:szCs w:val="20"/>
              </w:rPr>
              <w:t xml:space="preserve">Medical Care, </w:t>
            </w:r>
            <w:r w:rsidRPr="00AD19BC">
              <w:rPr>
                <w:rFonts w:cs="Arial"/>
                <w:szCs w:val="20"/>
              </w:rPr>
              <w:t>30(6): 473-483.</w:t>
            </w:r>
          </w:p>
        </w:tc>
        <w:tc>
          <w:tcPr>
            <w:tcW w:w="3828" w:type="dxa"/>
            <w:tcBorders>
              <w:top w:val="single" w:sz="8" w:space="0" w:color="auto"/>
              <w:left w:val="single" w:sz="8" w:space="0" w:color="auto"/>
              <w:bottom w:val="single" w:sz="8" w:space="0" w:color="auto"/>
              <w:right w:val="single" w:sz="8" w:space="0" w:color="auto"/>
            </w:tcBorders>
          </w:tcPr>
          <w:p w14:paraId="7395ED6C"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59C235A1" w14:textId="77777777" w:rsidR="00A213C3" w:rsidRPr="00AD19BC" w:rsidRDefault="00A213C3" w:rsidP="00E86D5D">
            <w:pPr>
              <w:spacing w:before="40" w:after="40" w:line="276" w:lineRule="auto"/>
              <w:jc w:val="left"/>
              <w:rPr>
                <w:rFonts w:cs="Arial"/>
                <w:szCs w:val="20"/>
              </w:rPr>
            </w:pPr>
          </w:p>
        </w:tc>
      </w:tr>
      <w:tr w:rsidR="00A213C3" w:rsidRPr="00AD19BC" w14:paraId="3ADC22E5" w14:textId="77777777" w:rsidTr="007F282B">
        <w:trPr>
          <w:trHeight w:val="592"/>
        </w:trPr>
        <w:tc>
          <w:tcPr>
            <w:tcW w:w="992" w:type="dxa"/>
            <w:tcBorders>
              <w:top w:val="single" w:sz="8" w:space="0" w:color="auto"/>
              <w:left w:val="single" w:sz="8" w:space="0" w:color="auto"/>
              <w:bottom w:val="single" w:sz="8" w:space="0" w:color="auto"/>
              <w:right w:val="single" w:sz="8" w:space="0" w:color="auto"/>
            </w:tcBorders>
            <w:hideMark/>
          </w:tcPr>
          <w:p w14:paraId="5B604A41" w14:textId="77777777" w:rsidR="00A213C3" w:rsidRPr="00AD19BC" w:rsidRDefault="00A213C3" w:rsidP="00E86D5D">
            <w:pPr>
              <w:spacing w:before="40" w:after="40" w:line="276" w:lineRule="auto"/>
              <w:jc w:val="left"/>
              <w:rPr>
                <w:rFonts w:cs="Arial"/>
                <w:szCs w:val="20"/>
              </w:rPr>
            </w:pPr>
            <w:r w:rsidRPr="00AD19BC">
              <w:rPr>
                <w:rFonts w:cs="Arial"/>
                <w:szCs w:val="20"/>
              </w:rPr>
              <w:t>14</w:t>
            </w:r>
          </w:p>
        </w:tc>
        <w:tc>
          <w:tcPr>
            <w:tcW w:w="2079" w:type="dxa"/>
            <w:tcBorders>
              <w:top w:val="single" w:sz="8" w:space="0" w:color="auto"/>
              <w:left w:val="single" w:sz="8" w:space="0" w:color="auto"/>
              <w:bottom w:val="single" w:sz="8" w:space="0" w:color="auto"/>
              <w:right w:val="single" w:sz="8" w:space="0" w:color="auto"/>
            </w:tcBorders>
            <w:hideMark/>
          </w:tcPr>
          <w:p w14:paraId="180D82E5" w14:textId="77777777" w:rsidR="00A213C3" w:rsidRPr="00AD19BC" w:rsidRDefault="00A213C3" w:rsidP="00E86D5D">
            <w:pPr>
              <w:spacing w:before="40" w:after="40" w:line="276" w:lineRule="auto"/>
              <w:jc w:val="left"/>
              <w:rPr>
                <w:rFonts w:cs="Arial"/>
                <w:szCs w:val="20"/>
              </w:rPr>
            </w:pPr>
            <w:r w:rsidRPr="00AD19BC">
              <w:rPr>
                <w:rFonts w:cs="Arial"/>
                <w:szCs w:val="20"/>
              </w:rPr>
              <w:t>GP Consultations</w:t>
            </w:r>
          </w:p>
        </w:tc>
        <w:tc>
          <w:tcPr>
            <w:tcW w:w="4158" w:type="dxa"/>
            <w:tcBorders>
              <w:top w:val="single" w:sz="8" w:space="0" w:color="auto"/>
              <w:left w:val="single" w:sz="8" w:space="0" w:color="auto"/>
              <w:bottom w:val="single" w:sz="8" w:space="0" w:color="auto"/>
              <w:right w:val="single" w:sz="8" w:space="0" w:color="auto"/>
            </w:tcBorders>
            <w:hideMark/>
          </w:tcPr>
          <w:p w14:paraId="59635884"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Modified from Australian Bureau of Statistics. (1991). </w:t>
            </w:r>
            <w:r w:rsidRPr="00AD19BC">
              <w:rPr>
                <w:rFonts w:cs="Arial"/>
                <w:i/>
                <w:szCs w:val="20"/>
              </w:rPr>
              <w:t>1989-1990</w:t>
            </w:r>
            <w:r w:rsidRPr="00AD19BC">
              <w:rPr>
                <w:rFonts w:cs="Arial"/>
                <w:szCs w:val="20"/>
              </w:rPr>
              <w:t xml:space="preserve"> </w:t>
            </w:r>
            <w:r w:rsidRPr="00AD19BC">
              <w:rPr>
                <w:rFonts w:cs="Arial"/>
                <w:i/>
                <w:szCs w:val="20"/>
              </w:rPr>
              <w:t xml:space="preserve">National Health Survey Users’ Guide. </w:t>
            </w:r>
            <w:r w:rsidRPr="00AD19BC">
              <w:rPr>
                <w:rFonts w:cs="Arial"/>
                <w:szCs w:val="20"/>
              </w:rPr>
              <w:t>Canberra: ABS. Cat. No. 4363.0</w:t>
            </w:r>
          </w:p>
        </w:tc>
        <w:tc>
          <w:tcPr>
            <w:tcW w:w="3828" w:type="dxa"/>
            <w:tcBorders>
              <w:top w:val="single" w:sz="8" w:space="0" w:color="auto"/>
              <w:left w:val="single" w:sz="8" w:space="0" w:color="auto"/>
              <w:bottom w:val="single" w:sz="8" w:space="0" w:color="auto"/>
              <w:right w:val="single" w:sz="8" w:space="0" w:color="auto"/>
            </w:tcBorders>
          </w:tcPr>
          <w:p w14:paraId="5347AB2D"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7F7EB469" w14:textId="77777777" w:rsidR="00A213C3" w:rsidRPr="00AD19BC" w:rsidRDefault="00A213C3" w:rsidP="00E86D5D">
            <w:pPr>
              <w:spacing w:before="40" w:after="40" w:line="276" w:lineRule="auto"/>
              <w:jc w:val="left"/>
              <w:rPr>
                <w:rFonts w:cs="Arial"/>
                <w:szCs w:val="20"/>
              </w:rPr>
            </w:pPr>
          </w:p>
        </w:tc>
      </w:tr>
      <w:tr w:rsidR="00A213C3" w:rsidRPr="00AD19BC" w14:paraId="20FF4919" w14:textId="77777777" w:rsidTr="007F282B">
        <w:trPr>
          <w:trHeight w:val="592"/>
        </w:trPr>
        <w:tc>
          <w:tcPr>
            <w:tcW w:w="992" w:type="dxa"/>
            <w:tcBorders>
              <w:top w:val="single" w:sz="8" w:space="0" w:color="auto"/>
              <w:left w:val="single" w:sz="8" w:space="0" w:color="auto"/>
              <w:bottom w:val="single" w:sz="8" w:space="0" w:color="auto"/>
              <w:right w:val="single" w:sz="8" w:space="0" w:color="auto"/>
            </w:tcBorders>
            <w:hideMark/>
          </w:tcPr>
          <w:p w14:paraId="2A3383AF" w14:textId="77777777" w:rsidR="00A213C3" w:rsidRPr="00AD19BC" w:rsidRDefault="00A213C3" w:rsidP="00E86D5D">
            <w:pPr>
              <w:spacing w:before="40" w:after="40" w:line="276" w:lineRule="auto"/>
              <w:jc w:val="left"/>
              <w:rPr>
                <w:rFonts w:cs="Arial"/>
                <w:szCs w:val="20"/>
              </w:rPr>
            </w:pPr>
            <w:r w:rsidRPr="00AD19BC">
              <w:rPr>
                <w:rFonts w:cs="Arial"/>
                <w:szCs w:val="20"/>
              </w:rPr>
              <w:t>15</w:t>
            </w:r>
          </w:p>
        </w:tc>
        <w:tc>
          <w:tcPr>
            <w:tcW w:w="2079" w:type="dxa"/>
            <w:tcBorders>
              <w:top w:val="single" w:sz="8" w:space="0" w:color="auto"/>
              <w:left w:val="single" w:sz="8" w:space="0" w:color="auto"/>
              <w:bottom w:val="single" w:sz="8" w:space="0" w:color="auto"/>
              <w:right w:val="single" w:sz="8" w:space="0" w:color="auto"/>
            </w:tcBorders>
            <w:hideMark/>
          </w:tcPr>
          <w:p w14:paraId="154F97E9" w14:textId="77777777" w:rsidR="00A213C3" w:rsidRPr="00AD19BC" w:rsidRDefault="00A213C3" w:rsidP="00E86D5D">
            <w:pPr>
              <w:spacing w:before="40" w:after="40" w:line="276" w:lineRule="auto"/>
              <w:jc w:val="left"/>
              <w:rPr>
                <w:rFonts w:cs="Arial"/>
                <w:szCs w:val="20"/>
              </w:rPr>
            </w:pPr>
            <w:r w:rsidRPr="00AD19BC">
              <w:rPr>
                <w:rFonts w:cs="Arial"/>
                <w:szCs w:val="20"/>
              </w:rPr>
              <w:t>Specialist Consultations</w:t>
            </w:r>
          </w:p>
        </w:tc>
        <w:tc>
          <w:tcPr>
            <w:tcW w:w="4158" w:type="dxa"/>
            <w:tcBorders>
              <w:top w:val="single" w:sz="8" w:space="0" w:color="auto"/>
              <w:left w:val="single" w:sz="8" w:space="0" w:color="auto"/>
              <w:bottom w:val="single" w:sz="8" w:space="0" w:color="auto"/>
              <w:right w:val="single" w:sz="8" w:space="0" w:color="auto"/>
            </w:tcBorders>
            <w:hideMark/>
          </w:tcPr>
          <w:p w14:paraId="29837620"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3357711C"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3C9AFD96" w14:textId="77777777" w:rsidR="00A213C3" w:rsidRPr="00AD19BC" w:rsidRDefault="00A213C3" w:rsidP="00E86D5D">
            <w:pPr>
              <w:spacing w:before="40" w:after="40" w:line="276" w:lineRule="auto"/>
              <w:jc w:val="left"/>
              <w:rPr>
                <w:rFonts w:cs="Arial"/>
                <w:szCs w:val="20"/>
              </w:rPr>
            </w:pPr>
          </w:p>
        </w:tc>
      </w:tr>
      <w:tr w:rsidR="00A213C3" w:rsidRPr="00AD19BC" w14:paraId="62164DF1" w14:textId="77777777" w:rsidTr="007F282B">
        <w:trPr>
          <w:trHeight w:val="286"/>
        </w:trPr>
        <w:tc>
          <w:tcPr>
            <w:tcW w:w="992" w:type="dxa"/>
            <w:tcBorders>
              <w:top w:val="single" w:sz="8" w:space="0" w:color="auto"/>
              <w:left w:val="single" w:sz="8" w:space="0" w:color="auto"/>
              <w:bottom w:val="single" w:sz="8" w:space="0" w:color="auto"/>
              <w:right w:val="single" w:sz="8" w:space="0" w:color="auto"/>
            </w:tcBorders>
            <w:hideMark/>
          </w:tcPr>
          <w:p w14:paraId="7CA4033E" w14:textId="77777777" w:rsidR="00A213C3" w:rsidRPr="00AD19BC" w:rsidRDefault="00A213C3" w:rsidP="00E86D5D">
            <w:pPr>
              <w:spacing w:before="40" w:after="40" w:line="276" w:lineRule="auto"/>
              <w:jc w:val="left"/>
              <w:rPr>
                <w:rFonts w:cs="Arial"/>
                <w:szCs w:val="20"/>
              </w:rPr>
            </w:pPr>
            <w:r w:rsidRPr="00AD19BC">
              <w:rPr>
                <w:rFonts w:cs="Arial"/>
                <w:szCs w:val="20"/>
              </w:rPr>
              <w:t>16</w:t>
            </w:r>
          </w:p>
        </w:tc>
        <w:tc>
          <w:tcPr>
            <w:tcW w:w="2079" w:type="dxa"/>
            <w:tcBorders>
              <w:top w:val="single" w:sz="8" w:space="0" w:color="auto"/>
              <w:left w:val="single" w:sz="8" w:space="0" w:color="auto"/>
              <w:bottom w:val="single" w:sz="8" w:space="0" w:color="auto"/>
              <w:right w:val="single" w:sz="8" w:space="0" w:color="auto"/>
            </w:tcBorders>
            <w:hideMark/>
          </w:tcPr>
          <w:p w14:paraId="3B1D6672"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Complementary and Alternative Therapies </w:t>
            </w:r>
          </w:p>
        </w:tc>
        <w:tc>
          <w:tcPr>
            <w:tcW w:w="4158" w:type="dxa"/>
            <w:tcBorders>
              <w:top w:val="single" w:sz="8" w:space="0" w:color="auto"/>
              <w:left w:val="single" w:sz="8" w:space="0" w:color="auto"/>
              <w:bottom w:val="single" w:sz="8" w:space="0" w:color="auto"/>
              <w:right w:val="single" w:sz="8" w:space="0" w:color="auto"/>
            </w:tcBorders>
            <w:hideMark/>
          </w:tcPr>
          <w:p w14:paraId="71F0063E"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202C68C5"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62BC04F0" w14:textId="77777777" w:rsidR="00A213C3" w:rsidRPr="00AD19BC" w:rsidRDefault="00A213C3" w:rsidP="00E86D5D">
            <w:pPr>
              <w:spacing w:before="40" w:after="40" w:line="276" w:lineRule="auto"/>
              <w:jc w:val="left"/>
              <w:rPr>
                <w:rFonts w:cs="Arial"/>
                <w:szCs w:val="20"/>
              </w:rPr>
            </w:pPr>
          </w:p>
        </w:tc>
      </w:tr>
      <w:tr w:rsidR="00A213C3" w:rsidRPr="00AD19BC" w14:paraId="7F5DC84E" w14:textId="77777777" w:rsidTr="007F282B">
        <w:trPr>
          <w:trHeight w:val="573"/>
        </w:trPr>
        <w:tc>
          <w:tcPr>
            <w:tcW w:w="992" w:type="dxa"/>
            <w:tcBorders>
              <w:top w:val="single" w:sz="8" w:space="0" w:color="auto"/>
              <w:left w:val="single" w:sz="8" w:space="0" w:color="auto"/>
              <w:bottom w:val="single" w:sz="8" w:space="0" w:color="auto"/>
              <w:right w:val="single" w:sz="8" w:space="0" w:color="auto"/>
            </w:tcBorders>
            <w:hideMark/>
          </w:tcPr>
          <w:p w14:paraId="0CB8FFD4" w14:textId="77777777" w:rsidR="00A213C3" w:rsidRPr="00AD19BC" w:rsidRDefault="00A213C3" w:rsidP="00E86D5D">
            <w:pPr>
              <w:spacing w:before="40" w:after="40" w:line="276" w:lineRule="auto"/>
              <w:jc w:val="left"/>
              <w:rPr>
                <w:rFonts w:cs="Arial"/>
                <w:szCs w:val="20"/>
              </w:rPr>
            </w:pPr>
            <w:r w:rsidRPr="00AD19BC">
              <w:rPr>
                <w:rFonts w:cs="Arial"/>
                <w:szCs w:val="20"/>
              </w:rPr>
              <w:t>17</w:t>
            </w:r>
          </w:p>
        </w:tc>
        <w:tc>
          <w:tcPr>
            <w:tcW w:w="2079" w:type="dxa"/>
            <w:tcBorders>
              <w:top w:val="single" w:sz="8" w:space="0" w:color="auto"/>
              <w:left w:val="single" w:sz="8" w:space="0" w:color="auto"/>
              <w:bottom w:val="single" w:sz="8" w:space="0" w:color="auto"/>
              <w:right w:val="single" w:sz="8" w:space="0" w:color="auto"/>
            </w:tcBorders>
            <w:hideMark/>
          </w:tcPr>
          <w:p w14:paraId="303B235C" w14:textId="77777777" w:rsidR="00A213C3" w:rsidRPr="00AD19BC" w:rsidRDefault="00A213C3" w:rsidP="00E86D5D">
            <w:pPr>
              <w:spacing w:before="40" w:after="40" w:line="276" w:lineRule="auto"/>
              <w:jc w:val="left"/>
              <w:rPr>
                <w:rFonts w:cs="Arial"/>
                <w:szCs w:val="20"/>
              </w:rPr>
            </w:pPr>
            <w:r w:rsidRPr="00AD19BC">
              <w:rPr>
                <w:rFonts w:cs="Arial"/>
                <w:szCs w:val="20"/>
              </w:rPr>
              <w:t>GP Continuity of Care</w:t>
            </w:r>
          </w:p>
        </w:tc>
        <w:tc>
          <w:tcPr>
            <w:tcW w:w="4158" w:type="dxa"/>
            <w:tcBorders>
              <w:top w:val="single" w:sz="8" w:space="0" w:color="auto"/>
              <w:left w:val="single" w:sz="8" w:space="0" w:color="auto"/>
              <w:bottom w:val="single" w:sz="8" w:space="0" w:color="auto"/>
              <w:right w:val="single" w:sz="8" w:space="0" w:color="auto"/>
            </w:tcBorders>
            <w:hideMark/>
          </w:tcPr>
          <w:p w14:paraId="67C854DD"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0B6C9754"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5FF61A5A" w14:textId="77777777" w:rsidR="00A213C3" w:rsidRPr="00AD19BC" w:rsidRDefault="00A213C3" w:rsidP="00E86D5D">
            <w:pPr>
              <w:spacing w:before="40" w:after="40" w:line="276" w:lineRule="auto"/>
              <w:jc w:val="left"/>
              <w:rPr>
                <w:rFonts w:cs="Arial"/>
                <w:szCs w:val="20"/>
              </w:rPr>
            </w:pPr>
          </w:p>
        </w:tc>
      </w:tr>
      <w:tr w:rsidR="00A213C3" w:rsidRPr="00AD19BC" w14:paraId="3F7A8488" w14:textId="77777777" w:rsidTr="007F282B">
        <w:trPr>
          <w:trHeight w:val="307"/>
        </w:trPr>
        <w:tc>
          <w:tcPr>
            <w:tcW w:w="992" w:type="dxa"/>
            <w:tcBorders>
              <w:top w:val="single" w:sz="8" w:space="0" w:color="auto"/>
              <w:left w:val="single" w:sz="8" w:space="0" w:color="auto"/>
              <w:bottom w:val="single" w:sz="8" w:space="0" w:color="auto"/>
              <w:right w:val="single" w:sz="8" w:space="0" w:color="auto"/>
            </w:tcBorders>
            <w:hideMark/>
          </w:tcPr>
          <w:p w14:paraId="4BDA61D4" w14:textId="77777777" w:rsidR="00A213C3" w:rsidRPr="00AD19BC" w:rsidRDefault="00A213C3" w:rsidP="00E86D5D">
            <w:pPr>
              <w:spacing w:before="40" w:after="40" w:line="276" w:lineRule="auto"/>
              <w:jc w:val="left"/>
              <w:rPr>
                <w:rFonts w:cs="Arial"/>
                <w:szCs w:val="20"/>
              </w:rPr>
            </w:pPr>
            <w:r w:rsidRPr="00AD19BC">
              <w:rPr>
                <w:rFonts w:cs="Arial"/>
                <w:szCs w:val="20"/>
              </w:rPr>
              <w:lastRenderedPageBreak/>
              <w:t>18</w:t>
            </w:r>
          </w:p>
        </w:tc>
        <w:tc>
          <w:tcPr>
            <w:tcW w:w="2079" w:type="dxa"/>
            <w:tcBorders>
              <w:top w:val="single" w:sz="8" w:space="0" w:color="auto"/>
              <w:left w:val="single" w:sz="8" w:space="0" w:color="auto"/>
              <w:bottom w:val="single" w:sz="8" w:space="0" w:color="auto"/>
              <w:right w:val="single" w:sz="8" w:space="0" w:color="auto"/>
            </w:tcBorders>
            <w:hideMark/>
          </w:tcPr>
          <w:p w14:paraId="13E7E7D9" w14:textId="77777777" w:rsidR="00A213C3" w:rsidRPr="00AD19BC" w:rsidRDefault="00A213C3" w:rsidP="00E86D5D">
            <w:pPr>
              <w:spacing w:before="40" w:after="40" w:line="276" w:lineRule="auto"/>
              <w:jc w:val="left"/>
              <w:rPr>
                <w:rFonts w:cs="Arial"/>
                <w:szCs w:val="20"/>
              </w:rPr>
            </w:pPr>
            <w:r w:rsidRPr="00AD19BC">
              <w:rPr>
                <w:rFonts w:cs="Arial"/>
                <w:szCs w:val="20"/>
              </w:rPr>
              <w:t>GP Costs</w:t>
            </w:r>
          </w:p>
        </w:tc>
        <w:tc>
          <w:tcPr>
            <w:tcW w:w="4158" w:type="dxa"/>
            <w:tcBorders>
              <w:top w:val="single" w:sz="8" w:space="0" w:color="auto"/>
              <w:left w:val="single" w:sz="8" w:space="0" w:color="auto"/>
              <w:bottom w:val="single" w:sz="8" w:space="0" w:color="auto"/>
              <w:right w:val="single" w:sz="8" w:space="0" w:color="auto"/>
            </w:tcBorders>
            <w:hideMark/>
          </w:tcPr>
          <w:p w14:paraId="42B61D8A"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Modified from Davies AR &amp; Ware JEJ. (1991). </w:t>
            </w:r>
            <w:r w:rsidRPr="00AD19BC">
              <w:rPr>
                <w:rFonts w:cs="Arial"/>
                <w:i/>
                <w:szCs w:val="20"/>
              </w:rPr>
              <w:t xml:space="preserve">GAA’s consumer satisfaction survey and user’s manual </w:t>
            </w:r>
            <w:r w:rsidRPr="00AD19BC">
              <w:rPr>
                <w:rFonts w:cs="Arial"/>
                <w:szCs w:val="20"/>
              </w:rPr>
              <w:t>(2</w:t>
            </w:r>
            <w:r w:rsidRPr="00AD19BC">
              <w:rPr>
                <w:rFonts w:cs="Arial"/>
                <w:szCs w:val="20"/>
                <w:vertAlign w:val="superscript"/>
              </w:rPr>
              <w:t>nd</w:t>
            </w:r>
            <w:r w:rsidRPr="00AD19BC">
              <w:rPr>
                <w:rFonts w:cs="Arial"/>
                <w:szCs w:val="20"/>
              </w:rPr>
              <w:t xml:space="preserve"> </w:t>
            </w:r>
            <w:proofErr w:type="spellStart"/>
            <w:r w:rsidRPr="00AD19BC">
              <w:rPr>
                <w:rFonts w:cs="Arial"/>
                <w:szCs w:val="20"/>
              </w:rPr>
              <w:t>Edn</w:t>
            </w:r>
            <w:proofErr w:type="spellEnd"/>
            <w:r w:rsidRPr="00AD19BC">
              <w:rPr>
                <w:rFonts w:cs="Arial"/>
                <w:szCs w:val="20"/>
              </w:rPr>
              <w:t>). Washington DC: The Group Health Association of America (GHAA)</w:t>
            </w:r>
          </w:p>
        </w:tc>
        <w:tc>
          <w:tcPr>
            <w:tcW w:w="3828" w:type="dxa"/>
            <w:tcBorders>
              <w:top w:val="single" w:sz="8" w:space="0" w:color="auto"/>
              <w:left w:val="single" w:sz="8" w:space="0" w:color="auto"/>
              <w:bottom w:val="single" w:sz="8" w:space="0" w:color="auto"/>
              <w:right w:val="single" w:sz="8" w:space="0" w:color="auto"/>
            </w:tcBorders>
          </w:tcPr>
          <w:p w14:paraId="5F980954"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66AABF51" w14:textId="77777777" w:rsidR="00A213C3" w:rsidRPr="00AD19BC" w:rsidRDefault="00A213C3" w:rsidP="00E86D5D">
            <w:pPr>
              <w:spacing w:before="40" w:after="40" w:line="276" w:lineRule="auto"/>
              <w:jc w:val="left"/>
              <w:rPr>
                <w:rFonts w:cs="Arial"/>
                <w:szCs w:val="20"/>
              </w:rPr>
            </w:pPr>
          </w:p>
        </w:tc>
      </w:tr>
      <w:tr w:rsidR="00A213C3" w:rsidRPr="00AD19BC" w14:paraId="338FD984" w14:textId="77777777" w:rsidTr="007F282B">
        <w:trPr>
          <w:trHeight w:val="307"/>
        </w:trPr>
        <w:tc>
          <w:tcPr>
            <w:tcW w:w="992" w:type="dxa"/>
            <w:tcBorders>
              <w:top w:val="single" w:sz="8" w:space="0" w:color="auto"/>
              <w:left w:val="single" w:sz="8" w:space="0" w:color="auto"/>
              <w:bottom w:val="single" w:sz="8" w:space="0" w:color="auto"/>
              <w:right w:val="single" w:sz="8" w:space="0" w:color="auto"/>
            </w:tcBorders>
            <w:hideMark/>
          </w:tcPr>
          <w:p w14:paraId="5A3B23C8" w14:textId="77777777" w:rsidR="00A213C3" w:rsidRPr="00AD19BC" w:rsidRDefault="00A213C3" w:rsidP="00E86D5D">
            <w:pPr>
              <w:spacing w:before="40" w:after="40" w:line="276" w:lineRule="auto"/>
              <w:jc w:val="left"/>
              <w:rPr>
                <w:rFonts w:cs="Arial"/>
                <w:szCs w:val="20"/>
              </w:rPr>
            </w:pPr>
            <w:r w:rsidRPr="00AD19BC">
              <w:rPr>
                <w:rFonts w:cs="Arial"/>
                <w:szCs w:val="20"/>
              </w:rPr>
              <w:t>19</w:t>
            </w:r>
          </w:p>
        </w:tc>
        <w:tc>
          <w:tcPr>
            <w:tcW w:w="2079" w:type="dxa"/>
            <w:tcBorders>
              <w:top w:val="single" w:sz="8" w:space="0" w:color="auto"/>
              <w:left w:val="single" w:sz="8" w:space="0" w:color="auto"/>
              <w:bottom w:val="single" w:sz="8" w:space="0" w:color="auto"/>
              <w:right w:val="single" w:sz="8" w:space="0" w:color="auto"/>
            </w:tcBorders>
            <w:hideMark/>
          </w:tcPr>
          <w:p w14:paraId="29D88959" w14:textId="77777777" w:rsidR="00A213C3" w:rsidRPr="00AD19BC" w:rsidRDefault="00A213C3" w:rsidP="00E86D5D">
            <w:pPr>
              <w:spacing w:before="40" w:after="40" w:line="276" w:lineRule="auto"/>
              <w:jc w:val="left"/>
              <w:rPr>
                <w:rFonts w:cs="Arial"/>
                <w:szCs w:val="20"/>
              </w:rPr>
            </w:pPr>
            <w:r w:rsidRPr="00AD19BC">
              <w:rPr>
                <w:rFonts w:cs="Arial"/>
                <w:szCs w:val="20"/>
              </w:rPr>
              <w:t>Private Health Insurance (hospital)</w:t>
            </w:r>
          </w:p>
        </w:tc>
        <w:tc>
          <w:tcPr>
            <w:tcW w:w="4158" w:type="dxa"/>
            <w:tcBorders>
              <w:top w:val="single" w:sz="8" w:space="0" w:color="auto"/>
              <w:left w:val="single" w:sz="8" w:space="0" w:color="auto"/>
              <w:bottom w:val="single" w:sz="8" w:space="0" w:color="auto"/>
              <w:right w:val="single" w:sz="8" w:space="0" w:color="auto"/>
            </w:tcBorders>
            <w:hideMark/>
          </w:tcPr>
          <w:p w14:paraId="7319DF10"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Modified from Australian Bureau of Statistics (1991). </w:t>
            </w:r>
            <w:r w:rsidRPr="00AD19BC">
              <w:rPr>
                <w:rFonts w:cs="Arial"/>
                <w:i/>
                <w:szCs w:val="20"/>
              </w:rPr>
              <w:t xml:space="preserve">1989-1990 National Health Survey Users’ Guide. </w:t>
            </w:r>
            <w:r w:rsidRPr="00AD19BC">
              <w:rPr>
                <w:rFonts w:cs="Arial"/>
                <w:szCs w:val="20"/>
              </w:rPr>
              <w:t>Canberra: ABS. Cat No. 4363.0</w:t>
            </w:r>
          </w:p>
        </w:tc>
        <w:tc>
          <w:tcPr>
            <w:tcW w:w="3828" w:type="dxa"/>
            <w:tcBorders>
              <w:top w:val="single" w:sz="8" w:space="0" w:color="auto"/>
              <w:left w:val="single" w:sz="8" w:space="0" w:color="auto"/>
              <w:bottom w:val="single" w:sz="8" w:space="0" w:color="auto"/>
              <w:right w:val="single" w:sz="8" w:space="0" w:color="auto"/>
            </w:tcBorders>
            <w:hideMark/>
          </w:tcPr>
          <w:p w14:paraId="428F70CF" w14:textId="77777777" w:rsidR="00A213C3" w:rsidRPr="00AD19BC" w:rsidRDefault="00A213C3" w:rsidP="00E86D5D">
            <w:pPr>
              <w:spacing w:before="40" w:after="40" w:line="276" w:lineRule="auto"/>
              <w:jc w:val="left"/>
              <w:rPr>
                <w:rFonts w:cs="Arial"/>
                <w:szCs w:val="20"/>
              </w:rPr>
            </w:pPr>
            <w:proofErr w:type="gramStart"/>
            <w:r w:rsidRPr="00AD19BC">
              <w:rPr>
                <w:rFonts w:cs="Arial"/>
                <w:szCs w:val="20"/>
              </w:rPr>
              <w:t>Reverted back</w:t>
            </w:r>
            <w:proofErr w:type="gramEnd"/>
            <w:r w:rsidRPr="00AD19BC">
              <w:rPr>
                <w:rFonts w:cs="Arial"/>
                <w:szCs w:val="20"/>
              </w:rPr>
              <w:t xml:space="preserve"> to two items </w:t>
            </w:r>
            <w:r>
              <w:rPr>
                <w:rFonts w:cs="Arial"/>
                <w:szCs w:val="20"/>
              </w:rPr>
              <w:t>(as in Survey 8), d</w:t>
            </w:r>
            <w:r w:rsidRPr="00AD19BC">
              <w:rPr>
                <w:rFonts w:cs="Arial"/>
                <w:szCs w:val="20"/>
              </w:rPr>
              <w:t xml:space="preserve">ue to high missing values in </w:t>
            </w:r>
            <w:r>
              <w:rPr>
                <w:rFonts w:cs="Arial"/>
                <w:szCs w:val="20"/>
              </w:rPr>
              <w:t>Survey 9 wh</w:t>
            </w:r>
            <w:r w:rsidRPr="00AD19BC">
              <w:rPr>
                <w:rFonts w:cs="Arial"/>
                <w:szCs w:val="20"/>
              </w:rPr>
              <w:t>en using combined item</w:t>
            </w:r>
          </w:p>
        </w:tc>
        <w:tc>
          <w:tcPr>
            <w:tcW w:w="2551" w:type="dxa"/>
            <w:tcBorders>
              <w:top w:val="single" w:sz="8" w:space="0" w:color="auto"/>
              <w:left w:val="single" w:sz="8" w:space="0" w:color="auto"/>
              <w:bottom w:val="single" w:sz="8" w:space="0" w:color="auto"/>
              <w:right w:val="single" w:sz="8" w:space="0" w:color="auto"/>
            </w:tcBorders>
          </w:tcPr>
          <w:p w14:paraId="13E782C1" w14:textId="77777777" w:rsidR="00A213C3" w:rsidRPr="00AD19BC" w:rsidRDefault="00A213C3" w:rsidP="00E86D5D">
            <w:pPr>
              <w:spacing w:before="40" w:after="40" w:line="276" w:lineRule="auto"/>
              <w:jc w:val="left"/>
              <w:rPr>
                <w:rFonts w:cs="Arial"/>
                <w:szCs w:val="20"/>
              </w:rPr>
            </w:pPr>
          </w:p>
        </w:tc>
      </w:tr>
      <w:tr w:rsidR="00A213C3" w:rsidRPr="00AD19BC" w14:paraId="7A0837D5" w14:textId="77777777" w:rsidTr="007F282B">
        <w:trPr>
          <w:trHeight w:val="307"/>
        </w:trPr>
        <w:tc>
          <w:tcPr>
            <w:tcW w:w="992" w:type="dxa"/>
            <w:tcBorders>
              <w:top w:val="single" w:sz="8" w:space="0" w:color="auto"/>
              <w:left w:val="single" w:sz="8" w:space="0" w:color="auto"/>
              <w:bottom w:val="single" w:sz="8" w:space="0" w:color="auto"/>
              <w:right w:val="single" w:sz="8" w:space="0" w:color="auto"/>
            </w:tcBorders>
            <w:hideMark/>
          </w:tcPr>
          <w:p w14:paraId="309867A8" w14:textId="77777777" w:rsidR="00A213C3" w:rsidRPr="00AD19BC" w:rsidRDefault="00A213C3" w:rsidP="00E86D5D">
            <w:pPr>
              <w:spacing w:before="40" w:after="40" w:line="276" w:lineRule="auto"/>
              <w:jc w:val="left"/>
              <w:rPr>
                <w:rFonts w:cs="Arial"/>
                <w:szCs w:val="20"/>
              </w:rPr>
            </w:pPr>
            <w:r w:rsidRPr="00AD19BC">
              <w:rPr>
                <w:rFonts w:cs="Arial"/>
                <w:szCs w:val="20"/>
              </w:rPr>
              <w:t>20</w:t>
            </w:r>
          </w:p>
        </w:tc>
        <w:tc>
          <w:tcPr>
            <w:tcW w:w="2079" w:type="dxa"/>
            <w:tcBorders>
              <w:top w:val="single" w:sz="8" w:space="0" w:color="auto"/>
              <w:left w:val="single" w:sz="8" w:space="0" w:color="auto"/>
              <w:bottom w:val="single" w:sz="8" w:space="0" w:color="auto"/>
              <w:right w:val="single" w:sz="8" w:space="0" w:color="auto"/>
            </w:tcBorders>
            <w:hideMark/>
          </w:tcPr>
          <w:p w14:paraId="61CD758A" w14:textId="77777777" w:rsidR="00A213C3" w:rsidRPr="00AD19BC" w:rsidRDefault="00A213C3" w:rsidP="00E86D5D">
            <w:pPr>
              <w:spacing w:before="40" w:after="40" w:line="276" w:lineRule="auto"/>
              <w:jc w:val="left"/>
              <w:rPr>
                <w:rFonts w:cs="Arial"/>
                <w:szCs w:val="20"/>
              </w:rPr>
            </w:pPr>
            <w:r w:rsidRPr="00AD19BC">
              <w:rPr>
                <w:rFonts w:cs="Arial"/>
                <w:szCs w:val="20"/>
              </w:rPr>
              <w:t>Private Health Insurance (ancillary)</w:t>
            </w:r>
          </w:p>
        </w:tc>
        <w:tc>
          <w:tcPr>
            <w:tcW w:w="4158" w:type="dxa"/>
            <w:tcBorders>
              <w:top w:val="single" w:sz="8" w:space="0" w:color="auto"/>
              <w:left w:val="single" w:sz="8" w:space="0" w:color="auto"/>
              <w:bottom w:val="single" w:sz="8" w:space="0" w:color="auto"/>
              <w:right w:val="single" w:sz="8" w:space="0" w:color="auto"/>
            </w:tcBorders>
            <w:hideMark/>
          </w:tcPr>
          <w:p w14:paraId="22232359"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Modified from Australian Bureau of Statistics (1991). </w:t>
            </w:r>
            <w:r w:rsidRPr="00AD19BC">
              <w:rPr>
                <w:rFonts w:cs="Arial"/>
                <w:i/>
                <w:szCs w:val="20"/>
              </w:rPr>
              <w:t xml:space="preserve">1989-1990 National Health Survey Users’ Guide. </w:t>
            </w:r>
            <w:r w:rsidRPr="00AD19BC">
              <w:rPr>
                <w:rFonts w:cs="Arial"/>
                <w:szCs w:val="20"/>
              </w:rPr>
              <w:t>Canberra: ABS. Cat No. 4363.0</w:t>
            </w:r>
          </w:p>
        </w:tc>
        <w:tc>
          <w:tcPr>
            <w:tcW w:w="3828" w:type="dxa"/>
            <w:tcBorders>
              <w:top w:val="single" w:sz="8" w:space="0" w:color="auto"/>
              <w:left w:val="single" w:sz="8" w:space="0" w:color="auto"/>
              <w:bottom w:val="single" w:sz="8" w:space="0" w:color="auto"/>
              <w:right w:val="single" w:sz="8" w:space="0" w:color="auto"/>
            </w:tcBorders>
            <w:hideMark/>
          </w:tcPr>
          <w:p w14:paraId="390FDC9B" w14:textId="77777777" w:rsidR="00A213C3" w:rsidRPr="00AD19BC" w:rsidRDefault="00A213C3" w:rsidP="00E86D5D">
            <w:pPr>
              <w:spacing w:before="40" w:after="40" w:line="276" w:lineRule="auto"/>
              <w:jc w:val="left"/>
              <w:rPr>
                <w:rFonts w:cs="Arial"/>
                <w:szCs w:val="20"/>
              </w:rPr>
            </w:pPr>
            <w:proofErr w:type="gramStart"/>
            <w:r w:rsidRPr="00AD19BC">
              <w:rPr>
                <w:rFonts w:cs="Arial"/>
                <w:szCs w:val="20"/>
              </w:rPr>
              <w:t>Reverted back</w:t>
            </w:r>
            <w:proofErr w:type="gramEnd"/>
            <w:r w:rsidRPr="00AD19BC">
              <w:rPr>
                <w:rFonts w:cs="Arial"/>
                <w:szCs w:val="20"/>
              </w:rPr>
              <w:t xml:space="preserve"> to two items </w:t>
            </w:r>
            <w:r>
              <w:rPr>
                <w:rFonts w:cs="Arial"/>
                <w:szCs w:val="20"/>
              </w:rPr>
              <w:t>(as in Survey 8), d</w:t>
            </w:r>
            <w:r w:rsidRPr="00AD19BC">
              <w:rPr>
                <w:rFonts w:cs="Arial"/>
                <w:szCs w:val="20"/>
              </w:rPr>
              <w:t xml:space="preserve">ue to high missing values in </w:t>
            </w:r>
            <w:r>
              <w:rPr>
                <w:rFonts w:cs="Arial"/>
                <w:szCs w:val="20"/>
              </w:rPr>
              <w:t>Survey 9 wh</w:t>
            </w:r>
            <w:r w:rsidRPr="00AD19BC">
              <w:rPr>
                <w:rFonts w:cs="Arial"/>
                <w:szCs w:val="20"/>
              </w:rPr>
              <w:t>en using combined item</w:t>
            </w:r>
          </w:p>
        </w:tc>
        <w:tc>
          <w:tcPr>
            <w:tcW w:w="2551" w:type="dxa"/>
            <w:tcBorders>
              <w:top w:val="single" w:sz="8" w:space="0" w:color="auto"/>
              <w:left w:val="single" w:sz="8" w:space="0" w:color="auto"/>
              <w:bottom w:val="single" w:sz="8" w:space="0" w:color="auto"/>
              <w:right w:val="single" w:sz="8" w:space="0" w:color="auto"/>
            </w:tcBorders>
          </w:tcPr>
          <w:p w14:paraId="308F06E4" w14:textId="77777777" w:rsidR="00A213C3" w:rsidRPr="00AD19BC" w:rsidRDefault="00A213C3" w:rsidP="00E86D5D">
            <w:pPr>
              <w:spacing w:before="40" w:after="40" w:line="276" w:lineRule="auto"/>
              <w:jc w:val="left"/>
              <w:rPr>
                <w:rFonts w:cs="Arial"/>
                <w:szCs w:val="20"/>
              </w:rPr>
            </w:pPr>
          </w:p>
        </w:tc>
      </w:tr>
      <w:tr w:rsidR="00A213C3" w:rsidRPr="00AD19BC" w14:paraId="09DA8CFA" w14:textId="77777777" w:rsidTr="007F282B">
        <w:trPr>
          <w:trHeight w:val="307"/>
        </w:trPr>
        <w:tc>
          <w:tcPr>
            <w:tcW w:w="992" w:type="dxa"/>
            <w:tcBorders>
              <w:top w:val="single" w:sz="8" w:space="0" w:color="auto"/>
              <w:left w:val="single" w:sz="8" w:space="0" w:color="auto"/>
              <w:bottom w:val="single" w:sz="8" w:space="0" w:color="auto"/>
              <w:right w:val="single" w:sz="8" w:space="0" w:color="auto"/>
            </w:tcBorders>
            <w:hideMark/>
          </w:tcPr>
          <w:p w14:paraId="2852F2DF" w14:textId="77777777" w:rsidR="00A213C3" w:rsidRPr="00AD19BC" w:rsidRDefault="00A213C3" w:rsidP="00E86D5D">
            <w:pPr>
              <w:spacing w:before="40" w:after="40" w:line="276" w:lineRule="auto"/>
              <w:jc w:val="left"/>
              <w:rPr>
                <w:rFonts w:cs="Arial"/>
                <w:szCs w:val="20"/>
              </w:rPr>
            </w:pPr>
            <w:r w:rsidRPr="00AD19BC">
              <w:rPr>
                <w:rFonts w:cs="Arial"/>
                <w:szCs w:val="20"/>
              </w:rPr>
              <w:t>21</w:t>
            </w:r>
          </w:p>
        </w:tc>
        <w:tc>
          <w:tcPr>
            <w:tcW w:w="2079" w:type="dxa"/>
            <w:tcBorders>
              <w:top w:val="single" w:sz="8" w:space="0" w:color="auto"/>
              <w:left w:val="single" w:sz="8" w:space="0" w:color="auto"/>
              <w:bottom w:val="single" w:sz="8" w:space="0" w:color="auto"/>
              <w:right w:val="single" w:sz="8" w:space="0" w:color="auto"/>
            </w:tcBorders>
            <w:hideMark/>
          </w:tcPr>
          <w:p w14:paraId="113C1EAB" w14:textId="77777777" w:rsidR="00A213C3" w:rsidRPr="00AD19BC" w:rsidRDefault="00A213C3" w:rsidP="00E86D5D">
            <w:pPr>
              <w:spacing w:before="40" w:after="40" w:line="276" w:lineRule="auto"/>
              <w:jc w:val="left"/>
              <w:rPr>
                <w:rFonts w:cs="Arial"/>
                <w:szCs w:val="20"/>
              </w:rPr>
            </w:pPr>
            <w:r w:rsidRPr="00AD19BC">
              <w:rPr>
                <w:rFonts w:cs="Arial"/>
                <w:szCs w:val="20"/>
              </w:rPr>
              <w:t>Health Cover (including Health Care Card)</w:t>
            </w:r>
          </w:p>
        </w:tc>
        <w:tc>
          <w:tcPr>
            <w:tcW w:w="4158" w:type="dxa"/>
            <w:tcBorders>
              <w:top w:val="single" w:sz="8" w:space="0" w:color="auto"/>
              <w:left w:val="single" w:sz="8" w:space="0" w:color="auto"/>
              <w:bottom w:val="single" w:sz="8" w:space="0" w:color="auto"/>
              <w:right w:val="single" w:sz="8" w:space="0" w:color="auto"/>
            </w:tcBorders>
            <w:hideMark/>
          </w:tcPr>
          <w:p w14:paraId="4A714ECD"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77E8EFA7"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3E3ECA10" w14:textId="77777777" w:rsidR="00A213C3" w:rsidRPr="00AD19BC" w:rsidRDefault="00A213C3" w:rsidP="00E86D5D">
            <w:pPr>
              <w:spacing w:before="40" w:after="40" w:line="276" w:lineRule="auto"/>
              <w:jc w:val="left"/>
              <w:rPr>
                <w:rFonts w:cs="Arial"/>
                <w:szCs w:val="20"/>
              </w:rPr>
            </w:pPr>
          </w:p>
        </w:tc>
      </w:tr>
      <w:tr w:rsidR="00A213C3" w:rsidRPr="00AD19BC" w14:paraId="22E856ED" w14:textId="77777777" w:rsidTr="007F282B">
        <w:trPr>
          <w:trHeight w:val="403"/>
        </w:trPr>
        <w:tc>
          <w:tcPr>
            <w:tcW w:w="992" w:type="dxa"/>
            <w:tcBorders>
              <w:top w:val="single" w:sz="8" w:space="0" w:color="auto"/>
              <w:left w:val="single" w:sz="8" w:space="0" w:color="auto"/>
              <w:bottom w:val="single" w:sz="8" w:space="0" w:color="auto"/>
              <w:right w:val="single" w:sz="8" w:space="0" w:color="auto"/>
            </w:tcBorders>
            <w:hideMark/>
          </w:tcPr>
          <w:p w14:paraId="205EF909" w14:textId="77777777" w:rsidR="00A213C3" w:rsidRPr="00AD19BC" w:rsidRDefault="00A213C3" w:rsidP="00E86D5D">
            <w:pPr>
              <w:spacing w:before="40" w:after="40" w:line="276" w:lineRule="auto"/>
              <w:jc w:val="left"/>
              <w:rPr>
                <w:rFonts w:cs="Arial"/>
                <w:szCs w:val="20"/>
              </w:rPr>
            </w:pPr>
            <w:r w:rsidRPr="00AD19BC">
              <w:rPr>
                <w:rFonts w:cs="Arial"/>
                <w:szCs w:val="20"/>
              </w:rPr>
              <w:t>22</w:t>
            </w:r>
          </w:p>
        </w:tc>
        <w:tc>
          <w:tcPr>
            <w:tcW w:w="2079" w:type="dxa"/>
            <w:tcBorders>
              <w:top w:val="single" w:sz="8" w:space="0" w:color="auto"/>
              <w:left w:val="single" w:sz="8" w:space="0" w:color="auto"/>
              <w:bottom w:val="single" w:sz="8" w:space="0" w:color="auto"/>
              <w:right w:val="single" w:sz="8" w:space="0" w:color="auto"/>
            </w:tcBorders>
            <w:hideMark/>
          </w:tcPr>
          <w:p w14:paraId="76849A2B" w14:textId="77777777" w:rsidR="00A213C3" w:rsidRPr="00AD19BC" w:rsidRDefault="00A213C3" w:rsidP="00E86D5D">
            <w:pPr>
              <w:spacing w:before="40" w:after="40" w:line="276" w:lineRule="auto"/>
              <w:jc w:val="left"/>
              <w:rPr>
                <w:rFonts w:cs="Arial"/>
                <w:szCs w:val="20"/>
              </w:rPr>
            </w:pPr>
            <w:r w:rsidRPr="00AD19BC">
              <w:rPr>
                <w:rFonts w:cs="Arial"/>
                <w:szCs w:val="20"/>
              </w:rPr>
              <w:t>Hospital Admissions</w:t>
            </w:r>
          </w:p>
        </w:tc>
        <w:tc>
          <w:tcPr>
            <w:tcW w:w="4158" w:type="dxa"/>
            <w:tcBorders>
              <w:top w:val="single" w:sz="8" w:space="0" w:color="auto"/>
              <w:left w:val="single" w:sz="8" w:space="0" w:color="auto"/>
              <w:bottom w:val="single" w:sz="8" w:space="0" w:color="auto"/>
              <w:right w:val="single" w:sz="8" w:space="0" w:color="auto"/>
            </w:tcBorders>
            <w:hideMark/>
          </w:tcPr>
          <w:p w14:paraId="581B63E6"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Modified from Australian Bureau of Statistics (1991). </w:t>
            </w:r>
            <w:r w:rsidRPr="00AD19BC">
              <w:rPr>
                <w:rFonts w:cs="Arial"/>
                <w:i/>
                <w:szCs w:val="20"/>
              </w:rPr>
              <w:t xml:space="preserve">1989-1990 National Health Survey Users’ Guide. </w:t>
            </w:r>
            <w:r w:rsidRPr="00AD19BC">
              <w:rPr>
                <w:rFonts w:cs="Arial"/>
                <w:szCs w:val="20"/>
              </w:rPr>
              <w:t>Canberra: ABS. Cat No. 4363.0</w:t>
            </w:r>
          </w:p>
        </w:tc>
        <w:tc>
          <w:tcPr>
            <w:tcW w:w="3828" w:type="dxa"/>
            <w:tcBorders>
              <w:top w:val="single" w:sz="8" w:space="0" w:color="auto"/>
              <w:left w:val="single" w:sz="8" w:space="0" w:color="auto"/>
              <w:bottom w:val="single" w:sz="8" w:space="0" w:color="auto"/>
              <w:right w:val="single" w:sz="8" w:space="0" w:color="auto"/>
            </w:tcBorders>
          </w:tcPr>
          <w:p w14:paraId="2DD44732"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43BC1E6F" w14:textId="77777777" w:rsidR="00A213C3" w:rsidRPr="00AD19BC" w:rsidRDefault="00A213C3" w:rsidP="00E86D5D">
            <w:pPr>
              <w:spacing w:before="40" w:after="40" w:line="276" w:lineRule="auto"/>
              <w:jc w:val="left"/>
              <w:rPr>
                <w:rFonts w:cs="Arial"/>
                <w:szCs w:val="20"/>
              </w:rPr>
            </w:pPr>
          </w:p>
        </w:tc>
      </w:tr>
      <w:tr w:rsidR="00A213C3" w:rsidRPr="00AD19BC" w14:paraId="3DF03E2C" w14:textId="77777777" w:rsidTr="007F282B">
        <w:trPr>
          <w:trHeight w:val="403"/>
        </w:trPr>
        <w:tc>
          <w:tcPr>
            <w:tcW w:w="992" w:type="dxa"/>
            <w:tcBorders>
              <w:top w:val="single" w:sz="8" w:space="0" w:color="auto"/>
              <w:left w:val="single" w:sz="8" w:space="0" w:color="auto"/>
              <w:bottom w:val="single" w:sz="8" w:space="0" w:color="auto"/>
              <w:right w:val="single" w:sz="8" w:space="0" w:color="auto"/>
            </w:tcBorders>
            <w:hideMark/>
          </w:tcPr>
          <w:p w14:paraId="465B8A54" w14:textId="77777777" w:rsidR="00A213C3" w:rsidRPr="00AD19BC" w:rsidRDefault="00A213C3" w:rsidP="00E86D5D">
            <w:pPr>
              <w:spacing w:before="40" w:after="40" w:line="276" w:lineRule="auto"/>
              <w:jc w:val="left"/>
              <w:rPr>
                <w:rFonts w:cs="Arial"/>
                <w:szCs w:val="20"/>
              </w:rPr>
            </w:pPr>
            <w:r w:rsidRPr="00AD19BC">
              <w:rPr>
                <w:rFonts w:cs="Arial"/>
                <w:szCs w:val="20"/>
              </w:rPr>
              <w:t>23</w:t>
            </w:r>
          </w:p>
        </w:tc>
        <w:tc>
          <w:tcPr>
            <w:tcW w:w="2079" w:type="dxa"/>
            <w:tcBorders>
              <w:top w:val="single" w:sz="8" w:space="0" w:color="auto"/>
              <w:left w:val="single" w:sz="8" w:space="0" w:color="auto"/>
              <w:bottom w:val="single" w:sz="8" w:space="0" w:color="auto"/>
              <w:right w:val="single" w:sz="8" w:space="0" w:color="auto"/>
            </w:tcBorders>
            <w:hideMark/>
          </w:tcPr>
          <w:p w14:paraId="40D69640" w14:textId="77777777" w:rsidR="00A213C3" w:rsidRPr="00AD19BC" w:rsidRDefault="00A213C3" w:rsidP="00E86D5D">
            <w:pPr>
              <w:spacing w:before="40" w:after="40" w:line="276" w:lineRule="auto"/>
              <w:jc w:val="left"/>
              <w:rPr>
                <w:rFonts w:cs="Arial"/>
                <w:szCs w:val="20"/>
              </w:rPr>
            </w:pPr>
            <w:r w:rsidRPr="00AD19BC">
              <w:rPr>
                <w:rFonts w:cs="Arial"/>
                <w:szCs w:val="20"/>
              </w:rPr>
              <w:t>Screening</w:t>
            </w:r>
          </w:p>
        </w:tc>
        <w:tc>
          <w:tcPr>
            <w:tcW w:w="4158" w:type="dxa"/>
            <w:tcBorders>
              <w:top w:val="single" w:sz="8" w:space="0" w:color="auto"/>
              <w:left w:val="single" w:sz="8" w:space="0" w:color="auto"/>
              <w:bottom w:val="single" w:sz="8" w:space="0" w:color="auto"/>
              <w:right w:val="single" w:sz="8" w:space="0" w:color="auto"/>
            </w:tcBorders>
            <w:hideMark/>
          </w:tcPr>
          <w:p w14:paraId="034EF802"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078D27A4"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4D3679EC" w14:textId="77777777" w:rsidR="00A213C3" w:rsidRPr="00AD19BC" w:rsidRDefault="00A213C3" w:rsidP="00E86D5D">
            <w:pPr>
              <w:spacing w:before="40" w:after="40" w:line="276" w:lineRule="auto"/>
              <w:jc w:val="left"/>
              <w:rPr>
                <w:rFonts w:cs="Arial"/>
                <w:szCs w:val="20"/>
              </w:rPr>
            </w:pPr>
          </w:p>
        </w:tc>
      </w:tr>
      <w:tr w:rsidR="00A213C3" w:rsidRPr="00AD19BC" w14:paraId="5A6145CA" w14:textId="77777777" w:rsidTr="007F282B">
        <w:trPr>
          <w:trHeight w:val="26"/>
        </w:trPr>
        <w:tc>
          <w:tcPr>
            <w:tcW w:w="992" w:type="dxa"/>
            <w:tcBorders>
              <w:top w:val="single" w:sz="8" w:space="0" w:color="auto"/>
              <w:left w:val="single" w:sz="8" w:space="0" w:color="auto"/>
              <w:bottom w:val="single" w:sz="8" w:space="0" w:color="auto"/>
              <w:right w:val="single" w:sz="8" w:space="0" w:color="auto"/>
            </w:tcBorders>
            <w:hideMark/>
          </w:tcPr>
          <w:p w14:paraId="448DFAAC" w14:textId="77777777" w:rsidR="00A213C3" w:rsidRPr="00AD19BC" w:rsidRDefault="00A213C3" w:rsidP="00E86D5D">
            <w:pPr>
              <w:spacing w:before="40" w:after="40" w:line="276" w:lineRule="auto"/>
              <w:jc w:val="left"/>
              <w:rPr>
                <w:rFonts w:cs="Arial"/>
                <w:szCs w:val="20"/>
              </w:rPr>
            </w:pPr>
            <w:r w:rsidRPr="00AD19BC">
              <w:rPr>
                <w:rFonts w:cs="Arial"/>
                <w:szCs w:val="20"/>
              </w:rPr>
              <w:t>24</w:t>
            </w:r>
          </w:p>
        </w:tc>
        <w:tc>
          <w:tcPr>
            <w:tcW w:w="2079" w:type="dxa"/>
            <w:tcBorders>
              <w:top w:val="single" w:sz="8" w:space="0" w:color="auto"/>
              <w:left w:val="single" w:sz="8" w:space="0" w:color="auto"/>
              <w:bottom w:val="single" w:sz="8" w:space="0" w:color="auto"/>
              <w:right w:val="single" w:sz="8" w:space="0" w:color="auto"/>
            </w:tcBorders>
            <w:hideMark/>
          </w:tcPr>
          <w:p w14:paraId="15D6666A" w14:textId="77777777" w:rsidR="00A213C3" w:rsidRPr="00AD19BC" w:rsidRDefault="00A213C3" w:rsidP="00E86D5D">
            <w:pPr>
              <w:spacing w:before="40" w:after="40" w:line="276" w:lineRule="auto"/>
              <w:jc w:val="left"/>
              <w:rPr>
                <w:rFonts w:cs="Arial"/>
                <w:szCs w:val="20"/>
              </w:rPr>
            </w:pPr>
            <w:r w:rsidRPr="00AD19BC">
              <w:rPr>
                <w:rFonts w:cs="Arial"/>
                <w:szCs w:val="20"/>
              </w:rPr>
              <w:t>Abnormal pap test / mammogram</w:t>
            </w:r>
          </w:p>
        </w:tc>
        <w:tc>
          <w:tcPr>
            <w:tcW w:w="4158" w:type="dxa"/>
            <w:tcBorders>
              <w:top w:val="single" w:sz="8" w:space="0" w:color="auto"/>
              <w:left w:val="single" w:sz="8" w:space="0" w:color="auto"/>
              <w:bottom w:val="single" w:sz="8" w:space="0" w:color="auto"/>
              <w:right w:val="single" w:sz="8" w:space="0" w:color="auto"/>
            </w:tcBorders>
            <w:hideMark/>
          </w:tcPr>
          <w:p w14:paraId="5D23A063" w14:textId="77777777" w:rsidR="00A213C3" w:rsidRPr="00AD19BC" w:rsidRDefault="00A213C3" w:rsidP="00E86D5D">
            <w:pPr>
              <w:spacing w:before="40" w:after="40" w:line="276" w:lineRule="auto"/>
              <w:jc w:val="left"/>
              <w:rPr>
                <w:rFonts w:cs="Arial"/>
                <w:szCs w:val="20"/>
              </w:rPr>
            </w:pPr>
            <w:r w:rsidRPr="00AD19BC">
              <w:rPr>
                <w:rFonts w:cs="Arial"/>
                <w:szCs w:val="20"/>
              </w:rPr>
              <w:t>Modified from Australian Bureau of Statistics (1991) 1989-1990 National health survey users' guide. Canberra: ABS.  Cat No. 4363.0</w:t>
            </w:r>
          </w:p>
        </w:tc>
        <w:tc>
          <w:tcPr>
            <w:tcW w:w="3828" w:type="dxa"/>
            <w:tcBorders>
              <w:top w:val="single" w:sz="8" w:space="0" w:color="auto"/>
              <w:left w:val="single" w:sz="8" w:space="0" w:color="auto"/>
              <w:bottom w:val="single" w:sz="8" w:space="0" w:color="auto"/>
              <w:right w:val="single" w:sz="8" w:space="0" w:color="auto"/>
            </w:tcBorders>
          </w:tcPr>
          <w:p w14:paraId="3ACCD26D"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5EB17EFB" w14:textId="77777777" w:rsidR="00A213C3" w:rsidRPr="00AD19BC" w:rsidRDefault="00A213C3" w:rsidP="00E86D5D">
            <w:pPr>
              <w:spacing w:before="40" w:after="40" w:line="276" w:lineRule="auto"/>
              <w:jc w:val="left"/>
              <w:rPr>
                <w:rFonts w:cs="Arial"/>
                <w:szCs w:val="20"/>
              </w:rPr>
            </w:pPr>
          </w:p>
        </w:tc>
      </w:tr>
      <w:tr w:rsidR="00A213C3" w:rsidRPr="00AD19BC" w14:paraId="3D80AFE7" w14:textId="77777777" w:rsidTr="007F282B">
        <w:trPr>
          <w:trHeight w:val="26"/>
        </w:trPr>
        <w:tc>
          <w:tcPr>
            <w:tcW w:w="992" w:type="dxa"/>
            <w:tcBorders>
              <w:top w:val="single" w:sz="8" w:space="0" w:color="auto"/>
              <w:left w:val="single" w:sz="8" w:space="0" w:color="auto"/>
              <w:bottom w:val="single" w:sz="8" w:space="0" w:color="auto"/>
              <w:right w:val="single" w:sz="8" w:space="0" w:color="auto"/>
            </w:tcBorders>
            <w:hideMark/>
          </w:tcPr>
          <w:p w14:paraId="60BF31B8" w14:textId="77777777" w:rsidR="00A213C3" w:rsidRPr="00AD19BC" w:rsidRDefault="00A213C3" w:rsidP="00E86D5D">
            <w:pPr>
              <w:spacing w:before="40" w:after="40" w:line="276" w:lineRule="auto"/>
              <w:jc w:val="left"/>
              <w:rPr>
                <w:rFonts w:cs="Arial"/>
                <w:szCs w:val="20"/>
              </w:rPr>
            </w:pPr>
            <w:r w:rsidRPr="00AD19BC">
              <w:rPr>
                <w:rFonts w:cs="Arial"/>
                <w:szCs w:val="20"/>
              </w:rPr>
              <w:lastRenderedPageBreak/>
              <w:t>25</w:t>
            </w:r>
          </w:p>
        </w:tc>
        <w:tc>
          <w:tcPr>
            <w:tcW w:w="2079" w:type="dxa"/>
            <w:tcBorders>
              <w:top w:val="single" w:sz="8" w:space="0" w:color="auto"/>
              <w:left w:val="single" w:sz="8" w:space="0" w:color="auto"/>
              <w:bottom w:val="single" w:sz="8" w:space="0" w:color="auto"/>
              <w:right w:val="single" w:sz="8" w:space="0" w:color="auto"/>
            </w:tcBorders>
            <w:hideMark/>
          </w:tcPr>
          <w:p w14:paraId="21E349CB" w14:textId="77777777" w:rsidR="00A213C3" w:rsidRPr="00AD19BC" w:rsidRDefault="00A213C3" w:rsidP="00E86D5D">
            <w:pPr>
              <w:spacing w:before="40" w:after="40" w:line="276" w:lineRule="auto"/>
              <w:jc w:val="left"/>
              <w:rPr>
                <w:rFonts w:cs="Arial"/>
                <w:szCs w:val="20"/>
              </w:rPr>
            </w:pPr>
            <w:r w:rsidRPr="00AD19BC">
              <w:rPr>
                <w:rFonts w:cs="Arial"/>
                <w:szCs w:val="20"/>
              </w:rPr>
              <w:t>Screening – breasts, bowels, bones, vaccinations</w:t>
            </w:r>
          </w:p>
        </w:tc>
        <w:tc>
          <w:tcPr>
            <w:tcW w:w="4158" w:type="dxa"/>
            <w:tcBorders>
              <w:top w:val="single" w:sz="8" w:space="0" w:color="auto"/>
              <w:left w:val="single" w:sz="8" w:space="0" w:color="auto"/>
              <w:bottom w:val="single" w:sz="8" w:space="0" w:color="auto"/>
              <w:right w:val="single" w:sz="8" w:space="0" w:color="auto"/>
            </w:tcBorders>
            <w:hideMark/>
          </w:tcPr>
          <w:p w14:paraId="2792C471"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4486F8C5"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09026F9E" w14:textId="77777777" w:rsidR="00A213C3" w:rsidRPr="00AD19BC" w:rsidRDefault="00A213C3" w:rsidP="00E86D5D">
            <w:pPr>
              <w:spacing w:before="40" w:after="40" w:line="276" w:lineRule="auto"/>
              <w:jc w:val="left"/>
              <w:rPr>
                <w:rFonts w:cs="Arial"/>
                <w:szCs w:val="20"/>
              </w:rPr>
            </w:pPr>
          </w:p>
        </w:tc>
      </w:tr>
      <w:tr w:rsidR="00A213C3" w:rsidRPr="00AD19BC" w14:paraId="379ED0EF"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0CE910E8" w14:textId="77777777" w:rsidR="00A213C3" w:rsidRPr="00AD19BC" w:rsidRDefault="00A213C3" w:rsidP="00E86D5D">
            <w:pPr>
              <w:spacing w:before="40" w:after="40" w:line="276" w:lineRule="auto"/>
              <w:jc w:val="left"/>
              <w:rPr>
                <w:rFonts w:cs="Arial"/>
                <w:szCs w:val="20"/>
              </w:rPr>
            </w:pPr>
            <w:r w:rsidRPr="00AD19BC">
              <w:rPr>
                <w:rFonts w:cs="Arial"/>
                <w:szCs w:val="20"/>
              </w:rPr>
              <w:t>26</w:t>
            </w:r>
          </w:p>
        </w:tc>
        <w:tc>
          <w:tcPr>
            <w:tcW w:w="2079" w:type="dxa"/>
            <w:tcBorders>
              <w:top w:val="single" w:sz="8" w:space="0" w:color="auto"/>
              <w:left w:val="single" w:sz="8" w:space="0" w:color="auto"/>
              <w:bottom w:val="single" w:sz="8" w:space="0" w:color="auto"/>
              <w:right w:val="single" w:sz="8" w:space="0" w:color="auto"/>
            </w:tcBorders>
            <w:hideMark/>
          </w:tcPr>
          <w:p w14:paraId="643A3B8B" w14:textId="77777777" w:rsidR="00A213C3" w:rsidRPr="00AD19BC" w:rsidRDefault="00A213C3" w:rsidP="00E86D5D">
            <w:pPr>
              <w:spacing w:before="40" w:after="40" w:line="276" w:lineRule="auto"/>
              <w:jc w:val="left"/>
              <w:rPr>
                <w:rFonts w:cs="Arial"/>
                <w:szCs w:val="20"/>
              </w:rPr>
            </w:pPr>
            <w:r w:rsidRPr="00AD19BC">
              <w:rPr>
                <w:rFonts w:cs="Arial"/>
                <w:szCs w:val="20"/>
              </w:rPr>
              <w:t>HRT/Pill</w:t>
            </w:r>
          </w:p>
        </w:tc>
        <w:tc>
          <w:tcPr>
            <w:tcW w:w="4158" w:type="dxa"/>
            <w:tcBorders>
              <w:top w:val="single" w:sz="8" w:space="0" w:color="auto"/>
              <w:left w:val="single" w:sz="8" w:space="0" w:color="auto"/>
              <w:bottom w:val="single" w:sz="8" w:space="0" w:color="auto"/>
              <w:right w:val="single" w:sz="8" w:space="0" w:color="auto"/>
            </w:tcBorders>
            <w:hideMark/>
          </w:tcPr>
          <w:p w14:paraId="290B243B"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Modified from Australian Bureau of Statistics (1991). </w:t>
            </w:r>
            <w:r w:rsidRPr="00AD19BC">
              <w:rPr>
                <w:rFonts w:cs="Arial"/>
                <w:i/>
                <w:szCs w:val="20"/>
              </w:rPr>
              <w:t xml:space="preserve">1989-1990 National Health Survey Users’ Guide. </w:t>
            </w:r>
            <w:r w:rsidRPr="00AD19BC">
              <w:rPr>
                <w:rFonts w:cs="Arial"/>
                <w:szCs w:val="20"/>
              </w:rPr>
              <w:t>Canberra: ABS. Cat No. 4363.0</w:t>
            </w:r>
          </w:p>
        </w:tc>
        <w:tc>
          <w:tcPr>
            <w:tcW w:w="3828" w:type="dxa"/>
            <w:tcBorders>
              <w:top w:val="single" w:sz="8" w:space="0" w:color="auto"/>
              <w:left w:val="single" w:sz="8" w:space="0" w:color="auto"/>
              <w:bottom w:val="single" w:sz="8" w:space="0" w:color="auto"/>
              <w:right w:val="single" w:sz="8" w:space="0" w:color="auto"/>
            </w:tcBorders>
          </w:tcPr>
          <w:p w14:paraId="2B79B205"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76AF2156" w14:textId="77777777" w:rsidR="00A213C3" w:rsidRPr="00AD19BC" w:rsidRDefault="00A213C3" w:rsidP="00E86D5D">
            <w:pPr>
              <w:spacing w:before="40" w:after="40" w:line="276" w:lineRule="auto"/>
              <w:jc w:val="left"/>
              <w:rPr>
                <w:rFonts w:cs="Arial"/>
                <w:szCs w:val="20"/>
              </w:rPr>
            </w:pPr>
          </w:p>
        </w:tc>
      </w:tr>
      <w:tr w:rsidR="00A213C3" w:rsidRPr="00AD19BC" w14:paraId="1E263368"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62C241DB" w14:textId="77777777" w:rsidR="00A213C3" w:rsidRPr="00AD19BC" w:rsidRDefault="00A213C3" w:rsidP="00E86D5D">
            <w:pPr>
              <w:spacing w:before="40" w:after="40" w:line="276" w:lineRule="auto"/>
              <w:jc w:val="left"/>
              <w:rPr>
                <w:rFonts w:cs="Arial"/>
                <w:szCs w:val="20"/>
              </w:rPr>
            </w:pPr>
            <w:r w:rsidRPr="00AD19BC">
              <w:rPr>
                <w:rFonts w:cs="Arial"/>
                <w:szCs w:val="20"/>
              </w:rPr>
              <w:t>27</w:t>
            </w:r>
          </w:p>
        </w:tc>
        <w:tc>
          <w:tcPr>
            <w:tcW w:w="2079" w:type="dxa"/>
            <w:tcBorders>
              <w:top w:val="single" w:sz="8" w:space="0" w:color="auto"/>
              <w:left w:val="single" w:sz="8" w:space="0" w:color="auto"/>
              <w:bottom w:val="single" w:sz="8" w:space="0" w:color="auto"/>
              <w:right w:val="single" w:sz="8" w:space="0" w:color="auto"/>
            </w:tcBorders>
            <w:hideMark/>
          </w:tcPr>
          <w:p w14:paraId="51655103" w14:textId="77777777" w:rsidR="00A213C3" w:rsidRPr="00AD19BC" w:rsidRDefault="00A213C3" w:rsidP="00E86D5D">
            <w:pPr>
              <w:spacing w:before="40" w:after="40" w:line="276" w:lineRule="auto"/>
              <w:jc w:val="left"/>
              <w:rPr>
                <w:rFonts w:cs="Arial"/>
                <w:szCs w:val="20"/>
              </w:rPr>
            </w:pPr>
            <w:r w:rsidRPr="00AD19BC">
              <w:rPr>
                <w:rFonts w:cs="Arial"/>
                <w:szCs w:val="20"/>
              </w:rPr>
              <w:t>COVID-19 positive test</w:t>
            </w:r>
          </w:p>
        </w:tc>
        <w:tc>
          <w:tcPr>
            <w:tcW w:w="4158" w:type="dxa"/>
            <w:tcBorders>
              <w:top w:val="single" w:sz="8" w:space="0" w:color="auto"/>
              <w:left w:val="single" w:sz="8" w:space="0" w:color="auto"/>
              <w:bottom w:val="single" w:sz="8" w:space="0" w:color="auto"/>
              <w:right w:val="single" w:sz="8" w:space="0" w:color="auto"/>
            </w:tcBorders>
            <w:hideMark/>
          </w:tcPr>
          <w:p w14:paraId="36E1D3DB"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10894464"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hideMark/>
          </w:tcPr>
          <w:p w14:paraId="7D115CE8"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To capture prevalence of women </w:t>
            </w:r>
            <w:r>
              <w:rPr>
                <w:rFonts w:cs="Arial"/>
                <w:szCs w:val="20"/>
              </w:rPr>
              <w:t>who</w:t>
            </w:r>
            <w:r w:rsidRPr="00AD19BC">
              <w:rPr>
                <w:rFonts w:cs="Arial"/>
                <w:szCs w:val="20"/>
              </w:rPr>
              <w:t xml:space="preserve"> received a positive test for COVID-19</w:t>
            </w:r>
          </w:p>
        </w:tc>
      </w:tr>
      <w:tr w:rsidR="00A213C3" w:rsidRPr="00AD19BC" w14:paraId="76545030"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3A8EF1D3" w14:textId="77777777" w:rsidR="00A213C3" w:rsidRPr="00AD19BC" w:rsidRDefault="00A213C3" w:rsidP="00E86D5D">
            <w:pPr>
              <w:spacing w:before="40" w:after="40" w:line="276" w:lineRule="auto"/>
              <w:jc w:val="left"/>
              <w:rPr>
                <w:rFonts w:cs="Arial"/>
                <w:szCs w:val="20"/>
              </w:rPr>
            </w:pPr>
            <w:r w:rsidRPr="00AD19BC">
              <w:rPr>
                <w:rFonts w:cs="Arial"/>
                <w:szCs w:val="20"/>
              </w:rPr>
              <w:t>28-30</w:t>
            </w:r>
          </w:p>
        </w:tc>
        <w:tc>
          <w:tcPr>
            <w:tcW w:w="2079" w:type="dxa"/>
            <w:tcBorders>
              <w:top w:val="single" w:sz="8" w:space="0" w:color="auto"/>
              <w:left w:val="single" w:sz="8" w:space="0" w:color="auto"/>
              <w:bottom w:val="single" w:sz="8" w:space="0" w:color="auto"/>
              <w:right w:val="single" w:sz="8" w:space="0" w:color="auto"/>
            </w:tcBorders>
            <w:hideMark/>
          </w:tcPr>
          <w:p w14:paraId="18E00BB7" w14:textId="77777777" w:rsidR="00A213C3" w:rsidRPr="00AD19BC" w:rsidRDefault="00A213C3" w:rsidP="00E86D5D">
            <w:pPr>
              <w:spacing w:before="40" w:after="40" w:line="276" w:lineRule="auto"/>
              <w:jc w:val="left"/>
              <w:rPr>
                <w:rFonts w:cs="Arial"/>
                <w:szCs w:val="20"/>
              </w:rPr>
            </w:pPr>
            <w:r w:rsidRPr="00AD19BC">
              <w:rPr>
                <w:rFonts w:cs="Arial"/>
                <w:szCs w:val="20"/>
              </w:rPr>
              <w:t>COVID-19 vaccination status</w:t>
            </w:r>
          </w:p>
        </w:tc>
        <w:tc>
          <w:tcPr>
            <w:tcW w:w="4158" w:type="dxa"/>
            <w:tcBorders>
              <w:top w:val="single" w:sz="8" w:space="0" w:color="auto"/>
              <w:left w:val="single" w:sz="8" w:space="0" w:color="auto"/>
              <w:bottom w:val="single" w:sz="8" w:space="0" w:color="auto"/>
              <w:right w:val="single" w:sz="8" w:space="0" w:color="auto"/>
            </w:tcBorders>
            <w:hideMark/>
          </w:tcPr>
          <w:p w14:paraId="662E19B6"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119D37BB" w14:textId="77777777" w:rsidR="00A213C3" w:rsidRPr="00AD19BC" w:rsidRDefault="00A213C3" w:rsidP="00E86D5D">
            <w:pPr>
              <w:spacing w:before="40" w:after="40" w:line="276" w:lineRule="auto"/>
              <w:jc w:val="left"/>
              <w:rPr>
                <w:rFonts w:cs="Arial"/>
                <w:szCs w:val="20"/>
                <w:highlight w:val="lightGray"/>
              </w:rPr>
            </w:pPr>
          </w:p>
        </w:tc>
        <w:tc>
          <w:tcPr>
            <w:tcW w:w="2551" w:type="dxa"/>
            <w:tcBorders>
              <w:top w:val="single" w:sz="8" w:space="0" w:color="auto"/>
              <w:left w:val="single" w:sz="8" w:space="0" w:color="auto"/>
              <w:bottom w:val="single" w:sz="8" w:space="0" w:color="auto"/>
              <w:right w:val="single" w:sz="8" w:space="0" w:color="auto"/>
            </w:tcBorders>
            <w:hideMark/>
          </w:tcPr>
          <w:p w14:paraId="576FC7E4" w14:textId="77777777" w:rsidR="00A213C3" w:rsidRPr="00AD19BC" w:rsidRDefault="00A213C3" w:rsidP="00E86D5D">
            <w:pPr>
              <w:spacing w:before="40" w:after="40" w:line="276" w:lineRule="auto"/>
              <w:jc w:val="left"/>
              <w:rPr>
                <w:rFonts w:cs="Arial"/>
                <w:szCs w:val="20"/>
                <w:highlight w:val="lightGray"/>
              </w:rPr>
            </w:pPr>
            <w:r w:rsidRPr="00AD19BC">
              <w:rPr>
                <w:rFonts w:cs="Arial"/>
                <w:szCs w:val="20"/>
              </w:rPr>
              <w:t>To measure prevalence of COVID-19 vaccination status among the cohort</w:t>
            </w:r>
          </w:p>
        </w:tc>
      </w:tr>
      <w:tr w:rsidR="00A213C3" w:rsidRPr="00AD19BC" w14:paraId="46D2D865"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1B9543E4" w14:textId="77777777" w:rsidR="00A213C3" w:rsidRPr="00AD19BC" w:rsidRDefault="00A213C3" w:rsidP="00E86D5D">
            <w:pPr>
              <w:spacing w:before="40" w:after="40" w:line="276" w:lineRule="auto"/>
              <w:jc w:val="left"/>
              <w:rPr>
                <w:rFonts w:cs="Arial"/>
                <w:szCs w:val="20"/>
              </w:rPr>
            </w:pPr>
            <w:r w:rsidRPr="00AD19BC">
              <w:rPr>
                <w:rFonts w:cs="Arial"/>
                <w:szCs w:val="20"/>
              </w:rPr>
              <w:t>31</w:t>
            </w:r>
          </w:p>
        </w:tc>
        <w:tc>
          <w:tcPr>
            <w:tcW w:w="2079" w:type="dxa"/>
            <w:tcBorders>
              <w:top w:val="single" w:sz="8" w:space="0" w:color="auto"/>
              <w:left w:val="single" w:sz="8" w:space="0" w:color="auto"/>
              <w:bottom w:val="single" w:sz="8" w:space="0" w:color="auto"/>
              <w:right w:val="single" w:sz="8" w:space="0" w:color="auto"/>
            </w:tcBorders>
            <w:hideMark/>
          </w:tcPr>
          <w:p w14:paraId="485A3E72" w14:textId="77777777" w:rsidR="00A213C3" w:rsidRPr="00AD19BC" w:rsidRDefault="00A213C3" w:rsidP="00E86D5D">
            <w:pPr>
              <w:spacing w:before="40" w:after="40" w:line="276" w:lineRule="auto"/>
              <w:jc w:val="left"/>
              <w:rPr>
                <w:rFonts w:cs="Arial"/>
                <w:szCs w:val="20"/>
              </w:rPr>
            </w:pPr>
            <w:r w:rsidRPr="00AD19BC">
              <w:rPr>
                <w:rFonts w:cs="Arial"/>
                <w:szCs w:val="20"/>
              </w:rPr>
              <w:t>Goldberg Anxiety and Depression Scale</w:t>
            </w:r>
          </w:p>
        </w:tc>
        <w:tc>
          <w:tcPr>
            <w:tcW w:w="4158" w:type="dxa"/>
            <w:tcBorders>
              <w:top w:val="single" w:sz="8" w:space="0" w:color="auto"/>
              <w:left w:val="single" w:sz="8" w:space="0" w:color="auto"/>
              <w:bottom w:val="single" w:sz="8" w:space="0" w:color="auto"/>
              <w:right w:val="single" w:sz="8" w:space="0" w:color="auto"/>
            </w:tcBorders>
            <w:hideMark/>
          </w:tcPr>
          <w:p w14:paraId="491A733B" w14:textId="77777777" w:rsidR="00A213C3" w:rsidRPr="00AD19BC" w:rsidRDefault="00A213C3" w:rsidP="00E86D5D">
            <w:pPr>
              <w:spacing w:before="40" w:after="40" w:line="276" w:lineRule="auto"/>
              <w:jc w:val="left"/>
              <w:rPr>
                <w:rFonts w:cs="Arial"/>
                <w:szCs w:val="20"/>
              </w:rPr>
            </w:pPr>
            <w:r w:rsidRPr="00AD19BC">
              <w:rPr>
                <w:rFonts w:cs="Arial"/>
                <w:szCs w:val="20"/>
              </w:rPr>
              <w:t>Anxiety and depression scales from:  Goldberg D, Bridges K, Duncan-Jones P &amp; Grayson D. (1988). Detecting anxiety and depression in general medical settings. British Medical Journal, 297, 897-899.</w:t>
            </w:r>
          </w:p>
        </w:tc>
        <w:tc>
          <w:tcPr>
            <w:tcW w:w="3828" w:type="dxa"/>
            <w:tcBorders>
              <w:top w:val="single" w:sz="8" w:space="0" w:color="auto"/>
              <w:left w:val="single" w:sz="8" w:space="0" w:color="auto"/>
              <w:bottom w:val="single" w:sz="8" w:space="0" w:color="auto"/>
              <w:right w:val="single" w:sz="8" w:space="0" w:color="auto"/>
            </w:tcBorders>
          </w:tcPr>
          <w:p w14:paraId="16C373C8"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633D6EDC" w14:textId="77777777" w:rsidR="00A213C3" w:rsidRPr="00AD19BC" w:rsidRDefault="00A213C3" w:rsidP="00E86D5D">
            <w:pPr>
              <w:spacing w:before="40" w:after="40" w:line="276" w:lineRule="auto"/>
              <w:jc w:val="left"/>
              <w:rPr>
                <w:rFonts w:cs="Arial"/>
                <w:szCs w:val="20"/>
                <w:highlight w:val="lightGray"/>
              </w:rPr>
            </w:pPr>
          </w:p>
        </w:tc>
      </w:tr>
      <w:tr w:rsidR="00A213C3" w:rsidRPr="00AD19BC" w14:paraId="41049C94"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21C478CE" w14:textId="77777777" w:rsidR="00A213C3" w:rsidRPr="00AD19BC" w:rsidRDefault="00A213C3" w:rsidP="00E86D5D">
            <w:pPr>
              <w:spacing w:before="40" w:after="40" w:line="276" w:lineRule="auto"/>
              <w:jc w:val="left"/>
              <w:rPr>
                <w:rFonts w:cs="Arial"/>
                <w:szCs w:val="20"/>
              </w:rPr>
            </w:pPr>
            <w:r w:rsidRPr="00AD19BC">
              <w:rPr>
                <w:rFonts w:cs="Arial"/>
                <w:szCs w:val="20"/>
              </w:rPr>
              <w:t>32</w:t>
            </w:r>
          </w:p>
        </w:tc>
        <w:tc>
          <w:tcPr>
            <w:tcW w:w="2079" w:type="dxa"/>
            <w:tcBorders>
              <w:top w:val="single" w:sz="8" w:space="0" w:color="auto"/>
              <w:left w:val="single" w:sz="8" w:space="0" w:color="auto"/>
              <w:bottom w:val="single" w:sz="8" w:space="0" w:color="auto"/>
              <w:right w:val="single" w:sz="8" w:space="0" w:color="auto"/>
            </w:tcBorders>
            <w:hideMark/>
          </w:tcPr>
          <w:p w14:paraId="095B2FB6" w14:textId="77777777" w:rsidR="00A213C3" w:rsidRPr="00AD19BC" w:rsidRDefault="00A213C3" w:rsidP="00E86D5D">
            <w:pPr>
              <w:spacing w:before="40" w:after="40" w:line="276" w:lineRule="auto"/>
              <w:jc w:val="left"/>
              <w:rPr>
                <w:rFonts w:cs="Arial"/>
                <w:szCs w:val="20"/>
              </w:rPr>
            </w:pPr>
            <w:r w:rsidRPr="00AD19BC">
              <w:rPr>
                <w:rFonts w:cs="Arial"/>
                <w:szCs w:val="20"/>
              </w:rPr>
              <w:t>Life isn’t worth living</w:t>
            </w:r>
          </w:p>
        </w:tc>
        <w:tc>
          <w:tcPr>
            <w:tcW w:w="4158" w:type="dxa"/>
            <w:tcBorders>
              <w:top w:val="single" w:sz="8" w:space="0" w:color="auto"/>
              <w:left w:val="single" w:sz="8" w:space="0" w:color="auto"/>
              <w:bottom w:val="single" w:sz="8" w:space="0" w:color="auto"/>
              <w:right w:val="single" w:sz="8" w:space="0" w:color="auto"/>
            </w:tcBorders>
            <w:hideMark/>
          </w:tcPr>
          <w:p w14:paraId="0A42076D"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Modified from Beck A, Schuyler D &amp; Herman, I. (1974) Development of the Suicide Intent Scale. In AT Beck, HLP Resnick, &amp; DJ </w:t>
            </w:r>
            <w:proofErr w:type="spellStart"/>
            <w:r w:rsidRPr="00AD19BC">
              <w:rPr>
                <w:rFonts w:cs="Arial"/>
                <w:szCs w:val="20"/>
              </w:rPr>
              <w:t>Lettieri</w:t>
            </w:r>
            <w:proofErr w:type="spellEnd"/>
            <w:r w:rsidRPr="00AD19BC">
              <w:rPr>
                <w:rFonts w:cs="Arial"/>
                <w:szCs w:val="20"/>
              </w:rPr>
              <w:t xml:space="preserve"> (Eds.) </w:t>
            </w:r>
            <w:r w:rsidRPr="00AD19BC">
              <w:rPr>
                <w:rFonts w:cs="Arial"/>
                <w:i/>
                <w:szCs w:val="20"/>
              </w:rPr>
              <w:t>The prediction of suicide</w:t>
            </w:r>
            <w:r w:rsidRPr="00AD19BC">
              <w:rPr>
                <w:rFonts w:cs="Arial"/>
                <w:szCs w:val="20"/>
              </w:rPr>
              <w:t xml:space="preserve">. </w:t>
            </w:r>
            <w:proofErr w:type="spellStart"/>
            <w:r w:rsidRPr="00AD19BC">
              <w:rPr>
                <w:rFonts w:cs="Arial"/>
                <w:szCs w:val="20"/>
              </w:rPr>
              <w:t>Bowier</w:t>
            </w:r>
            <w:proofErr w:type="spellEnd"/>
            <w:r w:rsidRPr="00AD19BC">
              <w:rPr>
                <w:rFonts w:cs="Arial"/>
                <w:szCs w:val="20"/>
              </w:rPr>
              <w:t>, MD: Charles Press Publishers</w:t>
            </w:r>
          </w:p>
        </w:tc>
        <w:tc>
          <w:tcPr>
            <w:tcW w:w="3828" w:type="dxa"/>
            <w:tcBorders>
              <w:top w:val="single" w:sz="8" w:space="0" w:color="auto"/>
              <w:left w:val="single" w:sz="8" w:space="0" w:color="auto"/>
              <w:bottom w:val="single" w:sz="8" w:space="0" w:color="auto"/>
              <w:right w:val="single" w:sz="8" w:space="0" w:color="auto"/>
            </w:tcBorders>
          </w:tcPr>
          <w:p w14:paraId="22239DD1"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4B6A1DC3" w14:textId="77777777" w:rsidR="00A213C3" w:rsidRPr="00AD19BC" w:rsidRDefault="00A213C3" w:rsidP="00E86D5D">
            <w:pPr>
              <w:spacing w:before="40" w:after="40" w:line="276" w:lineRule="auto"/>
              <w:jc w:val="left"/>
              <w:rPr>
                <w:rFonts w:cs="Arial"/>
                <w:szCs w:val="20"/>
                <w:highlight w:val="lightGray"/>
              </w:rPr>
            </w:pPr>
          </w:p>
        </w:tc>
      </w:tr>
      <w:tr w:rsidR="00A213C3" w:rsidRPr="00AD19BC" w14:paraId="13DA6A62"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68F7B254" w14:textId="77777777" w:rsidR="00A213C3" w:rsidRPr="00AD19BC" w:rsidRDefault="00A213C3" w:rsidP="00E86D5D">
            <w:pPr>
              <w:spacing w:before="40" w:after="40" w:line="276" w:lineRule="auto"/>
              <w:jc w:val="left"/>
              <w:rPr>
                <w:rFonts w:cs="Arial"/>
                <w:szCs w:val="20"/>
              </w:rPr>
            </w:pPr>
            <w:r w:rsidRPr="00AD19BC">
              <w:rPr>
                <w:rFonts w:cs="Arial"/>
                <w:szCs w:val="20"/>
              </w:rPr>
              <w:t>33</w:t>
            </w:r>
          </w:p>
        </w:tc>
        <w:tc>
          <w:tcPr>
            <w:tcW w:w="2079" w:type="dxa"/>
            <w:tcBorders>
              <w:top w:val="single" w:sz="8" w:space="0" w:color="auto"/>
              <w:left w:val="single" w:sz="8" w:space="0" w:color="auto"/>
              <w:bottom w:val="single" w:sz="8" w:space="0" w:color="auto"/>
              <w:right w:val="single" w:sz="8" w:space="0" w:color="auto"/>
            </w:tcBorders>
            <w:hideMark/>
          </w:tcPr>
          <w:p w14:paraId="0181352F" w14:textId="77777777" w:rsidR="00A213C3" w:rsidRPr="00AD19BC" w:rsidRDefault="00A213C3" w:rsidP="00E86D5D">
            <w:pPr>
              <w:spacing w:before="40" w:after="40" w:line="276" w:lineRule="auto"/>
              <w:jc w:val="left"/>
              <w:rPr>
                <w:rFonts w:cs="Arial"/>
                <w:szCs w:val="20"/>
              </w:rPr>
            </w:pPr>
            <w:r w:rsidRPr="00AD19BC">
              <w:rPr>
                <w:rFonts w:cs="Arial"/>
                <w:szCs w:val="20"/>
              </w:rPr>
              <w:t>Health service utilisation</w:t>
            </w:r>
          </w:p>
        </w:tc>
        <w:tc>
          <w:tcPr>
            <w:tcW w:w="4158" w:type="dxa"/>
            <w:tcBorders>
              <w:top w:val="single" w:sz="8" w:space="0" w:color="auto"/>
              <w:left w:val="single" w:sz="8" w:space="0" w:color="auto"/>
              <w:bottom w:val="single" w:sz="8" w:space="0" w:color="auto"/>
              <w:right w:val="single" w:sz="8" w:space="0" w:color="auto"/>
            </w:tcBorders>
            <w:hideMark/>
          </w:tcPr>
          <w:p w14:paraId="54E1F86E"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Modified from Davies AR &amp; Ware JEJ. (1991). </w:t>
            </w:r>
            <w:r w:rsidRPr="00AD19BC">
              <w:rPr>
                <w:rFonts w:cs="Arial"/>
                <w:i/>
                <w:szCs w:val="20"/>
              </w:rPr>
              <w:t>GHAA's consumer satisfaction survey and user's manual</w:t>
            </w:r>
            <w:r w:rsidRPr="00AD19BC">
              <w:rPr>
                <w:rFonts w:cs="Arial"/>
                <w:szCs w:val="20"/>
              </w:rPr>
              <w:t xml:space="preserve"> (2nd </w:t>
            </w:r>
            <w:proofErr w:type="spellStart"/>
            <w:r w:rsidRPr="00AD19BC">
              <w:rPr>
                <w:rFonts w:cs="Arial"/>
                <w:szCs w:val="20"/>
              </w:rPr>
              <w:t>Edn</w:t>
            </w:r>
            <w:proofErr w:type="spellEnd"/>
            <w:r w:rsidRPr="00AD19BC">
              <w:rPr>
                <w:rFonts w:cs="Arial"/>
                <w:szCs w:val="20"/>
              </w:rPr>
              <w:t xml:space="preserve">). Washington </w:t>
            </w:r>
            <w:r w:rsidRPr="00AD19BC">
              <w:rPr>
                <w:rFonts w:cs="Arial"/>
                <w:szCs w:val="20"/>
              </w:rPr>
              <w:lastRenderedPageBreak/>
              <w:t>DC: The Group Health Association of America (GHAA).</w:t>
            </w:r>
          </w:p>
        </w:tc>
        <w:tc>
          <w:tcPr>
            <w:tcW w:w="3828" w:type="dxa"/>
            <w:tcBorders>
              <w:top w:val="single" w:sz="8" w:space="0" w:color="auto"/>
              <w:left w:val="single" w:sz="8" w:space="0" w:color="auto"/>
              <w:bottom w:val="single" w:sz="8" w:space="0" w:color="auto"/>
              <w:right w:val="single" w:sz="8" w:space="0" w:color="auto"/>
            </w:tcBorders>
          </w:tcPr>
          <w:p w14:paraId="7C04822E"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54030B6E" w14:textId="77777777" w:rsidR="00A213C3" w:rsidRPr="00AD19BC" w:rsidRDefault="00A213C3" w:rsidP="00E86D5D">
            <w:pPr>
              <w:spacing w:before="40" w:after="40" w:line="276" w:lineRule="auto"/>
              <w:jc w:val="left"/>
              <w:rPr>
                <w:rFonts w:cs="Arial"/>
                <w:szCs w:val="20"/>
                <w:highlight w:val="lightGray"/>
              </w:rPr>
            </w:pPr>
          </w:p>
        </w:tc>
      </w:tr>
      <w:tr w:rsidR="00A213C3" w:rsidRPr="00AD19BC" w14:paraId="62E523C0"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3D2FE8E6" w14:textId="77777777" w:rsidR="00A213C3" w:rsidRPr="00AD19BC" w:rsidRDefault="00A213C3" w:rsidP="00E86D5D">
            <w:pPr>
              <w:spacing w:before="40" w:after="40" w:line="276" w:lineRule="auto"/>
              <w:jc w:val="left"/>
              <w:rPr>
                <w:rFonts w:cs="Arial"/>
                <w:szCs w:val="20"/>
              </w:rPr>
            </w:pPr>
            <w:r w:rsidRPr="00AD19BC">
              <w:rPr>
                <w:rFonts w:cs="Arial"/>
                <w:szCs w:val="20"/>
              </w:rPr>
              <w:t>34</w:t>
            </w:r>
          </w:p>
        </w:tc>
        <w:tc>
          <w:tcPr>
            <w:tcW w:w="2079" w:type="dxa"/>
            <w:tcBorders>
              <w:top w:val="single" w:sz="8" w:space="0" w:color="auto"/>
              <w:left w:val="single" w:sz="8" w:space="0" w:color="auto"/>
              <w:bottom w:val="single" w:sz="8" w:space="0" w:color="auto"/>
              <w:right w:val="single" w:sz="8" w:space="0" w:color="auto"/>
            </w:tcBorders>
            <w:hideMark/>
          </w:tcPr>
          <w:p w14:paraId="72069B57" w14:textId="77777777" w:rsidR="00A213C3" w:rsidRPr="00AD19BC" w:rsidRDefault="00A213C3" w:rsidP="00E86D5D">
            <w:pPr>
              <w:spacing w:before="40" w:after="40" w:line="276" w:lineRule="auto"/>
              <w:jc w:val="left"/>
              <w:rPr>
                <w:rFonts w:cs="Arial"/>
                <w:szCs w:val="20"/>
              </w:rPr>
            </w:pPr>
            <w:r w:rsidRPr="00AD19BC">
              <w:rPr>
                <w:rFonts w:cs="Arial"/>
                <w:szCs w:val="20"/>
              </w:rPr>
              <w:t>Falls</w:t>
            </w:r>
          </w:p>
        </w:tc>
        <w:tc>
          <w:tcPr>
            <w:tcW w:w="4158" w:type="dxa"/>
            <w:tcBorders>
              <w:top w:val="single" w:sz="8" w:space="0" w:color="auto"/>
              <w:left w:val="single" w:sz="8" w:space="0" w:color="auto"/>
              <w:bottom w:val="single" w:sz="8" w:space="0" w:color="auto"/>
              <w:right w:val="single" w:sz="8" w:space="0" w:color="auto"/>
            </w:tcBorders>
            <w:hideMark/>
          </w:tcPr>
          <w:p w14:paraId="02824601" w14:textId="77777777" w:rsidR="00A213C3" w:rsidRPr="00AD19BC" w:rsidRDefault="00A213C3" w:rsidP="00E86D5D">
            <w:pPr>
              <w:spacing w:before="40" w:after="40" w:line="276" w:lineRule="auto"/>
              <w:jc w:val="left"/>
              <w:rPr>
                <w:rFonts w:cs="Arial"/>
                <w:szCs w:val="20"/>
              </w:rPr>
            </w:pPr>
            <w:r w:rsidRPr="00AD19BC">
              <w:rPr>
                <w:rFonts w:cs="Arial"/>
                <w:szCs w:val="20"/>
              </w:rPr>
              <w:t>Modified from DVA (Dept of Veterans’ Affairs) trial (1997)</w:t>
            </w:r>
          </w:p>
        </w:tc>
        <w:tc>
          <w:tcPr>
            <w:tcW w:w="3828" w:type="dxa"/>
            <w:tcBorders>
              <w:top w:val="single" w:sz="8" w:space="0" w:color="auto"/>
              <w:left w:val="single" w:sz="8" w:space="0" w:color="auto"/>
              <w:bottom w:val="single" w:sz="8" w:space="0" w:color="auto"/>
              <w:right w:val="single" w:sz="8" w:space="0" w:color="auto"/>
            </w:tcBorders>
          </w:tcPr>
          <w:p w14:paraId="5AC44F55"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382447D9" w14:textId="77777777" w:rsidR="00A213C3" w:rsidRPr="00AD19BC" w:rsidRDefault="00A213C3" w:rsidP="00E86D5D">
            <w:pPr>
              <w:spacing w:before="40" w:after="40" w:line="276" w:lineRule="auto"/>
              <w:jc w:val="left"/>
              <w:rPr>
                <w:rFonts w:cs="Arial"/>
                <w:szCs w:val="20"/>
              </w:rPr>
            </w:pPr>
          </w:p>
        </w:tc>
      </w:tr>
      <w:tr w:rsidR="00A213C3" w:rsidRPr="00AD19BC" w14:paraId="534F0525"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0B996760" w14:textId="77777777" w:rsidR="00A213C3" w:rsidRPr="00AD19BC" w:rsidRDefault="00A213C3" w:rsidP="00E86D5D">
            <w:pPr>
              <w:spacing w:before="40" w:after="40" w:line="276" w:lineRule="auto"/>
              <w:jc w:val="left"/>
              <w:rPr>
                <w:rFonts w:cs="Arial"/>
                <w:szCs w:val="20"/>
              </w:rPr>
            </w:pPr>
            <w:r w:rsidRPr="00AD19BC">
              <w:rPr>
                <w:rFonts w:cs="Arial"/>
                <w:szCs w:val="20"/>
              </w:rPr>
              <w:t>35a-35b</w:t>
            </w:r>
          </w:p>
        </w:tc>
        <w:tc>
          <w:tcPr>
            <w:tcW w:w="2079" w:type="dxa"/>
            <w:tcBorders>
              <w:top w:val="single" w:sz="8" w:space="0" w:color="auto"/>
              <w:left w:val="single" w:sz="8" w:space="0" w:color="auto"/>
              <w:bottom w:val="single" w:sz="8" w:space="0" w:color="auto"/>
              <w:right w:val="single" w:sz="8" w:space="0" w:color="auto"/>
            </w:tcBorders>
            <w:hideMark/>
          </w:tcPr>
          <w:p w14:paraId="171F9390" w14:textId="77777777" w:rsidR="00A213C3" w:rsidRPr="00AD19BC" w:rsidRDefault="00A213C3" w:rsidP="00E86D5D">
            <w:pPr>
              <w:spacing w:before="40" w:after="40" w:line="276" w:lineRule="auto"/>
              <w:jc w:val="left"/>
              <w:rPr>
                <w:rFonts w:cs="Arial"/>
                <w:szCs w:val="20"/>
              </w:rPr>
            </w:pPr>
            <w:r w:rsidRPr="00AD19BC">
              <w:rPr>
                <w:rFonts w:cs="Arial"/>
                <w:szCs w:val="20"/>
              </w:rPr>
              <w:t>Falls</w:t>
            </w:r>
          </w:p>
        </w:tc>
        <w:tc>
          <w:tcPr>
            <w:tcW w:w="4158" w:type="dxa"/>
            <w:tcBorders>
              <w:top w:val="single" w:sz="8" w:space="0" w:color="auto"/>
              <w:left w:val="single" w:sz="8" w:space="0" w:color="auto"/>
              <w:bottom w:val="single" w:sz="8" w:space="0" w:color="auto"/>
              <w:right w:val="single" w:sz="8" w:space="0" w:color="auto"/>
            </w:tcBorders>
            <w:hideMark/>
          </w:tcPr>
          <w:p w14:paraId="316CABF1" w14:textId="77777777" w:rsidR="00A213C3" w:rsidRPr="00AD19BC" w:rsidRDefault="00A213C3" w:rsidP="00E86D5D">
            <w:pPr>
              <w:spacing w:before="40" w:after="40" w:line="276" w:lineRule="auto"/>
              <w:jc w:val="left"/>
              <w:rPr>
                <w:rFonts w:cs="Arial"/>
                <w:szCs w:val="20"/>
                <w:shd w:val="clear" w:color="auto" w:fill="FFFFFF"/>
              </w:rPr>
            </w:pPr>
            <w:r w:rsidRPr="00AD19BC">
              <w:rPr>
                <w:rFonts w:cs="Arial"/>
                <w:szCs w:val="20"/>
                <w:shd w:val="clear" w:color="auto" w:fill="FFFFFF"/>
              </w:rPr>
              <w:t>Modified from:</w:t>
            </w:r>
          </w:p>
          <w:p w14:paraId="310D11F8" w14:textId="77777777" w:rsidR="00A213C3" w:rsidRPr="00AD19BC" w:rsidRDefault="00A213C3" w:rsidP="00E86D5D">
            <w:pPr>
              <w:spacing w:before="40" w:after="40" w:line="276" w:lineRule="auto"/>
              <w:jc w:val="left"/>
              <w:rPr>
                <w:rFonts w:cs="Arial"/>
                <w:szCs w:val="20"/>
                <w:shd w:val="clear" w:color="auto" w:fill="FFFFFF"/>
              </w:rPr>
            </w:pPr>
            <w:proofErr w:type="spellStart"/>
            <w:r w:rsidRPr="00AD19BC">
              <w:rPr>
                <w:rFonts w:cs="Arial"/>
                <w:szCs w:val="20"/>
                <w:shd w:val="clear" w:color="auto" w:fill="FFFFFF"/>
              </w:rPr>
              <w:t>MacKenzie</w:t>
            </w:r>
            <w:proofErr w:type="spellEnd"/>
            <w:r w:rsidRPr="00AD19BC">
              <w:rPr>
                <w:rFonts w:cs="Arial"/>
                <w:szCs w:val="20"/>
                <w:shd w:val="clear" w:color="auto" w:fill="FFFFFF"/>
              </w:rPr>
              <w:t xml:space="preserve"> LA. Home Hazards and Falls prevention in home-based health assessments for older people in the community. PhD Thesis. The University of Newcastle. 2002.</w:t>
            </w:r>
          </w:p>
          <w:p w14:paraId="5D7733A1" w14:textId="77777777" w:rsidR="00A213C3" w:rsidRPr="00AD19BC" w:rsidRDefault="00A213C3" w:rsidP="00E86D5D">
            <w:pPr>
              <w:spacing w:before="40" w:after="40" w:line="276" w:lineRule="auto"/>
              <w:jc w:val="left"/>
              <w:rPr>
                <w:rFonts w:cs="Arial"/>
                <w:szCs w:val="20"/>
                <w:shd w:val="clear" w:color="auto" w:fill="FFFFFF"/>
              </w:rPr>
            </w:pPr>
            <w:proofErr w:type="spellStart"/>
            <w:r w:rsidRPr="00AD19BC">
              <w:rPr>
                <w:rFonts w:cs="Arial"/>
                <w:szCs w:val="20"/>
                <w:shd w:val="clear" w:color="auto" w:fill="FFFFFF"/>
              </w:rPr>
              <w:t>Daejin</w:t>
            </w:r>
            <w:proofErr w:type="spellEnd"/>
            <w:r w:rsidRPr="00AD19BC">
              <w:rPr>
                <w:rFonts w:cs="Arial"/>
                <w:szCs w:val="20"/>
                <w:shd w:val="clear" w:color="auto" w:fill="FFFFFF"/>
              </w:rPr>
              <w:t xml:space="preserve"> Kim &amp; Sherry </w:t>
            </w:r>
            <w:proofErr w:type="spellStart"/>
            <w:r w:rsidRPr="00AD19BC">
              <w:rPr>
                <w:rFonts w:cs="Arial"/>
                <w:szCs w:val="20"/>
                <w:shd w:val="clear" w:color="auto" w:fill="FFFFFF"/>
              </w:rPr>
              <w:t>Ahrentzen</w:t>
            </w:r>
            <w:proofErr w:type="spellEnd"/>
            <w:r w:rsidRPr="00AD19BC">
              <w:rPr>
                <w:rFonts w:cs="Arial"/>
                <w:szCs w:val="20"/>
                <w:shd w:val="clear" w:color="auto" w:fill="FFFFFF"/>
              </w:rPr>
              <w:t xml:space="preserve"> (2017)</w:t>
            </w:r>
            <w:r>
              <w:rPr>
                <w:rFonts w:cs="Arial"/>
                <w:szCs w:val="20"/>
                <w:shd w:val="clear" w:color="auto" w:fill="FFFFFF"/>
              </w:rPr>
              <w:t>.</w:t>
            </w:r>
            <w:r w:rsidRPr="00AD19BC">
              <w:rPr>
                <w:rFonts w:cs="Arial"/>
                <w:szCs w:val="20"/>
                <w:shd w:val="clear" w:color="auto" w:fill="FFFFFF"/>
              </w:rPr>
              <w:t xml:space="preserve"> Environmental and </w:t>
            </w:r>
            <w:proofErr w:type="spellStart"/>
            <w:r w:rsidRPr="00AD19BC">
              <w:rPr>
                <w:rFonts w:cs="Arial"/>
                <w:szCs w:val="20"/>
                <w:shd w:val="clear" w:color="auto" w:fill="FFFFFF"/>
              </w:rPr>
              <w:t>behavioral</w:t>
            </w:r>
            <w:proofErr w:type="spellEnd"/>
            <w:r w:rsidRPr="00AD19BC">
              <w:rPr>
                <w:rFonts w:cs="Arial"/>
                <w:szCs w:val="20"/>
                <w:shd w:val="clear" w:color="auto" w:fill="FFFFFF"/>
              </w:rPr>
              <w:t xml:space="preserve"> circumstances and consequences of falls in a senior living development, </w:t>
            </w:r>
            <w:r w:rsidRPr="00E66B59">
              <w:rPr>
                <w:rFonts w:cs="Arial"/>
                <w:i/>
                <w:iCs/>
                <w:szCs w:val="20"/>
                <w:shd w:val="clear" w:color="auto" w:fill="FFFFFF"/>
              </w:rPr>
              <w:t xml:space="preserve">Journal of Housing </w:t>
            </w:r>
            <w:proofErr w:type="gramStart"/>
            <w:r w:rsidRPr="00E66B59">
              <w:rPr>
                <w:rFonts w:cs="Arial"/>
                <w:i/>
                <w:iCs/>
                <w:szCs w:val="20"/>
                <w:shd w:val="clear" w:color="auto" w:fill="FFFFFF"/>
              </w:rPr>
              <w:t>For</w:t>
            </w:r>
            <w:proofErr w:type="gramEnd"/>
            <w:r w:rsidRPr="00E66B59">
              <w:rPr>
                <w:rFonts w:cs="Arial"/>
                <w:i/>
                <w:iCs/>
                <w:szCs w:val="20"/>
                <w:shd w:val="clear" w:color="auto" w:fill="FFFFFF"/>
              </w:rPr>
              <w:t xml:space="preserve"> the Elderly</w:t>
            </w:r>
            <w:r w:rsidRPr="00AD19BC">
              <w:rPr>
                <w:rFonts w:cs="Arial"/>
                <w:szCs w:val="20"/>
                <w:shd w:val="clear" w:color="auto" w:fill="FFFFFF"/>
              </w:rPr>
              <w:t xml:space="preserve">, 31:3, 286-301. </w:t>
            </w:r>
          </w:p>
          <w:p w14:paraId="41048DD7" w14:textId="77777777" w:rsidR="00A213C3" w:rsidRPr="00AD19BC" w:rsidRDefault="00A213C3" w:rsidP="00E86D5D">
            <w:pPr>
              <w:spacing w:before="40" w:after="40" w:line="276" w:lineRule="auto"/>
              <w:jc w:val="left"/>
              <w:rPr>
                <w:rFonts w:cs="Arial"/>
                <w:szCs w:val="20"/>
                <w:shd w:val="clear" w:color="auto" w:fill="FFFFFF"/>
              </w:rPr>
            </w:pPr>
            <w:r w:rsidRPr="00AD19BC">
              <w:rPr>
                <w:rFonts w:cs="Arial"/>
                <w:szCs w:val="20"/>
                <w:shd w:val="clear" w:color="auto" w:fill="FFFFFF"/>
              </w:rPr>
              <w:t xml:space="preserve">Stevens JA, Mahoney JE &amp; Ehrenreich H. Inj. Circumstances and outcomes of falls among </w:t>
            </w:r>
            <w:proofErr w:type="gramStart"/>
            <w:r w:rsidRPr="00AD19BC">
              <w:rPr>
                <w:rFonts w:cs="Arial"/>
                <w:szCs w:val="20"/>
                <w:shd w:val="clear" w:color="auto" w:fill="FFFFFF"/>
              </w:rPr>
              <w:t>high risk</w:t>
            </w:r>
            <w:proofErr w:type="gramEnd"/>
            <w:r w:rsidRPr="00AD19BC">
              <w:rPr>
                <w:rFonts w:cs="Arial"/>
                <w:szCs w:val="20"/>
                <w:shd w:val="clear" w:color="auto" w:fill="FFFFFF"/>
              </w:rPr>
              <w:t xml:space="preserve"> community-dwelling older adults. </w:t>
            </w:r>
            <w:r w:rsidRPr="00E66B59">
              <w:rPr>
                <w:rFonts w:cs="Arial"/>
                <w:i/>
                <w:iCs/>
                <w:szCs w:val="20"/>
                <w:shd w:val="clear" w:color="auto" w:fill="FFFFFF"/>
              </w:rPr>
              <w:t>Epidemiology.</w:t>
            </w:r>
            <w:r w:rsidRPr="00AD19BC">
              <w:rPr>
                <w:rFonts w:cs="Arial"/>
                <w:szCs w:val="20"/>
                <w:shd w:val="clear" w:color="auto" w:fill="FFFFFF"/>
              </w:rPr>
              <w:t xml:space="preserve"> (2014) 1: 5. </w:t>
            </w:r>
          </w:p>
          <w:p w14:paraId="66C24F97" w14:textId="77777777" w:rsidR="00A213C3" w:rsidRPr="00AD19BC" w:rsidRDefault="00A213C3" w:rsidP="00E86D5D">
            <w:pPr>
              <w:spacing w:before="40" w:after="40" w:line="276" w:lineRule="auto"/>
              <w:jc w:val="left"/>
              <w:rPr>
                <w:rFonts w:cs="Arial"/>
                <w:szCs w:val="20"/>
                <w:shd w:val="clear" w:color="auto" w:fill="FFFFFF"/>
              </w:rPr>
            </w:pPr>
            <w:proofErr w:type="spellStart"/>
            <w:r w:rsidRPr="00AD19BC">
              <w:rPr>
                <w:rFonts w:cs="Arial"/>
                <w:szCs w:val="20"/>
                <w:shd w:val="clear" w:color="auto" w:fill="FFFFFF"/>
              </w:rPr>
              <w:t>Bleijlevens</w:t>
            </w:r>
            <w:proofErr w:type="spellEnd"/>
            <w:r w:rsidRPr="00AD19BC">
              <w:rPr>
                <w:rFonts w:cs="Arial"/>
                <w:szCs w:val="20"/>
                <w:shd w:val="clear" w:color="auto" w:fill="FFFFFF"/>
              </w:rPr>
              <w:t xml:space="preserve"> MHC, </w:t>
            </w:r>
            <w:proofErr w:type="spellStart"/>
            <w:r w:rsidRPr="00AD19BC">
              <w:rPr>
                <w:rFonts w:cs="Arial"/>
                <w:szCs w:val="20"/>
                <w:shd w:val="clear" w:color="auto" w:fill="FFFFFF"/>
              </w:rPr>
              <w:t>Diederiks</w:t>
            </w:r>
            <w:proofErr w:type="spellEnd"/>
            <w:r w:rsidRPr="00AD19BC">
              <w:rPr>
                <w:rFonts w:cs="Arial"/>
                <w:szCs w:val="20"/>
                <w:shd w:val="clear" w:color="auto" w:fill="FFFFFF"/>
              </w:rPr>
              <w:t xml:space="preserve"> JPM, Hendriks MRC, et al. Relationship between location and activity in injurious falls: </w:t>
            </w:r>
            <w:r>
              <w:rPr>
                <w:rFonts w:cs="Arial"/>
                <w:szCs w:val="20"/>
                <w:shd w:val="clear" w:color="auto" w:fill="FFFFFF"/>
              </w:rPr>
              <w:t>A</w:t>
            </w:r>
            <w:r w:rsidRPr="00AD19BC">
              <w:rPr>
                <w:rFonts w:cs="Arial"/>
                <w:szCs w:val="20"/>
                <w:shd w:val="clear" w:color="auto" w:fill="FFFFFF"/>
              </w:rPr>
              <w:t>n exploratory study</w:t>
            </w:r>
            <w:r>
              <w:rPr>
                <w:rFonts w:cs="Arial"/>
                <w:szCs w:val="20"/>
                <w:shd w:val="clear" w:color="auto" w:fill="FFFFFF"/>
              </w:rPr>
              <w:t>.</w:t>
            </w:r>
            <w:r w:rsidRPr="00AD19BC">
              <w:rPr>
                <w:rFonts w:cs="Arial"/>
                <w:szCs w:val="20"/>
                <w:shd w:val="clear" w:color="auto" w:fill="FFFFFF"/>
              </w:rPr>
              <w:t xml:space="preserve"> </w:t>
            </w:r>
            <w:r w:rsidRPr="00E66B59">
              <w:rPr>
                <w:rFonts w:cs="Arial"/>
                <w:i/>
                <w:iCs/>
                <w:szCs w:val="20"/>
                <w:shd w:val="clear" w:color="auto" w:fill="FFFFFF"/>
              </w:rPr>
              <w:t>BMC Geriatrics</w:t>
            </w:r>
            <w:r>
              <w:rPr>
                <w:rFonts w:cs="Arial"/>
                <w:szCs w:val="20"/>
                <w:shd w:val="clear" w:color="auto" w:fill="FFFFFF"/>
              </w:rPr>
              <w:t xml:space="preserve">, </w:t>
            </w:r>
            <w:r w:rsidRPr="00AD19BC">
              <w:rPr>
                <w:rFonts w:cs="Arial"/>
                <w:szCs w:val="20"/>
                <w:shd w:val="clear" w:color="auto" w:fill="FFFFFF"/>
              </w:rPr>
              <w:t>2010</w:t>
            </w:r>
            <w:r>
              <w:rPr>
                <w:rFonts w:cs="Arial"/>
                <w:szCs w:val="20"/>
                <w:shd w:val="clear" w:color="auto" w:fill="FFFFFF"/>
              </w:rPr>
              <w:t>;</w:t>
            </w:r>
            <w:r w:rsidRPr="00AD19BC">
              <w:rPr>
                <w:rFonts w:cs="Arial"/>
                <w:szCs w:val="20"/>
                <w:shd w:val="clear" w:color="auto" w:fill="FFFFFF"/>
              </w:rPr>
              <w:t>10:40</w:t>
            </w:r>
          </w:p>
          <w:p w14:paraId="47742F91" w14:textId="77777777" w:rsidR="00A213C3" w:rsidRPr="00AD19BC" w:rsidRDefault="00A213C3" w:rsidP="00E86D5D">
            <w:pPr>
              <w:spacing w:before="40" w:after="40" w:line="276" w:lineRule="auto"/>
              <w:jc w:val="left"/>
              <w:rPr>
                <w:rFonts w:cs="Arial"/>
                <w:szCs w:val="20"/>
                <w:shd w:val="clear" w:color="auto" w:fill="FFFFFF"/>
              </w:rPr>
            </w:pPr>
            <w:r w:rsidRPr="00AD19BC">
              <w:rPr>
                <w:rFonts w:cs="Arial"/>
                <w:szCs w:val="20"/>
                <w:shd w:val="clear" w:color="auto" w:fill="FFFFFF"/>
              </w:rPr>
              <w:t>Milat AJ, Watson</w:t>
            </w:r>
            <w:r>
              <w:rPr>
                <w:rFonts w:cs="Arial"/>
                <w:szCs w:val="20"/>
                <w:shd w:val="clear" w:color="auto" w:fill="FFFFFF"/>
              </w:rPr>
              <w:t xml:space="preserve"> </w:t>
            </w:r>
            <w:r w:rsidRPr="00AD19BC">
              <w:rPr>
                <w:rFonts w:cs="Arial"/>
                <w:szCs w:val="20"/>
                <w:shd w:val="clear" w:color="auto" w:fill="FFFFFF"/>
              </w:rPr>
              <w:t xml:space="preserve">WL, Monger C, Barr M, </w:t>
            </w:r>
            <w:proofErr w:type="spellStart"/>
            <w:r w:rsidRPr="00AD19BC">
              <w:rPr>
                <w:rFonts w:cs="Arial"/>
                <w:szCs w:val="20"/>
                <w:shd w:val="clear" w:color="auto" w:fill="FFFFFF"/>
              </w:rPr>
              <w:t>Giffin</w:t>
            </w:r>
            <w:proofErr w:type="spellEnd"/>
            <w:r w:rsidRPr="00AD19BC">
              <w:rPr>
                <w:rFonts w:cs="Arial"/>
                <w:szCs w:val="20"/>
                <w:shd w:val="clear" w:color="auto" w:fill="FFFFFF"/>
              </w:rPr>
              <w:t xml:space="preserve"> M</w:t>
            </w:r>
            <w:r>
              <w:rPr>
                <w:rFonts w:cs="Arial"/>
                <w:szCs w:val="20"/>
                <w:shd w:val="clear" w:color="auto" w:fill="FFFFFF"/>
              </w:rPr>
              <w:t xml:space="preserve"> &amp; </w:t>
            </w:r>
            <w:r w:rsidRPr="00AD19BC">
              <w:rPr>
                <w:rFonts w:cs="Arial"/>
                <w:szCs w:val="20"/>
                <w:shd w:val="clear" w:color="auto" w:fill="FFFFFF"/>
              </w:rPr>
              <w:t>Reid M</w:t>
            </w:r>
            <w:r>
              <w:rPr>
                <w:rFonts w:cs="Arial"/>
                <w:szCs w:val="20"/>
                <w:shd w:val="clear" w:color="auto" w:fill="FFFFFF"/>
              </w:rPr>
              <w:t>.</w:t>
            </w:r>
            <w:r w:rsidRPr="00AD19BC">
              <w:rPr>
                <w:rFonts w:cs="Arial"/>
                <w:szCs w:val="20"/>
                <w:shd w:val="clear" w:color="auto" w:fill="FFFFFF"/>
              </w:rPr>
              <w:t xml:space="preserve"> (2011) Prevalence, </w:t>
            </w:r>
            <w:proofErr w:type="gramStart"/>
            <w:r w:rsidRPr="00AD19BC">
              <w:rPr>
                <w:rFonts w:cs="Arial"/>
                <w:szCs w:val="20"/>
                <w:shd w:val="clear" w:color="auto" w:fill="FFFFFF"/>
              </w:rPr>
              <w:t>circumstances</w:t>
            </w:r>
            <w:proofErr w:type="gramEnd"/>
            <w:r w:rsidRPr="00AD19BC">
              <w:rPr>
                <w:rFonts w:cs="Arial"/>
                <w:szCs w:val="20"/>
                <w:shd w:val="clear" w:color="auto" w:fill="FFFFFF"/>
              </w:rPr>
              <w:t xml:space="preserve"> and consequences of falls among community-dwelling older people: </w:t>
            </w:r>
            <w:r>
              <w:rPr>
                <w:rFonts w:cs="Arial"/>
                <w:szCs w:val="20"/>
                <w:shd w:val="clear" w:color="auto" w:fill="FFFFFF"/>
              </w:rPr>
              <w:t>R</w:t>
            </w:r>
            <w:r w:rsidRPr="00AD19BC">
              <w:rPr>
                <w:rFonts w:cs="Arial"/>
                <w:szCs w:val="20"/>
                <w:shd w:val="clear" w:color="auto" w:fill="FFFFFF"/>
              </w:rPr>
              <w:t xml:space="preserve">esults of the 2009 NSW Falls Prevention </w:t>
            </w:r>
            <w:r w:rsidRPr="00AD19BC">
              <w:rPr>
                <w:rFonts w:cs="Arial"/>
                <w:szCs w:val="20"/>
                <w:shd w:val="clear" w:color="auto" w:fill="FFFFFF"/>
              </w:rPr>
              <w:lastRenderedPageBreak/>
              <w:t>Baseline Survey</w:t>
            </w:r>
            <w:r w:rsidRPr="00E66B59">
              <w:rPr>
                <w:rFonts w:cs="Arial"/>
                <w:i/>
                <w:iCs/>
                <w:szCs w:val="20"/>
                <w:shd w:val="clear" w:color="auto" w:fill="FFFFFF"/>
              </w:rPr>
              <w:t>. NSW Public Health Bulletin</w:t>
            </w:r>
            <w:r w:rsidRPr="00AD19BC">
              <w:rPr>
                <w:rFonts w:cs="Arial"/>
                <w:szCs w:val="20"/>
                <w:shd w:val="clear" w:color="auto" w:fill="FFFFFF"/>
              </w:rPr>
              <w:t xml:space="preserve"> 22, 43-48.</w:t>
            </w:r>
          </w:p>
        </w:tc>
        <w:tc>
          <w:tcPr>
            <w:tcW w:w="3828" w:type="dxa"/>
            <w:tcBorders>
              <w:top w:val="single" w:sz="8" w:space="0" w:color="auto"/>
              <w:left w:val="single" w:sz="8" w:space="0" w:color="auto"/>
              <w:bottom w:val="single" w:sz="8" w:space="0" w:color="auto"/>
              <w:right w:val="single" w:sz="8" w:space="0" w:color="auto"/>
            </w:tcBorders>
            <w:hideMark/>
          </w:tcPr>
          <w:p w14:paraId="4F51B41A" w14:textId="77777777" w:rsidR="00A213C3" w:rsidRPr="00AD19BC" w:rsidRDefault="00A213C3" w:rsidP="00E86D5D">
            <w:pPr>
              <w:spacing w:before="40" w:after="40" w:line="276" w:lineRule="auto"/>
              <w:jc w:val="left"/>
              <w:rPr>
                <w:rFonts w:cs="Arial"/>
                <w:szCs w:val="20"/>
              </w:rPr>
            </w:pPr>
            <w:r w:rsidRPr="00AD19BC">
              <w:rPr>
                <w:rFonts w:cs="Arial"/>
                <w:szCs w:val="20"/>
              </w:rPr>
              <w:lastRenderedPageBreak/>
              <w:t>Added instructions to Q34b</w:t>
            </w:r>
            <w:r>
              <w:rPr>
                <w:rFonts w:cs="Arial"/>
                <w:szCs w:val="20"/>
              </w:rPr>
              <w:t>:</w:t>
            </w:r>
            <w:r w:rsidRPr="00AD19BC">
              <w:rPr>
                <w:rFonts w:cs="Arial"/>
                <w:szCs w:val="20"/>
              </w:rPr>
              <w:t xml:space="preserve"> “</w:t>
            </w:r>
            <w:r>
              <w:rPr>
                <w:rFonts w:cs="Arial"/>
                <w:szCs w:val="20"/>
              </w:rPr>
              <w:t>M</w:t>
            </w:r>
            <w:r w:rsidRPr="00AD19BC">
              <w:rPr>
                <w:rFonts w:cs="Arial"/>
                <w:szCs w:val="20"/>
              </w:rPr>
              <w:t>ark all that apply”</w:t>
            </w:r>
          </w:p>
        </w:tc>
        <w:tc>
          <w:tcPr>
            <w:tcW w:w="2551" w:type="dxa"/>
            <w:tcBorders>
              <w:top w:val="single" w:sz="8" w:space="0" w:color="auto"/>
              <w:left w:val="single" w:sz="8" w:space="0" w:color="auto"/>
              <w:bottom w:val="single" w:sz="8" w:space="0" w:color="auto"/>
              <w:right w:val="single" w:sz="8" w:space="0" w:color="auto"/>
            </w:tcBorders>
          </w:tcPr>
          <w:p w14:paraId="0C772EE7" w14:textId="77777777" w:rsidR="00A213C3" w:rsidRPr="00AD19BC" w:rsidRDefault="00A213C3" w:rsidP="00E86D5D">
            <w:pPr>
              <w:spacing w:before="40" w:after="40" w:line="276" w:lineRule="auto"/>
              <w:jc w:val="left"/>
              <w:rPr>
                <w:rFonts w:cs="Arial"/>
                <w:szCs w:val="20"/>
              </w:rPr>
            </w:pPr>
          </w:p>
        </w:tc>
      </w:tr>
      <w:tr w:rsidR="00A213C3" w:rsidRPr="00AD19BC" w14:paraId="6B974C79"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1985433F" w14:textId="77777777" w:rsidR="00A213C3" w:rsidRPr="00AD19BC" w:rsidRDefault="00A213C3" w:rsidP="00E86D5D">
            <w:pPr>
              <w:spacing w:before="40" w:after="40" w:line="276" w:lineRule="auto"/>
              <w:jc w:val="left"/>
              <w:rPr>
                <w:rFonts w:cs="Arial"/>
                <w:szCs w:val="20"/>
              </w:rPr>
            </w:pPr>
            <w:r w:rsidRPr="00AD19BC">
              <w:rPr>
                <w:rFonts w:cs="Arial"/>
                <w:szCs w:val="20"/>
              </w:rPr>
              <w:t>36</w:t>
            </w:r>
          </w:p>
        </w:tc>
        <w:tc>
          <w:tcPr>
            <w:tcW w:w="2079" w:type="dxa"/>
            <w:tcBorders>
              <w:top w:val="single" w:sz="8" w:space="0" w:color="auto"/>
              <w:left w:val="single" w:sz="8" w:space="0" w:color="auto"/>
              <w:bottom w:val="single" w:sz="8" w:space="0" w:color="auto"/>
              <w:right w:val="single" w:sz="8" w:space="0" w:color="auto"/>
            </w:tcBorders>
            <w:hideMark/>
          </w:tcPr>
          <w:p w14:paraId="28718375" w14:textId="77777777" w:rsidR="00A213C3" w:rsidRPr="00AD19BC" w:rsidRDefault="00A213C3" w:rsidP="00E86D5D">
            <w:pPr>
              <w:spacing w:before="40" w:after="40" w:line="276" w:lineRule="auto"/>
              <w:jc w:val="left"/>
              <w:rPr>
                <w:rFonts w:cs="Arial"/>
                <w:szCs w:val="20"/>
              </w:rPr>
            </w:pPr>
            <w:r w:rsidRPr="00AD19BC">
              <w:rPr>
                <w:rFonts w:cs="Arial"/>
                <w:szCs w:val="20"/>
              </w:rPr>
              <w:t>Sleeping problems</w:t>
            </w:r>
          </w:p>
        </w:tc>
        <w:tc>
          <w:tcPr>
            <w:tcW w:w="4158" w:type="dxa"/>
            <w:tcBorders>
              <w:top w:val="single" w:sz="8" w:space="0" w:color="auto"/>
              <w:left w:val="single" w:sz="8" w:space="0" w:color="auto"/>
              <w:bottom w:val="single" w:sz="8" w:space="0" w:color="auto"/>
              <w:right w:val="single" w:sz="8" w:space="0" w:color="auto"/>
            </w:tcBorders>
            <w:hideMark/>
          </w:tcPr>
          <w:p w14:paraId="25CCE27E"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Baum FE &amp; Cooke RD. (1989). Community-health needs assessment: </w:t>
            </w:r>
            <w:r>
              <w:rPr>
                <w:rFonts w:cs="Arial"/>
                <w:szCs w:val="20"/>
              </w:rPr>
              <w:t>U</w:t>
            </w:r>
            <w:r w:rsidRPr="00AD19BC">
              <w:rPr>
                <w:rFonts w:cs="Arial"/>
                <w:szCs w:val="20"/>
              </w:rPr>
              <w:t xml:space="preserve">se of the Nottingham health profile in an Australian study. </w:t>
            </w:r>
            <w:r w:rsidRPr="00AD19BC">
              <w:rPr>
                <w:rFonts w:cs="Arial"/>
                <w:i/>
                <w:szCs w:val="20"/>
              </w:rPr>
              <w:t>The Medical Journal of Australia</w:t>
            </w:r>
            <w:r w:rsidRPr="00AD19BC">
              <w:rPr>
                <w:rFonts w:cs="Arial"/>
                <w:szCs w:val="20"/>
              </w:rPr>
              <w:t>, Vol. 150, pp 581-590.</w:t>
            </w:r>
          </w:p>
        </w:tc>
        <w:tc>
          <w:tcPr>
            <w:tcW w:w="3828" w:type="dxa"/>
            <w:tcBorders>
              <w:top w:val="single" w:sz="8" w:space="0" w:color="auto"/>
              <w:left w:val="single" w:sz="8" w:space="0" w:color="auto"/>
              <w:bottom w:val="single" w:sz="8" w:space="0" w:color="auto"/>
              <w:right w:val="single" w:sz="8" w:space="0" w:color="auto"/>
            </w:tcBorders>
          </w:tcPr>
          <w:p w14:paraId="4019BE16"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369E2251" w14:textId="77777777" w:rsidR="00A213C3" w:rsidRPr="00AD19BC" w:rsidRDefault="00A213C3" w:rsidP="00E86D5D">
            <w:pPr>
              <w:spacing w:before="40" w:after="40" w:line="276" w:lineRule="auto"/>
              <w:jc w:val="left"/>
              <w:rPr>
                <w:rFonts w:cs="Arial"/>
                <w:szCs w:val="20"/>
              </w:rPr>
            </w:pPr>
          </w:p>
        </w:tc>
      </w:tr>
      <w:tr w:rsidR="00A213C3" w:rsidRPr="00AD19BC" w14:paraId="58FB1A08"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265DB000" w14:textId="77777777" w:rsidR="00A213C3" w:rsidRPr="00AD19BC" w:rsidRDefault="00A213C3" w:rsidP="00E86D5D">
            <w:pPr>
              <w:spacing w:before="40" w:after="40" w:line="276" w:lineRule="auto"/>
              <w:jc w:val="left"/>
              <w:rPr>
                <w:rFonts w:cs="Arial"/>
                <w:szCs w:val="20"/>
              </w:rPr>
            </w:pPr>
            <w:r w:rsidRPr="00AD19BC">
              <w:rPr>
                <w:rFonts w:cs="Arial"/>
                <w:szCs w:val="20"/>
              </w:rPr>
              <w:t>37</w:t>
            </w:r>
          </w:p>
        </w:tc>
        <w:tc>
          <w:tcPr>
            <w:tcW w:w="2079" w:type="dxa"/>
            <w:tcBorders>
              <w:top w:val="single" w:sz="8" w:space="0" w:color="auto"/>
              <w:left w:val="single" w:sz="8" w:space="0" w:color="auto"/>
              <w:bottom w:val="single" w:sz="8" w:space="0" w:color="auto"/>
              <w:right w:val="single" w:sz="8" w:space="0" w:color="auto"/>
            </w:tcBorders>
            <w:hideMark/>
          </w:tcPr>
          <w:p w14:paraId="7335B528" w14:textId="77777777" w:rsidR="00A213C3" w:rsidRPr="00AD19BC" w:rsidRDefault="00A213C3" w:rsidP="00E86D5D">
            <w:pPr>
              <w:spacing w:before="40" w:after="40" w:line="276" w:lineRule="auto"/>
              <w:jc w:val="left"/>
              <w:rPr>
                <w:rFonts w:cs="Arial"/>
                <w:szCs w:val="20"/>
              </w:rPr>
            </w:pPr>
            <w:r w:rsidRPr="00AD19BC">
              <w:rPr>
                <w:rFonts w:cs="Arial"/>
                <w:szCs w:val="20"/>
              </w:rPr>
              <w:t>Diagnoses</w:t>
            </w:r>
          </w:p>
        </w:tc>
        <w:tc>
          <w:tcPr>
            <w:tcW w:w="4158" w:type="dxa"/>
            <w:tcBorders>
              <w:top w:val="single" w:sz="8" w:space="0" w:color="auto"/>
              <w:left w:val="single" w:sz="8" w:space="0" w:color="auto"/>
              <w:bottom w:val="single" w:sz="8" w:space="0" w:color="auto"/>
              <w:right w:val="single" w:sz="8" w:space="0" w:color="auto"/>
            </w:tcBorders>
            <w:hideMark/>
          </w:tcPr>
          <w:p w14:paraId="6E73B278"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Modified from Australian Bureau of Statistics (1991). </w:t>
            </w:r>
            <w:r w:rsidRPr="00AD19BC">
              <w:rPr>
                <w:rFonts w:cs="Arial"/>
                <w:i/>
                <w:szCs w:val="20"/>
              </w:rPr>
              <w:t xml:space="preserve">1989-1990 National Health Survey Users’ Guide. </w:t>
            </w:r>
            <w:r w:rsidRPr="00AD19BC">
              <w:rPr>
                <w:rFonts w:cs="Arial"/>
                <w:szCs w:val="20"/>
              </w:rPr>
              <w:t>Canberra: ABS. Cat No. 4363.0</w:t>
            </w:r>
          </w:p>
        </w:tc>
        <w:tc>
          <w:tcPr>
            <w:tcW w:w="3828" w:type="dxa"/>
            <w:tcBorders>
              <w:top w:val="single" w:sz="8" w:space="0" w:color="auto"/>
              <w:left w:val="single" w:sz="8" w:space="0" w:color="auto"/>
              <w:bottom w:val="single" w:sz="8" w:space="0" w:color="auto"/>
              <w:right w:val="single" w:sz="8" w:space="0" w:color="auto"/>
            </w:tcBorders>
            <w:hideMark/>
          </w:tcPr>
          <w:p w14:paraId="67929802" w14:textId="77777777" w:rsidR="00A213C3" w:rsidRPr="00AD19BC" w:rsidRDefault="00A213C3" w:rsidP="00E86D5D">
            <w:pPr>
              <w:spacing w:before="40" w:after="40" w:line="276" w:lineRule="auto"/>
              <w:jc w:val="left"/>
              <w:rPr>
                <w:rFonts w:cs="Arial"/>
                <w:szCs w:val="20"/>
              </w:rPr>
            </w:pPr>
            <w:r w:rsidRPr="00AD19BC">
              <w:rPr>
                <w:rFonts w:cs="Arial"/>
                <w:szCs w:val="20"/>
              </w:rPr>
              <w:t>Additional conditions added to investigate prevalence of “ovarian cancer” and “Interstitial cystitis (or Painful Bladder Syndrome)”</w:t>
            </w:r>
          </w:p>
        </w:tc>
        <w:tc>
          <w:tcPr>
            <w:tcW w:w="2551" w:type="dxa"/>
            <w:tcBorders>
              <w:top w:val="single" w:sz="8" w:space="0" w:color="auto"/>
              <w:left w:val="single" w:sz="8" w:space="0" w:color="auto"/>
              <w:bottom w:val="single" w:sz="8" w:space="0" w:color="auto"/>
              <w:right w:val="single" w:sz="8" w:space="0" w:color="auto"/>
            </w:tcBorders>
          </w:tcPr>
          <w:p w14:paraId="7DDE6CA6" w14:textId="77777777" w:rsidR="00A213C3" w:rsidRPr="00AD19BC" w:rsidRDefault="00A213C3" w:rsidP="00E86D5D">
            <w:pPr>
              <w:spacing w:before="40" w:after="40" w:line="276" w:lineRule="auto"/>
              <w:jc w:val="left"/>
              <w:rPr>
                <w:rFonts w:cs="Arial"/>
                <w:szCs w:val="20"/>
              </w:rPr>
            </w:pPr>
          </w:p>
        </w:tc>
      </w:tr>
      <w:tr w:rsidR="00A213C3" w:rsidRPr="00AD19BC" w14:paraId="007CB7CB"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34229D51" w14:textId="77777777" w:rsidR="00A213C3" w:rsidRPr="00AD19BC" w:rsidRDefault="00A213C3" w:rsidP="00E86D5D">
            <w:pPr>
              <w:spacing w:before="40" w:after="40" w:line="276" w:lineRule="auto"/>
              <w:jc w:val="left"/>
              <w:rPr>
                <w:rFonts w:cs="Arial"/>
                <w:szCs w:val="20"/>
              </w:rPr>
            </w:pPr>
            <w:r w:rsidRPr="00AD19BC">
              <w:rPr>
                <w:rFonts w:cs="Arial"/>
                <w:szCs w:val="20"/>
              </w:rPr>
              <w:t>38</w:t>
            </w:r>
          </w:p>
        </w:tc>
        <w:tc>
          <w:tcPr>
            <w:tcW w:w="2079" w:type="dxa"/>
            <w:tcBorders>
              <w:top w:val="single" w:sz="8" w:space="0" w:color="auto"/>
              <w:left w:val="single" w:sz="8" w:space="0" w:color="auto"/>
              <w:bottom w:val="single" w:sz="8" w:space="0" w:color="auto"/>
              <w:right w:val="single" w:sz="8" w:space="0" w:color="auto"/>
            </w:tcBorders>
            <w:hideMark/>
          </w:tcPr>
          <w:p w14:paraId="2EFA024C" w14:textId="77777777" w:rsidR="00A213C3" w:rsidRPr="00AD19BC" w:rsidRDefault="00A213C3" w:rsidP="00E86D5D">
            <w:pPr>
              <w:spacing w:before="40" w:after="40" w:line="276" w:lineRule="auto"/>
              <w:jc w:val="left"/>
              <w:rPr>
                <w:rFonts w:cs="Arial"/>
                <w:szCs w:val="20"/>
              </w:rPr>
            </w:pPr>
            <w:r w:rsidRPr="00AD19BC">
              <w:rPr>
                <w:rFonts w:cs="Arial"/>
                <w:szCs w:val="20"/>
              </w:rPr>
              <w:t>Operations/</w:t>
            </w:r>
          </w:p>
          <w:p w14:paraId="4836D73B" w14:textId="77777777" w:rsidR="00A213C3" w:rsidRPr="00AD19BC" w:rsidRDefault="00A213C3" w:rsidP="00E86D5D">
            <w:pPr>
              <w:spacing w:before="40" w:after="40" w:line="276" w:lineRule="auto"/>
              <w:jc w:val="left"/>
              <w:rPr>
                <w:rFonts w:cs="Arial"/>
                <w:szCs w:val="20"/>
              </w:rPr>
            </w:pPr>
            <w:r w:rsidRPr="00AD19BC">
              <w:rPr>
                <w:rFonts w:cs="Arial"/>
                <w:szCs w:val="20"/>
              </w:rPr>
              <w:t>procedures</w:t>
            </w:r>
          </w:p>
        </w:tc>
        <w:tc>
          <w:tcPr>
            <w:tcW w:w="4158" w:type="dxa"/>
            <w:tcBorders>
              <w:top w:val="single" w:sz="8" w:space="0" w:color="auto"/>
              <w:left w:val="single" w:sz="8" w:space="0" w:color="auto"/>
              <w:bottom w:val="single" w:sz="8" w:space="0" w:color="auto"/>
              <w:right w:val="single" w:sz="8" w:space="0" w:color="auto"/>
            </w:tcBorders>
            <w:hideMark/>
          </w:tcPr>
          <w:p w14:paraId="7AEBC00E"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4133E02F"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7E2C31BA" w14:textId="77777777" w:rsidR="00A213C3" w:rsidRPr="00AD19BC" w:rsidRDefault="00A213C3" w:rsidP="00E86D5D">
            <w:pPr>
              <w:spacing w:before="40" w:after="40" w:line="276" w:lineRule="auto"/>
              <w:jc w:val="left"/>
              <w:rPr>
                <w:rFonts w:cs="Arial"/>
                <w:szCs w:val="20"/>
              </w:rPr>
            </w:pPr>
          </w:p>
        </w:tc>
      </w:tr>
      <w:tr w:rsidR="00A213C3" w:rsidRPr="00AD19BC" w14:paraId="4591931F"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4BA386BD" w14:textId="77777777" w:rsidR="00A213C3" w:rsidRPr="00AD19BC" w:rsidRDefault="00A213C3" w:rsidP="00E86D5D">
            <w:pPr>
              <w:spacing w:before="40" w:after="40" w:line="276" w:lineRule="auto"/>
              <w:jc w:val="left"/>
              <w:rPr>
                <w:rFonts w:cs="Arial"/>
                <w:szCs w:val="20"/>
              </w:rPr>
            </w:pPr>
            <w:r w:rsidRPr="00AD19BC">
              <w:rPr>
                <w:rFonts w:cs="Arial"/>
                <w:szCs w:val="20"/>
              </w:rPr>
              <w:t>39</w:t>
            </w:r>
          </w:p>
        </w:tc>
        <w:tc>
          <w:tcPr>
            <w:tcW w:w="2079" w:type="dxa"/>
            <w:tcBorders>
              <w:top w:val="single" w:sz="8" w:space="0" w:color="auto"/>
              <w:left w:val="single" w:sz="8" w:space="0" w:color="auto"/>
              <w:bottom w:val="single" w:sz="8" w:space="0" w:color="auto"/>
              <w:right w:val="single" w:sz="8" w:space="0" w:color="auto"/>
            </w:tcBorders>
            <w:hideMark/>
          </w:tcPr>
          <w:p w14:paraId="5B74F001" w14:textId="77777777" w:rsidR="00A213C3" w:rsidRPr="00AD19BC" w:rsidRDefault="00A213C3" w:rsidP="00E86D5D">
            <w:pPr>
              <w:spacing w:before="40" w:after="40" w:line="276" w:lineRule="auto"/>
              <w:jc w:val="left"/>
              <w:rPr>
                <w:rFonts w:cs="Arial"/>
                <w:szCs w:val="20"/>
              </w:rPr>
            </w:pPr>
            <w:r w:rsidRPr="00AD19BC">
              <w:rPr>
                <w:rFonts w:cs="Arial"/>
                <w:szCs w:val="20"/>
              </w:rPr>
              <w:t>Hysterectomy</w:t>
            </w:r>
          </w:p>
        </w:tc>
        <w:tc>
          <w:tcPr>
            <w:tcW w:w="4158" w:type="dxa"/>
            <w:tcBorders>
              <w:top w:val="single" w:sz="8" w:space="0" w:color="auto"/>
              <w:left w:val="single" w:sz="8" w:space="0" w:color="auto"/>
              <w:bottom w:val="single" w:sz="8" w:space="0" w:color="auto"/>
              <w:right w:val="single" w:sz="8" w:space="0" w:color="auto"/>
            </w:tcBorders>
            <w:hideMark/>
          </w:tcPr>
          <w:p w14:paraId="30283885"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120D1E36"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1C4CB391" w14:textId="77777777" w:rsidR="00A213C3" w:rsidRPr="00AD19BC" w:rsidRDefault="00A213C3" w:rsidP="00E86D5D">
            <w:pPr>
              <w:spacing w:before="40" w:after="40" w:line="276" w:lineRule="auto"/>
              <w:jc w:val="left"/>
              <w:rPr>
                <w:rFonts w:cs="Arial"/>
                <w:szCs w:val="20"/>
              </w:rPr>
            </w:pPr>
          </w:p>
        </w:tc>
      </w:tr>
      <w:tr w:rsidR="00A213C3" w:rsidRPr="00AD19BC" w14:paraId="6B32B70A"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7CC5F71B" w14:textId="77777777" w:rsidR="00A213C3" w:rsidRPr="00AD19BC" w:rsidRDefault="00A213C3" w:rsidP="00E86D5D">
            <w:pPr>
              <w:spacing w:before="40" w:after="40" w:line="276" w:lineRule="auto"/>
              <w:jc w:val="left"/>
              <w:rPr>
                <w:rFonts w:cs="Arial"/>
                <w:szCs w:val="20"/>
              </w:rPr>
            </w:pPr>
            <w:r w:rsidRPr="00AD19BC">
              <w:rPr>
                <w:rFonts w:cs="Arial"/>
                <w:szCs w:val="20"/>
              </w:rPr>
              <w:t>40</w:t>
            </w:r>
          </w:p>
        </w:tc>
        <w:tc>
          <w:tcPr>
            <w:tcW w:w="2079" w:type="dxa"/>
            <w:tcBorders>
              <w:top w:val="single" w:sz="8" w:space="0" w:color="auto"/>
              <w:left w:val="single" w:sz="8" w:space="0" w:color="auto"/>
              <w:bottom w:val="single" w:sz="8" w:space="0" w:color="auto"/>
              <w:right w:val="single" w:sz="8" w:space="0" w:color="auto"/>
            </w:tcBorders>
            <w:hideMark/>
          </w:tcPr>
          <w:p w14:paraId="51A5C7C2" w14:textId="77777777" w:rsidR="00A213C3" w:rsidRPr="00AD19BC" w:rsidRDefault="00A213C3" w:rsidP="00E86D5D">
            <w:pPr>
              <w:spacing w:before="40" w:after="40" w:line="276" w:lineRule="auto"/>
              <w:jc w:val="left"/>
              <w:rPr>
                <w:rFonts w:cs="Arial"/>
                <w:szCs w:val="20"/>
              </w:rPr>
            </w:pPr>
            <w:r w:rsidRPr="00AD19BC">
              <w:rPr>
                <w:rFonts w:cs="Arial"/>
                <w:szCs w:val="20"/>
              </w:rPr>
              <w:t>Weight</w:t>
            </w:r>
          </w:p>
        </w:tc>
        <w:tc>
          <w:tcPr>
            <w:tcW w:w="4158" w:type="dxa"/>
            <w:tcBorders>
              <w:top w:val="single" w:sz="8" w:space="0" w:color="auto"/>
              <w:left w:val="single" w:sz="8" w:space="0" w:color="auto"/>
              <w:bottom w:val="single" w:sz="8" w:space="0" w:color="auto"/>
              <w:right w:val="single" w:sz="8" w:space="0" w:color="auto"/>
            </w:tcBorders>
            <w:hideMark/>
          </w:tcPr>
          <w:p w14:paraId="5FED4E8B"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2DEB0802"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2C9F0294" w14:textId="77777777" w:rsidR="00A213C3" w:rsidRPr="00AD19BC" w:rsidRDefault="00A213C3" w:rsidP="00E86D5D">
            <w:pPr>
              <w:spacing w:before="40" w:after="40" w:line="276" w:lineRule="auto"/>
              <w:jc w:val="left"/>
              <w:rPr>
                <w:rFonts w:cs="Arial"/>
                <w:szCs w:val="20"/>
              </w:rPr>
            </w:pPr>
          </w:p>
        </w:tc>
      </w:tr>
      <w:tr w:rsidR="00A213C3" w:rsidRPr="00AD19BC" w14:paraId="36CFE1F9"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13A4DB38" w14:textId="77777777" w:rsidR="00A213C3" w:rsidRPr="00AD19BC" w:rsidRDefault="00A213C3" w:rsidP="00E86D5D">
            <w:pPr>
              <w:spacing w:before="40" w:after="40" w:line="276" w:lineRule="auto"/>
              <w:jc w:val="left"/>
              <w:rPr>
                <w:rFonts w:cs="Arial"/>
                <w:szCs w:val="20"/>
              </w:rPr>
            </w:pPr>
            <w:r w:rsidRPr="00AD19BC">
              <w:rPr>
                <w:rFonts w:cs="Arial"/>
                <w:szCs w:val="20"/>
              </w:rPr>
              <w:t>41</w:t>
            </w:r>
          </w:p>
        </w:tc>
        <w:tc>
          <w:tcPr>
            <w:tcW w:w="2079" w:type="dxa"/>
            <w:tcBorders>
              <w:top w:val="single" w:sz="8" w:space="0" w:color="auto"/>
              <w:left w:val="single" w:sz="8" w:space="0" w:color="auto"/>
              <w:bottom w:val="single" w:sz="8" w:space="0" w:color="auto"/>
              <w:right w:val="single" w:sz="8" w:space="0" w:color="auto"/>
            </w:tcBorders>
            <w:hideMark/>
          </w:tcPr>
          <w:p w14:paraId="367AAC11" w14:textId="77777777" w:rsidR="00A213C3" w:rsidRPr="00AD19BC" w:rsidRDefault="00A213C3" w:rsidP="00E86D5D">
            <w:pPr>
              <w:spacing w:before="40" w:after="40" w:line="276" w:lineRule="auto"/>
              <w:jc w:val="left"/>
              <w:rPr>
                <w:rFonts w:cs="Arial"/>
                <w:szCs w:val="20"/>
              </w:rPr>
            </w:pPr>
            <w:r w:rsidRPr="00AD19BC">
              <w:rPr>
                <w:rFonts w:cs="Arial"/>
                <w:szCs w:val="20"/>
              </w:rPr>
              <w:t>Height</w:t>
            </w:r>
          </w:p>
        </w:tc>
        <w:tc>
          <w:tcPr>
            <w:tcW w:w="4158" w:type="dxa"/>
            <w:tcBorders>
              <w:top w:val="single" w:sz="8" w:space="0" w:color="auto"/>
              <w:left w:val="single" w:sz="8" w:space="0" w:color="auto"/>
              <w:bottom w:val="single" w:sz="8" w:space="0" w:color="auto"/>
              <w:right w:val="single" w:sz="8" w:space="0" w:color="auto"/>
            </w:tcBorders>
            <w:hideMark/>
          </w:tcPr>
          <w:p w14:paraId="1B27CEE9"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6139861A"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76DA7BE4" w14:textId="77777777" w:rsidR="00A213C3" w:rsidRPr="00AD19BC" w:rsidRDefault="00A213C3" w:rsidP="00E86D5D">
            <w:pPr>
              <w:spacing w:before="40" w:after="40" w:line="276" w:lineRule="auto"/>
              <w:jc w:val="left"/>
              <w:rPr>
                <w:rFonts w:cs="Arial"/>
                <w:szCs w:val="20"/>
              </w:rPr>
            </w:pPr>
          </w:p>
        </w:tc>
      </w:tr>
      <w:tr w:rsidR="00A213C3" w:rsidRPr="00AD19BC" w14:paraId="4C6BA64E"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601CE8F1" w14:textId="77777777" w:rsidR="00A213C3" w:rsidRPr="00AD19BC" w:rsidRDefault="00A213C3" w:rsidP="00E86D5D">
            <w:pPr>
              <w:spacing w:before="40" w:after="40" w:line="276" w:lineRule="auto"/>
              <w:jc w:val="left"/>
              <w:rPr>
                <w:rFonts w:cs="Arial"/>
                <w:szCs w:val="20"/>
              </w:rPr>
            </w:pPr>
            <w:r w:rsidRPr="00AD19BC">
              <w:rPr>
                <w:rFonts w:cs="Arial"/>
                <w:szCs w:val="20"/>
              </w:rPr>
              <w:t>42</w:t>
            </w:r>
          </w:p>
        </w:tc>
        <w:tc>
          <w:tcPr>
            <w:tcW w:w="2079" w:type="dxa"/>
            <w:tcBorders>
              <w:top w:val="single" w:sz="8" w:space="0" w:color="auto"/>
              <w:left w:val="single" w:sz="8" w:space="0" w:color="auto"/>
              <w:bottom w:val="single" w:sz="8" w:space="0" w:color="auto"/>
              <w:right w:val="single" w:sz="8" w:space="0" w:color="auto"/>
            </w:tcBorders>
            <w:hideMark/>
          </w:tcPr>
          <w:p w14:paraId="50215D6F" w14:textId="77777777" w:rsidR="00A213C3" w:rsidRPr="00AD19BC" w:rsidRDefault="00A213C3" w:rsidP="00E86D5D">
            <w:pPr>
              <w:spacing w:before="40" w:after="40" w:line="276" w:lineRule="auto"/>
              <w:jc w:val="left"/>
              <w:rPr>
                <w:rFonts w:cs="Arial"/>
                <w:szCs w:val="20"/>
              </w:rPr>
            </w:pPr>
            <w:r w:rsidRPr="00AD19BC">
              <w:rPr>
                <w:rFonts w:cs="Arial"/>
                <w:szCs w:val="20"/>
              </w:rPr>
              <w:t>Waist measurement</w:t>
            </w:r>
          </w:p>
        </w:tc>
        <w:tc>
          <w:tcPr>
            <w:tcW w:w="4158" w:type="dxa"/>
            <w:tcBorders>
              <w:top w:val="single" w:sz="8" w:space="0" w:color="auto"/>
              <w:left w:val="single" w:sz="8" w:space="0" w:color="auto"/>
              <w:bottom w:val="single" w:sz="8" w:space="0" w:color="auto"/>
              <w:right w:val="single" w:sz="8" w:space="0" w:color="auto"/>
            </w:tcBorders>
            <w:hideMark/>
          </w:tcPr>
          <w:p w14:paraId="2B0A5D24"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47A4048C"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7A4F39DC" w14:textId="77777777" w:rsidR="00A213C3" w:rsidRPr="00AD19BC" w:rsidRDefault="00A213C3" w:rsidP="00E86D5D">
            <w:pPr>
              <w:spacing w:before="40" w:after="40" w:line="276" w:lineRule="auto"/>
              <w:jc w:val="left"/>
              <w:rPr>
                <w:rFonts w:cs="Arial"/>
                <w:szCs w:val="20"/>
              </w:rPr>
            </w:pPr>
          </w:p>
        </w:tc>
      </w:tr>
      <w:tr w:rsidR="00A213C3" w:rsidRPr="00AD19BC" w14:paraId="3E89EC14"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58D7E210" w14:textId="77777777" w:rsidR="00A213C3" w:rsidRPr="00AD19BC" w:rsidRDefault="00A213C3" w:rsidP="00E86D5D">
            <w:pPr>
              <w:spacing w:before="40" w:after="40" w:line="276" w:lineRule="auto"/>
              <w:jc w:val="left"/>
              <w:rPr>
                <w:rFonts w:cs="Arial"/>
                <w:szCs w:val="20"/>
              </w:rPr>
            </w:pPr>
            <w:r w:rsidRPr="00AD19BC">
              <w:rPr>
                <w:rFonts w:cs="Arial"/>
                <w:szCs w:val="20"/>
              </w:rPr>
              <w:t>43</w:t>
            </w:r>
          </w:p>
        </w:tc>
        <w:tc>
          <w:tcPr>
            <w:tcW w:w="2079" w:type="dxa"/>
            <w:tcBorders>
              <w:top w:val="single" w:sz="8" w:space="0" w:color="auto"/>
              <w:left w:val="single" w:sz="8" w:space="0" w:color="auto"/>
              <w:bottom w:val="single" w:sz="8" w:space="0" w:color="auto"/>
              <w:right w:val="single" w:sz="8" w:space="0" w:color="auto"/>
            </w:tcBorders>
            <w:hideMark/>
          </w:tcPr>
          <w:p w14:paraId="6D0876F2" w14:textId="77777777" w:rsidR="00A213C3" w:rsidRPr="00AD19BC" w:rsidRDefault="00A213C3" w:rsidP="00E86D5D">
            <w:pPr>
              <w:spacing w:before="40" w:after="40" w:line="276" w:lineRule="auto"/>
              <w:jc w:val="left"/>
              <w:rPr>
                <w:rFonts w:cs="Arial"/>
                <w:szCs w:val="20"/>
              </w:rPr>
            </w:pPr>
            <w:r w:rsidRPr="00AD19BC">
              <w:rPr>
                <w:rFonts w:cs="Arial"/>
                <w:szCs w:val="20"/>
              </w:rPr>
              <w:t>Medications</w:t>
            </w:r>
          </w:p>
        </w:tc>
        <w:tc>
          <w:tcPr>
            <w:tcW w:w="4158" w:type="dxa"/>
            <w:tcBorders>
              <w:top w:val="single" w:sz="8" w:space="0" w:color="auto"/>
              <w:left w:val="single" w:sz="8" w:space="0" w:color="auto"/>
              <w:bottom w:val="single" w:sz="8" w:space="0" w:color="auto"/>
              <w:right w:val="single" w:sz="8" w:space="0" w:color="auto"/>
            </w:tcBorders>
            <w:hideMark/>
          </w:tcPr>
          <w:p w14:paraId="78C81AC5"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hideMark/>
          </w:tcPr>
          <w:p w14:paraId="2FB7F752"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Broke up question grid to make it easier to read. Deleted response “Lysine” due to high missing values in </w:t>
            </w:r>
            <w:r>
              <w:rPr>
                <w:rFonts w:cs="Arial"/>
                <w:szCs w:val="20"/>
              </w:rPr>
              <w:t>Survey 9</w:t>
            </w:r>
            <w:r w:rsidRPr="00AD19BC">
              <w:rPr>
                <w:rFonts w:cs="Arial"/>
                <w:szCs w:val="20"/>
              </w:rPr>
              <w:t xml:space="preserve">. </w:t>
            </w:r>
          </w:p>
        </w:tc>
        <w:tc>
          <w:tcPr>
            <w:tcW w:w="2551" w:type="dxa"/>
            <w:tcBorders>
              <w:top w:val="single" w:sz="8" w:space="0" w:color="auto"/>
              <w:left w:val="single" w:sz="8" w:space="0" w:color="auto"/>
              <w:bottom w:val="single" w:sz="8" w:space="0" w:color="auto"/>
              <w:right w:val="single" w:sz="8" w:space="0" w:color="auto"/>
            </w:tcBorders>
          </w:tcPr>
          <w:p w14:paraId="3F97D317" w14:textId="77777777" w:rsidR="00A213C3" w:rsidRPr="00AD19BC" w:rsidRDefault="00A213C3" w:rsidP="00E86D5D">
            <w:pPr>
              <w:spacing w:before="40" w:after="40" w:line="276" w:lineRule="auto"/>
              <w:jc w:val="left"/>
              <w:rPr>
                <w:rFonts w:cs="Arial"/>
                <w:szCs w:val="20"/>
              </w:rPr>
            </w:pPr>
          </w:p>
        </w:tc>
      </w:tr>
      <w:tr w:rsidR="00A213C3" w:rsidRPr="00AD19BC" w14:paraId="612B1974"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4C32831F" w14:textId="77777777" w:rsidR="00A213C3" w:rsidRPr="00AD19BC" w:rsidRDefault="00A213C3" w:rsidP="00E86D5D">
            <w:pPr>
              <w:spacing w:before="40" w:after="40" w:line="276" w:lineRule="auto"/>
              <w:jc w:val="left"/>
              <w:rPr>
                <w:rFonts w:cs="Arial"/>
                <w:szCs w:val="20"/>
              </w:rPr>
            </w:pPr>
            <w:r w:rsidRPr="00AD19BC">
              <w:rPr>
                <w:rFonts w:cs="Arial"/>
                <w:szCs w:val="20"/>
              </w:rPr>
              <w:t>44</w:t>
            </w:r>
          </w:p>
        </w:tc>
        <w:tc>
          <w:tcPr>
            <w:tcW w:w="2079" w:type="dxa"/>
            <w:tcBorders>
              <w:top w:val="single" w:sz="8" w:space="0" w:color="auto"/>
              <w:left w:val="single" w:sz="8" w:space="0" w:color="auto"/>
              <w:bottom w:val="single" w:sz="8" w:space="0" w:color="auto"/>
              <w:right w:val="single" w:sz="8" w:space="0" w:color="auto"/>
            </w:tcBorders>
            <w:hideMark/>
          </w:tcPr>
          <w:p w14:paraId="48DD1D85" w14:textId="77777777" w:rsidR="00A213C3" w:rsidRPr="00AD19BC" w:rsidRDefault="00A213C3" w:rsidP="00E86D5D">
            <w:pPr>
              <w:spacing w:before="40" w:after="40" w:line="276" w:lineRule="auto"/>
              <w:jc w:val="left"/>
              <w:rPr>
                <w:rFonts w:cs="Arial"/>
                <w:szCs w:val="20"/>
              </w:rPr>
            </w:pPr>
            <w:r w:rsidRPr="00AD19BC">
              <w:rPr>
                <w:rFonts w:cs="Arial"/>
                <w:szCs w:val="20"/>
              </w:rPr>
              <w:t>Symptoms</w:t>
            </w:r>
          </w:p>
        </w:tc>
        <w:tc>
          <w:tcPr>
            <w:tcW w:w="4158" w:type="dxa"/>
            <w:tcBorders>
              <w:top w:val="single" w:sz="8" w:space="0" w:color="auto"/>
              <w:left w:val="single" w:sz="8" w:space="0" w:color="auto"/>
              <w:bottom w:val="single" w:sz="8" w:space="0" w:color="auto"/>
              <w:right w:val="single" w:sz="8" w:space="0" w:color="auto"/>
            </w:tcBorders>
            <w:hideMark/>
          </w:tcPr>
          <w:p w14:paraId="65C24850"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ALSWH </w:t>
            </w:r>
          </w:p>
        </w:tc>
        <w:tc>
          <w:tcPr>
            <w:tcW w:w="3828" w:type="dxa"/>
            <w:tcBorders>
              <w:top w:val="single" w:sz="8" w:space="0" w:color="auto"/>
              <w:left w:val="single" w:sz="8" w:space="0" w:color="auto"/>
              <w:bottom w:val="single" w:sz="8" w:space="0" w:color="auto"/>
              <w:right w:val="single" w:sz="8" w:space="0" w:color="auto"/>
            </w:tcBorders>
          </w:tcPr>
          <w:p w14:paraId="695D0C76"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31B3FE2F" w14:textId="77777777" w:rsidR="00A213C3" w:rsidRPr="00AD19BC" w:rsidRDefault="00A213C3" w:rsidP="00E86D5D">
            <w:pPr>
              <w:spacing w:before="40" w:after="40" w:line="276" w:lineRule="auto"/>
              <w:jc w:val="left"/>
              <w:rPr>
                <w:rFonts w:cs="Arial"/>
                <w:szCs w:val="20"/>
              </w:rPr>
            </w:pPr>
          </w:p>
        </w:tc>
      </w:tr>
      <w:tr w:rsidR="00A213C3" w:rsidRPr="00AD19BC" w14:paraId="7997751B"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4D7C62D0" w14:textId="77777777" w:rsidR="00A213C3" w:rsidRPr="00AD19BC" w:rsidRDefault="00A213C3" w:rsidP="00E86D5D">
            <w:pPr>
              <w:spacing w:before="40" w:after="40" w:line="276" w:lineRule="auto"/>
              <w:jc w:val="left"/>
              <w:rPr>
                <w:rFonts w:cs="Arial"/>
                <w:szCs w:val="20"/>
              </w:rPr>
            </w:pPr>
            <w:r w:rsidRPr="00AD19BC">
              <w:rPr>
                <w:rFonts w:cs="Arial"/>
                <w:szCs w:val="20"/>
              </w:rPr>
              <w:t>45</w:t>
            </w:r>
          </w:p>
        </w:tc>
        <w:tc>
          <w:tcPr>
            <w:tcW w:w="2079" w:type="dxa"/>
            <w:tcBorders>
              <w:top w:val="single" w:sz="8" w:space="0" w:color="auto"/>
              <w:left w:val="single" w:sz="8" w:space="0" w:color="auto"/>
              <w:bottom w:val="single" w:sz="8" w:space="0" w:color="auto"/>
              <w:right w:val="single" w:sz="8" w:space="0" w:color="auto"/>
            </w:tcBorders>
            <w:hideMark/>
          </w:tcPr>
          <w:p w14:paraId="37E7A014" w14:textId="77777777" w:rsidR="00A213C3" w:rsidRPr="00AD19BC" w:rsidRDefault="00A213C3" w:rsidP="00E86D5D">
            <w:pPr>
              <w:spacing w:before="40" w:after="40" w:line="276" w:lineRule="auto"/>
              <w:jc w:val="left"/>
              <w:rPr>
                <w:rFonts w:cs="Arial"/>
                <w:szCs w:val="20"/>
              </w:rPr>
            </w:pPr>
            <w:r w:rsidRPr="00AD19BC">
              <w:rPr>
                <w:rFonts w:cs="Arial"/>
                <w:szCs w:val="20"/>
              </w:rPr>
              <w:t>Oral Health</w:t>
            </w:r>
          </w:p>
        </w:tc>
        <w:tc>
          <w:tcPr>
            <w:tcW w:w="4158" w:type="dxa"/>
            <w:tcBorders>
              <w:top w:val="single" w:sz="8" w:space="0" w:color="auto"/>
              <w:left w:val="single" w:sz="8" w:space="0" w:color="auto"/>
              <w:bottom w:val="single" w:sz="8" w:space="0" w:color="auto"/>
              <w:right w:val="single" w:sz="8" w:space="0" w:color="auto"/>
            </w:tcBorders>
            <w:hideMark/>
          </w:tcPr>
          <w:p w14:paraId="4BF4E2ED"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Modified from Carter KD &amp; Stewart JF. (2002). </w:t>
            </w:r>
            <w:r w:rsidRPr="00AD19BC">
              <w:rPr>
                <w:rFonts w:cs="Arial"/>
                <w:i/>
                <w:szCs w:val="20"/>
              </w:rPr>
              <w:t xml:space="preserve">National Dental Telephone Interview </w:t>
            </w:r>
            <w:r w:rsidRPr="00AD19BC">
              <w:rPr>
                <w:rFonts w:cs="Arial"/>
                <w:i/>
                <w:szCs w:val="20"/>
              </w:rPr>
              <w:lastRenderedPageBreak/>
              <w:t>Survey 2002.</w:t>
            </w:r>
            <w:r w:rsidRPr="00AD19BC">
              <w:rPr>
                <w:rFonts w:cs="Arial"/>
                <w:szCs w:val="20"/>
              </w:rPr>
              <w:t xml:space="preserve"> The AIHW Dental Statistics and Research Unit, University of Adelaide.</w:t>
            </w:r>
          </w:p>
        </w:tc>
        <w:tc>
          <w:tcPr>
            <w:tcW w:w="3828" w:type="dxa"/>
            <w:tcBorders>
              <w:top w:val="single" w:sz="8" w:space="0" w:color="auto"/>
              <w:left w:val="single" w:sz="8" w:space="0" w:color="auto"/>
              <w:bottom w:val="single" w:sz="8" w:space="0" w:color="auto"/>
              <w:right w:val="single" w:sz="8" w:space="0" w:color="auto"/>
            </w:tcBorders>
          </w:tcPr>
          <w:p w14:paraId="0CB278C4"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35CFA270" w14:textId="77777777" w:rsidR="00A213C3" w:rsidRPr="00AD19BC" w:rsidRDefault="00A213C3" w:rsidP="00E86D5D">
            <w:pPr>
              <w:spacing w:before="40" w:after="40" w:line="276" w:lineRule="auto"/>
              <w:jc w:val="left"/>
              <w:rPr>
                <w:rFonts w:cs="Arial"/>
                <w:szCs w:val="20"/>
              </w:rPr>
            </w:pPr>
          </w:p>
        </w:tc>
      </w:tr>
      <w:tr w:rsidR="00A213C3" w:rsidRPr="00AD19BC" w14:paraId="36A17100"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42748585" w14:textId="77777777" w:rsidR="00A213C3" w:rsidRPr="00AD19BC" w:rsidRDefault="00A213C3" w:rsidP="00E86D5D">
            <w:pPr>
              <w:spacing w:before="40" w:after="40" w:line="276" w:lineRule="auto"/>
              <w:jc w:val="left"/>
              <w:rPr>
                <w:rFonts w:cs="Arial"/>
                <w:szCs w:val="20"/>
              </w:rPr>
            </w:pPr>
            <w:r w:rsidRPr="00AD19BC">
              <w:rPr>
                <w:rFonts w:cs="Arial"/>
                <w:szCs w:val="20"/>
              </w:rPr>
              <w:t>46</w:t>
            </w:r>
          </w:p>
        </w:tc>
        <w:tc>
          <w:tcPr>
            <w:tcW w:w="2079" w:type="dxa"/>
            <w:tcBorders>
              <w:top w:val="single" w:sz="8" w:space="0" w:color="auto"/>
              <w:left w:val="single" w:sz="8" w:space="0" w:color="auto"/>
              <w:bottom w:val="single" w:sz="8" w:space="0" w:color="auto"/>
              <w:right w:val="single" w:sz="8" w:space="0" w:color="auto"/>
            </w:tcBorders>
            <w:hideMark/>
          </w:tcPr>
          <w:p w14:paraId="0B330AC6" w14:textId="77777777" w:rsidR="00A213C3" w:rsidRPr="00AD19BC" w:rsidRDefault="00A213C3" w:rsidP="00E86D5D">
            <w:pPr>
              <w:spacing w:before="40" w:after="40" w:line="276" w:lineRule="auto"/>
              <w:jc w:val="left"/>
              <w:rPr>
                <w:rFonts w:cs="Arial"/>
                <w:szCs w:val="20"/>
              </w:rPr>
            </w:pPr>
            <w:r w:rsidRPr="00AD19BC">
              <w:rPr>
                <w:rFonts w:cs="Arial"/>
                <w:szCs w:val="20"/>
              </w:rPr>
              <w:t>Ageism</w:t>
            </w:r>
          </w:p>
        </w:tc>
        <w:tc>
          <w:tcPr>
            <w:tcW w:w="4158" w:type="dxa"/>
            <w:tcBorders>
              <w:top w:val="single" w:sz="8" w:space="0" w:color="auto"/>
              <w:left w:val="single" w:sz="8" w:space="0" w:color="auto"/>
              <w:bottom w:val="single" w:sz="8" w:space="0" w:color="auto"/>
              <w:right w:val="single" w:sz="8" w:space="0" w:color="auto"/>
            </w:tcBorders>
          </w:tcPr>
          <w:p w14:paraId="4030FE09" w14:textId="77777777" w:rsidR="00A213C3" w:rsidRPr="00AD19BC" w:rsidRDefault="00A213C3" w:rsidP="00E86D5D">
            <w:pPr>
              <w:spacing w:before="40" w:after="40" w:line="276" w:lineRule="auto"/>
              <w:jc w:val="left"/>
              <w:rPr>
                <w:rFonts w:cs="Arial"/>
                <w:szCs w:val="20"/>
              </w:rPr>
            </w:pPr>
            <w:r w:rsidRPr="00AD19BC">
              <w:rPr>
                <w:rFonts w:cs="Arial"/>
                <w:szCs w:val="20"/>
              </w:rPr>
              <w:t>Ageism survey developed by Palmore (2001).</w:t>
            </w:r>
          </w:p>
          <w:p w14:paraId="328E6A46" w14:textId="77777777" w:rsidR="00A213C3" w:rsidRPr="00AD19BC" w:rsidRDefault="00A213C3" w:rsidP="00E86D5D">
            <w:pPr>
              <w:spacing w:before="40" w:after="40" w:line="276" w:lineRule="auto"/>
              <w:jc w:val="left"/>
              <w:rPr>
                <w:rFonts w:cs="Arial"/>
                <w:szCs w:val="20"/>
                <w:highlight w:val="yellow"/>
              </w:rPr>
            </w:pPr>
          </w:p>
        </w:tc>
        <w:tc>
          <w:tcPr>
            <w:tcW w:w="3828" w:type="dxa"/>
            <w:tcBorders>
              <w:top w:val="single" w:sz="8" w:space="0" w:color="auto"/>
              <w:left w:val="single" w:sz="8" w:space="0" w:color="auto"/>
              <w:bottom w:val="single" w:sz="8" w:space="0" w:color="auto"/>
              <w:right w:val="single" w:sz="8" w:space="0" w:color="auto"/>
            </w:tcBorders>
          </w:tcPr>
          <w:p w14:paraId="1C8FD274"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54896982" w14:textId="77777777" w:rsidR="00A213C3" w:rsidRPr="00AD19BC" w:rsidRDefault="00A213C3" w:rsidP="00E86D5D">
            <w:pPr>
              <w:spacing w:before="40" w:after="40" w:line="276" w:lineRule="auto"/>
              <w:jc w:val="left"/>
              <w:rPr>
                <w:rFonts w:cs="Arial"/>
                <w:szCs w:val="20"/>
              </w:rPr>
            </w:pPr>
          </w:p>
        </w:tc>
      </w:tr>
      <w:tr w:rsidR="00A213C3" w:rsidRPr="00AD19BC" w14:paraId="7ECBF14A"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6A78DF7E" w14:textId="77777777" w:rsidR="00A213C3" w:rsidRPr="00AD19BC" w:rsidRDefault="00A213C3" w:rsidP="00E86D5D">
            <w:pPr>
              <w:spacing w:before="40" w:after="40" w:line="276" w:lineRule="auto"/>
              <w:jc w:val="left"/>
              <w:rPr>
                <w:rFonts w:cs="Arial"/>
                <w:szCs w:val="20"/>
              </w:rPr>
            </w:pPr>
            <w:r w:rsidRPr="00AD19BC">
              <w:rPr>
                <w:rFonts w:cs="Arial"/>
                <w:szCs w:val="20"/>
              </w:rPr>
              <w:t>47</w:t>
            </w:r>
          </w:p>
        </w:tc>
        <w:tc>
          <w:tcPr>
            <w:tcW w:w="2079" w:type="dxa"/>
            <w:tcBorders>
              <w:top w:val="single" w:sz="8" w:space="0" w:color="auto"/>
              <w:left w:val="single" w:sz="8" w:space="0" w:color="auto"/>
              <w:bottom w:val="single" w:sz="8" w:space="0" w:color="auto"/>
              <w:right w:val="single" w:sz="8" w:space="0" w:color="auto"/>
            </w:tcBorders>
            <w:hideMark/>
          </w:tcPr>
          <w:p w14:paraId="3A22E474" w14:textId="77777777" w:rsidR="00A213C3" w:rsidRPr="00AD19BC" w:rsidRDefault="00A213C3" w:rsidP="00E86D5D">
            <w:pPr>
              <w:spacing w:before="40" w:after="40" w:line="276" w:lineRule="auto"/>
              <w:jc w:val="left"/>
              <w:rPr>
                <w:rFonts w:cs="Arial"/>
                <w:szCs w:val="20"/>
              </w:rPr>
            </w:pPr>
            <w:r w:rsidRPr="00AD19BC">
              <w:rPr>
                <w:rFonts w:cs="Arial"/>
                <w:szCs w:val="20"/>
              </w:rPr>
              <w:t>Pelvic Organ Prolapse diagnosed/ treated</w:t>
            </w:r>
          </w:p>
        </w:tc>
        <w:tc>
          <w:tcPr>
            <w:tcW w:w="4158" w:type="dxa"/>
            <w:tcBorders>
              <w:top w:val="single" w:sz="8" w:space="0" w:color="auto"/>
              <w:left w:val="single" w:sz="8" w:space="0" w:color="auto"/>
              <w:bottom w:val="single" w:sz="8" w:space="0" w:color="auto"/>
              <w:right w:val="single" w:sz="8" w:space="0" w:color="auto"/>
            </w:tcBorders>
            <w:hideMark/>
          </w:tcPr>
          <w:p w14:paraId="67A2FD65"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72E001ED"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hideMark/>
          </w:tcPr>
          <w:p w14:paraId="16B6D311" w14:textId="77777777" w:rsidR="00A213C3" w:rsidRPr="00AD19BC" w:rsidRDefault="00A213C3" w:rsidP="00E86D5D">
            <w:pPr>
              <w:spacing w:before="40" w:after="40" w:line="276" w:lineRule="auto"/>
              <w:jc w:val="left"/>
              <w:rPr>
                <w:rFonts w:cs="Arial"/>
                <w:szCs w:val="20"/>
              </w:rPr>
            </w:pPr>
            <w:r w:rsidRPr="00AD19BC">
              <w:rPr>
                <w:rFonts w:cs="Arial"/>
                <w:szCs w:val="20"/>
              </w:rPr>
              <w:t>To measure prevalence of women with prolapse who may not have had an operation or procedure to correct it</w:t>
            </w:r>
          </w:p>
        </w:tc>
      </w:tr>
      <w:tr w:rsidR="00A213C3" w:rsidRPr="00AD19BC" w14:paraId="58FC8E94"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70F493F9" w14:textId="77777777" w:rsidR="00A213C3" w:rsidRPr="00AD19BC" w:rsidRDefault="00A213C3" w:rsidP="00E86D5D">
            <w:pPr>
              <w:spacing w:before="40" w:after="40" w:line="276" w:lineRule="auto"/>
              <w:jc w:val="left"/>
              <w:rPr>
                <w:rFonts w:cs="Arial"/>
                <w:szCs w:val="20"/>
              </w:rPr>
            </w:pPr>
            <w:r w:rsidRPr="00AD19BC">
              <w:rPr>
                <w:rFonts w:cs="Arial"/>
                <w:szCs w:val="20"/>
              </w:rPr>
              <w:t>48</w:t>
            </w:r>
          </w:p>
        </w:tc>
        <w:tc>
          <w:tcPr>
            <w:tcW w:w="2079" w:type="dxa"/>
            <w:tcBorders>
              <w:top w:val="single" w:sz="8" w:space="0" w:color="auto"/>
              <w:left w:val="single" w:sz="8" w:space="0" w:color="auto"/>
              <w:bottom w:val="single" w:sz="8" w:space="0" w:color="auto"/>
              <w:right w:val="single" w:sz="8" w:space="0" w:color="auto"/>
            </w:tcBorders>
            <w:hideMark/>
          </w:tcPr>
          <w:p w14:paraId="71DDAD77" w14:textId="77777777" w:rsidR="00A213C3" w:rsidRPr="00AD19BC" w:rsidRDefault="00A213C3" w:rsidP="00E86D5D">
            <w:pPr>
              <w:spacing w:before="40" w:after="40" w:line="276" w:lineRule="auto"/>
              <w:jc w:val="left"/>
              <w:rPr>
                <w:rFonts w:cs="Arial"/>
                <w:szCs w:val="20"/>
              </w:rPr>
            </w:pPr>
            <w:r w:rsidRPr="00AD19BC">
              <w:rPr>
                <w:rFonts w:cs="Arial"/>
                <w:szCs w:val="20"/>
              </w:rPr>
              <w:t>Pelvic Organ Prolapse Inventory 6 (POPDI-6)</w:t>
            </w:r>
          </w:p>
        </w:tc>
        <w:tc>
          <w:tcPr>
            <w:tcW w:w="4158" w:type="dxa"/>
            <w:tcBorders>
              <w:top w:val="single" w:sz="8" w:space="0" w:color="auto"/>
              <w:left w:val="single" w:sz="8" w:space="0" w:color="auto"/>
              <w:bottom w:val="single" w:sz="8" w:space="0" w:color="auto"/>
              <w:right w:val="single" w:sz="8" w:space="0" w:color="auto"/>
            </w:tcBorders>
            <w:hideMark/>
          </w:tcPr>
          <w:p w14:paraId="6054B1BA" w14:textId="77777777" w:rsidR="00A213C3" w:rsidRPr="00AD19BC" w:rsidRDefault="00A213C3" w:rsidP="00E86D5D">
            <w:pPr>
              <w:spacing w:before="40" w:after="40" w:line="276" w:lineRule="auto"/>
              <w:jc w:val="left"/>
              <w:rPr>
                <w:rFonts w:cs="Arial"/>
                <w:szCs w:val="20"/>
                <w:highlight w:val="yellow"/>
              </w:rPr>
            </w:pPr>
            <w:r w:rsidRPr="00AD19BC">
              <w:rPr>
                <w:rFonts w:cs="Arial"/>
                <w:szCs w:val="20"/>
              </w:rPr>
              <w:t>MD Barber, MD Walters</w:t>
            </w:r>
            <w:r>
              <w:rPr>
                <w:rFonts w:cs="Arial"/>
                <w:szCs w:val="20"/>
              </w:rPr>
              <w:t xml:space="preserve"> &amp;</w:t>
            </w:r>
            <w:r w:rsidRPr="00AD19BC">
              <w:rPr>
                <w:rFonts w:cs="Arial"/>
                <w:szCs w:val="20"/>
              </w:rPr>
              <w:t xml:space="preserve"> RC Bump. Short forms of two condition-specific quality-of-life questionnaires for women with pelvic floor disorders (PFDI-20 and PFIQ-7). </w:t>
            </w:r>
            <w:r w:rsidRPr="00E66B59">
              <w:rPr>
                <w:rFonts w:cs="Arial"/>
                <w:i/>
                <w:iCs/>
                <w:szCs w:val="20"/>
              </w:rPr>
              <w:t xml:space="preserve">American Journal of Obstetrics and </w:t>
            </w:r>
            <w:proofErr w:type="spellStart"/>
            <w:r w:rsidRPr="00E66B59">
              <w:rPr>
                <w:rFonts w:cs="Arial"/>
                <w:i/>
                <w:iCs/>
                <w:szCs w:val="20"/>
              </w:rPr>
              <w:t>Gynecology</w:t>
            </w:r>
            <w:proofErr w:type="spellEnd"/>
            <w:r w:rsidRPr="00AD19BC">
              <w:rPr>
                <w:rFonts w:cs="Arial"/>
                <w:szCs w:val="20"/>
              </w:rPr>
              <w:t xml:space="preserve"> 193, 103-113 (2021). </w:t>
            </w:r>
          </w:p>
        </w:tc>
        <w:tc>
          <w:tcPr>
            <w:tcW w:w="3828" w:type="dxa"/>
            <w:tcBorders>
              <w:top w:val="single" w:sz="8" w:space="0" w:color="auto"/>
              <w:left w:val="single" w:sz="8" w:space="0" w:color="auto"/>
              <w:bottom w:val="single" w:sz="8" w:space="0" w:color="auto"/>
              <w:right w:val="single" w:sz="8" w:space="0" w:color="auto"/>
            </w:tcBorders>
          </w:tcPr>
          <w:p w14:paraId="2C332462"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hideMark/>
          </w:tcPr>
          <w:p w14:paraId="41078816"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To measure prevalence of prolapse symptoms among women </w:t>
            </w:r>
          </w:p>
        </w:tc>
      </w:tr>
      <w:tr w:rsidR="00A213C3" w:rsidRPr="00AD19BC" w14:paraId="3BC52DAF"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6BF6B4C1" w14:textId="77777777" w:rsidR="00A213C3" w:rsidRPr="00AD19BC" w:rsidRDefault="00A213C3" w:rsidP="00E86D5D">
            <w:pPr>
              <w:spacing w:before="40" w:after="40" w:line="276" w:lineRule="auto"/>
              <w:jc w:val="left"/>
              <w:rPr>
                <w:rFonts w:cs="Arial"/>
                <w:szCs w:val="20"/>
              </w:rPr>
            </w:pPr>
            <w:r w:rsidRPr="00AD19BC">
              <w:rPr>
                <w:rFonts w:cs="Arial"/>
                <w:szCs w:val="20"/>
              </w:rPr>
              <w:t>49-51</w:t>
            </w:r>
          </w:p>
        </w:tc>
        <w:tc>
          <w:tcPr>
            <w:tcW w:w="2079" w:type="dxa"/>
            <w:tcBorders>
              <w:top w:val="single" w:sz="8" w:space="0" w:color="auto"/>
              <w:left w:val="single" w:sz="8" w:space="0" w:color="auto"/>
              <w:bottom w:val="single" w:sz="8" w:space="0" w:color="auto"/>
              <w:right w:val="single" w:sz="8" w:space="0" w:color="auto"/>
            </w:tcBorders>
            <w:hideMark/>
          </w:tcPr>
          <w:p w14:paraId="72814D04" w14:textId="77777777" w:rsidR="00A213C3" w:rsidRPr="00AD19BC" w:rsidRDefault="00A213C3" w:rsidP="00E86D5D">
            <w:pPr>
              <w:spacing w:before="40" w:after="40" w:line="276" w:lineRule="auto"/>
              <w:jc w:val="left"/>
              <w:rPr>
                <w:rFonts w:cs="Arial"/>
                <w:szCs w:val="20"/>
              </w:rPr>
            </w:pPr>
            <w:r w:rsidRPr="00AD19BC">
              <w:rPr>
                <w:rFonts w:cs="Arial"/>
                <w:szCs w:val="20"/>
              </w:rPr>
              <w:t>Urine leakage</w:t>
            </w:r>
          </w:p>
        </w:tc>
        <w:tc>
          <w:tcPr>
            <w:tcW w:w="4158" w:type="dxa"/>
            <w:tcBorders>
              <w:top w:val="single" w:sz="8" w:space="0" w:color="auto"/>
              <w:left w:val="single" w:sz="8" w:space="0" w:color="auto"/>
              <w:bottom w:val="single" w:sz="8" w:space="0" w:color="auto"/>
              <w:right w:val="single" w:sz="8" w:space="0" w:color="auto"/>
            </w:tcBorders>
            <w:hideMark/>
          </w:tcPr>
          <w:p w14:paraId="65748ADC" w14:textId="77777777" w:rsidR="00A213C3" w:rsidRPr="00AD19BC" w:rsidRDefault="00A213C3" w:rsidP="00E86D5D">
            <w:pPr>
              <w:spacing w:before="40" w:after="40" w:line="276" w:lineRule="auto"/>
              <w:jc w:val="left"/>
              <w:rPr>
                <w:rFonts w:cs="Arial"/>
                <w:szCs w:val="20"/>
              </w:rPr>
            </w:pPr>
            <w:proofErr w:type="spellStart"/>
            <w:r w:rsidRPr="00AD19BC">
              <w:rPr>
                <w:rFonts w:cs="Arial"/>
                <w:color w:val="000000"/>
                <w:szCs w:val="20"/>
              </w:rPr>
              <w:t>Sansoni</w:t>
            </w:r>
            <w:proofErr w:type="spellEnd"/>
            <w:r w:rsidRPr="00AD19BC">
              <w:rPr>
                <w:rFonts w:cs="Arial"/>
                <w:color w:val="000000"/>
                <w:szCs w:val="20"/>
              </w:rPr>
              <w:t xml:space="preserve"> J, Hawthorne G, Fleming G, Owen E and </w:t>
            </w:r>
            <w:proofErr w:type="spellStart"/>
            <w:r w:rsidRPr="00AD19BC">
              <w:rPr>
                <w:rFonts w:cs="Arial"/>
                <w:color w:val="000000"/>
                <w:szCs w:val="20"/>
              </w:rPr>
              <w:t>Marosszeky</w:t>
            </w:r>
            <w:proofErr w:type="spellEnd"/>
            <w:r w:rsidRPr="00AD19BC">
              <w:rPr>
                <w:rFonts w:cs="Arial"/>
                <w:color w:val="000000"/>
                <w:szCs w:val="20"/>
              </w:rPr>
              <w:t xml:space="preserve"> N</w:t>
            </w:r>
            <w:r>
              <w:rPr>
                <w:rFonts w:cs="Arial"/>
                <w:color w:val="000000"/>
                <w:szCs w:val="20"/>
              </w:rPr>
              <w:t>.</w:t>
            </w:r>
            <w:r w:rsidRPr="00AD19BC">
              <w:rPr>
                <w:rFonts w:cs="Arial"/>
                <w:color w:val="000000"/>
                <w:szCs w:val="20"/>
              </w:rPr>
              <w:t xml:space="preserve"> (2011)</w:t>
            </w:r>
            <w:r>
              <w:rPr>
                <w:rFonts w:cs="Arial"/>
                <w:color w:val="000000"/>
                <w:szCs w:val="20"/>
              </w:rPr>
              <w:t>.</w:t>
            </w:r>
            <w:r w:rsidRPr="00AD19BC">
              <w:rPr>
                <w:rFonts w:cs="Arial"/>
                <w:color w:val="000000"/>
                <w:szCs w:val="20"/>
              </w:rPr>
              <w:t xml:space="preserve"> Technical Manual and Instructions: Revised incontinence and Patient Satisfaction Tools. Centre for Health Service Development, Australian Health Services Research Institute, University of Wollongong.</w:t>
            </w:r>
          </w:p>
        </w:tc>
        <w:tc>
          <w:tcPr>
            <w:tcW w:w="3828" w:type="dxa"/>
            <w:tcBorders>
              <w:top w:val="single" w:sz="8" w:space="0" w:color="auto"/>
              <w:left w:val="single" w:sz="8" w:space="0" w:color="auto"/>
              <w:bottom w:val="single" w:sz="8" w:space="0" w:color="auto"/>
              <w:right w:val="single" w:sz="8" w:space="0" w:color="auto"/>
            </w:tcBorders>
          </w:tcPr>
          <w:p w14:paraId="4300163A"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75619605" w14:textId="77777777" w:rsidR="00A213C3" w:rsidRPr="00AD19BC" w:rsidRDefault="00A213C3" w:rsidP="00E86D5D">
            <w:pPr>
              <w:spacing w:before="40" w:after="40" w:line="276" w:lineRule="auto"/>
              <w:jc w:val="left"/>
              <w:rPr>
                <w:rFonts w:cs="Arial"/>
                <w:szCs w:val="20"/>
              </w:rPr>
            </w:pPr>
          </w:p>
        </w:tc>
      </w:tr>
      <w:tr w:rsidR="00A213C3" w:rsidRPr="00AD19BC" w14:paraId="71CDC7F7"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167673C2" w14:textId="77777777" w:rsidR="00A213C3" w:rsidRPr="00AD19BC" w:rsidRDefault="00A213C3" w:rsidP="00E86D5D">
            <w:pPr>
              <w:spacing w:before="40" w:after="40" w:line="276" w:lineRule="auto"/>
              <w:jc w:val="left"/>
              <w:rPr>
                <w:rFonts w:cs="Arial"/>
                <w:szCs w:val="20"/>
              </w:rPr>
            </w:pPr>
            <w:r w:rsidRPr="00AD19BC">
              <w:rPr>
                <w:rFonts w:cs="Arial"/>
                <w:szCs w:val="20"/>
              </w:rPr>
              <w:t>52</w:t>
            </w:r>
          </w:p>
        </w:tc>
        <w:tc>
          <w:tcPr>
            <w:tcW w:w="2079" w:type="dxa"/>
            <w:tcBorders>
              <w:top w:val="single" w:sz="8" w:space="0" w:color="auto"/>
              <w:left w:val="single" w:sz="8" w:space="0" w:color="auto"/>
              <w:bottom w:val="single" w:sz="8" w:space="0" w:color="auto"/>
              <w:right w:val="single" w:sz="8" w:space="0" w:color="auto"/>
            </w:tcBorders>
            <w:hideMark/>
          </w:tcPr>
          <w:p w14:paraId="5943A381" w14:textId="77777777" w:rsidR="00A213C3" w:rsidRPr="00AD19BC" w:rsidRDefault="00A213C3" w:rsidP="00E86D5D">
            <w:pPr>
              <w:spacing w:before="40" w:after="40" w:line="276" w:lineRule="auto"/>
              <w:jc w:val="left"/>
              <w:rPr>
                <w:rFonts w:cs="Arial"/>
                <w:szCs w:val="20"/>
              </w:rPr>
            </w:pPr>
            <w:r w:rsidRPr="00AD19BC">
              <w:rPr>
                <w:rFonts w:cs="Arial"/>
                <w:szCs w:val="20"/>
              </w:rPr>
              <w:t>Resilience</w:t>
            </w:r>
          </w:p>
        </w:tc>
        <w:tc>
          <w:tcPr>
            <w:tcW w:w="4158" w:type="dxa"/>
            <w:tcBorders>
              <w:top w:val="single" w:sz="8" w:space="0" w:color="auto"/>
              <w:left w:val="single" w:sz="8" w:space="0" w:color="auto"/>
              <w:bottom w:val="single" w:sz="8" w:space="0" w:color="auto"/>
              <w:right w:val="single" w:sz="8" w:space="0" w:color="auto"/>
            </w:tcBorders>
            <w:hideMark/>
          </w:tcPr>
          <w:p w14:paraId="12E47763" w14:textId="77777777" w:rsidR="00A213C3" w:rsidRPr="00AD19BC" w:rsidRDefault="00A213C3" w:rsidP="00E86D5D">
            <w:pPr>
              <w:spacing w:before="40" w:after="40" w:line="276" w:lineRule="auto"/>
              <w:jc w:val="left"/>
              <w:rPr>
                <w:rFonts w:cs="Arial"/>
                <w:szCs w:val="20"/>
              </w:rPr>
            </w:pPr>
            <w:r w:rsidRPr="00AD19BC">
              <w:rPr>
                <w:rFonts w:eastAsia="Calibri" w:cs="Arial"/>
                <w:color w:val="1A1A1A"/>
                <w:szCs w:val="20"/>
              </w:rPr>
              <w:t>Smith BW, Dalen J</w:t>
            </w:r>
            <w:r>
              <w:rPr>
                <w:rFonts w:eastAsia="Calibri" w:cs="Arial"/>
                <w:color w:val="1A1A1A"/>
                <w:szCs w:val="20"/>
              </w:rPr>
              <w:t xml:space="preserve">, </w:t>
            </w:r>
            <w:r w:rsidRPr="00AD19BC">
              <w:rPr>
                <w:rFonts w:eastAsia="Calibri" w:cs="Arial"/>
                <w:color w:val="1A1A1A"/>
                <w:szCs w:val="20"/>
              </w:rPr>
              <w:t xml:space="preserve">Wiggins K, Tooley E, Christopher P &amp; Bernard J. (2008). The brief resilience scale: </w:t>
            </w:r>
            <w:r>
              <w:rPr>
                <w:rFonts w:eastAsia="Calibri" w:cs="Arial"/>
                <w:color w:val="1A1A1A"/>
                <w:szCs w:val="20"/>
              </w:rPr>
              <w:t>A</w:t>
            </w:r>
            <w:r w:rsidRPr="00AD19BC">
              <w:rPr>
                <w:rFonts w:eastAsia="Calibri" w:cs="Arial"/>
                <w:color w:val="1A1A1A"/>
                <w:szCs w:val="20"/>
              </w:rPr>
              <w:t xml:space="preserve">ssessing the ability to </w:t>
            </w:r>
            <w:r w:rsidRPr="00AD19BC">
              <w:rPr>
                <w:rFonts w:eastAsia="Calibri" w:cs="Arial"/>
                <w:color w:val="1A1A1A"/>
                <w:szCs w:val="20"/>
              </w:rPr>
              <w:lastRenderedPageBreak/>
              <w:t xml:space="preserve">bounce back. </w:t>
            </w:r>
            <w:r w:rsidRPr="00AD19BC">
              <w:rPr>
                <w:rFonts w:eastAsia="Calibri" w:cs="Arial"/>
                <w:i/>
                <w:iCs/>
                <w:color w:val="1A1A1A"/>
                <w:szCs w:val="20"/>
              </w:rPr>
              <w:t xml:space="preserve">International journal of </w:t>
            </w:r>
            <w:proofErr w:type="spellStart"/>
            <w:r w:rsidRPr="00AD19BC">
              <w:rPr>
                <w:rFonts w:eastAsia="Calibri" w:cs="Arial"/>
                <w:i/>
                <w:iCs/>
                <w:color w:val="1A1A1A"/>
                <w:szCs w:val="20"/>
              </w:rPr>
              <w:t>behavioral</w:t>
            </w:r>
            <w:proofErr w:type="spellEnd"/>
            <w:r w:rsidRPr="00AD19BC">
              <w:rPr>
                <w:rFonts w:eastAsia="Calibri" w:cs="Arial"/>
                <w:i/>
                <w:iCs/>
                <w:color w:val="1A1A1A"/>
                <w:szCs w:val="20"/>
              </w:rPr>
              <w:t xml:space="preserve"> medicine</w:t>
            </w:r>
            <w:r w:rsidRPr="00AD19BC">
              <w:rPr>
                <w:rFonts w:eastAsia="Calibri" w:cs="Arial"/>
                <w:color w:val="1A1A1A"/>
                <w:szCs w:val="20"/>
              </w:rPr>
              <w:t xml:space="preserve">, </w:t>
            </w:r>
            <w:r w:rsidRPr="00AD19BC">
              <w:rPr>
                <w:rFonts w:eastAsia="Calibri" w:cs="Arial"/>
                <w:i/>
                <w:iCs/>
                <w:color w:val="1A1A1A"/>
                <w:szCs w:val="20"/>
              </w:rPr>
              <w:t>15</w:t>
            </w:r>
            <w:r w:rsidRPr="00AD19BC">
              <w:rPr>
                <w:rFonts w:eastAsia="Calibri" w:cs="Arial"/>
                <w:color w:val="1A1A1A"/>
                <w:szCs w:val="20"/>
              </w:rPr>
              <w:t>(3), 194-200.</w:t>
            </w:r>
          </w:p>
        </w:tc>
        <w:tc>
          <w:tcPr>
            <w:tcW w:w="3828" w:type="dxa"/>
            <w:tcBorders>
              <w:top w:val="single" w:sz="8" w:space="0" w:color="auto"/>
              <w:left w:val="single" w:sz="8" w:space="0" w:color="auto"/>
              <w:bottom w:val="single" w:sz="8" w:space="0" w:color="auto"/>
              <w:right w:val="single" w:sz="8" w:space="0" w:color="auto"/>
            </w:tcBorders>
          </w:tcPr>
          <w:p w14:paraId="61C4DD8A"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5873E966" w14:textId="77777777" w:rsidR="00A213C3" w:rsidRPr="00AD19BC" w:rsidRDefault="00A213C3" w:rsidP="00E86D5D">
            <w:pPr>
              <w:spacing w:before="40" w:after="40" w:line="276" w:lineRule="auto"/>
              <w:jc w:val="left"/>
              <w:rPr>
                <w:rFonts w:cs="Arial"/>
                <w:szCs w:val="20"/>
              </w:rPr>
            </w:pPr>
          </w:p>
        </w:tc>
      </w:tr>
      <w:tr w:rsidR="00A213C3" w:rsidRPr="00AD19BC" w14:paraId="56508556"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7E7D4DBB" w14:textId="77777777" w:rsidR="00A213C3" w:rsidRPr="00AD19BC" w:rsidRDefault="00A213C3" w:rsidP="00E86D5D">
            <w:pPr>
              <w:spacing w:before="40" w:after="40" w:line="276" w:lineRule="auto"/>
              <w:jc w:val="left"/>
              <w:rPr>
                <w:rFonts w:cs="Arial"/>
                <w:szCs w:val="20"/>
              </w:rPr>
            </w:pPr>
            <w:r w:rsidRPr="00AD19BC">
              <w:rPr>
                <w:rFonts w:cs="Arial"/>
                <w:szCs w:val="20"/>
              </w:rPr>
              <w:t>53</w:t>
            </w:r>
          </w:p>
        </w:tc>
        <w:tc>
          <w:tcPr>
            <w:tcW w:w="2079" w:type="dxa"/>
            <w:tcBorders>
              <w:top w:val="single" w:sz="8" w:space="0" w:color="auto"/>
              <w:left w:val="single" w:sz="8" w:space="0" w:color="auto"/>
              <w:bottom w:val="single" w:sz="8" w:space="0" w:color="auto"/>
              <w:right w:val="single" w:sz="8" w:space="0" w:color="auto"/>
            </w:tcBorders>
            <w:hideMark/>
          </w:tcPr>
          <w:p w14:paraId="281BFAA4" w14:textId="77777777" w:rsidR="00A213C3" w:rsidRPr="00AD19BC" w:rsidRDefault="00A213C3" w:rsidP="00E86D5D">
            <w:pPr>
              <w:spacing w:before="40" w:after="40" w:line="276" w:lineRule="auto"/>
              <w:jc w:val="left"/>
              <w:rPr>
                <w:rFonts w:cs="Arial"/>
                <w:szCs w:val="20"/>
                <w:highlight w:val="magenta"/>
              </w:rPr>
            </w:pPr>
            <w:r w:rsidRPr="00AD19BC">
              <w:rPr>
                <w:rFonts w:cs="Arial"/>
                <w:szCs w:val="20"/>
              </w:rPr>
              <w:t>Depression (CESD-10)</w:t>
            </w:r>
          </w:p>
        </w:tc>
        <w:tc>
          <w:tcPr>
            <w:tcW w:w="4158" w:type="dxa"/>
            <w:tcBorders>
              <w:top w:val="single" w:sz="8" w:space="0" w:color="auto"/>
              <w:left w:val="single" w:sz="8" w:space="0" w:color="auto"/>
              <w:bottom w:val="single" w:sz="8" w:space="0" w:color="auto"/>
              <w:right w:val="single" w:sz="8" w:space="0" w:color="auto"/>
            </w:tcBorders>
            <w:hideMark/>
          </w:tcPr>
          <w:p w14:paraId="546B3B38"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Andresen EM, Carter WB, </w:t>
            </w:r>
            <w:proofErr w:type="spellStart"/>
            <w:r w:rsidRPr="00AD19BC">
              <w:rPr>
                <w:rFonts w:cs="Arial"/>
                <w:szCs w:val="20"/>
              </w:rPr>
              <w:t>Malmgren</w:t>
            </w:r>
            <w:proofErr w:type="spellEnd"/>
            <w:r w:rsidRPr="00AD19BC">
              <w:rPr>
                <w:rFonts w:cs="Arial"/>
                <w:szCs w:val="20"/>
              </w:rPr>
              <w:t xml:space="preserve"> JA &amp; Patrick DL. (1994). Screening for depression in well older adults: Evaluation of a short form of the CES-D. </w:t>
            </w:r>
            <w:r w:rsidRPr="00E66B59">
              <w:rPr>
                <w:rFonts w:cs="Arial"/>
                <w:i/>
                <w:iCs/>
                <w:szCs w:val="20"/>
              </w:rPr>
              <w:t>American Journal of Preventive Medicine</w:t>
            </w:r>
            <w:r w:rsidRPr="00AD19BC">
              <w:rPr>
                <w:rFonts w:cs="Arial"/>
                <w:szCs w:val="20"/>
              </w:rPr>
              <w:t>, 10(2), 77-82.</w:t>
            </w:r>
          </w:p>
        </w:tc>
        <w:tc>
          <w:tcPr>
            <w:tcW w:w="3828" w:type="dxa"/>
            <w:tcBorders>
              <w:top w:val="single" w:sz="8" w:space="0" w:color="auto"/>
              <w:left w:val="single" w:sz="8" w:space="0" w:color="auto"/>
              <w:bottom w:val="single" w:sz="8" w:space="0" w:color="auto"/>
              <w:right w:val="single" w:sz="8" w:space="0" w:color="auto"/>
            </w:tcBorders>
          </w:tcPr>
          <w:p w14:paraId="30CBC4C9"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14492D03" w14:textId="77777777" w:rsidR="00A213C3" w:rsidRPr="00AD19BC" w:rsidRDefault="00A213C3" w:rsidP="00E86D5D">
            <w:pPr>
              <w:spacing w:before="40" w:after="40" w:line="276" w:lineRule="auto"/>
              <w:jc w:val="left"/>
              <w:rPr>
                <w:rFonts w:cs="Arial"/>
                <w:szCs w:val="20"/>
              </w:rPr>
            </w:pPr>
          </w:p>
        </w:tc>
      </w:tr>
      <w:tr w:rsidR="00A213C3" w:rsidRPr="00AD19BC" w14:paraId="58E8194C"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6A180563" w14:textId="77777777" w:rsidR="00A213C3" w:rsidRPr="00AD19BC" w:rsidRDefault="00A213C3" w:rsidP="00E86D5D">
            <w:pPr>
              <w:spacing w:before="40" w:after="40" w:line="276" w:lineRule="auto"/>
              <w:jc w:val="left"/>
              <w:rPr>
                <w:rFonts w:cs="Arial"/>
                <w:szCs w:val="20"/>
              </w:rPr>
            </w:pPr>
            <w:r w:rsidRPr="00AD19BC">
              <w:rPr>
                <w:rFonts w:cs="Arial"/>
                <w:szCs w:val="20"/>
              </w:rPr>
              <w:t>54-55</w:t>
            </w:r>
          </w:p>
        </w:tc>
        <w:tc>
          <w:tcPr>
            <w:tcW w:w="2079" w:type="dxa"/>
            <w:tcBorders>
              <w:top w:val="single" w:sz="8" w:space="0" w:color="auto"/>
              <w:left w:val="single" w:sz="8" w:space="0" w:color="auto"/>
              <w:bottom w:val="single" w:sz="8" w:space="0" w:color="auto"/>
              <w:right w:val="single" w:sz="8" w:space="0" w:color="auto"/>
            </w:tcBorders>
            <w:hideMark/>
          </w:tcPr>
          <w:p w14:paraId="36939C4E" w14:textId="77777777" w:rsidR="00A213C3" w:rsidRPr="00AD19BC" w:rsidRDefault="00A213C3" w:rsidP="00E86D5D">
            <w:pPr>
              <w:spacing w:before="40" w:after="40" w:line="276" w:lineRule="auto"/>
              <w:jc w:val="left"/>
              <w:rPr>
                <w:rFonts w:cs="Arial"/>
                <w:szCs w:val="20"/>
              </w:rPr>
            </w:pPr>
            <w:r w:rsidRPr="00AD19BC">
              <w:rPr>
                <w:rFonts w:cs="Arial"/>
                <w:szCs w:val="20"/>
              </w:rPr>
              <w:t>Exercise status (physical activity)</w:t>
            </w:r>
          </w:p>
        </w:tc>
        <w:tc>
          <w:tcPr>
            <w:tcW w:w="4158" w:type="dxa"/>
            <w:tcBorders>
              <w:top w:val="single" w:sz="8" w:space="0" w:color="auto"/>
              <w:left w:val="single" w:sz="8" w:space="0" w:color="auto"/>
              <w:bottom w:val="single" w:sz="8" w:space="0" w:color="auto"/>
              <w:right w:val="single" w:sz="8" w:space="0" w:color="auto"/>
            </w:tcBorders>
            <w:hideMark/>
          </w:tcPr>
          <w:p w14:paraId="57E0210B"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ALSWH </w:t>
            </w:r>
            <w:proofErr w:type="spellStart"/>
            <w:r w:rsidRPr="00AD19BC">
              <w:rPr>
                <w:rFonts w:cs="Arial"/>
                <w:szCs w:val="20"/>
              </w:rPr>
              <w:t>Substudy</w:t>
            </w:r>
            <w:proofErr w:type="spellEnd"/>
            <w:r w:rsidRPr="00AD19BC">
              <w:rPr>
                <w:rFonts w:cs="Arial"/>
                <w:szCs w:val="20"/>
              </w:rPr>
              <w:t xml:space="preserve"> on weight gain at mid-life</w:t>
            </w:r>
          </w:p>
        </w:tc>
        <w:tc>
          <w:tcPr>
            <w:tcW w:w="3828" w:type="dxa"/>
            <w:tcBorders>
              <w:top w:val="single" w:sz="8" w:space="0" w:color="auto"/>
              <w:left w:val="single" w:sz="8" w:space="0" w:color="auto"/>
              <w:bottom w:val="single" w:sz="8" w:space="0" w:color="auto"/>
              <w:right w:val="single" w:sz="8" w:space="0" w:color="auto"/>
            </w:tcBorders>
          </w:tcPr>
          <w:p w14:paraId="4C60927D"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2FE0AA0A" w14:textId="77777777" w:rsidR="00A213C3" w:rsidRPr="00AD19BC" w:rsidRDefault="00A213C3" w:rsidP="00E86D5D">
            <w:pPr>
              <w:spacing w:before="40" w:after="40" w:line="276" w:lineRule="auto"/>
              <w:jc w:val="left"/>
              <w:rPr>
                <w:rFonts w:cs="Arial"/>
                <w:szCs w:val="20"/>
              </w:rPr>
            </w:pPr>
          </w:p>
        </w:tc>
      </w:tr>
      <w:tr w:rsidR="00A213C3" w:rsidRPr="00AD19BC" w14:paraId="31534295"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5B1F6661" w14:textId="77777777" w:rsidR="00A213C3" w:rsidRPr="00AD19BC" w:rsidRDefault="00A213C3" w:rsidP="00E86D5D">
            <w:pPr>
              <w:spacing w:before="40" w:after="40" w:line="276" w:lineRule="auto"/>
              <w:jc w:val="left"/>
              <w:rPr>
                <w:rFonts w:cs="Arial"/>
                <w:szCs w:val="20"/>
              </w:rPr>
            </w:pPr>
            <w:r w:rsidRPr="00AD19BC">
              <w:rPr>
                <w:rFonts w:cs="Arial"/>
                <w:szCs w:val="20"/>
              </w:rPr>
              <w:t>56a-56b</w:t>
            </w:r>
          </w:p>
        </w:tc>
        <w:tc>
          <w:tcPr>
            <w:tcW w:w="2079" w:type="dxa"/>
            <w:tcBorders>
              <w:top w:val="single" w:sz="8" w:space="0" w:color="auto"/>
              <w:left w:val="single" w:sz="8" w:space="0" w:color="auto"/>
              <w:bottom w:val="single" w:sz="8" w:space="0" w:color="auto"/>
              <w:right w:val="single" w:sz="8" w:space="0" w:color="auto"/>
            </w:tcBorders>
            <w:hideMark/>
          </w:tcPr>
          <w:p w14:paraId="5EA7750C" w14:textId="77777777" w:rsidR="00A213C3" w:rsidRPr="00AD19BC" w:rsidRDefault="00A213C3" w:rsidP="00E86D5D">
            <w:pPr>
              <w:spacing w:before="40" w:after="40" w:line="276" w:lineRule="auto"/>
              <w:jc w:val="left"/>
              <w:rPr>
                <w:rFonts w:cs="Arial"/>
                <w:szCs w:val="20"/>
              </w:rPr>
            </w:pPr>
            <w:r w:rsidRPr="00AD19BC">
              <w:rPr>
                <w:rFonts w:cs="Arial"/>
                <w:szCs w:val="20"/>
              </w:rPr>
              <w:t>Exercise status (physical activity)</w:t>
            </w:r>
          </w:p>
        </w:tc>
        <w:tc>
          <w:tcPr>
            <w:tcW w:w="4158" w:type="dxa"/>
            <w:tcBorders>
              <w:top w:val="single" w:sz="8" w:space="0" w:color="auto"/>
              <w:left w:val="single" w:sz="8" w:space="0" w:color="auto"/>
              <w:bottom w:val="single" w:sz="8" w:space="0" w:color="auto"/>
              <w:right w:val="single" w:sz="8" w:space="0" w:color="auto"/>
            </w:tcBorders>
            <w:hideMark/>
          </w:tcPr>
          <w:p w14:paraId="59423715"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hideMark/>
          </w:tcPr>
          <w:p w14:paraId="5C4805C8" w14:textId="77777777" w:rsidR="00A213C3" w:rsidRPr="00AD19BC" w:rsidRDefault="00A213C3" w:rsidP="00E86D5D">
            <w:pPr>
              <w:spacing w:before="40" w:after="40" w:line="276" w:lineRule="auto"/>
              <w:jc w:val="left"/>
              <w:rPr>
                <w:rFonts w:cs="Arial"/>
                <w:szCs w:val="20"/>
              </w:rPr>
            </w:pPr>
            <w:r w:rsidRPr="00AD19BC">
              <w:rPr>
                <w:rFonts w:cs="Arial"/>
                <w:szCs w:val="20"/>
              </w:rPr>
              <w:t>Revised Q55a to enable skip logic</w:t>
            </w:r>
          </w:p>
        </w:tc>
        <w:tc>
          <w:tcPr>
            <w:tcW w:w="2551" w:type="dxa"/>
            <w:tcBorders>
              <w:top w:val="single" w:sz="8" w:space="0" w:color="auto"/>
              <w:left w:val="single" w:sz="8" w:space="0" w:color="auto"/>
              <w:bottom w:val="single" w:sz="8" w:space="0" w:color="auto"/>
              <w:right w:val="single" w:sz="8" w:space="0" w:color="auto"/>
            </w:tcBorders>
          </w:tcPr>
          <w:p w14:paraId="5212ABBD" w14:textId="77777777" w:rsidR="00A213C3" w:rsidRPr="00AD19BC" w:rsidRDefault="00A213C3" w:rsidP="00E86D5D">
            <w:pPr>
              <w:spacing w:before="40" w:after="40" w:line="276" w:lineRule="auto"/>
              <w:jc w:val="left"/>
              <w:rPr>
                <w:rFonts w:cs="Arial"/>
                <w:szCs w:val="20"/>
              </w:rPr>
            </w:pPr>
          </w:p>
        </w:tc>
      </w:tr>
      <w:tr w:rsidR="00A213C3" w:rsidRPr="00AD19BC" w14:paraId="2D28155E"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622E2E8F" w14:textId="77777777" w:rsidR="00A213C3" w:rsidRPr="00AD19BC" w:rsidRDefault="00A213C3" w:rsidP="00E86D5D">
            <w:pPr>
              <w:spacing w:before="40" w:after="40" w:line="276" w:lineRule="auto"/>
              <w:jc w:val="left"/>
              <w:rPr>
                <w:rFonts w:cs="Arial"/>
                <w:szCs w:val="20"/>
              </w:rPr>
            </w:pPr>
            <w:r w:rsidRPr="00AD19BC">
              <w:rPr>
                <w:rFonts w:cs="Arial"/>
                <w:szCs w:val="20"/>
              </w:rPr>
              <w:t>57</w:t>
            </w:r>
          </w:p>
        </w:tc>
        <w:tc>
          <w:tcPr>
            <w:tcW w:w="2079" w:type="dxa"/>
            <w:tcBorders>
              <w:top w:val="single" w:sz="8" w:space="0" w:color="auto"/>
              <w:left w:val="single" w:sz="8" w:space="0" w:color="auto"/>
              <w:bottom w:val="single" w:sz="8" w:space="0" w:color="auto"/>
              <w:right w:val="single" w:sz="8" w:space="0" w:color="auto"/>
            </w:tcBorders>
            <w:hideMark/>
          </w:tcPr>
          <w:p w14:paraId="20BD1B63" w14:textId="77777777" w:rsidR="00A213C3" w:rsidRPr="00AD19BC" w:rsidRDefault="00A213C3" w:rsidP="00E86D5D">
            <w:pPr>
              <w:spacing w:before="40" w:after="40" w:line="276" w:lineRule="auto"/>
              <w:jc w:val="left"/>
              <w:rPr>
                <w:rFonts w:cs="Arial"/>
                <w:szCs w:val="20"/>
              </w:rPr>
            </w:pPr>
            <w:r w:rsidRPr="00AD19BC">
              <w:rPr>
                <w:rFonts w:cs="Arial"/>
                <w:szCs w:val="20"/>
              </w:rPr>
              <w:t>Sitting</w:t>
            </w:r>
          </w:p>
        </w:tc>
        <w:tc>
          <w:tcPr>
            <w:tcW w:w="4158" w:type="dxa"/>
            <w:tcBorders>
              <w:top w:val="single" w:sz="8" w:space="0" w:color="auto"/>
              <w:left w:val="single" w:sz="8" w:space="0" w:color="auto"/>
              <w:bottom w:val="single" w:sz="8" w:space="0" w:color="auto"/>
              <w:right w:val="single" w:sz="8" w:space="0" w:color="auto"/>
            </w:tcBorders>
            <w:hideMark/>
          </w:tcPr>
          <w:p w14:paraId="11D06CF9"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03F1554B"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5C61C0A3" w14:textId="77777777" w:rsidR="00A213C3" w:rsidRPr="00AD19BC" w:rsidRDefault="00A213C3" w:rsidP="00E86D5D">
            <w:pPr>
              <w:spacing w:before="40" w:after="40" w:line="276" w:lineRule="auto"/>
              <w:jc w:val="left"/>
              <w:rPr>
                <w:rFonts w:cs="Arial"/>
                <w:szCs w:val="20"/>
              </w:rPr>
            </w:pPr>
          </w:p>
        </w:tc>
      </w:tr>
      <w:tr w:rsidR="00A213C3" w:rsidRPr="00AD19BC" w14:paraId="413E35DB"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75C87D0E" w14:textId="77777777" w:rsidR="00A213C3" w:rsidRPr="00AD19BC" w:rsidRDefault="00A213C3" w:rsidP="00E86D5D">
            <w:pPr>
              <w:spacing w:before="40" w:after="40" w:line="276" w:lineRule="auto"/>
              <w:jc w:val="left"/>
              <w:rPr>
                <w:rFonts w:cs="Arial"/>
                <w:szCs w:val="20"/>
              </w:rPr>
            </w:pPr>
            <w:r w:rsidRPr="00AD19BC">
              <w:rPr>
                <w:rFonts w:cs="Arial"/>
                <w:szCs w:val="20"/>
              </w:rPr>
              <w:t>58</w:t>
            </w:r>
          </w:p>
        </w:tc>
        <w:tc>
          <w:tcPr>
            <w:tcW w:w="2079" w:type="dxa"/>
            <w:tcBorders>
              <w:top w:val="single" w:sz="8" w:space="0" w:color="auto"/>
              <w:left w:val="single" w:sz="8" w:space="0" w:color="auto"/>
              <w:bottom w:val="single" w:sz="8" w:space="0" w:color="auto"/>
              <w:right w:val="single" w:sz="8" w:space="0" w:color="auto"/>
            </w:tcBorders>
            <w:hideMark/>
          </w:tcPr>
          <w:p w14:paraId="27726DFC" w14:textId="77777777" w:rsidR="00A213C3" w:rsidRPr="00AD19BC" w:rsidRDefault="00A213C3" w:rsidP="00E86D5D">
            <w:pPr>
              <w:spacing w:before="40" w:after="40" w:line="276" w:lineRule="auto"/>
              <w:jc w:val="left"/>
              <w:rPr>
                <w:rFonts w:cs="Arial"/>
                <w:szCs w:val="20"/>
              </w:rPr>
            </w:pPr>
            <w:r w:rsidRPr="00AD19BC">
              <w:rPr>
                <w:rFonts w:cs="Arial"/>
                <w:szCs w:val="20"/>
              </w:rPr>
              <w:t>Stress</w:t>
            </w:r>
          </w:p>
        </w:tc>
        <w:tc>
          <w:tcPr>
            <w:tcW w:w="4158" w:type="dxa"/>
            <w:tcBorders>
              <w:top w:val="single" w:sz="8" w:space="0" w:color="auto"/>
              <w:left w:val="single" w:sz="8" w:space="0" w:color="auto"/>
              <w:bottom w:val="single" w:sz="8" w:space="0" w:color="auto"/>
              <w:right w:val="single" w:sz="8" w:space="0" w:color="auto"/>
            </w:tcBorders>
            <w:hideMark/>
          </w:tcPr>
          <w:p w14:paraId="6BF22599"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4399629B"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6E68B03E" w14:textId="77777777" w:rsidR="00A213C3" w:rsidRPr="00AD19BC" w:rsidRDefault="00A213C3" w:rsidP="00E86D5D">
            <w:pPr>
              <w:spacing w:before="40" w:after="40" w:line="276" w:lineRule="auto"/>
              <w:jc w:val="left"/>
              <w:rPr>
                <w:rFonts w:cs="Arial"/>
                <w:szCs w:val="20"/>
              </w:rPr>
            </w:pPr>
          </w:p>
        </w:tc>
      </w:tr>
      <w:tr w:rsidR="00A213C3" w:rsidRPr="00AD19BC" w14:paraId="140E0A14"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0AA4EBCD" w14:textId="77777777" w:rsidR="00A213C3" w:rsidRPr="00AD19BC" w:rsidRDefault="00A213C3" w:rsidP="00E86D5D">
            <w:pPr>
              <w:spacing w:before="40" w:after="40" w:line="276" w:lineRule="auto"/>
              <w:jc w:val="left"/>
              <w:rPr>
                <w:rFonts w:cs="Arial"/>
                <w:szCs w:val="20"/>
              </w:rPr>
            </w:pPr>
            <w:r w:rsidRPr="00AD19BC">
              <w:rPr>
                <w:rFonts w:cs="Arial"/>
                <w:szCs w:val="20"/>
              </w:rPr>
              <w:t>59</w:t>
            </w:r>
          </w:p>
        </w:tc>
        <w:tc>
          <w:tcPr>
            <w:tcW w:w="2079" w:type="dxa"/>
            <w:tcBorders>
              <w:top w:val="single" w:sz="8" w:space="0" w:color="auto"/>
              <w:left w:val="single" w:sz="8" w:space="0" w:color="auto"/>
              <w:bottom w:val="single" w:sz="8" w:space="0" w:color="auto"/>
              <w:right w:val="single" w:sz="8" w:space="0" w:color="auto"/>
            </w:tcBorders>
            <w:hideMark/>
          </w:tcPr>
          <w:p w14:paraId="73F6D7C2" w14:textId="77777777" w:rsidR="00A213C3" w:rsidRPr="00AD19BC" w:rsidRDefault="00A213C3" w:rsidP="00E86D5D">
            <w:pPr>
              <w:spacing w:before="40" w:after="40" w:line="276" w:lineRule="auto"/>
              <w:jc w:val="left"/>
              <w:rPr>
                <w:rFonts w:cs="Arial"/>
                <w:szCs w:val="20"/>
              </w:rPr>
            </w:pPr>
            <w:r w:rsidRPr="00AD19BC">
              <w:rPr>
                <w:rFonts w:cs="Arial"/>
                <w:szCs w:val="20"/>
              </w:rPr>
              <w:t>Control and autonomy</w:t>
            </w:r>
          </w:p>
        </w:tc>
        <w:tc>
          <w:tcPr>
            <w:tcW w:w="4158" w:type="dxa"/>
            <w:tcBorders>
              <w:top w:val="single" w:sz="8" w:space="0" w:color="auto"/>
              <w:left w:val="single" w:sz="8" w:space="0" w:color="auto"/>
              <w:bottom w:val="single" w:sz="8" w:space="0" w:color="auto"/>
              <w:right w:val="single" w:sz="8" w:space="0" w:color="auto"/>
            </w:tcBorders>
            <w:hideMark/>
          </w:tcPr>
          <w:p w14:paraId="5FC027D5" w14:textId="77777777" w:rsidR="00A213C3" w:rsidRPr="00AD19BC" w:rsidRDefault="00A213C3" w:rsidP="00E86D5D">
            <w:pPr>
              <w:autoSpaceDE w:val="0"/>
              <w:autoSpaceDN w:val="0"/>
              <w:adjustRightInd w:val="0"/>
              <w:spacing w:before="40" w:after="40" w:line="276" w:lineRule="auto"/>
              <w:jc w:val="left"/>
              <w:rPr>
                <w:rFonts w:cs="Arial"/>
                <w:szCs w:val="20"/>
                <w:highlight w:val="yellow"/>
              </w:rPr>
            </w:pPr>
            <w:r w:rsidRPr="00AD19BC">
              <w:rPr>
                <w:rFonts w:cs="Arial"/>
                <w:szCs w:val="20"/>
              </w:rPr>
              <w:t xml:space="preserve">Wiggins RD, </w:t>
            </w:r>
            <w:proofErr w:type="spellStart"/>
            <w:r w:rsidRPr="00AD19BC">
              <w:rPr>
                <w:rFonts w:cs="Arial"/>
                <w:szCs w:val="20"/>
              </w:rPr>
              <w:t>Netuveli</w:t>
            </w:r>
            <w:proofErr w:type="spellEnd"/>
            <w:r w:rsidRPr="00AD19BC">
              <w:rPr>
                <w:rFonts w:cs="Arial"/>
                <w:szCs w:val="20"/>
              </w:rPr>
              <w:t xml:space="preserve"> G, Hyde M, Higgs</w:t>
            </w:r>
            <w:r>
              <w:rPr>
                <w:rFonts w:cs="Arial"/>
                <w:szCs w:val="20"/>
              </w:rPr>
              <w:t xml:space="preserve"> </w:t>
            </w:r>
            <w:r w:rsidRPr="00AD19BC">
              <w:rPr>
                <w:rFonts w:cs="Arial"/>
                <w:szCs w:val="20"/>
              </w:rPr>
              <w:t>P</w:t>
            </w:r>
            <w:r>
              <w:rPr>
                <w:rFonts w:cs="Arial"/>
                <w:szCs w:val="20"/>
              </w:rPr>
              <w:t xml:space="preserve"> &amp;</w:t>
            </w:r>
            <w:r w:rsidRPr="00AD19BC">
              <w:rPr>
                <w:rFonts w:cs="Arial"/>
                <w:szCs w:val="20"/>
              </w:rPr>
              <w:t xml:space="preserve"> Blane D</w:t>
            </w:r>
            <w:r>
              <w:rPr>
                <w:rFonts w:cs="Arial"/>
                <w:szCs w:val="20"/>
              </w:rPr>
              <w:t>.</w:t>
            </w:r>
            <w:r w:rsidRPr="00AD19BC">
              <w:rPr>
                <w:rFonts w:cs="Arial"/>
                <w:szCs w:val="20"/>
              </w:rPr>
              <w:t xml:space="preserve"> (2008). The evaluation of a self-enumerated scale of quality of life (CASP-19) in the context of research on ageing: A combination of exploratory and confirmatory approaches. </w:t>
            </w:r>
            <w:r w:rsidRPr="00AD19BC">
              <w:rPr>
                <w:rFonts w:cs="Arial"/>
                <w:i/>
                <w:szCs w:val="20"/>
              </w:rPr>
              <w:t>Social Indicators Research</w:t>
            </w:r>
            <w:r w:rsidRPr="00AD19BC">
              <w:rPr>
                <w:rFonts w:cs="Arial"/>
                <w:szCs w:val="20"/>
              </w:rPr>
              <w:t>, 89(1), 61-77</w:t>
            </w:r>
          </w:p>
        </w:tc>
        <w:tc>
          <w:tcPr>
            <w:tcW w:w="3828" w:type="dxa"/>
            <w:tcBorders>
              <w:top w:val="single" w:sz="8" w:space="0" w:color="auto"/>
              <w:left w:val="single" w:sz="8" w:space="0" w:color="auto"/>
              <w:bottom w:val="single" w:sz="8" w:space="0" w:color="auto"/>
              <w:right w:val="single" w:sz="8" w:space="0" w:color="auto"/>
            </w:tcBorders>
            <w:hideMark/>
          </w:tcPr>
          <w:p w14:paraId="69C5080B" w14:textId="77777777" w:rsidR="00A213C3" w:rsidRPr="00AD19BC" w:rsidRDefault="00A213C3" w:rsidP="00E86D5D">
            <w:pPr>
              <w:spacing w:before="40" w:after="40" w:line="276" w:lineRule="auto"/>
              <w:jc w:val="left"/>
              <w:rPr>
                <w:rFonts w:cs="Arial"/>
                <w:szCs w:val="20"/>
              </w:rPr>
            </w:pPr>
            <w:r w:rsidRPr="00AD19BC">
              <w:rPr>
                <w:rFonts w:cs="Arial"/>
                <w:szCs w:val="20"/>
              </w:rPr>
              <w:t>Altered response format and instructions to align closely with the original scale</w:t>
            </w:r>
          </w:p>
        </w:tc>
        <w:tc>
          <w:tcPr>
            <w:tcW w:w="2551" w:type="dxa"/>
            <w:tcBorders>
              <w:top w:val="single" w:sz="8" w:space="0" w:color="auto"/>
              <w:left w:val="single" w:sz="8" w:space="0" w:color="auto"/>
              <w:bottom w:val="single" w:sz="8" w:space="0" w:color="auto"/>
              <w:right w:val="single" w:sz="8" w:space="0" w:color="auto"/>
            </w:tcBorders>
          </w:tcPr>
          <w:p w14:paraId="46D27CE4" w14:textId="77777777" w:rsidR="00A213C3" w:rsidRPr="00AD19BC" w:rsidRDefault="00A213C3" w:rsidP="00E86D5D">
            <w:pPr>
              <w:spacing w:before="40" w:after="40" w:line="276" w:lineRule="auto"/>
              <w:jc w:val="left"/>
              <w:rPr>
                <w:rFonts w:cs="Arial"/>
                <w:szCs w:val="20"/>
              </w:rPr>
            </w:pPr>
          </w:p>
        </w:tc>
      </w:tr>
      <w:tr w:rsidR="00A213C3" w:rsidRPr="00AD19BC" w14:paraId="2FBEDB8F"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79A54D2C" w14:textId="77777777" w:rsidR="00A213C3" w:rsidRPr="00AD19BC" w:rsidRDefault="00A213C3" w:rsidP="00E86D5D">
            <w:pPr>
              <w:spacing w:before="40" w:after="40" w:line="276" w:lineRule="auto"/>
              <w:jc w:val="left"/>
              <w:rPr>
                <w:rFonts w:cs="Arial"/>
                <w:szCs w:val="20"/>
              </w:rPr>
            </w:pPr>
            <w:r w:rsidRPr="00AD19BC">
              <w:rPr>
                <w:rFonts w:cs="Arial"/>
                <w:szCs w:val="20"/>
              </w:rPr>
              <w:t>60</w:t>
            </w:r>
          </w:p>
        </w:tc>
        <w:tc>
          <w:tcPr>
            <w:tcW w:w="2079" w:type="dxa"/>
            <w:tcBorders>
              <w:top w:val="single" w:sz="8" w:space="0" w:color="auto"/>
              <w:left w:val="single" w:sz="8" w:space="0" w:color="auto"/>
              <w:bottom w:val="single" w:sz="8" w:space="0" w:color="auto"/>
              <w:right w:val="single" w:sz="8" w:space="0" w:color="auto"/>
            </w:tcBorders>
            <w:hideMark/>
          </w:tcPr>
          <w:p w14:paraId="558E7BC2" w14:textId="77777777" w:rsidR="00A213C3" w:rsidRPr="00AD19BC" w:rsidRDefault="00A213C3" w:rsidP="00E86D5D">
            <w:pPr>
              <w:spacing w:before="40" w:after="40" w:line="276" w:lineRule="auto"/>
              <w:jc w:val="left"/>
              <w:rPr>
                <w:rFonts w:cs="Arial"/>
                <w:szCs w:val="20"/>
              </w:rPr>
            </w:pPr>
            <w:r w:rsidRPr="00AD19BC">
              <w:rPr>
                <w:rFonts w:cs="Arial"/>
                <w:szCs w:val="20"/>
              </w:rPr>
              <w:t>Life Control Scale</w:t>
            </w:r>
          </w:p>
        </w:tc>
        <w:tc>
          <w:tcPr>
            <w:tcW w:w="4158" w:type="dxa"/>
            <w:tcBorders>
              <w:top w:val="single" w:sz="8" w:space="0" w:color="auto"/>
              <w:left w:val="single" w:sz="8" w:space="0" w:color="auto"/>
              <w:bottom w:val="single" w:sz="8" w:space="0" w:color="auto"/>
              <w:right w:val="single" w:sz="8" w:space="0" w:color="auto"/>
            </w:tcBorders>
            <w:hideMark/>
          </w:tcPr>
          <w:p w14:paraId="562E952C" w14:textId="77777777" w:rsidR="00A213C3" w:rsidRPr="00AD19BC" w:rsidRDefault="00A213C3" w:rsidP="00E86D5D">
            <w:pPr>
              <w:spacing w:before="40" w:after="40" w:line="276" w:lineRule="auto"/>
              <w:jc w:val="left"/>
              <w:rPr>
                <w:rFonts w:cs="Arial"/>
                <w:szCs w:val="20"/>
              </w:rPr>
            </w:pPr>
            <w:proofErr w:type="spellStart"/>
            <w:r w:rsidRPr="00AD19BC">
              <w:rPr>
                <w:rFonts w:cs="Arial"/>
                <w:szCs w:val="20"/>
              </w:rPr>
              <w:t>Bobak</w:t>
            </w:r>
            <w:proofErr w:type="spellEnd"/>
            <w:r w:rsidRPr="00AD19BC">
              <w:rPr>
                <w:rFonts w:cs="Arial"/>
                <w:szCs w:val="20"/>
              </w:rPr>
              <w:t xml:space="preserve"> M, </w:t>
            </w:r>
            <w:proofErr w:type="spellStart"/>
            <w:r w:rsidRPr="00AD19BC">
              <w:rPr>
                <w:rFonts w:cs="Arial"/>
                <w:szCs w:val="20"/>
              </w:rPr>
              <w:t>Pikhart</w:t>
            </w:r>
            <w:proofErr w:type="spellEnd"/>
            <w:r w:rsidRPr="00AD19BC">
              <w:rPr>
                <w:rFonts w:cs="Arial"/>
                <w:szCs w:val="20"/>
              </w:rPr>
              <w:t xml:space="preserve"> H, </w:t>
            </w:r>
            <w:proofErr w:type="spellStart"/>
            <w:r w:rsidRPr="00AD19BC">
              <w:rPr>
                <w:rFonts w:cs="Arial"/>
                <w:szCs w:val="20"/>
              </w:rPr>
              <w:t>Hertaman</w:t>
            </w:r>
            <w:proofErr w:type="spellEnd"/>
            <w:r w:rsidRPr="00AD19BC">
              <w:rPr>
                <w:rFonts w:cs="Arial"/>
                <w:szCs w:val="20"/>
              </w:rPr>
              <w:t xml:space="preserve"> C, Rose R &amp; Marmot M. (1998) Socioeconomic factors, perceived </w:t>
            </w:r>
            <w:proofErr w:type="gramStart"/>
            <w:r w:rsidRPr="00AD19BC">
              <w:rPr>
                <w:rFonts w:cs="Arial"/>
                <w:szCs w:val="20"/>
              </w:rPr>
              <w:t>control</w:t>
            </w:r>
            <w:proofErr w:type="gramEnd"/>
            <w:r w:rsidRPr="00AD19BC">
              <w:rPr>
                <w:rFonts w:cs="Arial"/>
                <w:szCs w:val="20"/>
              </w:rPr>
              <w:t xml:space="preserve"> and self-reported health in Russia. A cross-sectional survey. </w:t>
            </w:r>
            <w:r w:rsidRPr="00AD19BC">
              <w:rPr>
                <w:rFonts w:cs="Arial"/>
                <w:i/>
                <w:szCs w:val="20"/>
              </w:rPr>
              <w:t>Social Science Medicine,</w:t>
            </w:r>
            <w:r w:rsidRPr="00AD19BC">
              <w:rPr>
                <w:rFonts w:cs="Arial"/>
                <w:szCs w:val="20"/>
              </w:rPr>
              <w:t xml:space="preserve"> 47(2), 269-279.</w:t>
            </w:r>
          </w:p>
        </w:tc>
        <w:tc>
          <w:tcPr>
            <w:tcW w:w="3828" w:type="dxa"/>
            <w:tcBorders>
              <w:top w:val="single" w:sz="8" w:space="0" w:color="auto"/>
              <w:left w:val="single" w:sz="8" w:space="0" w:color="auto"/>
              <w:bottom w:val="single" w:sz="8" w:space="0" w:color="auto"/>
              <w:right w:val="single" w:sz="8" w:space="0" w:color="auto"/>
            </w:tcBorders>
          </w:tcPr>
          <w:p w14:paraId="541D8EB4"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0CF86171" w14:textId="77777777" w:rsidR="00A213C3" w:rsidRPr="00AD19BC" w:rsidRDefault="00A213C3" w:rsidP="00E86D5D">
            <w:pPr>
              <w:spacing w:before="40" w:after="40" w:line="276" w:lineRule="auto"/>
              <w:jc w:val="left"/>
              <w:rPr>
                <w:rFonts w:cs="Arial"/>
                <w:szCs w:val="20"/>
              </w:rPr>
            </w:pPr>
          </w:p>
        </w:tc>
      </w:tr>
      <w:tr w:rsidR="00A213C3" w:rsidRPr="00AD19BC" w14:paraId="24EBC43F"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47F9B692" w14:textId="77777777" w:rsidR="00A213C3" w:rsidRPr="00AD19BC" w:rsidRDefault="00A213C3" w:rsidP="00E86D5D">
            <w:pPr>
              <w:spacing w:before="40" w:after="40" w:line="276" w:lineRule="auto"/>
              <w:jc w:val="left"/>
              <w:rPr>
                <w:rFonts w:cs="Arial"/>
                <w:szCs w:val="20"/>
              </w:rPr>
            </w:pPr>
            <w:r w:rsidRPr="00AD19BC">
              <w:rPr>
                <w:rFonts w:cs="Arial"/>
                <w:szCs w:val="20"/>
              </w:rPr>
              <w:lastRenderedPageBreak/>
              <w:t>61-63</w:t>
            </w:r>
          </w:p>
        </w:tc>
        <w:tc>
          <w:tcPr>
            <w:tcW w:w="2079" w:type="dxa"/>
            <w:tcBorders>
              <w:top w:val="single" w:sz="8" w:space="0" w:color="auto"/>
              <w:left w:val="single" w:sz="8" w:space="0" w:color="auto"/>
              <w:bottom w:val="single" w:sz="8" w:space="0" w:color="auto"/>
              <w:right w:val="single" w:sz="8" w:space="0" w:color="auto"/>
            </w:tcBorders>
            <w:hideMark/>
          </w:tcPr>
          <w:p w14:paraId="51DDCCAA" w14:textId="77777777" w:rsidR="00A213C3" w:rsidRPr="00AD19BC" w:rsidRDefault="00A213C3" w:rsidP="00E86D5D">
            <w:pPr>
              <w:spacing w:before="40" w:after="40" w:line="276" w:lineRule="auto"/>
              <w:jc w:val="left"/>
              <w:rPr>
                <w:rFonts w:cs="Arial"/>
                <w:szCs w:val="20"/>
              </w:rPr>
            </w:pPr>
            <w:r w:rsidRPr="00AD19BC">
              <w:rPr>
                <w:rFonts w:cs="Arial"/>
                <w:szCs w:val="20"/>
              </w:rPr>
              <w:t>Alcohol status</w:t>
            </w:r>
          </w:p>
        </w:tc>
        <w:tc>
          <w:tcPr>
            <w:tcW w:w="4158" w:type="dxa"/>
            <w:tcBorders>
              <w:top w:val="single" w:sz="8" w:space="0" w:color="auto"/>
              <w:left w:val="single" w:sz="8" w:space="0" w:color="auto"/>
              <w:bottom w:val="single" w:sz="8" w:space="0" w:color="auto"/>
              <w:right w:val="single" w:sz="8" w:space="0" w:color="auto"/>
            </w:tcBorders>
            <w:hideMark/>
          </w:tcPr>
          <w:p w14:paraId="4501767E" w14:textId="77777777" w:rsidR="00A213C3" w:rsidRPr="00AD19BC" w:rsidRDefault="00A213C3" w:rsidP="00E86D5D">
            <w:pPr>
              <w:spacing w:before="40" w:after="40" w:line="276" w:lineRule="auto"/>
              <w:jc w:val="left"/>
              <w:rPr>
                <w:rFonts w:cs="Arial"/>
                <w:szCs w:val="20"/>
              </w:rPr>
            </w:pPr>
            <w:r w:rsidRPr="00AD19BC">
              <w:rPr>
                <w:rFonts w:cs="Arial"/>
                <w:szCs w:val="20"/>
              </w:rPr>
              <w:t>Modified from National Heart Foundation of Australia (1990). Risk factor prevalence study Survey no. 3 1989. National Heart Foundation of Australia and Australian Institute of Health.</w:t>
            </w:r>
          </w:p>
        </w:tc>
        <w:tc>
          <w:tcPr>
            <w:tcW w:w="3828" w:type="dxa"/>
            <w:tcBorders>
              <w:top w:val="single" w:sz="8" w:space="0" w:color="auto"/>
              <w:left w:val="single" w:sz="8" w:space="0" w:color="auto"/>
              <w:bottom w:val="single" w:sz="8" w:space="0" w:color="auto"/>
              <w:right w:val="single" w:sz="8" w:space="0" w:color="auto"/>
            </w:tcBorders>
            <w:hideMark/>
          </w:tcPr>
          <w:p w14:paraId="642B865B" w14:textId="77777777" w:rsidR="00A213C3" w:rsidRPr="00AD19BC" w:rsidRDefault="00A213C3" w:rsidP="00E86D5D">
            <w:pPr>
              <w:spacing w:before="40" w:after="40" w:line="276" w:lineRule="auto"/>
              <w:jc w:val="left"/>
              <w:rPr>
                <w:rFonts w:cs="Arial"/>
                <w:szCs w:val="20"/>
              </w:rPr>
            </w:pPr>
            <w:r w:rsidRPr="00AD19BC">
              <w:rPr>
                <w:rFonts w:cs="Arial"/>
                <w:bCs/>
                <w:szCs w:val="20"/>
              </w:rPr>
              <w:t>Response options modified slightly for Q62 and Q63 to account for new alcohol guidelines from NHMRC (2020)</w:t>
            </w:r>
          </w:p>
        </w:tc>
        <w:tc>
          <w:tcPr>
            <w:tcW w:w="2551" w:type="dxa"/>
            <w:tcBorders>
              <w:top w:val="single" w:sz="8" w:space="0" w:color="auto"/>
              <w:left w:val="single" w:sz="8" w:space="0" w:color="auto"/>
              <w:bottom w:val="single" w:sz="8" w:space="0" w:color="auto"/>
              <w:right w:val="single" w:sz="8" w:space="0" w:color="auto"/>
            </w:tcBorders>
          </w:tcPr>
          <w:p w14:paraId="74CE2EF1" w14:textId="77777777" w:rsidR="00A213C3" w:rsidRPr="00AD19BC" w:rsidRDefault="00A213C3" w:rsidP="00E86D5D">
            <w:pPr>
              <w:spacing w:before="40" w:after="40" w:line="276" w:lineRule="auto"/>
              <w:jc w:val="left"/>
              <w:rPr>
                <w:rFonts w:cs="Arial"/>
                <w:szCs w:val="20"/>
              </w:rPr>
            </w:pPr>
          </w:p>
        </w:tc>
      </w:tr>
      <w:tr w:rsidR="00A213C3" w:rsidRPr="00AD19BC" w14:paraId="2C65261F"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03D45F8F" w14:textId="77777777" w:rsidR="00A213C3" w:rsidRPr="00AD19BC" w:rsidRDefault="00A213C3" w:rsidP="00E86D5D">
            <w:pPr>
              <w:spacing w:before="40" w:after="40" w:line="276" w:lineRule="auto"/>
              <w:jc w:val="left"/>
              <w:rPr>
                <w:rFonts w:cs="Arial"/>
                <w:szCs w:val="20"/>
              </w:rPr>
            </w:pPr>
            <w:r w:rsidRPr="00AD19BC">
              <w:rPr>
                <w:rFonts w:cs="Arial"/>
                <w:szCs w:val="20"/>
              </w:rPr>
              <w:t>64</w:t>
            </w:r>
          </w:p>
        </w:tc>
        <w:tc>
          <w:tcPr>
            <w:tcW w:w="2079" w:type="dxa"/>
            <w:tcBorders>
              <w:top w:val="single" w:sz="8" w:space="0" w:color="auto"/>
              <w:left w:val="single" w:sz="8" w:space="0" w:color="auto"/>
              <w:bottom w:val="single" w:sz="8" w:space="0" w:color="auto"/>
              <w:right w:val="single" w:sz="8" w:space="0" w:color="auto"/>
            </w:tcBorders>
            <w:hideMark/>
          </w:tcPr>
          <w:p w14:paraId="0562AD0C"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Fruit </w:t>
            </w:r>
          </w:p>
        </w:tc>
        <w:tc>
          <w:tcPr>
            <w:tcW w:w="4158" w:type="dxa"/>
            <w:tcBorders>
              <w:top w:val="single" w:sz="8" w:space="0" w:color="auto"/>
              <w:left w:val="single" w:sz="8" w:space="0" w:color="auto"/>
              <w:bottom w:val="single" w:sz="8" w:space="0" w:color="auto"/>
              <w:right w:val="single" w:sz="8" w:space="0" w:color="auto"/>
            </w:tcBorders>
            <w:hideMark/>
          </w:tcPr>
          <w:p w14:paraId="35954C66"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Ireland P, Jolley D, Giles G, O'Dea K et al.  Development of the Melbourne FFQ: </w:t>
            </w:r>
            <w:r>
              <w:rPr>
                <w:rFonts w:cs="Arial"/>
                <w:szCs w:val="20"/>
              </w:rPr>
              <w:t>A</w:t>
            </w:r>
            <w:r w:rsidRPr="00AD19BC">
              <w:rPr>
                <w:rFonts w:cs="Arial"/>
                <w:szCs w:val="20"/>
              </w:rPr>
              <w:t xml:space="preserve"> food frequency questionnaire for use in an Australian prospective study involving an ethnically diverse cohort.  </w:t>
            </w:r>
            <w:r w:rsidRPr="00E66B59">
              <w:rPr>
                <w:rFonts w:cs="Arial"/>
                <w:i/>
                <w:iCs/>
                <w:szCs w:val="20"/>
              </w:rPr>
              <w:t xml:space="preserve">Asia Pacific J Clin </w:t>
            </w:r>
            <w:proofErr w:type="spellStart"/>
            <w:r w:rsidRPr="00E66B59">
              <w:rPr>
                <w:rFonts w:cs="Arial"/>
                <w:i/>
                <w:iCs/>
                <w:szCs w:val="20"/>
              </w:rPr>
              <w:t>Nutr</w:t>
            </w:r>
            <w:proofErr w:type="spellEnd"/>
            <w:r w:rsidRPr="00AD19BC">
              <w:rPr>
                <w:rFonts w:cs="Arial"/>
                <w:szCs w:val="20"/>
              </w:rPr>
              <w:t xml:space="preserve"> </w:t>
            </w:r>
            <w:proofErr w:type="gramStart"/>
            <w:r w:rsidRPr="00AD19BC">
              <w:rPr>
                <w:rFonts w:cs="Arial"/>
                <w:szCs w:val="20"/>
              </w:rPr>
              <w:t>1994;3:19</w:t>
            </w:r>
            <w:proofErr w:type="gramEnd"/>
            <w:r w:rsidRPr="00AD19BC">
              <w:rPr>
                <w:rFonts w:cs="Arial"/>
                <w:szCs w:val="20"/>
              </w:rPr>
              <w:t>-31.</w:t>
            </w:r>
          </w:p>
        </w:tc>
        <w:tc>
          <w:tcPr>
            <w:tcW w:w="3828" w:type="dxa"/>
            <w:tcBorders>
              <w:top w:val="single" w:sz="8" w:space="0" w:color="auto"/>
              <w:left w:val="single" w:sz="8" w:space="0" w:color="auto"/>
              <w:bottom w:val="single" w:sz="8" w:space="0" w:color="auto"/>
              <w:right w:val="single" w:sz="8" w:space="0" w:color="auto"/>
            </w:tcBorders>
            <w:hideMark/>
          </w:tcPr>
          <w:p w14:paraId="3BA0B0E2" w14:textId="77777777" w:rsidR="00A213C3" w:rsidRPr="00AD19BC" w:rsidRDefault="00A213C3" w:rsidP="00E86D5D">
            <w:pPr>
              <w:spacing w:before="40" w:after="40" w:line="276" w:lineRule="auto"/>
              <w:jc w:val="left"/>
              <w:rPr>
                <w:rFonts w:cs="Arial"/>
                <w:szCs w:val="20"/>
              </w:rPr>
            </w:pPr>
            <w:r w:rsidRPr="00AD19BC">
              <w:rPr>
                <w:rFonts w:cs="Arial"/>
                <w:szCs w:val="20"/>
              </w:rPr>
              <w:t>Wording modified to align with updated Australian Dietary Guidelines</w:t>
            </w:r>
          </w:p>
        </w:tc>
        <w:tc>
          <w:tcPr>
            <w:tcW w:w="2551" w:type="dxa"/>
            <w:tcBorders>
              <w:top w:val="single" w:sz="8" w:space="0" w:color="auto"/>
              <w:left w:val="single" w:sz="8" w:space="0" w:color="auto"/>
              <w:bottom w:val="single" w:sz="8" w:space="0" w:color="auto"/>
              <w:right w:val="single" w:sz="8" w:space="0" w:color="auto"/>
            </w:tcBorders>
          </w:tcPr>
          <w:p w14:paraId="1EAEA10D" w14:textId="77777777" w:rsidR="00A213C3" w:rsidRPr="00AD19BC" w:rsidRDefault="00A213C3" w:rsidP="00E86D5D">
            <w:pPr>
              <w:spacing w:before="40" w:after="40" w:line="276" w:lineRule="auto"/>
              <w:jc w:val="left"/>
              <w:rPr>
                <w:rFonts w:cs="Arial"/>
                <w:szCs w:val="20"/>
              </w:rPr>
            </w:pPr>
          </w:p>
        </w:tc>
      </w:tr>
      <w:tr w:rsidR="00A213C3" w:rsidRPr="00AD19BC" w14:paraId="4A3B9824"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3F744828" w14:textId="77777777" w:rsidR="00A213C3" w:rsidRPr="00AD19BC" w:rsidRDefault="00A213C3" w:rsidP="00E86D5D">
            <w:pPr>
              <w:spacing w:before="40" w:after="40" w:line="276" w:lineRule="auto"/>
              <w:jc w:val="left"/>
              <w:rPr>
                <w:rFonts w:cs="Arial"/>
                <w:szCs w:val="20"/>
              </w:rPr>
            </w:pPr>
            <w:r w:rsidRPr="00AD19BC">
              <w:rPr>
                <w:rFonts w:cs="Arial"/>
                <w:szCs w:val="20"/>
              </w:rPr>
              <w:t>65</w:t>
            </w:r>
          </w:p>
        </w:tc>
        <w:tc>
          <w:tcPr>
            <w:tcW w:w="2079" w:type="dxa"/>
            <w:tcBorders>
              <w:top w:val="single" w:sz="8" w:space="0" w:color="auto"/>
              <w:left w:val="single" w:sz="8" w:space="0" w:color="auto"/>
              <w:bottom w:val="single" w:sz="8" w:space="0" w:color="auto"/>
              <w:right w:val="single" w:sz="8" w:space="0" w:color="auto"/>
            </w:tcBorders>
            <w:hideMark/>
          </w:tcPr>
          <w:p w14:paraId="6B00F8A6" w14:textId="77777777" w:rsidR="00A213C3" w:rsidRPr="00AD19BC" w:rsidRDefault="00A213C3" w:rsidP="00E86D5D">
            <w:pPr>
              <w:spacing w:before="40" w:after="40" w:line="276" w:lineRule="auto"/>
              <w:jc w:val="left"/>
              <w:rPr>
                <w:rFonts w:cs="Arial"/>
                <w:szCs w:val="20"/>
              </w:rPr>
            </w:pPr>
            <w:r w:rsidRPr="00AD19BC">
              <w:rPr>
                <w:rFonts w:cs="Arial"/>
                <w:szCs w:val="20"/>
              </w:rPr>
              <w:t>Vegetables</w:t>
            </w:r>
          </w:p>
        </w:tc>
        <w:tc>
          <w:tcPr>
            <w:tcW w:w="4158" w:type="dxa"/>
            <w:tcBorders>
              <w:top w:val="single" w:sz="8" w:space="0" w:color="auto"/>
              <w:left w:val="single" w:sz="8" w:space="0" w:color="auto"/>
              <w:bottom w:val="single" w:sz="8" w:space="0" w:color="auto"/>
              <w:right w:val="single" w:sz="8" w:space="0" w:color="auto"/>
            </w:tcBorders>
            <w:hideMark/>
          </w:tcPr>
          <w:p w14:paraId="1F4FFB82"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5A705FCD"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24181072" w14:textId="77777777" w:rsidR="00A213C3" w:rsidRPr="00AD19BC" w:rsidRDefault="00A213C3" w:rsidP="00E86D5D">
            <w:pPr>
              <w:spacing w:before="40" w:after="40" w:line="276" w:lineRule="auto"/>
              <w:jc w:val="left"/>
              <w:rPr>
                <w:rFonts w:cs="Arial"/>
                <w:szCs w:val="20"/>
              </w:rPr>
            </w:pPr>
          </w:p>
        </w:tc>
      </w:tr>
      <w:tr w:rsidR="00A213C3" w:rsidRPr="00AD19BC" w14:paraId="3F92FE07"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6B4875CA" w14:textId="77777777" w:rsidR="00A213C3" w:rsidRPr="00AD19BC" w:rsidRDefault="00A213C3" w:rsidP="00E86D5D">
            <w:pPr>
              <w:spacing w:before="40" w:after="40" w:line="276" w:lineRule="auto"/>
              <w:jc w:val="left"/>
              <w:rPr>
                <w:rFonts w:cs="Arial"/>
                <w:szCs w:val="20"/>
              </w:rPr>
            </w:pPr>
            <w:r w:rsidRPr="00AD19BC">
              <w:rPr>
                <w:rFonts w:cs="Arial"/>
                <w:szCs w:val="20"/>
              </w:rPr>
              <w:t>66-69</w:t>
            </w:r>
          </w:p>
        </w:tc>
        <w:tc>
          <w:tcPr>
            <w:tcW w:w="2079" w:type="dxa"/>
            <w:tcBorders>
              <w:top w:val="single" w:sz="8" w:space="0" w:color="auto"/>
              <w:left w:val="single" w:sz="8" w:space="0" w:color="auto"/>
              <w:bottom w:val="single" w:sz="8" w:space="0" w:color="auto"/>
              <w:right w:val="single" w:sz="8" w:space="0" w:color="auto"/>
            </w:tcBorders>
            <w:hideMark/>
          </w:tcPr>
          <w:p w14:paraId="55DBC8FB"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Smoking </w:t>
            </w:r>
          </w:p>
        </w:tc>
        <w:tc>
          <w:tcPr>
            <w:tcW w:w="4158" w:type="dxa"/>
            <w:tcBorders>
              <w:top w:val="single" w:sz="8" w:space="0" w:color="auto"/>
              <w:left w:val="single" w:sz="8" w:space="0" w:color="auto"/>
              <w:bottom w:val="single" w:sz="8" w:space="0" w:color="auto"/>
              <w:right w:val="single" w:sz="8" w:space="0" w:color="auto"/>
            </w:tcBorders>
            <w:hideMark/>
          </w:tcPr>
          <w:p w14:paraId="6BBA3619" w14:textId="77777777" w:rsidR="00A213C3" w:rsidRPr="00AD19BC" w:rsidRDefault="00A213C3" w:rsidP="00E86D5D">
            <w:pPr>
              <w:spacing w:before="40" w:after="40" w:line="276" w:lineRule="auto"/>
              <w:jc w:val="left"/>
              <w:rPr>
                <w:rFonts w:cs="Arial"/>
                <w:szCs w:val="20"/>
              </w:rPr>
            </w:pPr>
            <w:r w:rsidRPr="00AD19BC">
              <w:rPr>
                <w:rFonts w:cs="Arial"/>
                <w:szCs w:val="20"/>
              </w:rPr>
              <w:t>Modified from National Heart Foundation of Australia (1990). Risk factor prevalence study survey no.3 1989. National Heart Foundation of Australia and Australian Institute of Health.</w:t>
            </w:r>
          </w:p>
          <w:p w14:paraId="61BA5304" w14:textId="77777777" w:rsidR="00A213C3" w:rsidRPr="00AD19BC" w:rsidRDefault="00A213C3" w:rsidP="00E86D5D">
            <w:pPr>
              <w:spacing w:before="40" w:after="40" w:line="276" w:lineRule="auto"/>
              <w:jc w:val="left"/>
              <w:rPr>
                <w:rFonts w:cs="Arial"/>
                <w:szCs w:val="20"/>
              </w:rPr>
            </w:pPr>
            <w:r w:rsidRPr="00AD19BC">
              <w:rPr>
                <w:rFonts w:cs="Arial"/>
                <w:szCs w:val="20"/>
              </w:rPr>
              <w:t>Also: Modified from Australian Institute of Health and Welfare (AIHW) (1997) National Health Data Dictionary, Version 6.0.  Standard questions on the use of tobacco among adults.</w:t>
            </w:r>
          </w:p>
        </w:tc>
        <w:tc>
          <w:tcPr>
            <w:tcW w:w="3828" w:type="dxa"/>
            <w:tcBorders>
              <w:top w:val="single" w:sz="8" w:space="0" w:color="auto"/>
              <w:left w:val="single" w:sz="8" w:space="0" w:color="auto"/>
              <w:bottom w:val="single" w:sz="8" w:space="0" w:color="auto"/>
              <w:right w:val="single" w:sz="8" w:space="0" w:color="auto"/>
            </w:tcBorders>
          </w:tcPr>
          <w:p w14:paraId="440FBD0F"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2AD4C4EA" w14:textId="77777777" w:rsidR="00A213C3" w:rsidRPr="00AD19BC" w:rsidRDefault="00A213C3" w:rsidP="00E86D5D">
            <w:pPr>
              <w:spacing w:before="40" w:after="40" w:line="276" w:lineRule="auto"/>
              <w:jc w:val="left"/>
              <w:rPr>
                <w:rFonts w:cs="Arial"/>
                <w:szCs w:val="20"/>
              </w:rPr>
            </w:pPr>
          </w:p>
        </w:tc>
      </w:tr>
      <w:tr w:rsidR="00A213C3" w:rsidRPr="00AD19BC" w14:paraId="240D4B71"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05283527" w14:textId="77777777" w:rsidR="00A213C3" w:rsidRPr="00AD19BC" w:rsidRDefault="00A213C3" w:rsidP="00E86D5D">
            <w:pPr>
              <w:spacing w:before="40" w:after="40" w:line="276" w:lineRule="auto"/>
              <w:jc w:val="left"/>
              <w:rPr>
                <w:rFonts w:cs="Arial"/>
                <w:szCs w:val="20"/>
              </w:rPr>
            </w:pPr>
            <w:r w:rsidRPr="00AD19BC">
              <w:rPr>
                <w:rFonts w:cs="Arial"/>
                <w:szCs w:val="20"/>
              </w:rPr>
              <w:t>70</w:t>
            </w:r>
          </w:p>
        </w:tc>
        <w:tc>
          <w:tcPr>
            <w:tcW w:w="2079" w:type="dxa"/>
            <w:tcBorders>
              <w:top w:val="single" w:sz="8" w:space="0" w:color="auto"/>
              <w:left w:val="single" w:sz="8" w:space="0" w:color="auto"/>
              <w:bottom w:val="single" w:sz="8" w:space="0" w:color="auto"/>
              <w:right w:val="single" w:sz="8" w:space="0" w:color="auto"/>
            </w:tcBorders>
            <w:hideMark/>
          </w:tcPr>
          <w:p w14:paraId="728BCE24" w14:textId="77777777" w:rsidR="00A213C3" w:rsidRPr="00AD19BC" w:rsidRDefault="00A213C3" w:rsidP="00E86D5D">
            <w:pPr>
              <w:spacing w:before="40" w:after="40" w:line="276" w:lineRule="auto"/>
              <w:jc w:val="left"/>
              <w:rPr>
                <w:rFonts w:cs="Arial"/>
                <w:szCs w:val="20"/>
              </w:rPr>
            </w:pPr>
            <w:r w:rsidRPr="00AD19BC">
              <w:rPr>
                <w:rFonts w:cs="Arial"/>
                <w:szCs w:val="20"/>
              </w:rPr>
              <w:t>Elder abuse</w:t>
            </w:r>
          </w:p>
        </w:tc>
        <w:tc>
          <w:tcPr>
            <w:tcW w:w="4158" w:type="dxa"/>
            <w:tcBorders>
              <w:top w:val="single" w:sz="8" w:space="0" w:color="auto"/>
              <w:left w:val="single" w:sz="8" w:space="0" w:color="auto"/>
              <w:bottom w:val="single" w:sz="8" w:space="0" w:color="auto"/>
              <w:right w:val="single" w:sz="8" w:space="0" w:color="auto"/>
            </w:tcBorders>
            <w:hideMark/>
          </w:tcPr>
          <w:p w14:paraId="78702506" w14:textId="77777777" w:rsidR="00A213C3" w:rsidRPr="00AD19BC" w:rsidRDefault="00A213C3" w:rsidP="00E86D5D">
            <w:pPr>
              <w:spacing w:before="40" w:after="40" w:line="276" w:lineRule="auto"/>
              <w:jc w:val="left"/>
              <w:rPr>
                <w:rFonts w:cs="Arial"/>
                <w:szCs w:val="20"/>
              </w:rPr>
            </w:pPr>
            <w:proofErr w:type="spellStart"/>
            <w:r w:rsidRPr="00AD19BC">
              <w:rPr>
                <w:rFonts w:cs="Arial"/>
                <w:szCs w:val="20"/>
              </w:rPr>
              <w:t>Hwalek</w:t>
            </w:r>
            <w:proofErr w:type="spellEnd"/>
            <w:r w:rsidRPr="00AD19BC">
              <w:rPr>
                <w:rFonts w:cs="Arial"/>
                <w:szCs w:val="20"/>
              </w:rPr>
              <w:t xml:space="preserve"> MA &amp; </w:t>
            </w:r>
            <w:proofErr w:type="spellStart"/>
            <w:r w:rsidRPr="00AD19BC">
              <w:rPr>
                <w:rFonts w:cs="Arial"/>
                <w:szCs w:val="20"/>
              </w:rPr>
              <w:t>Sengstock</w:t>
            </w:r>
            <w:proofErr w:type="spellEnd"/>
            <w:r w:rsidRPr="00AD19BC">
              <w:rPr>
                <w:rFonts w:cs="Arial"/>
                <w:szCs w:val="20"/>
              </w:rPr>
              <w:t xml:space="preserve"> MC. (1986). Assessing the probability of abuse of the elderly: Toward development of a clinical screening instrument. </w:t>
            </w:r>
            <w:r w:rsidRPr="00E66B59">
              <w:rPr>
                <w:rFonts w:cs="Arial"/>
                <w:i/>
                <w:iCs/>
                <w:szCs w:val="20"/>
              </w:rPr>
              <w:t>Journal of Applied Gerontology</w:t>
            </w:r>
            <w:r w:rsidRPr="00AD19BC">
              <w:rPr>
                <w:rFonts w:cs="Arial"/>
                <w:szCs w:val="20"/>
              </w:rPr>
              <w:t>, 5(2), 153-173.</w:t>
            </w:r>
          </w:p>
        </w:tc>
        <w:tc>
          <w:tcPr>
            <w:tcW w:w="3828" w:type="dxa"/>
            <w:tcBorders>
              <w:top w:val="single" w:sz="8" w:space="0" w:color="auto"/>
              <w:left w:val="single" w:sz="8" w:space="0" w:color="auto"/>
              <w:bottom w:val="single" w:sz="8" w:space="0" w:color="auto"/>
              <w:right w:val="single" w:sz="8" w:space="0" w:color="auto"/>
            </w:tcBorders>
          </w:tcPr>
          <w:p w14:paraId="01495164"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74C426B1" w14:textId="77777777" w:rsidR="00A213C3" w:rsidRPr="00AD19BC" w:rsidRDefault="00A213C3" w:rsidP="00E86D5D">
            <w:pPr>
              <w:spacing w:before="40" w:after="40" w:line="276" w:lineRule="auto"/>
              <w:jc w:val="left"/>
              <w:rPr>
                <w:rFonts w:cs="Arial"/>
                <w:szCs w:val="20"/>
                <w:highlight w:val="lightGray"/>
              </w:rPr>
            </w:pPr>
          </w:p>
        </w:tc>
      </w:tr>
      <w:tr w:rsidR="00A213C3" w:rsidRPr="00AD19BC" w14:paraId="07CCCF83"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2D13E5B9" w14:textId="77777777" w:rsidR="00A213C3" w:rsidRPr="00AD19BC" w:rsidRDefault="00A213C3" w:rsidP="00E86D5D">
            <w:pPr>
              <w:spacing w:before="40" w:after="40" w:line="276" w:lineRule="auto"/>
              <w:jc w:val="left"/>
              <w:rPr>
                <w:rFonts w:cs="Arial"/>
                <w:szCs w:val="20"/>
              </w:rPr>
            </w:pPr>
            <w:r w:rsidRPr="00AD19BC">
              <w:rPr>
                <w:rFonts w:cs="Arial"/>
                <w:szCs w:val="20"/>
              </w:rPr>
              <w:lastRenderedPageBreak/>
              <w:t>71</w:t>
            </w:r>
          </w:p>
        </w:tc>
        <w:tc>
          <w:tcPr>
            <w:tcW w:w="2079" w:type="dxa"/>
            <w:tcBorders>
              <w:top w:val="single" w:sz="8" w:space="0" w:color="auto"/>
              <w:left w:val="single" w:sz="8" w:space="0" w:color="auto"/>
              <w:bottom w:val="single" w:sz="8" w:space="0" w:color="auto"/>
              <w:right w:val="single" w:sz="8" w:space="0" w:color="auto"/>
            </w:tcBorders>
            <w:hideMark/>
          </w:tcPr>
          <w:p w14:paraId="6F60C278" w14:textId="77777777" w:rsidR="00A213C3" w:rsidRPr="00AD19BC" w:rsidRDefault="00A213C3" w:rsidP="00E86D5D">
            <w:pPr>
              <w:spacing w:before="40" w:after="40" w:line="276" w:lineRule="auto"/>
              <w:jc w:val="left"/>
              <w:rPr>
                <w:rFonts w:cs="Arial"/>
                <w:szCs w:val="20"/>
              </w:rPr>
            </w:pPr>
            <w:r w:rsidRPr="00AD19BC">
              <w:rPr>
                <w:rFonts w:cs="Arial"/>
                <w:szCs w:val="20"/>
              </w:rPr>
              <w:t>Life events</w:t>
            </w:r>
          </w:p>
        </w:tc>
        <w:tc>
          <w:tcPr>
            <w:tcW w:w="4158" w:type="dxa"/>
            <w:tcBorders>
              <w:top w:val="single" w:sz="8" w:space="0" w:color="auto"/>
              <w:left w:val="single" w:sz="8" w:space="0" w:color="auto"/>
              <w:bottom w:val="single" w:sz="8" w:space="0" w:color="auto"/>
              <w:right w:val="single" w:sz="8" w:space="0" w:color="auto"/>
            </w:tcBorders>
            <w:hideMark/>
          </w:tcPr>
          <w:p w14:paraId="6E1174BF"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Modified from </w:t>
            </w:r>
            <w:proofErr w:type="spellStart"/>
            <w:r w:rsidRPr="00AD19BC">
              <w:rPr>
                <w:rFonts w:cs="Arial"/>
                <w:szCs w:val="20"/>
              </w:rPr>
              <w:t>Norbeck</w:t>
            </w:r>
            <w:proofErr w:type="spellEnd"/>
            <w:r w:rsidRPr="00AD19BC">
              <w:rPr>
                <w:rFonts w:cs="Arial"/>
                <w:szCs w:val="20"/>
              </w:rPr>
              <w:t xml:space="preserve"> JS. (1984). Modification of live event questionnaires for use with female respondents. </w:t>
            </w:r>
            <w:r w:rsidRPr="00E66B59">
              <w:rPr>
                <w:rFonts w:cs="Arial"/>
                <w:i/>
                <w:iCs/>
                <w:szCs w:val="20"/>
              </w:rPr>
              <w:t>Research in Nursing and Health</w:t>
            </w:r>
            <w:r w:rsidRPr="00AD19BC">
              <w:rPr>
                <w:rFonts w:cs="Arial"/>
                <w:szCs w:val="20"/>
              </w:rPr>
              <w:t>, 7, 61-71.</w:t>
            </w:r>
          </w:p>
        </w:tc>
        <w:tc>
          <w:tcPr>
            <w:tcW w:w="3828" w:type="dxa"/>
            <w:tcBorders>
              <w:top w:val="single" w:sz="8" w:space="0" w:color="auto"/>
              <w:left w:val="single" w:sz="8" w:space="0" w:color="auto"/>
              <w:bottom w:val="single" w:sz="8" w:space="0" w:color="auto"/>
              <w:right w:val="single" w:sz="8" w:space="0" w:color="auto"/>
            </w:tcBorders>
          </w:tcPr>
          <w:p w14:paraId="2EB8A6AB"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7CDEBB85" w14:textId="77777777" w:rsidR="00A213C3" w:rsidRPr="00AD19BC" w:rsidRDefault="00A213C3" w:rsidP="00E86D5D">
            <w:pPr>
              <w:spacing w:before="40" w:after="40" w:line="276" w:lineRule="auto"/>
              <w:jc w:val="left"/>
              <w:rPr>
                <w:rFonts w:cs="Arial"/>
                <w:szCs w:val="20"/>
                <w:highlight w:val="lightGray"/>
              </w:rPr>
            </w:pPr>
          </w:p>
        </w:tc>
      </w:tr>
      <w:tr w:rsidR="00A213C3" w:rsidRPr="00AD19BC" w14:paraId="0CC15D6E" w14:textId="77777777" w:rsidTr="007F282B">
        <w:trPr>
          <w:trHeight w:val="100"/>
        </w:trPr>
        <w:tc>
          <w:tcPr>
            <w:tcW w:w="992" w:type="dxa"/>
            <w:tcBorders>
              <w:top w:val="single" w:sz="8" w:space="0" w:color="auto"/>
              <w:left w:val="single" w:sz="8" w:space="0" w:color="auto"/>
              <w:bottom w:val="single" w:sz="8" w:space="0" w:color="auto"/>
              <w:right w:val="single" w:sz="8" w:space="0" w:color="auto"/>
            </w:tcBorders>
            <w:hideMark/>
          </w:tcPr>
          <w:p w14:paraId="5741812C" w14:textId="77777777" w:rsidR="00A213C3" w:rsidRPr="00AD19BC" w:rsidRDefault="00A213C3" w:rsidP="00E86D5D">
            <w:pPr>
              <w:spacing w:before="40" w:after="40" w:line="276" w:lineRule="auto"/>
              <w:jc w:val="left"/>
              <w:rPr>
                <w:rFonts w:cs="Arial"/>
                <w:szCs w:val="20"/>
              </w:rPr>
            </w:pPr>
            <w:r w:rsidRPr="00AD19BC">
              <w:rPr>
                <w:rFonts w:cs="Arial"/>
                <w:szCs w:val="20"/>
              </w:rPr>
              <w:t>72</w:t>
            </w:r>
          </w:p>
        </w:tc>
        <w:tc>
          <w:tcPr>
            <w:tcW w:w="2079" w:type="dxa"/>
            <w:tcBorders>
              <w:top w:val="single" w:sz="8" w:space="0" w:color="auto"/>
              <w:left w:val="single" w:sz="8" w:space="0" w:color="auto"/>
              <w:bottom w:val="single" w:sz="8" w:space="0" w:color="auto"/>
              <w:right w:val="single" w:sz="8" w:space="0" w:color="auto"/>
            </w:tcBorders>
            <w:hideMark/>
          </w:tcPr>
          <w:p w14:paraId="070551C0" w14:textId="77777777" w:rsidR="00A213C3" w:rsidRPr="00AD19BC" w:rsidRDefault="00A213C3" w:rsidP="00E86D5D">
            <w:pPr>
              <w:spacing w:before="40" w:after="40" w:line="276" w:lineRule="auto"/>
              <w:jc w:val="left"/>
              <w:rPr>
                <w:rFonts w:cs="Arial"/>
                <w:szCs w:val="20"/>
              </w:rPr>
            </w:pPr>
            <w:r w:rsidRPr="00AD19BC">
              <w:rPr>
                <w:rFonts w:cs="Arial"/>
                <w:szCs w:val="20"/>
              </w:rPr>
              <w:t>Years when experienced violence</w:t>
            </w:r>
          </w:p>
        </w:tc>
        <w:tc>
          <w:tcPr>
            <w:tcW w:w="4158" w:type="dxa"/>
            <w:tcBorders>
              <w:top w:val="single" w:sz="8" w:space="0" w:color="auto"/>
              <w:left w:val="single" w:sz="8" w:space="0" w:color="auto"/>
              <w:bottom w:val="single" w:sz="8" w:space="0" w:color="auto"/>
              <w:right w:val="single" w:sz="8" w:space="0" w:color="auto"/>
            </w:tcBorders>
            <w:hideMark/>
          </w:tcPr>
          <w:p w14:paraId="721DE147"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Modified from Hegarty KL, Sheehan M, </w:t>
            </w:r>
            <w:proofErr w:type="spellStart"/>
            <w:r w:rsidRPr="00AD19BC">
              <w:rPr>
                <w:rFonts w:cs="Arial"/>
                <w:szCs w:val="20"/>
              </w:rPr>
              <w:t>Schonfeld</w:t>
            </w:r>
            <w:proofErr w:type="spellEnd"/>
            <w:r w:rsidRPr="00AD19BC">
              <w:rPr>
                <w:rFonts w:cs="Arial"/>
                <w:szCs w:val="20"/>
              </w:rPr>
              <w:t xml:space="preserve"> C. (1999) A multidimensional definition of partner abuse: </w:t>
            </w:r>
            <w:r>
              <w:rPr>
                <w:rFonts w:cs="Arial"/>
                <w:szCs w:val="20"/>
              </w:rPr>
              <w:t>D</w:t>
            </w:r>
            <w:r w:rsidRPr="00AD19BC">
              <w:rPr>
                <w:rFonts w:cs="Arial"/>
                <w:szCs w:val="20"/>
              </w:rPr>
              <w:t xml:space="preserve">evelopment and preliminary validation of the Composite Abuse Scale. </w:t>
            </w:r>
            <w:r w:rsidRPr="00E66B59">
              <w:rPr>
                <w:rFonts w:cs="Arial"/>
                <w:i/>
                <w:iCs/>
                <w:szCs w:val="20"/>
              </w:rPr>
              <w:t>J Fam Violence</w:t>
            </w:r>
            <w:r w:rsidRPr="00AD19BC">
              <w:rPr>
                <w:rFonts w:cs="Arial"/>
                <w:szCs w:val="20"/>
              </w:rPr>
              <w:t>, 14, 399-414.</w:t>
            </w:r>
          </w:p>
        </w:tc>
        <w:tc>
          <w:tcPr>
            <w:tcW w:w="3828" w:type="dxa"/>
            <w:tcBorders>
              <w:top w:val="single" w:sz="8" w:space="0" w:color="auto"/>
              <w:left w:val="single" w:sz="8" w:space="0" w:color="auto"/>
              <w:bottom w:val="single" w:sz="8" w:space="0" w:color="auto"/>
              <w:right w:val="single" w:sz="8" w:space="0" w:color="auto"/>
            </w:tcBorders>
            <w:hideMark/>
          </w:tcPr>
          <w:p w14:paraId="7F585946" w14:textId="77777777" w:rsidR="00A213C3" w:rsidRPr="00AD19BC" w:rsidRDefault="00A213C3" w:rsidP="00E86D5D">
            <w:pPr>
              <w:spacing w:before="40" w:after="40" w:line="276" w:lineRule="auto"/>
              <w:jc w:val="left"/>
              <w:rPr>
                <w:rFonts w:cs="Arial"/>
                <w:szCs w:val="20"/>
              </w:rPr>
            </w:pPr>
            <w:r w:rsidRPr="00AD19BC">
              <w:rPr>
                <w:rFonts w:cs="Arial"/>
                <w:szCs w:val="20"/>
              </w:rPr>
              <w:t>Updated years to adjust for time since the previous survey</w:t>
            </w:r>
          </w:p>
        </w:tc>
        <w:tc>
          <w:tcPr>
            <w:tcW w:w="2551" w:type="dxa"/>
            <w:tcBorders>
              <w:top w:val="single" w:sz="8" w:space="0" w:color="auto"/>
              <w:left w:val="single" w:sz="8" w:space="0" w:color="auto"/>
              <w:bottom w:val="single" w:sz="8" w:space="0" w:color="auto"/>
              <w:right w:val="single" w:sz="8" w:space="0" w:color="auto"/>
            </w:tcBorders>
          </w:tcPr>
          <w:p w14:paraId="7B65D5A0" w14:textId="77777777" w:rsidR="00A213C3" w:rsidRPr="00AD19BC" w:rsidRDefault="00A213C3" w:rsidP="00E86D5D">
            <w:pPr>
              <w:spacing w:before="40" w:after="40" w:line="276" w:lineRule="auto"/>
              <w:jc w:val="left"/>
              <w:rPr>
                <w:rFonts w:cs="Arial"/>
                <w:szCs w:val="20"/>
                <w:highlight w:val="lightGray"/>
              </w:rPr>
            </w:pPr>
          </w:p>
        </w:tc>
      </w:tr>
      <w:tr w:rsidR="00A213C3" w:rsidRPr="00AD19BC" w14:paraId="1B1784FB"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7129F3A3" w14:textId="77777777" w:rsidR="00A213C3" w:rsidRPr="00AD19BC" w:rsidRDefault="00A213C3" w:rsidP="00E86D5D">
            <w:pPr>
              <w:spacing w:before="40" w:after="40" w:line="276" w:lineRule="auto"/>
              <w:jc w:val="left"/>
              <w:rPr>
                <w:rFonts w:cs="Arial"/>
                <w:szCs w:val="20"/>
              </w:rPr>
            </w:pPr>
            <w:r w:rsidRPr="00AD19BC">
              <w:rPr>
                <w:rFonts w:cs="Arial"/>
                <w:szCs w:val="20"/>
              </w:rPr>
              <w:t>73</w:t>
            </w:r>
          </w:p>
        </w:tc>
        <w:tc>
          <w:tcPr>
            <w:tcW w:w="2079" w:type="dxa"/>
            <w:tcBorders>
              <w:top w:val="single" w:sz="8" w:space="0" w:color="auto"/>
              <w:left w:val="single" w:sz="8" w:space="0" w:color="auto"/>
              <w:bottom w:val="single" w:sz="8" w:space="0" w:color="auto"/>
              <w:right w:val="single" w:sz="8" w:space="0" w:color="auto"/>
            </w:tcBorders>
            <w:hideMark/>
          </w:tcPr>
          <w:p w14:paraId="7174BAA2" w14:textId="77777777" w:rsidR="00A213C3" w:rsidRPr="00AD19BC" w:rsidRDefault="00A213C3" w:rsidP="00E86D5D">
            <w:pPr>
              <w:spacing w:before="40" w:after="40" w:line="276" w:lineRule="auto"/>
              <w:jc w:val="left"/>
              <w:rPr>
                <w:rFonts w:cs="Arial"/>
                <w:szCs w:val="20"/>
              </w:rPr>
            </w:pPr>
            <w:r w:rsidRPr="00AD19BC">
              <w:rPr>
                <w:rFonts w:cs="Arial"/>
                <w:szCs w:val="20"/>
              </w:rPr>
              <w:t>Needs help with daily tasks</w:t>
            </w:r>
          </w:p>
        </w:tc>
        <w:tc>
          <w:tcPr>
            <w:tcW w:w="4158" w:type="dxa"/>
            <w:tcBorders>
              <w:top w:val="single" w:sz="8" w:space="0" w:color="auto"/>
              <w:left w:val="single" w:sz="8" w:space="0" w:color="auto"/>
              <w:bottom w:val="single" w:sz="8" w:space="0" w:color="auto"/>
              <w:right w:val="single" w:sz="8" w:space="0" w:color="auto"/>
            </w:tcBorders>
            <w:hideMark/>
          </w:tcPr>
          <w:p w14:paraId="2628D3F6" w14:textId="77777777" w:rsidR="00A213C3" w:rsidRPr="00AD19BC" w:rsidRDefault="00A213C3" w:rsidP="00E86D5D">
            <w:pPr>
              <w:spacing w:before="40" w:after="40" w:line="276" w:lineRule="auto"/>
              <w:jc w:val="left"/>
              <w:rPr>
                <w:rFonts w:cs="Arial"/>
                <w:szCs w:val="20"/>
              </w:rPr>
            </w:pPr>
            <w:r w:rsidRPr="00AD19BC">
              <w:rPr>
                <w:rFonts w:cs="Arial"/>
                <w:szCs w:val="20"/>
              </w:rPr>
              <w:t>Modified from Australian Bureau of Statistics (1993) Disability, Aging and Carers Australia. Canberra: ABS. Cat. No. 4432.0</w:t>
            </w:r>
          </w:p>
        </w:tc>
        <w:tc>
          <w:tcPr>
            <w:tcW w:w="3828" w:type="dxa"/>
            <w:tcBorders>
              <w:top w:val="single" w:sz="8" w:space="0" w:color="auto"/>
              <w:left w:val="single" w:sz="8" w:space="0" w:color="auto"/>
              <w:bottom w:val="single" w:sz="8" w:space="0" w:color="auto"/>
              <w:right w:val="single" w:sz="8" w:space="0" w:color="auto"/>
            </w:tcBorders>
          </w:tcPr>
          <w:p w14:paraId="075848A1"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60E70E2B" w14:textId="77777777" w:rsidR="00A213C3" w:rsidRPr="00AD19BC" w:rsidRDefault="00A213C3" w:rsidP="00E86D5D">
            <w:pPr>
              <w:spacing w:before="40" w:after="40" w:line="276" w:lineRule="auto"/>
              <w:jc w:val="left"/>
              <w:rPr>
                <w:rFonts w:cs="Arial"/>
                <w:szCs w:val="20"/>
              </w:rPr>
            </w:pPr>
          </w:p>
        </w:tc>
      </w:tr>
      <w:tr w:rsidR="00A213C3" w:rsidRPr="00AD19BC" w14:paraId="6251862F"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7055403C" w14:textId="77777777" w:rsidR="00A213C3" w:rsidRPr="00AD19BC" w:rsidRDefault="00A213C3" w:rsidP="00E86D5D">
            <w:pPr>
              <w:spacing w:before="40" w:after="40" w:line="276" w:lineRule="auto"/>
              <w:jc w:val="left"/>
              <w:rPr>
                <w:rFonts w:cs="Arial"/>
                <w:szCs w:val="20"/>
              </w:rPr>
            </w:pPr>
            <w:r w:rsidRPr="00AD19BC">
              <w:rPr>
                <w:rFonts w:cs="Arial"/>
                <w:szCs w:val="20"/>
              </w:rPr>
              <w:t>74</w:t>
            </w:r>
          </w:p>
        </w:tc>
        <w:tc>
          <w:tcPr>
            <w:tcW w:w="2079" w:type="dxa"/>
            <w:tcBorders>
              <w:top w:val="single" w:sz="8" w:space="0" w:color="auto"/>
              <w:left w:val="single" w:sz="8" w:space="0" w:color="auto"/>
              <w:bottom w:val="single" w:sz="8" w:space="0" w:color="auto"/>
              <w:right w:val="single" w:sz="8" w:space="0" w:color="auto"/>
            </w:tcBorders>
            <w:hideMark/>
          </w:tcPr>
          <w:p w14:paraId="118E40B3" w14:textId="77777777" w:rsidR="00A213C3" w:rsidRPr="00AD19BC" w:rsidRDefault="00A213C3" w:rsidP="00E86D5D">
            <w:pPr>
              <w:spacing w:before="40" w:after="40" w:line="276" w:lineRule="auto"/>
              <w:jc w:val="left"/>
              <w:rPr>
                <w:rFonts w:cs="Arial"/>
                <w:szCs w:val="20"/>
              </w:rPr>
            </w:pPr>
            <w:r w:rsidRPr="00AD19BC">
              <w:rPr>
                <w:rFonts w:cs="Arial"/>
                <w:szCs w:val="20"/>
              </w:rPr>
              <w:t>Time use</w:t>
            </w:r>
          </w:p>
        </w:tc>
        <w:tc>
          <w:tcPr>
            <w:tcW w:w="4158" w:type="dxa"/>
            <w:tcBorders>
              <w:top w:val="single" w:sz="8" w:space="0" w:color="auto"/>
              <w:left w:val="single" w:sz="8" w:space="0" w:color="auto"/>
              <w:bottom w:val="single" w:sz="8" w:space="0" w:color="auto"/>
              <w:right w:val="single" w:sz="8" w:space="0" w:color="auto"/>
            </w:tcBorders>
            <w:hideMark/>
          </w:tcPr>
          <w:p w14:paraId="1954D318"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Modified from Australian Bureau of Statistics (1993) Time use survey, Australia, 1992: </w:t>
            </w:r>
            <w:r>
              <w:rPr>
                <w:rFonts w:cs="Arial"/>
                <w:szCs w:val="20"/>
              </w:rPr>
              <w:t>U</w:t>
            </w:r>
            <w:r w:rsidRPr="00AD19BC">
              <w:rPr>
                <w:rFonts w:cs="Arial"/>
                <w:szCs w:val="20"/>
              </w:rPr>
              <w:t>ser's guide.  Canberra: ABS. Cat No. 4150.0.</w:t>
            </w:r>
          </w:p>
        </w:tc>
        <w:tc>
          <w:tcPr>
            <w:tcW w:w="3828" w:type="dxa"/>
            <w:tcBorders>
              <w:top w:val="single" w:sz="8" w:space="0" w:color="auto"/>
              <w:left w:val="single" w:sz="8" w:space="0" w:color="auto"/>
              <w:bottom w:val="single" w:sz="8" w:space="0" w:color="auto"/>
              <w:right w:val="single" w:sz="8" w:space="0" w:color="auto"/>
            </w:tcBorders>
          </w:tcPr>
          <w:p w14:paraId="6632FECE"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4D6622CA" w14:textId="77777777" w:rsidR="00A213C3" w:rsidRPr="00AD19BC" w:rsidRDefault="00A213C3" w:rsidP="00E86D5D">
            <w:pPr>
              <w:spacing w:before="40" w:after="40" w:line="276" w:lineRule="auto"/>
              <w:jc w:val="left"/>
              <w:rPr>
                <w:rFonts w:cs="Arial"/>
                <w:szCs w:val="20"/>
              </w:rPr>
            </w:pPr>
          </w:p>
        </w:tc>
      </w:tr>
      <w:tr w:rsidR="00A213C3" w:rsidRPr="00AD19BC" w14:paraId="1281A9F1"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6C959B01" w14:textId="77777777" w:rsidR="00A213C3" w:rsidRPr="00AD19BC" w:rsidRDefault="00A213C3" w:rsidP="00E86D5D">
            <w:pPr>
              <w:spacing w:before="40" w:after="40" w:line="276" w:lineRule="auto"/>
              <w:jc w:val="left"/>
              <w:rPr>
                <w:rFonts w:cs="Arial"/>
                <w:szCs w:val="20"/>
              </w:rPr>
            </w:pPr>
            <w:r w:rsidRPr="00AD19BC">
              <w:rPr>
                <w:rFonts w:cs="Arial"/>
                <w:szCs w:val="20"/>
              </w:rPr>
              <w:t>75</w:t>
            </w:r>
          </w:p>
        </w:tc>
        <w:tc>
          <w:tcPr>
            <w:tcW w:w="2079" w:type="dxa"/>
            <w:tcBorders>
              <w:top w:val="single" w:sz="8" w:space="0" w:color="auto"/>
              <w:left w:val="single" w:sz="8" w:space="0" w:color="auto"/>
              <w:bottom w:val="single" w:sz="8" w:space="0" w:color="auto"/>
              <w:right w:val="single" w:sz="8" w:space="0" w:color="auto"/>
            </w:tcBorders>
            <w:hideMark/>
          </w:tcPr>
          <w:p w14:paraId="42685EB6" w14:textId="77777777" w:rsidR="00A213C3" w:rsidRPr="00AD19BC" w:rsidRDefault="00A213C3" w:rsidP="00E86D5D">
            <w:pPr>
              <w:spacing w:before="40" w:after="40" w:line="276" w:lineRule="auto"/>
              <w:jc w:val="left"/>
              <w:rPr>
                <w:rFonts w:cs="Arial"/>
                <w:szCs w:val="20"/>
              </w:rPr>
            </w:pPr>
            <w:r w:rsidRPr="00AD19BC">
              <w:rPr>
                <w:rFonts w:cs="Arial"/>
                <w:szCs w:val="20"/>
              </w:rPr>
              <w:t>Volunteer work</w:t>
            </w:r>
          </w:p>
        </w:tc>
        <w:tc>
          <w:tcPr>
            <w:tcW w:w="4158" w:type="dxa"/>
            <w:tcBorders>
              <w:top w:val="single" w:sz="8" w:space="0" w:color="auto"/>
              <w:left w:val="single" w:sz="8" w:space="0" w:color="auto"/>
              <w:bottom w:val="single" w:sz="8" w:space="0" w:color="auto"/>
              <w:right w:val="single" w:sz="8" w:space="0" w:color="auto"/>
            </w:tcBorders>
            <w:hideMark/>
          </w:tcPr>
          <w:p w14:paraId="390654F1"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42F57FD0"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5F35155E" w14:textId="77777777" w:rsidR="00A213C3" w:rsidRPr="00AD19BC" w:rsidRDefault="00A213C3" w:rsidP="00E86D5D">
            <w:pPr>
              <w:spacing w:before="40" w:after="40" w:line="276" w:lineRule="auto"/>
              <w:jc w:val="left"/>
              <w:rPr>
                <w:rFonts w:cs="Arial"/>
                <w:szCs w:val="20"/>
              </w:rPr>
            </w:pPr>
          </w:p>
        </w:tc>
      </w:tr>
      <w:tr w:rsidR="00A213C3" w:rsidRPr="00AD19BC" w14:paraId="0133148F"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tcPr>
          <w:p w14:paraId="13614085" w14:textId="77777777" w:rsidR="00A213C3" w:rsidRPr="00AD19BC" w:rsidRDefault="00A213C3" w:rsidP="00E86D5D">
            <w:pPr>
              <w:spacing w:before="40" w:after="40" w:line="276" w:lineRule="auto"/>
              <w:jc w:val="left"/>
              <w:rPr>
                <w:rFonts w:cs="Arial"/>
                <w:szCs w:val="20"/>
              </w:rPr>
            </w:pPr>
            <w:r w:rsidRPr="00AD19BC">
              <w:rPr>
                <w:rFonts w:cs="Arial"/>
                <w:szCs w:val="20"/>
              </w:rPr>
              <w:t>76-79</w:t>
            </w:r>
          </w:p>
          <w:p w14:paraId="14F4EA1D" w14:textId="77777777" w:rsidR="00A213C3" w:rsidRPr="00AD19BC" w:rsidRDefault="00A213C3" w:rsidP="00E86D5D">
            <w:pPr>
              <w:spacing w:before="40" w:after="40" w:line="276" w:lineRule="auto"/>
              <w:jc w:val="left"/>
              <w:rPr>
                <w:rFonts w:cs="Arial"/>
                <w:szCs w:val="20"/>
              </w:rPr>
            </w:pPr>
          </w:p>
        </w:tc>
        <w:tc>
          <w:tcPr>
            <w:tcW w:w="2079" w:type="dxa"/>
            <w:tcBorders>
              <w:top w:val="single" w:sz="8" w:space="0" w:color="auto"/>
              <w:left w:val="single" w:sz="8" w:space="0" w:color="auto"/>
              <w:bottom w:val="single" w:sz="8" w:space="0" w:color="auto"/>
              <w:right w:val="single" w:sz="8" w:space="0" w:color="auto"/>
            </w:tcBorders>
            <w:hideMark/>
          </w:tcPr>
          <w:p w14:paraId="12C60C11" w14:textId="77777777" w:rsidR="00A213C3" w:rsidRPr="00AD19BC" w:rsidRDefault="00A213C3" w:rsidP="00E86D5D">
            <w:pPr>
              <w:spacing w:before="40" w:after="40" w:line="276" w:lineRule="auto"/>
              <w:jc w:val="left"/>
              <w:rPr>
                <w:rFonts w:cs="Arial"/>
                <w:szCs w:val="20"/>
              </w:rPr>
            </w:pPr>
            <w:r w:rsidRPr="00AD19BC">
              <w:rPr>
                <w:rFonts w:cs="Arial"/>
                <w:szCs w:val="20"/>
              </w:rPr>
              <w:t>Care for other people</w:t>
            </w:r>
          </w:p>
        </w:tc>
        <w:tc>
          <w:tcPr>
            <w:tcW w:w="4158" w:type="dxa"/>
            <w:tcBorders>
              <w:top w:val="single" w:sz="8" w:space="0" w:color="auto"/>
              <w:left w:val="single" w:sz="8" w:space="0" w:color="auto"/>
              <w:bottom w:val="single" w:sz="8" w:space="0" w:color="auto"/>
              <w:right w:val="single" w:sz="8" w:space="0" w:color="auto"/>
            </w:tcBorders>
            <w:hideMark/>
          </w:tcPr>
          <w:p w14:paraId="52C99E20"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Modified from Australian Bureau of Statistics (1993) </w:t>
            </w:r>
            <w:r w:rsidRPr="00AD19BC">
              <w:rPr>
                <w:rFonts w:cs="Arial"/>
                <w:i/>
                <w:szCs w:val="20"/>
              </w:rPr>
              <w:t xml:space="preserve">Disability, Aging and Carers Australia.  </w:t>
            </w:r>
            <w:r w:rsidRPr="00AD19BC">
              <w:rPr>
                <w:rFonts w:cs="Arial"/>
                <w:szCs w:val="20"/>
              </w:rPr>
              <w:t>Canberra: ABS.  Cat. No. 4432.0</w:t>
            </w:r>
          </w:p>
        </w:tc>
        <w:tc>
          <w:tcPr>
            <w:tcW w:w="3828" w:type="dxa"/>
            <w:tcBorders>
              <w:top w:val="single" w:sz="8" w:space="0" w:color="auto"/>
              <w:left w:val="single" w:sz="8" w:space="0" w:color="auto"/>
              <w:bottom w:val="single" w:sz="8" w:space="0" w:color="auto"/>
              <w:right w:val="single" w:sz="8" w:space="0" w:color="auto"/>
            </w:tcBorders>
          </w:tcPr>
          <w:p w14:paraId="1BC40313"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49B6B463" w14:textId="77777777" w:rsidR="00A213C3" w:rsidRPr="00AD19BC" w:rsidRDefault="00A213C3" w:rsidP="00E86D5D">
            <w:pPr>
              <w:spacing w:before="40" w:after="40" w:line="276" w:lineRule="auto"/>
              <w:jc w:val="left"/>
              <w:rPr>
                <w:rFonts w:cs="Arial"/>
                <w:szCs w:val="20"/>
              </w:rPr>
            </w:pPr>
          </w:p>
        </w:tc>
      </w:tr>
      <w:tr w:rsidR="00A213C3" w:rsidRPr="00AD19BC" w14:paraId="45005FF8"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1FA85638" w14:textId="77777777" w:rsidR="00A213C3" w:rsidRPr="00AD19BC" w:rsidRDefault="00A213C3" w:rsidP="00E86D5D">
            <w:pPr>
              <w:spacing w:before="40" w:after="40" w:line="276" w:lineRule="auto"/>
              <w:jc w:val="left"/>
              <w:rPr>
                <w:rFonts w:cs="Arial"/>
                <w:szCs w:val="20"/>
              </w:rPr>
            </w:pPr>
            <w:r w:rsidRPr="00AD19BC">
              <w:rPr>
                <w:rFonts w:cs="Arial"/>
                <w:szCs w:val="20"/>
              </w:rPr>
              <w:t>80</w:t>
            </w:r>
          </w:p>
        </w:tc>
        <w:tc>
          <w:tcPr>
            <w:tcW w:w="2079" w:type="dxa"/>
            <w:tcBorders>
              <w:top w:val="single" w:sz="8" w:space="0" w:color="auto"/>
              <w:left w:val="single" w:sz="8" w:space="0" w:color="auto"/>
              <w:bottom w:val="single" w:sz="8" w:space="0" w:color="auto"/>
              <w:right w:val="single" w:sz="8" w:space="0" w:color="auto"/>
            </w:tcBorders>
            <w:hideMark/>
          </w:tcPr>
          <w:p w14:paraId="18005287" w14:textId="77777777" w:rsidR="00A213C3" w:rsidRPr="00AD19BC" w:rsidRDefault="00A213C3" w:rsidP="00E86D5D">
            <w:pPr>
              <w:spacing w:before="40" w:after="40" w:line="276" w:lineRule="auto"/>
              <w:jc w:val="left"/>
              <w:rPr>
                <w:rFonts w:cs="Arial"/>
                <w:szCs w:val="20"/>
              </w:rPr>
            </w:pPr>
            <w:r w:rsidRPr="00AD19BC">
              <w:rPr>
                <w:rFonts w:cs="Arial"/>
                <w:szCs w:val="20"/>
              </w:rPr>
              <w:t>Reason for care</w:t>
            </w:r>
          </w:p>
        </w:tc>
        <w:tc>
          <w:tcPr>
            <w:tcW w:w="4158" w:type="dxa"/>
            <w:tcBorders>
              <w:top w:val="single" w:sz="8" w:space="0" w:color="auto"/>
              <w:left w:val="single" w:sz="8" w:space="0" w:color="auto"/>
              <w:bottom w:val="single" w:sz="8" w:space="0" w:color="auto"/>
              <w:right w:val="single" w:sz="8" w:space="0" w:color="auto"/>
            </w:tcBorders>
            <w:hideMark/>
          </w:tcPr>
          <w:p w14:paraId="5F6ABC27"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2007 ALSWH </w:t>
            </w:r>
            <w:proofErr w:type="spellStart"/>
            <w:r w:rsidRPr="00AD19BC">
              <w:rPr>
                <w:rFonts w:cs="Arial"/>
                <w:szCs w:val="20"/>
              </w:rPr>
              <w:t>Substudy</w:t>
            </w:r>
            <w:proofErr w:type="spellEnd"/>
            <w:r w:rsidRPr="00AD19BC">
              <w:rPr>
                <w:rFonts w:cs="Arial"/>
                <w:szCs w:val="20"/>
              </w:rPr>
              <w:t xml:space="preserve"> ‘Service utilisation and caregiving among mid-aged women’.</w:t>
            </w:r>
          </w:p>
        </w:tc>
        <w:tc>
          <w:tcPr>
            <w:tcW w:w="3828" w:type="dxa"/>
            <w:tcBorders>
              <w:top w:val="single" w:sz="8" w:space="0" w:color="auto"/>
              <w:left w:val="single" w:sz="8" w:space="0" w:color="auto"/>
              <w:bottom w:val="single" w:sz="8" w:space="0" w:color="auto"/>
              <w:right w:val="single" w:sz="8" w:space="0" w:color="auto"/>
            </w:tcBorders>
          </w:tcPr>
          <w:p w14:paraId="1CC101B8"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336BAE09" w14:textId="77777777" w:rsidR="00A213C3" w:rsidRPr="00AD19BC" w:rsidRDefault="00A213C3" w:rsidP="00E86D5D">
            <w:pPr>
              <w:spacing w:before="40" w:after="40" w:line="276" w:lineRule="auto"/>
              <w:jc w:val="left"/>
              <w:rPr>
                <w:rFonts w:cs="Arial"/>
                <w:szCs w:val="20"/>
              </w:rPr>
            </w:pPr>
          </w:p>
        </w:tc>
      </w:tr>
      <w:tr w:rsidR="00A213C3" w:rsidRPr="00AD19BC" w14:paraId="01EC7924"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3A6E789F" w14:textId="77777777" w:rsidR="00A213C3" w:rsidRPr="00AD19BC" w:rsidRDefault="00A213C3" w:rsidP="00E86D5D">
            <w:pPr>
              <w:spacing w:before="40" w:after="40" w:line="276" w:lineRule="auto"/>
              <w:jc w:val="left"/>
              <w:rPr>
                <w:rFonts w:cs="Arial"/>
                <w:szCs w:val="20"/>
              </w:rPr>
            </w:pPr>
            <w:r w:rsidRPr="00AD19BC">
              <w:rPr>
                <w:rFonts w:cs="Arial"/>
                <w:szCs w:val="20"/>
              </w:rPr>
              <w:t>81</w:t>
            </w:r>
          </w:p>
        </w:tc>
        <w:tc>
          <w:tcPr>
            <w:tcW w:w="2079" w:type="dxa"/>
            <w:tcBorders>
              <w:top w:val="single" w:sz="8" w:space="0" w:color="auto"/>
              <w:left w:val="single" w:sz="8" w:space="0" w:color="auto"/>
              <w:bottom w:val="single" w:sz="8" w:space="0" w:color="auto"/>
              <w:right w:val="single" w:sz="8" w:space="0" w:color="auto"/>
            </w:tcBorders>
            <w:hideMark/>
          </w:tcPr>
          <w:p w14:paraId="3B164933" w14:textId="77777777" w:rsidR="00A213C3" w:rsidRPr="00AD19BC" w:rsidRDefault="00A213C3" w:rsidP="00E86D5D">
            <w:pPr>
              <w:spacing w:before="40" w:after="40" w:line="276" w:lineRule="auto"/>
              <w:jc w:val="left"/>
              <w:rPr>
                <w:rFonts w:cs="Arial"/>
                <w:szCs w:val="20"/>
              </w:rPr>
            </w:pPr>
            <w:r w:rsidRPr="00AD19BC">
              <w:rPr>
                <w:rFonts w:cs="Arial"/>
                <w:szCs w:val="20"/>
              </w:rPr>
              <w:t>Relationship to person you care for</w:t>
            </w:r>
          </w:p>
        </w:tc>
        <w:tc>
          <w:tcPr>
            <w:tcW w:w="4158" w:type="dxa"/>
            <w:tcBorders>
              <w:top w:val="single" w:sz="8" w:space="0" w:color="auto"/>
              <w:left w:val="single" w:sz="8" w:space="0" w:color="auto"/>
              <w:bottom w:val="single" w:sz="8" w:space="0" w:color="auto"/>
              <w:right w:val="single" w:sz="8" w:space="0" w:color="auto"/>
            </w:tcBorders>
            <w:hideMark/>
          </w:tcPr>
          <w:p w14:paraId="6102F068"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48CDBF8A"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1839F158" w14:textId="77777777" w:rsidR="00A213C3" w:rsidRPr="00AD19BC" w:rsidRDefault="00A213C3" w:rsidP="00E86D5D">
            <w:pPr>
              <w:spacing w:before="40" w:after="40" w:line="276" w:lineRule="auto"/>
              <w:jc w:val="left"/>
              <w:rPr>
                <w:rFonts w:cs="Arial"/>
                <w:szCs w:val="20"/>
              </w:rPr>
            </w:pPr>
          </w:p>
        </w:tc>
      </w:tr>
      <w:tr w:rsidR="00A213C3" w:rsidRPr="00AD19BC" w14:paraId="6B9AE050"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67F00815" w14:textId="77777777" w:rsidR="00A213C3" w:rsidRPr="00AD19BC" w:rsidRDefault="00A213C3" w:rsidP="00E86D5D">
            <w:pPr>
              <w:spacing w:before="40" w:after="40" w:line="276" w:lineRule="auto"/>
              <w:jc w:val="left"/>
              <w:rPr>
                <w:rFonts w:cs="Arial"/>
                <w:szCs w:val="20"/>
              </w:rPr>
            </w:pPr>
            <w:r w:rsidRPr="00AD19BC">
              <w:rPr>
                <w:rFonts w:cs="Arial"/>
                <w:szCs w:val="20"/>
              </w:rPr>
              <w:lastRenderedPageBreak/>
              <w:t>82</w:t>
            </w:r>
          </w:p>
        </w:tc>
        <w:tc>
          <w:tcPr>
            <w:tcW w:w="2079" w:type="dxa"/>
            <w:tcBorders>
              <w:top w:val="single" w:sz="8" w:space="0" w:color="auto"/>
              <w:left w:val="single" w:sz="8" w:space="0" w:color="auto"/>
              <w:bottom w:val="single" w:sz="8" w:space="0" w:color="auto"/>
              <w:right w:val="single" w:sz="8" w:space="0" w:color="auto"/>
            </w:tcBorders>
          </w:tcPr>
          <w:p w14:paraId="7E72FBB3" w14:textId="77777777" w:rsidR="00A213C3" w:rsidRPr="00AD19BC" w:rsidRDefault="00A213C3" w:rsidP="00E86D5D">
            <w:pPr>
              <w:spacing w:before="40" w:after="40" w:line="276" w:lineRule="auto"/>
              <w:jc w:val="left"/>
              <w:rPr>
                <w:rFonts w:cs="Arial"/>
                <w:szCs w:val="20"/>
              </w:rPr>
            </w:pPr>
            <w:r w:rsidRPr="00AD19BC">
              <w:rPr>
                <w:rFonts w:cs="Arial"/>
                <w:szCs w:val="20"/>
              </w:rPr>
              <w:t>Retirement status (self)</w:t>
            </w:r>
          </w:p>
          <w:p w14:paraId="1C2EEC5A" w14:textId="77777777" w:rsidR="00A213C3" w:rsidRPr="00AD19BC" w:rsidRDefault="00A213C3" w:rsidP="00E86D5D">
            <w:pPr>
              <w:spacing w:before="40" w:after="40" w:line="276" w:lineRule="auto"/>
              <w:jc w:val="left"/>
              <w:rPr>
                <w:rFonts w:cs="Arial"/>
                <w:szCs w:val="20"/>
              </w:rPr>
            </w:pPr>
          </w:p>
        </w:tc>
        <w:tc>
          <w:tcPr>
            <w:tcW w:w="4158" w:type="dxa"/>
            <w:tcBorders>
              <w:top w:val="single" w:sz="8" w:space="0" w:color="auto"/>
              <w:left w:val="single" w:sz="8" w:space="0" w:color="auto"/>
              <w:bottom w:val="single" w:sz="8" w:space="0" w:color="auto"/>
              <w:right w:val="single" w:sz="8" w:space="0" w:color="auto"/>
            </w:tcBorders>
          </w:tcPr>
          <w:p w14:paraId="4F2E08F1" w14:textId="77777777" w:rsidR="00A213C3" w:rsidRPr="00AD19BC" w:rsidRDefault="00A213C3" w:rsidP="00E86D5D">
            <w:pPr>
              <w:spacing w:before="40" w:after="40" w:line="276" w:lineRule="auto"/>
              <w:jc w:val="left"/>
              <w:rPr>
                <w:rFonts w:cs="Arial"/>
                <w:szCs w:val="20"/>
              </w:rPr>
            </w:pPr>
            <w:r w:rsidRPr="00AD19BC">
              <w:rPr>
                <w:rFonts w:cs="Arial"/>
                <w:szCs w:val="20"/>
              </w:rPr>
              <w:t>Modified from the Household, Income and Labour Dynamics in Australia (HILDA) Survey - Continuing Person Questionnaire, Wave 3, question L2a.</w:t>
            </w:r>
          </w:p>
          <w:p w14:paraId="3419F3FF" w14:textId="77777777" w:rsidR="00A213C3" w:rsidRPr="00AD19BC" w:rsidRDefault="00A213C3" w:rsidP="00E86D5D">
            <w:pPr>
              <w:spacing w:before="40" w:after="40" w:line="276" w:lineRule="auto"/>
              <w:jc w:val="left"/>
              <w:rPr>
                <w:rFonts w:cs="Arial"/>
                <w:szCs w:val="20"/>
              </w:rPr>
            </w:pPr>
          </w:p>
        </w:tc>
        <w:tc>
          <w:tcPr>
            <w:tcW w:w="3828" w:type="dxa"/>
            <w:tcBorders>
              <w:top w:val="single" w:sz="8" w:space="0" w:color="auto"/>
              <w:left w:val="single" w:sz="8" w:space="0" w:color="auto"/>
              <w:bottom w:val="single" w:sz="8" w:space="0" w:color="auto"/>
              <w:right w:val="single" w:sz="8" w:space="0" w:color="auto"/>
            </w:tcBorders>
          </w:tcPr>
          <w:p w14:paraId="62B24D6F"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6D518652" w14:textId="77777777" w:rsidR="00A213C3" w:rsidRPr="00AD19BC" w:rsidRDefault="00A213C3" w:rsidP="00E86D5D">
            <w:pPr>
              <w:spacing w:before="40" w:after="40" w:line="276" w:lineRule="auto"/>
              <w:jc w:val="left"/>
              <w:rPr>
                <w:rFonts w:cs="Arial"/>
                <w:szCs w:val="20"/>
              </w:rPr>
            </w:pPr>
          </w:p>
        </w:tc>
      </w:tr>
      <w:tr w:rsidR="00A213C3" w:rsidRPr="00AD19BC" w14:paraId="37D38985" w14:textId="77777777" w:rsidTr="007F282B">
        <w:trPr>
          <w:trHeight w:val="812"/>
        </w:trPr>
        <w:tc>
          <w:tcPr>
            <w:tcW w:w="992" w:type="dxa"/>
            <w:tcBorders>
              <w:top w:val="single" w:sz="8" w:space="0" w:color="auto"/>
              <w:left w:val="single" w:sz="8" w:space="0" w:color="auto"/>
              <w:bottom w:val="single" w:sz="8" w:space="0" w:color="auto"/>
              <w:right w:val="single" w:sz="8" w:space="0" w:color="auto"/>
            </w:tcBorders>
            <w:hideMark/>
          </w:tcPr>
          <w:p w14:paraId="2F9C45E3" w14:textId="77777777" w:rsidR="00A213C3" w:rsidRPr="00AD19BC" w:rsidRDefault="00A213C3" w:rsidP="00E86D5D">
            <w:pPr>
              <w:spacing w:before="40" w:after="40" w:line="276" w:lineRule="auto"/>
              <w:jc w:val="left"/>
              <w:rPr>
                <w:rFonts w:cs="Arial"/>
                <w:szCs w:val="20"/>
              </w:rPr>
            </w:pPr>
            <w:r w:rsidRPr="00AD19BC">
              <w:rPr>
                <w:rFonts w:cs="Arial"/>
                <w:szCs w:val="20"/>
              </w:rPr>
              <w:t>83</w:t>
            </w:r>
          </w:p>
        </w:tc>
        <w:tc>
          <w:tcPr>
            <w:tcW w:w="2079" w:type="dxa"/>
            <w:tcBorders>
              <w:top w:val="single" w:sz="8" w:space="0" w:color="auto"/>
              <w:left w:val="single" w:sz="8" w:space="0" w:color="auto"/>
              <w:bottom w:val="single" w:sz="8" w:space="0" w:color="auto"/>
              <w:right w:val="single" w:sz="8" w:space="0" w:color="auto"/>
            </w:tcBorders>
            <w:hideMark/>
          </w:tcPr>
          <w:p w14:paraId="1931F3CD" w14:textId="77777777" w:rsidR="00A213C3" w:rsidRPr="00AD19BC" w:rsidRDefault="00A213C3" w:rsidP="00E86D5D">
            <w:pPr>
              <w:spacing w:before="40" w:after="40" w:line="276" w:lineRule="auto"/>
              <w:jc w:val="left"/>
              <w:rPr>
                <w:rFonts w:cs="Arial"/>
                <w:szCs w:val="20"/>
              </w:rPr>
            </w:pPr>
            <w:r w:rsidRPr="00AD19BC">
              <w:rPr>
                <w:rFonts w:cs="Arial"/>
                <w:szCs w:val="20"/>
              </w:rPr>
              <w:t>Expect to retire (self)</w:t>
            </w:r>
          </w:p>
        </w:tc>
        <w:tc>
          <w:tcPr>
            <w:tcW w:w="4158" w:type="dxa"/>
            <w:tcBorders>
              <w:top w:val="single" w:sz="8" w:space="0" w:color="auto"/>
              <w:left w:val="single" w:sz="8" w:space="0" w:color="auto"/>
              <w:bottom w:val="single" w:sz="8" w:space="0" w:color="auto"/>
              <w:right w:val="single" w:sz="8" w:space="0" w:color="auto"/>
            </w:tcBorders>
            <w:hideMark/>
          </w:tcPr>
          <w:p w14:paraId="2C62CD40" w14:textId="77777777" w:rsidR="00A213C3" w:rsidRPr="00AD19BC" w:rsidRDefault="00A213C3" w:rsidP="00E86D5D">
            <w:pPr>
              <w:spacing w:before="40" w:after="40" w:line="276" w:lineRule="auto"/>
              <w:jc w:val="left"/>
              <w:rPr>
                <w:rFonts w:cs="Arial"/>
                <w:szCs w:val="20"/>
              </w:rPr>
            </w:pPr>
            <w:r w:rsidRPr="00AD19BC">
              <w:rPr>
                <w:rFonts w:cs="Arial"/>
                <w:szCs w:val="20"/>
              </w:rPr>
              <w:t>Modified from the Household, Income and Labour Dynamics in Australia (HILDA) Survey - Continuing Person Questionnaire, Wave 3, question L17.</w:t>
            </w:r>
          </w:p>
        </w:tc>
        <w:tc>
          <w:tcPr>
            <w:tcW w:w="3828" w:type="dxa"/>
            <w:tcBorders>
              <w:top w:val="single" w:sz="8" w:space="0" w:color="auto"/>
              <w:left w:val="single" w:sz="8" w:space="0" w:color="auto"/>
              <w:bottom w:val="single" w:sz="8" w:space="0" w:color="auto"/>
              <w:right w:val="single" w:sz="8" w:space="0" w:color="auto"/>
            </w:tcBorders>
          </w:tcPr>
          <w:p w14:paraId="6568D88E"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0248A44B" w14:textId="77777777" w:rsidR="00A213C3" w:rsidRPr="00AD19BC" w:rsidRDefault="00A213C3" w:rsidP="00E86D5D">
            <w:pPr>
              <w:spacing w:before="40" w:after="40" w:line="276" w:lineRule="auto"/>
              <w:jc w:val="left"/>
              <w:rPr>
                <w:rFonts w:cs="Arial"/>
                <w:szCs w:val="20"/>
              </w:rPr>
            </w:pPr>
          </w:p>
        </w:tc>
      </w:tr>
      <w:tr w:rsidR="00A213C3" w:rsidRPr="00AD19BC" w14:paraId="13809E7C"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494F769B" w14:textId="77777777" w:rsidR="00A213C3" w:rsidRPr="00AD19BC" w:rsidRDefault="00A213C3" w:rsidP="00E86D5D">
            <w:pPr>
              <w:spacing w:before="40" w:after="40" w:line="276" w:lineRule="auto"/>
              <w:jc w:val="left"/>
              <w:rPr>
                <w:rFonts w:cs="Arial"/>
                <w:szCs w:val="20"/>
              </w:rPr>
            </w:pPr>
            <w:r w:rsidRPr="00AD19BC">
              <w:rPr>
                <w:rFonts w:cs="Arial"/>
                <w:szCs w:val="20"/>
              </w:rPr>
              <w:t>84</w:t>
            </w:r>
          </w:p>
        </w:tc>
        <w:tc>
          <w:tcPr>
            <w:tcW w:w="2079" w:type="dxa"/>
            <w:tcBorders>
              <w:top w:val="single" w:sz="8" w:space="0" w:color="auto"/>
              <w:left w:val="single" w:sz="8" w:space="0" w:color="auto"/>
              <w:bottom w:val="single" w:sz="8" w:space="0" w:color="auto"/>
              <w:right w:val="single" w:sz="8" w:space="0" w:color="auto"/>
            </w:tcBorders>
            <w:hideMark/>
          </w:tcPr>
          <w:p w14:paraId="0885E723" w14:textId="77777777" w:rsidR="00A213C3" w:rsidRPr="00AD19BC" w:rsidRDefault="00A213C3" w:rsidP="00E86D5D">
            <w:pPr>
              <w:spacing w:before="40" w:after="40" w:line="276" w:lineRule="auto"/>
              <w:jc w:val="left"/>
              <w:rPr>
                <w:rFonts w:cs="Arial"/>
                <w:szCs w:val="20"/>
              </w:rPr>
            </w:pPr>
            <w:r w:rsidRPr="00AD19BC">
              <w:rPr>
                <w:rFonts w:cs="Arial"/>
                <w:szCs w:val="20"/>
              </w:rPr>
              <w:t>Date of retirement (self)</w:t>
            </w:r>
          </w:p>
        </w:tc>
        <w:tc>
          <w:tcPr>
            <w:tcW w:w="4158" w:type="dxa"/>
            <w:tcBorders>
              <w:top w:val="single" w:sz="8" w:space="0" w:color="auto"/>
              <w:left w:val="single" w:sz="8" w:space="0" w:color="auto"/>
              <w:bottom w:val="single" w:sz="8" w:space="0" w:color="auto"/>
              <w:right w:val="single" w:sz="8" w:space="0" w:color="auto"/>
            </w:tcBorders>
            <w:hideMark/>
          </w:tcPr>
          <w:p w14:paraId="1400E07E" w14:textId="77777777" w:rsidR="00A213C3" w:rsidRPr="00AD19BC" w:rsidRDefault="00A213C3" w:rsidP="00E86D5D">
            <w:pPr>
              <w:spacing w:before="40" w:after="40" w:line="276" w:lineRule="auto"/>
              <w:jc w:val="left"/>
              <w:rPr>
                <w:rFonts w:cs="Arial"/>
                <w:szCs w:val="20"/>
              </w:rPr>
            </w:pPr>
            <w:r w:rsidRPr="00AD19BC">
              <w:rPr>
                <w:rFonts w:cs="Arial"/>
                <w:szCs w:val="20"/>
              </w:rPr>
              <w:t>Modified from the Household, Income and Labour Dynamics in Australia (HILDA) Survey - Continuing Person Questionnaire, Wave 3, question L2b.</w:t>
            </w:r>
          </w:p>
        </w:tc>
        <w:tc>
          <w:tcPr>
            <w:tcW w:w="3828" w:type="dxa"/>
            <w:tcBorders>
              <w:top w:val="single" w:sz="8" w:space="0" w:color="auto"/>
              <w:left w:val="single" w:sz="8" w:space="0" w:color="auto"/>
              <w:bottom w:val="single" w:sz="8" w:space="0" w:color="auto"/>
              <w:right w:val="single" w:sz="8" w:space="0" w:color="auto"/>
            </w:tcBorders>
          </w:tcPr>
          <w:p w14:paraId="00B0ECC9"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1E78988A" w14:textId="77777777" w:rsidR="00A213C3" w:rsidRPr="00AD19BC" w:rsidRDefault="00A213C3" w:rsidP="00E86D5D">
            <w:pPr>
              <w:spacing w:before="40" w:after="40" w:line="276" w:lineRule="auto"/>
              <w:jc w:val="left"/>
              <w:rPr>
                <w:rFonts w:cs="Arial"/>
                <w:szCs w:val="20"/>
              </w:rPr>
            </w:pPr>
          </w:p>
        </w:tc>
      </w:tr>
      <w:tr w:rsidR="00A213C3" w:rsidRPr="00AD19BC" w14:paraId="162C888F"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484CAA70" w14:textId="77777777" w:rsidR="00A213C3" w:rsidRPr="00AD19BC" w:rsidRDefault="00A213C3" w:rsidP="00E86D5D">
            <w:pPr>
              <w:spacing w:before="40" w:after="40" w:line="276" w:lineRule="auto"/>
              <w:jc w:val="left"/>
              <w:rPr>
                <w:rFonts w:cs="Arial"/>
                <w:szCs w:val="20"/>
              </w:rPr>
            </w:pPr>
            <w:r w:rsidRPr="00AD19BC">
              <w:rPr>
                <w:rFonts w:cs="Arial"/>
                <w:szCs w:val="20"/>
              </w:rPr>
              <w:t>85</w:t>
            </w:r>
          </w:p>
        </w:tc>
        <w:tc>
          <w:tcPr>
            <w:tcW w:w="2079" w:type="dxa"/>
            <w:tcBorders>
              <w:top w:val="single" w:sz="8" w:space="0" w:color="auto"/>
              <w:left w:val="single" w:sz="8" w:space="0" w:color="auto"/>
              <w:bottom w:val="single" w:sz="8" w:space="0" w:color="auto"/>
              <w:right w:val="single" w:sz="8" w:space="0" w:color="auto"/>
            </w:tcBorders>
            <w:hideMark/>
          </w:tcPr>
          <w:p w14:paraId="40337366" w14:textId="77777777" w:rsidR="00A213C3" w:rsidRPr="00AD19BC" w:rsidRDefault="00A213C3" w:rsidP="00E86D5D">
            <w:pPr>
              <w:spacing w:before="40" w:after="40" w:line="276" w:lineRule="auto"/>
              <w:jc w:val="left"/>
              <w:rPr>
                <w:rFonts w:cs="Arial"/>
                <w:szCs w:val="20"/>
              </w:rPr>
            </w:pPr>
            <w:r w:rsidRPr="00AD19BC">
              <w:rPr>
                <w:rFonts w:cs="Arial"/>
                <w:szCs w:val="20"/>
              </w:rPr>
              <w:t>Manage on income</w:t>
            </w:r>
          </w:p>
        </w:tc>
        <w:tc>
          <w:tcPr>
            <w:tcW w:w="4158" w:type="dxa"/>
            <w:tcBorders>
              <w:top w:val="single" w:sz="8" w:space="0" w:color="auto"/>
              <w:left w:val="single" w:sz="8" w:space="0" w:color="auto"/>
              <w:bottom w:val="single" w:sz="8" w:space="0" w:color="auto"/>
              <w:right w:val="single" w:sz="8" w:space="0" w:color="auto"/>
            </w:tcBorders>
            <w:hideMark/>
          </w:tcPr>
          <w:p w14:paraId="10DEF702"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54B6D13B"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0485A58B" w14:textId="77777777" w:rsidR="00A213C3" w:rsidRPr="00AD19BC" w:rsidRDefault="00A213C3" w:rsidP="00E86D5D">
            <w:pPr>
              <w:spacing w:before="40" w:after="40" w:line="276" w:lineRule="auto"/>
              <w:jc w:val="left"/>
              <w:rPr>
                <w:rFonts w:cs="Arial"/>
                <w:szCs w:val="20"/>
              </w:rPr>
            </w:pPr>
          </w:p>
        </w:tc>
      </w:tr>
      <w:tr w:rsidR="00A213C3" w:rsidRPr="00AD19BC" w14:paraId="3EAE48D7"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457F9F3B" w14:textId="77777777" w:rsidR="00A213C3" w:rsidRPr="00AD19BC" w:rsidRDefault="00A213C3" w:rsidP="00E86D5D">
            <w:pPr>
              <w:spacing w:before="40" w:after="40" w:line="276" w:lineRule="auto"/>
              <w:jc w:val="left"/>
              <w:rPr>
                <w:rFonts w:cs="Arial"/>
                <w:szCs w:val="20"/>
              </w:rPr>
            </w:pPr>
            <w:r w:rsidRPr="00AD19BC">
              <w:rPr>
                <w:rFonts w:cs="Arial"/>
                <w:szCs w:val="20"/>
              </w:rPr>
              <w:t>86</w:t>
            </w:r>
          </w:p>
        </w:tc>
        <w:tc>
          <w:tcPr>
            <w:tcW w:w="2079" w:type="dxa"/>
            <w:tcBorders>
              <w:top w:val="single" w:sz="8" w:space="0" w:color="auto"/>
              <w:left w:val="single" w:sz="8" w:space="0" w:color="auto"/>
              <w:bottom w:val="single" w:sz="8" w:space="0" w:color="auto"/>
              <w:right w:val="single" w:sz="8" w:space="0" w:color="auto"/>
            </w:tcBorders>
            <w:hideMark/>
          </w:tcPr>
          <w:p w14:paraId="4C0C66A3" w14:textId="77777777" w:rsidR="00A213C3" w:rsidRPr="00AD19BC" w:rsidRDefault="00A213C3" w:rsidP="00E86D5D">
            <w:pPr>
              <w:spacing w:before="40" w:after="40" w:line="276" w:lineRule="auto"/>
              <w:jc w:val="left"/>
              <w:rPr>
                <w:rFonts w:cs="Arial"/>
                <w:szCs w:val="20"/>
              </w:rPr>
            </w:pPr>
            <w:r w:rsidRPr="00AD19BC">
              <w:rPr>
                <w:rFonts w:cs="Arial"/>
                <w:szCs w:val="20"/>
              </w:rPr>
              <w:t>Financial stress indicators</w:t>
            </w:r>
          </w:p>
        </w:tc>
        <w:tc>
          <w:tcPr>
            <w:tcW w:w="4158" w:type="dxa"/>
            <w:tcBorders>
              <w:top w:val="single" w:sz="8" w:space="0" w:color="auto"/>
              <w:left w:val="single" w:sz="8" w:space="0" w:color="auto"/>
              <w:bottom w:val="single" w:sz="8" w:space="0" w:color="auto"/>
              <w:right w:val="single" w:sz="8" w:space="0" w:color="auto"/>
            </w:tcBorders>
            <w:hideMark/>
          </w:tcPr>
          <w:p w14:paraId="12CA4AA4" w14:textId="77777777" w:rsidR="00A213C3" w:rsidRPr="00AD19BC" w:rsidRDefault="00A213C3" w:rsidP="00E86D5D">
            <w:pPr>
              <w:spacing w:before="40" w:after="40" w:line="276" w:lineRule="auto"/>
              <w:jc w:val="left"/>
              <w:rPr>
                <w:rFonts w:cs="Arial"/>
                <w:szCs w:val="20"/>
              </w:rPr>
            </w:pPr>
            <w:r w:rsidRPr="00AD19BC">
              <w:rPr>
                <w:rFonts w:cs="Arial"/>
                <w:szCs w:val="20"/>
              </w:rPr>
              <w:t>McColl R, Pietsch L</w:t>
            </w:r>
            <w:r>
              <w:rPr>
                <w:rFonts w:cs="Arial"/>
                <w:szCs w:val="20"/>
              </w:rPr>
              <w:t xml:space="preserve"> &amp;</w:t>
            </w:r>
            <w:r w:rsidRPr="00AD19BC">
              <w:rPr>
                <w:rFonts w:cs="Arial"/>
                <w:szCs w:val="20"/>
              </w:rPr>
              <w:t xml:space="preserve"> </w:t>
            </w:r>
            <w:proofErr w:type="spellStart"/>
            <w:r w:rsidRPr="00AD19BC">
              <w:rPr>
                <w:rFonts w:cs="Arial"/>
                <w:szCs w:val="20"/>
              </w:rPr>
              <w:t>Gatenby</w:t>
            </w:r>
            <w:proofErr w:type="spellEnd"/>
            <w:r w:rsidRPr="00AD19BC">
              <w:rPr>
                <w:rFonts w:cs="Arial"/>
                <w:szCs w:val="20"/>
              </w:rPr>
              <w:t xml:space="preserve"> J. (2001) Household Income, Living Standards and Financial Stress, </w:t>
            </w:r>
            <w:r w:rsidRPr="00AD19BC">
              <w:rPr>
                <w:rFonts w:cs="Arial"/>
                <w:i/>
                <w:szCs w:val="20"/>
              </w:rPr>
              <w:t>Australian Economic Indicators</w:t>
            </w:r>
          </w:p>
        </w:tc>
        <w:tc>
          <w:tcPr>
            <w:tcW w:w="3828" w:type="dxa"/>
            <w:tcBorders>
              <w:top w:val="single" w:sz="8" w:space="0" w:color="auto"/>
              <w:left w:val="single" w:sz="8" w:space="0" w:color="auto"/>
              <w:bottom w:val="single" w:sz="8" w:space="0" w:color="auto"/>
              <w:right w:val="single" w:sz="8" w:space="0" w:color="auto"/>
            </w:tcBorders>
          </w:tcPr>
          <w:p w14:paraId="759E3DBB"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52B32C10" w14:textId="77777777" w:rsidR="00A213C3" w:rsidRPr="00AD19BC" w:rsidRDefault="00A213C3" w:rsidP="00E86D5D">
            <w:pPr>
              <w:spacing w:before="40" w:after="40" w:line="276" w:lineRule="auto"/>
              <w:jc w:val="left"/>
              <w:rPr>
                <w:rFonts w:cs="Arial"/>
                <w:szCs w:val="20"/>
              </w:rPr>
            </w:pPr>
          </w:p>
        </w:tc>
      </w:tr>
      <w:tr w:rsidR="00A213C3" w:rsidRPr="00AD19BC" w14:paraId="0B58869D"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3F2D3094" w14:textId="77777777" w:rsidR="00A213C3" w:rsidRPr="00AD19BC" w:rsidRDefault="00A213C3" w:rsidP="00E86D5D">
            <w:pPr>
              <w:spacing w:before="40" w:after="40" w:line="276" w:lineRule="auto"/>
              <w:jc w:val="left"/>
              <w:rPr>
                <w:rFonts w:cs="Arial"/>
                <w:szCs w:val="20"/>
              </w:rPr>
            </w:pPr>
            <w:r w:rsidRPr="00AD19BC">
              <w:rPr>
                <w:rFonts w:cs="Arial"/>
                <w:szCs w:val="20"/>
              </w:rPr>
              <w:t>87</w:t>
            </w:r>
          </w:p>
        </w:tc>
        <w:tc>
          <w:tcPr>
            <w:tcW w:w="2079" w:type="dxa"/>
            <w:tcBorders>
              <w:top w:val="single" w:sz="8" w:space="0" w:color="auto"/>
              <w:left w:val="single" w:sz="8" w:space="0" w:color="auto"/>
              <w:bottom w:val="single" w:sz="8" w:space="0" w:color="auto"/>
              <w:right w:val="single" w:sz="8" w:space="0" w:color="auto"/>
            </w:tcBorders>
            <w:hideMark/>
          </w:tcPr>
          <w:p w14:paraId="43AD7AC0"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Financial stress indicators </w:t>
            </w:r>
          </w:p>
        </w:tc>
        <w:tc>
          <w:tcPr>
            <w:tcW w:w="4158" w:type="dxa"/>
            <w:tcBorders>
              <w:top w:val="single" w:sz="8" w:space="0" w:color="auto"/>
              <w:left w:val="single" w:sz="8" w:space="0" w:color="auto"/>
              <w:bottom w:val="single" w:sz="8" w:space="0" w:color="auto"/>
              <w:right w:val="single" w:sz="8" w:space="0" w:color="auto"/>
            </w:tcBorders>
            <w:hideMark/>
          </w:tcPr>
          <w:p w14:paraId="714B018C" w14:textId="77777777" w:rsidR="00A213C3" w:rsidRPr="00AD19BC" w:rsidRDefault="00A213C3" w:rsidP="00E86D5D">
            <w:pPr>
              <w:spacing w:before="40" w:after="40" w:line="276" w:lineRule="auto"/>
              <w:jc w:val="left"/>
              <w:rPr>
                <w:rFonts w:cs="Arial"/>
                <w:szCs w:val="20"/>
              </w:rPr>
            </w:pPr>
            <w:r w:rsidRPr="00AD19BC">
              <w:rPr>
                <w:rFonts w:cs="Arial"/>
                <w:szCs w:val="20"/>
              </w:rPr>
              <w:t>McColl R, Pietsch L</w:t>
            </w:r>
            <w:r>
              <w:rPr>
                <w:rFonts w:cs="Arial"/>
                <w:szCs w:val="20"/>
              </w:rPr>
              <w:t xml:space="preserve"> &amp;</w:t>
            </w:r>
            <w:r w:rsidRPr="00AD19BC">
              <w:rPr>
                <w:rFonts w:cs="Arial"/>
                <w:szCs w:val="20"/>
              </w:rPr>
              <w:t xml:space="preserve"> </w:t>
            </w:r>
            <w:proofErr w:type="spellStart"/>
            <w:r w:rsidRPr="00AD19BC">
              <w:rPr>
                <w:rFonts w:cs="Arial"/>
                <w:szCs w:val="20"/>
              </w:rPr>
              <w:t>Gatenby</w:t>
            </w:r>
            <w:proofErr w:type="spellEnd"/>
            <w:r w:rsidRPr="00AD19BC">
              <w:rPr>
                <w:rFonts w:cs="Arial"/>
                <w:szCs w:val="20"/>
              </w:rPr>
              <w:t xml:space="preserve"> J. (2001) Household Income, Living Standards and Financial Stress, </w:t>
            </w:r>
            <w:r w:rsidRPr="00AD19BC">
              <w:rPr>
                <w:rFonts w:cs="Arial"/>
                <w:i/>
                <w:szCs w:val="20"/>
              </w:rPr>
              <w:t>Australian Economic Indicators</w:t>
            </w:r>
          </w:p>
        </w:tc>
        <w:tc>
          <w:tcPr>
            <w:tcW w:w="3828" w:type="dxa"/>
            <w:tcBorders>
              <w:top w:val="single" w:sz="8" w:space="0" w:color="auto"/>
              <w:left w:val="single" w:sz="8" w:space="0" w:color="auto"/>
              <w:bottom w:val="single" w:sz="8" w:space="0" w:color="auto"/>
              <w:right w:val="single" w:sz="8" w:space="0" w:color="auto"/>
            </w:tcBorders>
          </w:tcPr>
          <w:p w14:paraId="658743FB"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1147D239" w14:textId="77777777" w:rsidR="00A213C3" w:rsidRPr="00AD19BC" w:rsidRDefault="00A213C3" w:rsidP="00E86D5D">
            <w:pPr>
              <w:spacing w:before="40" w:after="40" w:line="276" w:lineRule="auto"/>
              <w:jc w:val="left"/>
              <w:rPr>
                <w:rFonts w:cs="Arial"/>
                <w:szCs w:val="20"/>
              </w:rPr>
            </w:pPr>
          </w:p>
        </w:tc>
      </w:tr>
      <w:tr w:rsidR="00A213C3" w:rsidRPr="00AD19BC" w14:paraId="51D5C1AA"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5E30E776" w14:textId="77777777" w:rsidR="00A213C3" w:rsidRPr="00AD19BC" w:rsidRDefault="00A213C3" w:rsidP="00E86D5D">
            <w:pPr>
              <w:spacing w:before="40" w:after="40" w:line="276" w:lineRule="auto"/>
              <w:jc w:val="left"/>
              <w:rPr>
                <w:rFonts w:cs="Arial"/>
                <w:szCs w:val="20"/>
              </w:rPr>
            </w:pPr>
            <w:r w:rsidRPr="00AD19BC">
              <w:rPr>
                <w:rFonts w:cs="Arial"/>
                <w:szCs w:val="20"/>
              </w:rPr>
              <w:t>88</w:t>
            </w:r>
          </w:p>
        </w:tc>
        <w:tc>
          <w:tcPr>
            <w:tcW w:w="2079" w:type="dxa"/>
            <w:tcBorders>
              <w:top w:val="single" w:sz="8" w:space="0" w:color="auto"/>
              <w:left w:val="single" w:sz="8" w:space="0" w:color="auto"/>
              <w:bottom w:val="single" w:sz="8" w:space="0" w:color="auto"/>
              <w:right w:val="single" w:sz="8" w:space="0" w:color="auto"/>
            </w:tcBorders>
            <w:hideMark/>
          </w:tcPr>
          <w:p w14:paraId="152C7D13" w14:textId="77777777" w:rsidR="00A213C3" w:rsidRPr="00AD19BC" w:rsidRDefault="00A213C3" w:rsidP="00E86D5D">
            <w:pPr>
              <w:spacing w:before="40" w:after="40" w:line="276" w:lineRule="auto"/>
              <w:jc w:val="left"/>
              <w:rPr>
                <w:rFonts w:cs="Arial"/>
                <w:szCs w:val="20"/>
              </w:rPr>
            </w:pPr>
            <w:r w:rsidRPr="00AD19BC">
              <w:rPr>
                <w:rFonts w:cs="Arial"/>
                <w:szCs w:val="20"/>
              </w:rPr>
              <w:t>Current sources of income</w:t>
            </w:r>
          </w:p>
        </w:tc>
        <w:tc>
          <w:tcPr>
            <w:tcW w:w="4158" w:type="dxa"/>
            <w:tcBorders>
              <w:top w:val="single" w:sz="8" w:space="0" w:color="auto"/>
              <w:left w:val="single" w:sz="8" w:space="0" w:color="auto"/>
              <w:bottom w:val="single" w:sz="8" w:space="0" w:color="auto"/>
              <w:right w:val="single" w:sz="8" w:space="0" w:color="auto"/>
            </w:tcBorders>
            <w:hideMark/>
          </w:tcPr>
          <w:p w14:paraId="66C70842" w14:textId="77777777" w:rsidR="00A213C3" w:rsidRPr="00AD19BC" w:rsidRDefault="00A213C3" w:rsidP="00E86D5D">
            <w:pPr>
              <w:spacing w:before="40" w:after="40" w:line="276" w:lineRule="auto"/>
              <w:jc w:val="left"/>
              <w:rPr>
                <w:rFonts w:cs="Arial"/>
                <w:szCs w:val="20"/>
              </w:rPr>
            </w:pPr>
            <w:r w:rsidRPr="00AD19BC">
              <w:rPr>
                <w:rFonts w:cs="Arial"/>
                <w:szCs w:val="20"/>
              </w:rPr>
              <w:t>Modified from the Household, Income and Labour Dynamics in Australia (HILDA) Survey - Continuing Person Questionnaire, Wave 3, question L22.</w:t>
            </w:r>
          </w:p>
        </w:tc>
        <w:tc>
          <w:tcPr>
            <w:tcW w:w="3828" w:type="dxa"/>
            <w:tcBorders>
              <w:top w:val="single" w:sz="8" w:space="0" w:color="auto"/>
              <w:left w:val="single" w:sz="8" w:space="0" w:color="auto"/>
              <w:bottom w:val="single" w:sz="8" w:space="0" w:color="auto"/>
              <w:right w:val="single" w:sz="8" w:space="0" w:color="auto"/>
            </w:tcBorders>
          </w:tcPr>
          <w:p w14:paraId="7C94BB51"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70E30F7A" w14:textId="77777777" w:rsidR="00A213C3" w:rsidRPr="00AD19BC" w:rsidRDefault="00A213C3" w:rsidP="00E86D5D">
            <w:pPr>
              <w:spacing w:before="40" w:after="40" w:line="276" w:lineRule="auto"/>
              <w:jc w:val="left"/>
              <w:rPr>
                <w:rFonts w:cs="Arial"/>
                <w:szCs w:val="20"/>
              </w:rPr>
            </w:pPr>
          </w:p>
        </w:tc>
      </w:tr>
      <w:tr w:rsidR="00A213C3" w:rsidRPr="00AD19BC" w14:paraId="3BB907E7"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10738AD3" w14:textId="77777777" w:rsidR="00A213C3" w:rsidRPr="00AD19BC" w:rsidRDefault="00A213C3" w:rsidP="00E86D5D">
            <w:pPr>
              <w:spacing w:before="40" w:after="40" w:line="276" w:lineRule="auto"/>
              <w:jc w:val="left"/>
              <w:rPr>
                <w:rFonts w:cs="Arial"/>
                <w:szCs w:val="20"/>
              </w:rPr>
            </w:pPr>
            <w:r w:rsidRPr="00AD19BC">
              <w:rPr>
                <w:rFonts w:cs="Arial"/>
                <w:szCs w:val="20"/>
              </w:rPr>
              <w:lastRenderedPageBreak/>
              <w:t>89</w:t>
            </w:r>
          </w:p>
        </w:tc>
        <w:tc>
          <w:tcPr>
            <w:tcW w:w="2079" w:type="dxa"/>
            <w:tcBorders>
              <w:top w:val="single" w:sz="8" w:space="0" w:color="auto"/>
              <w:left w:val="single" w:sz="8" w:space="0" w:color="auto"/>
              <w:bottom w:val="single" w:sz="8" w:space="0" w:color="auto"/>
              <w:right w:val="single" w:sz="8" w:space="0" w:color="auto"/>
            </w:tcBorders>
            <w:hideMark/>
          </w:tcPr>
          <w:p w14:paraId="3BA181FE" w14:textId="77777777" w:rsidR="00A213C3" w:rsidRPr="00AD19BC" w:rsidRDefault="00A213C3" w:rsidP="00E86D5D">
            <w:pPr>
              <w:spacing w:before="40" w:after="40" w:line="276" w:lineRule="auto"/>
              <w:jc w:val="left"/>
              <w:rPr>
                <w:rFonts w:cs="Arial"/>
                <w:szCs w:val="20"/>
              </w:rPr>
            </w:pPr>
            <w:r w:rsidRPr="00AD19BC">
              <w:rPr>
                <w:rFonts w:cs="Arial"/>
                <w:szCs w:val="20"/>
              </w:rPr>
              <w:t>Sources of funding for future care</w:t>
            </w:r>
          </w:p>
        </w:tc>
        <w:tc>
          <w:tcPr>
            <w:tcW w:w="4158" w:type="dxa"/>
            <w:tcBorders>
              <w:top w:val="single" w:sz="8" w:space="0" w:color="auto"/>
              <w:left w:val="single" w:sz="8" w:space="0" w:color="auto"/>
              <w:bottom w:val="single" w:sz="8" w:space="0" w:color="auto"/>
              <w:right w:val="single" w:sz="8" w:space="0" w:color="auto"/>
            </w:tcBorders>
            <w:hideMark/>
          </w:tcPr>
          <w:p w14:paraId="3E04AFBC"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54D69D8E"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48673DC2" w14:textId="77777777" w:rsidR="00A213C3" w:rsidRPr="00AD19BC" w:rsidRDefault="00A213C3" w:rsidP="00E86D5D">
            <w:pPr>
              <w:spacing w:before="40" w:after="40" w:line="276" w:lineRule="auto"/>
              <w:jc w:val="left"/>
              <w:rPr>
                <w:rFonts w:cs="Arial"/>
                <w:szCs w:val="20"/>
              </w:rPr>
            </w:pPr>
          </w:p>
        </w:tc>
      </w:tr>
      <w:tr w:rsidR="00A213C3" w:rsidRPr="00AD19BC" w14:paraId="71CA9181"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44710D3F" w14:textId="77777777" w:rsidR="00A213C3" w:rsidRPr="00AD19BC" w:rsidRDefault="00A213C3" w:rsidP="00E86D5D">
            <w:pPr>
              <w:spacing w:before="40" w:after="40" w:line="276" w:lineRule="auto"/>
              <w:jc w:val="left"/>
              <w:rPr>
                <w:rFonts w:cs="Arial"/>
                <w:szCs w:val="20"/>
              </w:rPr>
            </w:pPr>
            <w:r w:rsidRPr="00AD19BC">
              <w:rPr>
                <w:rFonts w:cs="Arial"/>
                <w:szCs w:val="20"/>
              </w:rPr>
              <w:t>90</w:t>
            </w:r>
          </w:p>
        </w:tc>
        <w:tc>
          <w:tcPr>
            <w:tcW w:w="2079" w:type="dxa"/>
            <w:tcBorders>
              <w:top w:val="single" w:sz="8" w:space="0" w:color="auto"/>
              <w:left w:val="single" w:sz="8" w:space="0" w:color="auto"/>
              <w:bottom w:val="single" w:sz="8" w:space="0" w:color="auto"/>
              <w:right w:val="single" w:sz="8" w:space="0" w:color="auto"/>
            </w:tcBorders>
            <w:hideMark/>
          </w:tcPr>
          <w:p w14:paraId="40160C0B"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Financial management </w:t>
            </w:r>
          </w:p>
        </w:tc>
        <w:tc>
          <w:tcPr>
            <w:tcW w:w="4158" w:type="dxa"/>
            <w:tcBorders>
              <w:top w:val="single" w:sz="8" w:space="0" w:color="auto"/>
              <w:left w:val="single" w:sz="8" w:space="0" w:color="auto"/>
              <w:bottom w:val="single" w:sz="8" w:space="0" w:color="auto"/>
              <w:right w:val="single" w:sz="8" w:space="0" w:color="auto"/>
            </w:tcBorders>
            <w:hideMark/>
          </w:tcPr>
          <w:p w14:paraId="28D8D9E4" w14:textId="77777777" w:rsidR="00A213C3" w:rsidRPr="00AD19BC" w:rsidRDefault="00A213C3" w:rsidP="00E86D5D">
            <w:pPr>
              <w:spacing w:before="40" w:after="40" w:line="276" w:lineRule="auto"/>
              <w:jc w:val="left"/>
              <w:rPr>
                <w:rFonts w:cs="Arial"/>
                <w:szCs w:val="20"/>
              </w:rPr>
            </w:pPr>
            <w:r w:rsidRPr="00AD19BC">
              <w:rPr>
                <w:rFonts w:cs="Arial"/>
                <w:szCs w:val="20"/>
              </w:rPr>
              <w:t xml:space="preserve">Original source: L23 in “Retirement” section of HILDA Wave 3 questionnaire and used in 2006 baby boomer retirement survey (ALSWH </w:t>
            </w:r>
            <w:proofErr w:type="spellStart"/>
            <w:r w:rsidRPr="00AD19BC">
              <w:rPr>
                <w:rFonts w:cs="Arial"/>
                <w:szCs w:val="20"/>
              </w:rPr>
              <w:t>substudy</w:t>
            </w:r>
            <w:proofErr w:type="spellEnd"/>
            <w:r w:rsidRPr="00AD19BC">
              <w:rPr>
                <w:rFonts w:cs="Arial"/>
                <w:szCs w:val="20"/>
              </w:rPr>
              <w:t>).</w:t>
            </w:r>
          </w:p>
        </w:tc>
        <w:tc>
          <w:tcPr>
            <w:tcW w:w="3828" w:type="dxa"/>
            <w:tcBorders>
              <w:top w:val="single" w:sz="8" w:space="0" w:color="auto"/>
              <w:left w:val="single" w:sz="8" w:space="0" w:color="auto"/>
              <w:bottom w:val="single" w:sz="8" w:space="0" w:color="auto"/>
              <w:right w:val="single" w:sz="8" w:space="0" w:color="auto"/>
            </w:tcBorders>
          </w:tcPr>
          <w:p w14:paraId="222BB5C7"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01E964BE" w14:textId="77777777" w:rsidR="00A213C3" w:rsidRPr="00AD19BC" w:rsidRDefault="00A213C3" w:rsidP="00E86D5D">
            <w:pPr>
              <w:spacing w:before="40" w:after="40" w:line="276" w:lineRule="auto"/>
              <w:jc w:val="left"/>
              <w:rPr>
                <w:rFonts w:cs="Arial"/>
                <w:szCs w:val="20"/>
              </w:rPr>
            </w:pPr>
          </w:p>
        </w:tc>
      </w:tr>
      <w:tr w:rsidR="00A213C3" w:rsidRPr="00AD19BC" w14:paraId="683B3A98"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033D02D2" w14:textId="77777777" w:rsidR="00A213C3" w:rsidRPr="00AD19BC" w:rsidRDefault="00A213C3" w:rsidP="00E86D5D">
            <w:pPr>
              <w:spacing w:before="40" w:after="40" w:line="276" w:lineRule="auto"/>
              <w:jc w:val="left"/>
              <w:rPr>
                <w:rFonts w:cs="Arial"/>
                <w:szCs w:val="20"/>
              </w:rPr>
            </w:pPr>
            <w:r w:rsidRPr="00AD19BC">
              <w:rPr>
                <w:rFonts w:cs="Arial"/>
                <w:szCs w:val="20"/>
              </w:rPr>
              <w:t>91</w:t>
            </w:r>
          </w:p>
        </w:tc>
        <w:tc>
          <w:tcPr>
            <w:tcW w:w="2079" w:type="dxa"/>
            <w:tcBorders>
              <w:top w:val="single" w:sz="8" w:space="0" w:color="auto"/>
              <w:left w:val="single" w:sz="8" w:space="0" w:color="auto"/>
              <w:bottom w:val="single" w:sz="8" w:space="0" w:color="auto"/>
              <w:right w:val="single" w:sz="8" w:space="0" w:color="auto"/>
            </w:tcBorders>
            <w:hideMark/>
          </w:tcPr>
          <w:p w14:paraId="56A1ED8E" w14:textId="77777777" w:rsidR="00A213C3" w:rsidRPr="00AD19BC" w:rsidRDefault="00A213C3" w:rsidP="00E86D5D">
            <w:pPr>
              <w:spacing w:before="40" w:after="40" w:line="276" w:lineRule="auto"/>
              <w:jc w:val="left"/>
              <w:rPr>
                <w:rFonts w:cs="Arial"/>
                <w:szCs w:val="20"/>
              </w:rPr>
            </w:pPr>
            <w:r w:rsidRPr="00AD19BC">
              <w:rPr>
                <w:rFonts w:cs="Arial"/>
                <w:szCs w:val="20"/>
              </w:rPr>
              <w:t>Housing</w:t>
            </w:r>
          </w:p>
        </w:tc>
        <w:tc>
          <w:tcPr>
            <w:tcW w:w="4158" w:type="dxa"/>
            <w:tcBorders>
              <w:top w:val="single" w:sz="8" w:space="0" w:color="auto"/>
              <w:left w:val="single" w:sz="8" w:space="0" w:color="auto"/>
              <w:bottom w:val="single" w:sz="8" w:space="0" w:color="auto"/>
              <w:right w:val="single" w:sz="8" w:space="0" w:color="auto"/>
            </w:tcBorders>
            <w:hideMark/>
          </w:tcPr>
          <w:p w14:paraId="1D23546E" w14:textId="77777777" w:rsidR="00A213C3" w:rsidRPr="00AD19BC" w:rsidRDefault="00A213C3" w:rsidP="00E86D5D">
            <w:pPr>
              <w:spacing w:before="40" w:after="40" w:line="276" w:lineRule="auto"/>
              <w:jc w:val="left"/>
              <w:rPr>
                <w:rFonts w:cs="Arial"/>
                <w:szCs w:val="20"/>
              </w:rPr>
            </w:pPr>
            <w:r w:rsidRPr="00AD19BC">
              <w:rPr>
                <w:rFonts w:cs="Arial"/>
                <w:szCs w:val="20"/>
              </w:rPr>
              <w:t>ALSWH; 45 &amp; Up (SEEF and HAIL); HILDA (wave 15 household questionnaire)</w:t>
            </w:r>
          </w:p>
        </w:tc>
        <w:tc>
          <w:tcPr>
            <w:tcW w:w="3828" w:type="dxa"/>
            <w:tcBorders>
              <w:top w:val="single" w:sz="8" w:space="0" w:color="auto"/>
              <w:left w:val="single" w:sz="8" w:space="0" w:color="auto"/>
              <w:bottom w:val="single" w:sz="8" w:space="0" w:color="auto"/>
              <w:right w:val="single" w:sz="8" w:space="0" w:color="auto"/>
            </w:tcBorders>
          </w:tcPr>
          <w:p w14:paraId="6F6AC365"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6DD6E5CF" w14:textId="77777777" w:rsidR="00A213C3" w:rsidRPr="00AD19BC" w:rsidRDefault="00A213C3" w:rsidP="00E86D5D">
            <w:pPr>
              <w:spacing w:before="40" w:after="40" w:line="276" w:lineRule="auto"/>
              <w:jc w:val="left"/>
              <w:rPr>
                <w:rFonts w:cs="Arial"/>
                <w:szCs w:val="20"/>
              </w:rPr>
            </w:pPr>
          </w:p>
        </w:tc>
      </w:tr>
      <w:tr w:rsidR="00A213C3" w:rsidRPr="00AD19BC" w14:paraId="024253DD"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4343D7EC" w14:textId="77777777" w:rsidR="00A213C3" w:rsidRPr="00AD19BC" w:rsidRDefault="00A213C3" w:rsidP="00E86D5D">
            <w:pPr>
              <w:spacing w:before="40" w:after="40" w:line="276" w:lineRule="auto"/>
              <w:jc w:val="left"/>
              <w:rPr>
                <w:rFonts w:cs="Arial"/>
                <w:szCs w:val="20"/>
              </w:rPr>
            </w:pPr>
            <w:r w:rsidRPr="00AD19BC">
              <w:rPr>
                <w:rFonts w:cs="Arial"/>
                <w:szCs w:val="20"/>
              </w:rPr>
              <w:t>92-93</w:t>
            </w:r>
          </w:p>
        </w:tc>
        <w:tc>
          <w:tcPr>
            <w:tcW w:w="2079" w:type="dxa"/>
            <w:tcBorders>
              <w:top w:val="single" w:sz="8" w:space="0" w:color="auto"/>
              <w:left w:val="single" w:sz="8" w:space="0" w:color="auto"/>
              <w:bottom w:val="single" w:sz="8" w:space="0" w:color="auto"/>
              <w:right w:val="single" w:sz="8" w:space="0" w:color="auto"/>
            </w:tcBorders>
            <w:hideMark/>
          </w:tcPr>
          <w:p w14:paraId="1CBF587F" w14:textId="77777777" w:rsidR="00A213C3" w:rsidRPr="00AD19BC" w:rsidRDefault="00A213C3" w:rsidP="00E86D5D">
            <w:pPr>
              <w:spacing w:before="40" w:after="40" w:line="276" w:lineRule="auto"/>
              <w:jc w:val="left"/>
              <w:rPr>
                <w:rFonts w:cs="Arial"/>
                <w:szCs w:val="20"/>
              </w:rPr>
            </w:pPr>
            <w:r w:rsidRPr="00AD19BC">
              <w:rPr>
                <w:rFonts w:cs="Arial"/>
                <w:szCs w:val="20"/>
              </w:rPr>
              <w:t>Housing</w:t>
            </w:r>
          </w:p>
        </w:tc>
        <w:tc>
          <w:tcPr>
            <w:tcW w:w="4158" w:type="dxa"/>
            <w:tcBorders>
              <w:top w:val="single" w:sz="8" w:space="0" w:color="auto"/>
              <w:left w:val="single" w:sz="8" w:space="0" w:color="auto"/>
              <w:bottom w:val="single" w:sz="8" w:space="0" w:color="auto"/>
              <w:right w:val="single" w:sz="8" w:space="0" w:color="auto"/>
            </w:tcBorders>
            <w:hideMark/>
          </w:tcPr>
          <w:p w14:paraId="73B2B8DB" w14:textId="77777777" w:rsidR="00A213C3" w:rsidRPr="00AD19BC" w:rsidRDefault="00A213C3" w:rsidP="00E86D5D">
            <w:pPr>
              <w:spacing w:before="40" w:after="40" w:line="276" w:lineRule="auto"/>
              <w:jc w:val="left"/>
              <w:rPr>
                <w:rFonts w:cs="Arial"/>
                <w:szCs w:val="20"/>
                <w:highlight w:val="yellow"/>
              </w:rPr>
            </w:pPr>
            <w:r w:rsidRPr="00AD19BC">
              <w:rPr>
                <w:rFonts w:cs="Arial"/>
                <w:szCs w:val="20"/>
              </w:rPr>
              <w:t>Modified from Byles et al. (2011). Housing and Independent Living: Environmental and built factors for maintaining independence in older age.</w:t>
            </w:r>
          </w:p>
        </w:tc>
        <w:tc>
          <w:tcPr>
            <w:tcW w:w="3828" w:type="dxa"/>
            <w:tcBorders>
              <w:top w:val="single" w:sz="8" w:space="0" w:color="auto"/>
              <w:left w:val="single" w:sz="8" w:space="0" w:color="auto"/>
              <w:bottom w:val="single" w:sz="8" w:space="0" w:color="auto"/>
              <w:right w:val="single" w:sz="8" w:space="0" w:color="auto"/>
            </w:tcBorders>
            <w:hideMark/>
          </w:tcPr>
          <w:p w14:paraId="2A6A96A8" w14:textId="77777777" w:rsidR="00A213C3" w:rsidRPr="00AD19BC" w:rsidRDefault="00A213C3" w:rsidP="00E86D5D">
            <w:pPr>
              <w:spacing w:before="40" w:after="40" w:line="276" w:lineRule="auto"/>
              <w:jc w:val="left"/>
              <w:rPr>
                <w:rFonts w:cs="Arial"/>
                <w:szCs w:val="20"/>
              </w:rPr>
            </w:pPr>
            <w:r w:rsidRPr="00AD19BC">
              <w:rPr>
                <w:rFonts w:cs="Arial"/>
                <w:szCs w:val="20"/>
              </w:rPr>
              <w:t>Changed timeframe for Q93 to “last 3 years” to capture time since last survey</w:t>
            </w:r>
          </w:p>
        </w:tc>
        <w:tc>
          <w:tcPr>
            <w:tcW w:w="2551" w:type="dxa"/>
            <w:tcBorders>
              <w:top w:val="single" w:sz="8" w:space="0" w:color="auto"/>
              <w:left w:val="single" w:sz="8" w:space="0" w:color="auto"/>
              <w:bottom w:val="single" w:sz="8" w:space="0" w:color="auto"/>
              <w:right w:val="single" w:sz="8" w:space="0" w:color="auto"/>
            </w:tcBorders>
          </w:tcPr>
          <w:p w14:paraId="5622707D" w14:textId="77777777" w:rsidR="00A213C3" w:rsidRPr="00AD19BC" w:rsidRDefault="00A213C3" w:rsidP="00E86D5D">
            <w:pPr>
              <w:spacing w:before="40" w:after="40" w:line="276" w:lineRule="auto"/>
              <w:jc w:val="left"/>
              <w:rPr>
                <w:rFonts w:cs="Arial"/>
                <w:szCs w:val="20"/>
              </w:rPr>
            </w:pPr>
          </w:p>
        </w:tc>
      </w:tr>
      <w:tr w:rsidR="00A213C3" w:rsidRPr="00AD19BC" w14:paraId="48AF2BCC"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459800B4" w14:textId="77777777" w:rsidR="00A213C3" w:rsidRPr="00AD19BC" w:rsidRDefault="00A213C3" w:rsidP="00E86D5D">
            <w:pPr>
              <w:spacing w:before="40" w:after="40" w:line="276" w:lineRule="auto"/>
              <w:jc w:val="left"/>
              <w:rPr>
                <w:rFonts w:cs="Arial"/>
                <w:szCs w:val="20"/>
              </w:rPr>
            </w:pPr>
            <w:r w:rsidRPr="00AD19BC">
              <w:rPr>
                <w:rFonts w:cs="Arial"/>
                <w:szCs w:val="20"/>
              </w:rPr>
              <w:t>94</w:t>
            </w:r>
          </w:p>
        </w:tc>
        <w:tc>
          <w:tcPr>
            <w:tcW w:w="2079" w:type="dxa"/>
            <w:tcBorders>
              <w:top w:val="single" w:sz="8" w:space="0" w:color="auto"/>
              <w:left w:val="single" w:sz="8" w:space="0" w:color="auto"/>
              <w:bottom w:val="single" w:sz="8" w:space="0" w:color="auto"/>
              <w:right w:val="single" w:sz="8" w:space="0" w:color="auto"/>
            </w:tcBorders>
            <w:hideMark/>
          </w:tcPr>
          <w:p w14:paraId="735FD4CD" w14:textId="77777777" w:rsidR="00A213C3" w:rsidRPr="00AD19BC" w:rsidRDefault="00A213C3" w:rsidP="00E86D5D">
            <w:pPr>
              <w:spacing w:before="40" w:after="40" w:line="276" w:lineRule="auto"/>
              <w:jc w:val="left"/>
              <w:rPr>
                <w:rFonts w:cs="Arial"/>
                <w:szCs w:val="20"/>
              </w:rPr>
            </w:pPr>
            <w:r w:rsidRPr="00AD19BC">
              <w:rPr>
                <w:rFonts w:cs="Arial"/>
                <w:szCs w:val="20"/>
              </w:rPr>
              <w:t>Housing</w:t>
            </w:r>
          </w:p>
        </w:tc>
        <w:tc>
          <w:tcPr>
            <w:tcW w:w="4158" w:type="dxa"/>
            <w:tcBorders>
              <w:top w:val="single" w:sz="8" w:space="0" w:color="auto"/>
              <w:left w:val="single" w:sz="8" w:space="0" w:color="auto"/>
              <w:bottom w:val="single" w:sz="8" w:space="0" w:color="auto"/>
              <w:right w:val="single" w:sz="8" w:space="0" w:color="auto"/>
            </w:tcBorders>
            <w:hideMark/>
          </w:tcPr>
          <w:p w14:paraId="3E73C465" w14:textId="77777777" w:rsidR="00A213C3" w:rsidRPr="00AD19BC" w:rsidRDefault="00A213C3" w:rsidP="00E86D5D">
            <w:pPr>
              <w:spacing w:before="40" w:after="40" w:line="276" w:lineRule="auto"/>
              <w:jc w:val="left"/>
              <w:rPr>
                <w:rFonts w:cs="Arial"/>
                <w:szCs w:val="20"/>
              </w:rPr>
            </w:pPr>
            <w:r w:rsidRPr="00AD19BC">
              <w:rPr>
                <w:rFonts w:cs="Arial"/>
                <w:szCs w:val="20"/>
              </w:rPr>
              <w:t>ALSWH; 45 &amp; Up (SEEF and HAIL); HILDA (wave 15 household questionnaire)</w:t>
            </w:r>
          </w:p>
        </w:tc>
        <w:tc>
          <w:tcPr>
            <w:tcW w:w="3828" w:type="dxa"/>
            <w:tcBorders>
              <w:top w:val="single" w:sz="8" w:space="0" w:color="auto"/>
              <w:left w:val="single" w:sz="8" w:space="0" w:color="auto"/>
              <w:bottom w:val="single" w:sz="8" w:space="0" w:color="auto"/>
              <w:right w:val="single" w:sz="8" w:space="0" w:color="auto"/>
            </w:tcBorders>
          </w:tcPr>
          <w:p w14:paraId="7A421D58"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556CC42F" w14:textId="77777777" w:rsidR="00A213C3" w:rsidRPr="00AD19BC" w:rsidRDefault="00A213C3" w:rsidP="00E86D5D">
            <w:pPr>
              <w:spacing w:before="40" w:after="40" w:line="276" w:lineRule="auto"/>
              <w:jc w:val="left"/>
              <w:rPr>
                <w:rFonts w:cs="Arial"/>
                <w:szCs w:val="20"/>
              </w:rPr>
            </w:pPr>
          </w:p>
        </w:tc>
      </w:tr>
      <w:tr w:rsidR="00A213C3" w:rsidRPr="00AD19BC" w14:paraId="599ABA87"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032FFA18" w14:textId="77777777" w:rsidR="00A213C3" w:rsidRPr="00AD19BC" w:rsidRDefault="00A213C3" w:rsidP="00E86D5D">
            <w:pPr>
              <w:spacing w:before="40" w:after="40" w:line="276" w:lineRule="auto"/>
              <w:jc w:val="left"/>
              <w:rPr>
                <w:rFonts w:cs="Arial"/>
                <w:szCs w:val="20"/>
              </w:rPr>
            </w:pPr>
            <w:r w:rsidRPr="00AD19BC">
              <w:rPr>
                <w:rFonts w:cs="Arial"/>
                <w:szCs w:val="20"/>
              </w:rPr>
              <w:t>95</w:t>
            </w:r>
          </w:p>
        </w:tc>
        <w:tc>
          <w:tcPr>
            <w:tcW w:w="2079" w:type="dxa"/>
            <w:tcBorders>
              <w:top w:val="single" w:sz="8" w:space="0" w:color="auto"/>
              <w:left w:val="single" w:sz="8" w:space="0" w:color="auto"/>
              <w:bottom w:val="single" w:sz="8" w:space="0" w:color="auto"/>
              <w:right w:val="single" w:sz="8" w:space="0" w:color="auto"/>
            </w:tcBorders>
            <w:hideMark/>
          </w:tcPr>
          <w:p w14:paraId="629A1B0C" w14:textId="77777777" w:rsidR="00A213C3" w:rsidRPr="00AD19BC" w:rsidRDefault="00A213C3" w:rsidP="00E86D5D">
            <w:pPr>
              <w:spacing w:before="40" w:after="40" w:line="276" w:lineRule="auto"/>
              <w:jc w:val="left"/>
              <w:rPr>
                <w:rFonts w:cs="Arial"/>
                <w:szCs w:val="20"/>
              </w:rPr>
            </w:pPr>
            <w:r w:rsidRPr="00AD19BC">
              <w:rPr>
                <w:rFonts w:cs="Arial"/>
                <w:szCs w:val="20"/>
              </w:rPr>
              <w:t>Transport</w:t>
            </w:r>
          </w:p>
        </w:tc>
        <w:tc>
          <w:tcPr>
            <w:tcW w:w="4158" w:type="dxa"/>
            <w:tcBorders>
              <w:top w:val="single" w:sz="8" w:space="0" w:color="auto"/>
              <w:left w:val="single" w:sz="8" w:space="0" w:color="auto"/>
              <w:bottom w:val="single" w:sz="8" w:space="0" w:color="auto"/>
              <w:right w:val="single" w:sz="8" w:space="0" w:color="auto"/>
            </w:tcBorders>
            <w:hideMark/>
          </w:tcPr>
          <w:p w14:paraId="4D0C7B45"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72E1E3B9"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5EEA325B" w14:textId="77777777" w:rsidR="00A213C3" w:rsidRPr="00AD19BC" w:rsidRDefault="00A213C3" w:rsidP="00E86D5D">
            <w:pPr>
              <w:spacing w:before="40" w:after="40" w:line="276" w:lineRule="auto"/>
              <w:jc w:val="left"/>
              <w:rPr>
                <w:rFonts w:cs="Arial"/>
                <w:szCs w:val="20"/>
              </w:rPr>
            </w:pPr>
          </w:p>
        </w:tc>
      </w:tr>
      <w:tr w:rsidR="00A213C3" w:rsidRPr="00AD19BC" w14:paraId="0842DD2E"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1FF2B558" w14:textId="77777777" w:rsidR="00A213C3" w:rsidRPr="00AD19BC" w:rsidRDefault="00A213C3" w:rsidP="00E86D5D">
            <w:pPr>
              <w:spacing w:before="40" w:after="40" w:line="276" w:lineRule="auto"/>
              <w:jc w:val="left"/>
              <w:rPr>
                <w:rFonts w:cs="Arial"/>
                <w:szCs w:val="20"/>
              </w:rPr>
            </w:pPr>
            <w:r w:rsidRPr="00AD19BC">
              <w:rPr>
                <w:rFonts w:cs="Arial"/>
                <w:szCs w:val="20"/>
              </w:rPr>
              <w:t>96</w:t>
            </w:r>
          </w:p>
        </w:tc>
        <w:tc>
          <w:tcPr>
            <w:tcW w:w="2079" w:type="dxa"/>
            <w:tcBorders>
              <w:top w:val="single" w:sz="8" w:space="0" w:color="auto"/>
              <w:left w:val="single" w:sz="8" w:space="0" w:color="auto"/>
              <w:bottom w:val="single" w:sz="8" w:space="0" w:color="auto"/>
              <w:right w:val="single" w:sz="8" w:space="0" w:color="auto"/>
            </w:tcBorders>
            <w:hideMark/>
          </w:tcPr>
          <w:p w14:paraId="3D23C4D0" w14:textId="77777777" w:rsidR="00A213C3" w:rsidRPr="00AD19BC" w:rsidRDefault="00A213C3" w:rsidP="00E86D5D">
            <w:pPr>
              <w:spacing w:before="40" w:after="40" w:line="276" w:lineRule="auto"/>
              <w:jc w:val="left"/>
              <w:rPr>
                <w:rFonts w:cs="Arial"/>
                <w:szCs w:val="20"/>
              </w:rPr>
            </w:pPr>
            <w:r w:rsidRPr="00AD19BC">
              <w:rPr>
                <w:rFonts w:cs="Arial"/>
                <w:szCs w:val="20"/>
              </w:rPr>
              <w:t>Adopted status</w:t>
            </w:r>
          </w:p>
        </w:tc>
        <w:tc>
          <w:tcPr>
            <w:tcW w:w="4158" w:type="dxa"/>
            <w:tcBorders>
              <w:top w:val="single" w:sz="8" w:space="0" w:color="auto"/>
              <w:left w:val="single" w:sz="8" w:space="0" w:color="auto"/>
              <w:bottom w:val="single" w:sz="8" w:space="0" w:color="auto"/>
              <w:right w:val="single" w:sz="8" w:space="0" w:color="auto"/>
            </w:tcBorders>
            <w:hideMark/>
          </w:tcPr>
          <w:p w14:paraId="20424338"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29198526"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hideMark/>
          </w:tcPr>
          <w:p w14:paraId="5315D96C" w14:textId="77777777" w:rsidR="00A213C3" w:rsidRPr="00AD19BC" w:rsidRDefault="00A213C3" w:rsidP="00E86D5D">
            <w:pPr>
              <w:spacing w:before="40" w:after="40" w:line="276" w:lineRule="auto"/>
              <w:jc w:val="left"/>
              <w:rPr>
                <w:rFonts w:cs="Arial"/>
                <w:szCs w:val="20"/>
              </w:rPr>
            </w:pPr>
            <w:r w:rsidRPr="00AD19BC">
              <w:rPr>
                <w:rFonts w:cs="Arial"/>
                <w:szCs w:val="20"/>
              </w:rPr>
              <w:t>To measure prevalence of women from the cohort that were adopted as children</w:t>
            </w:r>
          </w:p>
        </w:tc>
      </w:tr>
      <w:tr w:rsidR="00A213C3" w:rsidRPr="00AD19BC" w14:paraId="0DB03D3F"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082BD221" w14:textId="77777777" w:rsidR="00A213C3" w:rsidRPr="00AD19BC" w:rsidRDefault="00A213C3" w:rsidP="00E86D5D">
            <w:pPr>
              <w:spacing w:before="40" w:after="40" w:line="276" w:lineRule="auto"/>
              <w:jc w:val="left"/>
              <w:rPr>
                <w:rFonts w:cs="Arial"/>
                <w:szCs w:val="20"/>
              </w:rPr>
            </w:pPr>
            <w:r w:rsidRPr="00AD19BC">
              <w:rPr>
                <w:rFonts w:cs="Arial"/>
                <w:szCs w:val="20"/>
              </w:rPr>
              <w:t>97</w:t>
            </w:r>
          </w:p>
        </w:tc>
        <w:tc>
          <w:tcPr>
            <w:tcW w:w="2079" w:type="dxa"/>
            <w:tcBorders>
              <w:top w:val="single" w:sz="8" w:space="0" w:color="auto"/>
              <w:left w:val="single" w:sz="8" w:space="0" w:color="auto"/>
              <w:bottom w:val="single" w:sz="8" w:space="0" w:color="auto"/>
              <w:right w:val="single" w:sz="8" w:space="0" w:color="auto"/>
            </w:tcBorders>
            <w:hideMark/>
          </w:tcPr>
          <w:p w14:paraId="1428FA1B" w14:textId="77777777" w:rsidR="00A213C3" w:rsidRPr="00AD19BC" w:rsidRDefault="00A213C3" w:rsidP="00E86D5D">
            <w:pPr>
              <w:spacing w:before="40" w:after="40" w:line="276" w:lineRule="auto"/>
              <w:jc w:val="left"/>
              <w:rPr>
                <w:rFonts w:cs="Arial"/>
                <w:szCs w:val="20"/>
              </w:rPr>
            </w:pPr>
            <w:r w:rsidRPr="00AD19BC">
              <w:rPr>
                <w:rFonts w:cs="Arial"/>
                <w:szCs w:val="20"/>
              </w:rPr>
              <w:t>Social support</w:t>
            </w:r>
          </w:p>
        </w:tc>
        <w:tc>
          <w:tcPr>
            <w:tcW w:w="4158" w:type="dxa"/>
            <w:tcBorders>
              <w:top w:val="single" w:sz="8" w:space="0" w:color="auto"/>
              <w:left w:val="single" w:sz="8" w:space="0" w:color="auto"/>
              <w:bottom w:val="single" w:sz="8" w:space="0" w:color="auto"/>
              <w:right w:val="single" w:sz="8" w:space="0" w:color="auto"/>
            </w:tcBorders>
            <w:hideMark/>
          </w:tcPr>
          <w:p w14:paraId="030FA78B" w14:textId="77777777" w:rsidR="00A213C3" w:rsidRPr="00AD19BC" w:rsidRDefault="00A213C3" w:rsidP="00E86D5D">
            <w:pPr>
              <w:spacing w:before="40" w:after="40" w:line="276" w:lineRule="auto"/>
              <w:jc w:val="left"/>
              <w:rPr>
                <w:rFonts w:cs="Arial"/>
                <w:szCs w:val="20"/>
              </w:rPr>
            </w:pPr>
            <w:proofErr w:type="spellStart"/>
            <w:r w:rsidRPr="00AD19BC">
              <w:rPr>
                <w:rFonts w:cs="Arial"/>
                <w:szCs w:val="20"/>
              </w:rPr>
              <w:t>Sherbourne</w:t>
            </w:r>
            <w:proofErr w:type="spellEnd"/>
            <w:r w:rsidRPr="00AD19BC">
              <w:rPr>
                <w:rFonts w:cs="Arial"/>
                <w:szCs w:val="20"/>
              </w:rPr>
              <w:t xml:space="preserve"> CD &amp; Stewart AL</w:t>
            </w:r>
            <w:r>
              <w:rPr>
                <w:rFonts w:cs="Arial"/>
                <w:szCs w:val="20"/>
              </w:rPr>
              <w:t>.</w:t>
            </w:r>
            <w:r w:rsidRPr="00AD19BC">
              <w:rPr>
                <w:rFonts w:cs="Arial"/>
                <w:szCs w:val="20"/>
              </w:rPr>
              <w:t xml:space="preserve"> (1991). The MOS social support survey. </w:t>
            </w:r>
            <w:r w:rsidRPr="00E66B59">
              <w:rPr>
                <w:rFonts w:cs="Arial"/>
                <w:i/>
                <w:iCs/>
                <w:szCs w:val="20"/>
              </w:rPr>
              <w:t>Social Science and Medicine</w:t>
            </w:r>
            <w:r w:rsidRPr="00AD19BC">
              <w:rPr>
                <w:rFonts w:cs="Arial"/>
                <w:szCs w:val="20"/>
              </w:rPr>
              <w:t>, 32(6), 705-714</w:t>
            </w:r>
          </w:p>
        </w:tc>
        <w:tc>
          <w:tcPr>
            <w:tcW w:w="3828" w:type="dxa"/>
            <w:tcBorders>
              <w:top w:val="single" w:sz="8" w:space="0" w:color="auto"/>
              <w:left w:val="single" w:sz="8" w:space="0" w:color="auto"/>
              <w:bottom w:val="single" w:sz="8" w:space="0" w:color="auto"/>
              <w:right w:val="single" w:sz="8" w:space="0" w:color="auto"/>
            </w:tcBorders>
          </w:tcPr>
          <w:p w14:paraId="0A9B28C9"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7D785DB7" w14:textId="77777777" w:rsidR="00A213C3" w:rsidRPr="00AD19BC" w:rsidRDefault="00A213C3" w:rsidP="00E86D5D">
            <w:pPr>
              <w:spacing w:before="40" w:after="40" w:line="276" w:lineRule="auto"/>
              <w:jc w:val="left"/>
              <w:rPr>
                <w:rFonts w:cs="Arial"/>
                <w:szCs w:val="20"/>
              </w:rPr>
            </w:pPr>
          </w:p>
        </w:tc>
      </w:tr>
      <w:tr w:rsidR="00A213C3" w:rsidRPr="00AD19BC" w14:paraId="5B04DAB6"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3D2A4353" w14:textId="77777777" w:rsidR="00A213C3" w:rsidRPr="00AD19BC" w:rsidRDefault="00A213C3" w:rsidP="00E86D5D">
            <w:pPr>
              <w:spacing w:before="40" w:after="40" w:line="276" w:lineRule="auto"/>
              <w:jc w:val="left"/>
              <w:rPr>
                <w:rFonts w:cs="Arial"/>
                <w:szCs w:val="20"/>
              </w:rPr>
            </w:pPr>
            <w:r w:rsidRPr="00AD19BC">
              <w:rPr>
                <w:rFonts w:cs="Arial"/>
                <w:szCs w:val="20"/>
              </w:rPr>
              <w:t>98</w:t>
            </w:r>
          </w:p>
        </w:tc>
        <w:tc>
          <w:tcPr>
            <w:tcW w:w="2079" w:type="dxa"/>
            <w:tcBorders>
              <w:top w:val="single" w:sz="8" w:space="0" w:color="auto"/>
              <w:left w:val="single" w:sz="8" w:space="0" w:color="auto"/>
              <w:bottom w:val="single" w:sz="8" w:space="0" w:color="auto"/>
              <w:right w:val="single" w:sz="8" w:space="0" w:color="auto"/>
            </w:tcBorders>
            <w:hideMark/>
          </w:tcPr>
          <w:p w14:paraId="19658BCA" w14:textId="77777777" w:rsidR="00A213C3" w:rsidRPr="00AD19BC" w:rsidRDefault="00A213C3" w:rsidP="00E86D5D">
            <w:pPr>
              <w:spacing w:before="40" w:after="40" w:line="276" w:lineRule="auto"/>
              <w:jc w:val="left"/>
              <w:rPr>
                <w:rFonts w:cs="Arial"/>
                <w:szCs w:val="20"/>
              </w:rPr>
            </w:pPr>
            <w:r w:rsidRPr="00AD19BC">
              <w:rPr>
                <w:rFonts w:cs="Arial"/>
                <w:szCs w:val="20"/>
              </w:rPr>
              <w:t>Caring for children</w:t>
            </w:r>
          </w:p>
        </w:tc>
        <w:tc>
          <w:tcPr>
            <w:tcW w:w="4158" w:type="dxa"/>
            <w:tcBorders>
              <w:top w:val="single" w:sz="8" w:space="0" w:color="auto"/>
              <w:left w:val="single" w:sz="8" w:space="0" w:color="auto"/>
              <w:bottom w:val="single" w:sz="8" w:space="0" w:color="auto"/>
              <w:right w:val="single" w:sz="8" w:space="0" w:color="auto"/>
            </w:tcBorders>
            <w:hideMark/>
          </w:tcPr>
          <w:p w14:paraId="67B0868B"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7A266B3E"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2EED272E" w14:textId="77777777" w:rsidR="00A213C3" w:rsidRPr="00AD19BC" w:rsidRDefault="00A213C3" w:rsidP="00E86D5D">
            <w:pPr>
              <w:spacing w:before="40" w:after="40" w:line="276" w:lineRule="auto"/>
              <w:jc w:val="left"/>
              <w:rPr>
                <w:rFonts w:cs="Arial"/>
                <w:szCs w:val="20"/>
              </w:rPr>
            </w:pPr>
          </w:p>
        </w:tc>
      </w:tr>
      <w:tr w:rsidR="00A213C3" w:rsidRPr="00AD19BC" w14:paraId="0D44DF84"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64477180" w14:textId="77777777" w:rsidR="00A213C3" w:rsidRPr="00AD19BC" w:rsidRDefault="00A213C3" w:rsidP="00E86D5D">
            <w:pPr>
              <w:spacing w:before="40" w:after="40" w:line="276" w:lineRule="auto"/>
              <w:jc w:val="left"/>
              <w:rPr>
                <w:rFonts w:cs="Arial"/>
                <w:szCs w:val="20"/>
              </w:rPr>
            </w:pPr>
            <w:r w:rsidRPr="00AD19BC">
              <w:rPr>
                <w:rFonts w:cs="Arial"/>
                <w:szCs w:val="20"/>
              </w:rPr>
              <w:t>99</w:t>
            </w:r>
          </w:p>
        </w:tc>
        <w:tc>
          <w:tcPr>
            <w:tcW w:w="2079" w:type="dxa"/>
            <w:tcBorders>
              <w:top w:val="single" w:sz="8" w:space="0" w:color="auto"/>
              <w:left w:val="single" w:sz="8" w:space="0" w:color="auto"/>
              <w:bottom w:val="single" w:sz="8" w:space="0" w:color="auto"/>
              <w:right w:val="single" w:sz="8" w:space="0" w:color="auto"/>
            </w:tcBorders>
            <w:hideMark/>
          </w:tcPr>
          <w:p w14:paraId="23DA1F3B" w14:textId="77777777" w:rsidR="00A213C3" w:rsidRPr="00AD19BC" w:rsidRDefault="00A213C3" w:rsidP="00E86D5D">
            <w:pPr>
              <w:spacing w:before="40" w:after="40" w:line="276" w:lineRule="auto"/>
              <w:jc w:val="left"/>
              <w:rPr>
                <w:rFonts w:cs="Arial"/>
                <w:szCs w:val="20"/>
              </w:rPr>
            </w:pPr>
            <w:r w:rsidRPr="00AD19BC">
              <w:rPr>
                <w:rFonts w:cs="Arial"/>
                <w:szCs w:val="20"/>
              </w:rPr>
              <w:t>Hobbies</w:t>
            </w:r>
          </w:p>
        </w:tc>
        <w:tc>
          <w:tcPr>
            <w:tcW w:w="4158" w:type="dxa"/>
            <w:tcBorders>
              <w:top w:val="single" w:sz="8" w:space="0" w:color="auto"/>
              <w:left w:val="single" w:sz="8" w:space="0" w:color="auto"/>
              <w:bottom w:val="single" w:sz="8" w:space="0" w:color="auto"/>
              <w:right w:val="single" w:sz="8" w:space="0" w:color="auto"/>
            </w:tcBorders>
            <w:hideMark/>
          </w:tcPr>
          <w:p w14:paraId="01ECEB36" w14:textId="77777777" w:rsidR="00A213C3" w:rsidRPr="00AD19BC" w:rsidRDefault="00A213C3" w:rsidP="00E86D5D">
            <w:pPr>
              <w:spacing w:before="40" w:after="40" w:line="276" w:lineRule="auto"/>
              <w:jc w:val="left"/>
              <w:rPr>
                <w:rFonts w:cs="Arial"/>
                <w:szCs w:val="20"/>
                <w:highlight w:val="cyan"/>
              </w:rPr>
            </w:pPr>
            <w:r w:rsidRPr="00AD19BC">
              <w:rPr>
                <w:rFonts w:cs="Arial"/>
                <w:szCs w:val="20"/>
              </w:rPr>
              <w:t xml:space="preserve">Nair B, Byles J, Tavener M and Heinze, R (2000). Immunisation rates in older veterans </w:t>
            </w:r>
            <w:r w:rsidRPr="00AD19BC">
              <w:rPr>
                <w:rFonts w:cs="Arial"/>
                <w:szCs w:val="20"/>
              </w:rPr>
              <w:lastRenderedPageBreak/>
              <w:t xml:space="preserve">and war widows, </w:t>
            </w:r>
            <w:r w:rsidRPr="00E66B59">
              <w:rPr>
                <w:rFonts w:cs="Arial"/>
                <w:i/>
                <w:iCs/>
                <w:szCs w:val="20"/>
              </w:rPr>
              <w:t>Australasian Journal on Ageing</w:t>
            </w:r>
            <w:r w:rsidRPr="00AD19BC">
              <w:rPr>
                <w:rFonts w:cs="Arial"/>
                <w:szCs w:val="20"/>
              </w:rPr>
              <w:t>, 19(3):136-138.</w:t>
            </w:r>
          </w:p>
        </w:tc>
        <w:tc>
          <w:tcPr>
            <w:tcW w:w="3828" w:type="dxa"/>
            <w:tcBorders>
              <w:top w:val="single" w:sz="8" w:space="0" w:color="auto"/>
              <w:left w:val="single" w:sz="8" w:space="0" w:color="auto"/>
              <w:bottom w:val="single" w:sz="8" w:space="0" w:color="auto"/>
              <w:right w:val="single" w:sz="8" w:space="0" w:color="auto"/>
            </w:tcBorders>
            <w:hideMark/>
          </w:tcPr>
          <w:p w14:paraId="790822BF" w14:textId="77777777" w:rsidR="00A213C3" w:rsidRPr="00AD19BC" w:rsidRDefault="00A213C3" w:rsidP="00E86D5D">
            <w:pPr>
              <w:spacing w:before="40" w:after="40" w:line="276" w:lineRule="auto"/>
              <w:jc w:val="left"/>
              <w:rPr>
                <w:rFonts w:cs="Arial"/>
                <w:szCs w:val="20"/>
              </w:rPr>
            </w:pPr>
            <w:r w:rsidRPr="00AD19BC">
              <w:rPr>
                <w:rFonts w:cs="Arial"/>
                <w:szCs w:val="20"/>
              </w:rPr>
              <w:lastRenderedPageBreak/>
              <w:t xml:space="preserve">Deleted response option “Other” due to high missing values in Mid9 Main Survey, </w:t>
            </w:r>
            <w:r w:rsidRPr="00AD19BC">
              <w:rPr>
                <w:rFonts w:cs="Arial"/>
                <w:szCs w:val="20"/>
              </w:rPr>
              <w:lastRenderedPageBreak/>
              <w:t>and to align with what was done for the 1921-26 cohort.</w:t>
            </w:r>
          </w:p>
        </w:tc>
        <w:tc>
          <w:tcPr>
            <w:tcW w:w="2551" w:type="dxa"/>
            <w:tcBorders>
              <w:top w:val="single" w:sz="8" w:space="0" w:color="auto"/>
              <w:left w:val="single" w:sz="8" w:space="0" w:color="auto"/>
              <w:bottom w:val="single" w:sz="8" w:space="0" w:color="auto"/>
              <w:right w:val="single" w:sz="8" w:space="0" w:color="auto"/>
            </w:tcBorders>
          </w:tcPr>
          <w:p w14:paraId="4829F911" w14:textId="77777777" w:rsidR="00A213C3" w:rsidRPr="00AD19BC" w:rsidRDefault="00A213C3" w:rsidP="00E86D5D">
            <w:pPr>
              <w:spacing w:before="40" w:after="40" w:line="276" w:lineRule="auto"/>
              <w:jc w:val="left"/>
              <w:rPr>
                <w:rFonts w:cs="Arial"/>
                <w:szCs w:val="20"/>
              </w:rPr>
            </w:pPr>
          </w:p>
        </w:tc>
      </w:tr>
      <w:tr w:rsidR="00A213C3" w:rsidRPr="00AD19BC" w14:paraId="3B70B50E"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263F725E" w14:textId="77777777" w:rsidR="00A213C3" w:rsidRPr="00AD19BC" w:rsidRDefault="00A213C3" w:rsidP="00E86D5D">
            <w:pPr>
              <w:spacing w:before="40" w:after="40" w:line="276" w:lineRule="auto"/>
              <w:jc w:val="left"/>
              <w:rPr>
                <w:rFonts w:cs="Arial"/>
                <w:szCs w:val="20"/>
              </w:rPr>
            </w:pPr>
            <w:r w:rsidRPr="00AD19BC">
              <w:rPr>
                <w:rFonts w:cs="Arial"/>
                <w:szCs w:val="20"/>
              </w:rPr>
              <w:t>100</w:t>
            </w:r>
          </w:p>
        </w:tc>
        <w:tc>
          <w:tcPr>
            <w:tcW w:w="2079" w:type="dxa"/>
            <w:tcBorders>
              <w:top w:val="single" w:sz="8" w:space="0" w:color="auto"/>
              <w:left w:val="single" w:sz="8" w:space="0" w:color="auto"/>
              <w:bottom w:val="single" w:sz="8" w:space="0" w:color="auto"/>
              <w:right w:val="single" w:sz="8" w:space="0" w:color="auto"/>
            </w:tcBorders>
            <w:hideMark/>
          </w:tcPr>
          <w:p w14:paraId="6B134874" w14:textId="77777777" w:rsidR="00A213C3" w:rsidRPr="00AD19BC" w:rsidRDefault="00A213C3" w:rsidP="00E86D5D">
            <w:pPr>
              <w:spacing w:before="40" w:after="40" w:line="276" w:lineRule="auto"/>
              <w:jc w:val="left"/>
              <w:rPr>
                <w:rFonts w:cs="Arial"/>
                <w:szCs w:val="20"/>
              </w:rPr>
            </w:pPr>
            <w:r w:rsidRPr="00AD19BC">
              <w:rPr>
                <w:rFonts w:cs="Arial"/>
                <w:szCs w:val="20"/>
              </w:rPr>
              <w:t>Marital status</w:t>
            </w:r>
          </w:p>
        </w:tc>
        <w:tc>
          <w:tcPr>
            <w:tcW w:w="4158" w:type="dxa"/>
            <w:tcBorders>
              <w:top w:val="single" w:sz="8" w:space="0" w:color="auto"/>
              <w:left w:val="single" w:sz="8" w:space="0" w:color="auto"/>
              <w:bottom w:val="single" w:sz="8" w:space="0" w:color="auto"/>
              <w:right w:val="single" w:sz="8" w:space="0" w:color="auto"/>
            </w:tcBorders>
            <w:hideMark/>
          </w:tcPr>
          <w:p w14:paraId="5DCF6ED8" w14:textId="77777777" w:rsidR="00A213C3" w:rsidRPr="00AD19BC" w:rsidRDefault="00A213C3" w:rsidP="00E86D5D">
            <w:pPr>
              <w:spacing w:before="40" w:after="40" w:line="276" w:lineRule="auto"/>
              <w:jc w:val="left"/>
              <w:rPr>
                <w:rFonts w:cs="Arial"/>
                <w:szCs w:val="20"/>
              </w:rPr>
            </w:pPr>
            <w:r w:rsidRPr="00AD19BC">
              <w:rPr>
                <w:rFonts w:cs="Arial"/>
                <w:szCs w:val="20"/>
              </w:rPr>
              <w:t>Modified from ABS (1993) 1996 Census of population and housing: Nature and content of the census. Canberra: ABS.  Cat No. 2008.0.</w:t>
            </w:r>
          </w:p>
        </w:tc>
        <w:tc>
          <w:tcPr>
            <w:tcW w:w="3828" w:type="dxa"/>
            <w:tcBorders>
              <w:top w:val="single" w:sz="8" w:space="0" w:color="auto"/>
              <w:left w:val="single" w:sz="8" w:space="0" w:color="auto"/>
              <w:bottom w:val="single" w:sz="8" w:space="0" w:color="auto"/>
              <w:right w:val="single" w:sz="8" w:space="0" w:color="auto"/>
            </w:tcBorders>
            <w:hideMark/>
          </w:tcPr>
          <w:p w14:paraId="79DC331A" w14:textId="77777777" w:rsidR="00A213C3" w:rsidRPr="00AD19BC" w:rsidRDefault="00A213C3" w:rsidP="00E86D5D">
            <w:pPr>
              <w:spacing w:before="40" w:after="40" w:line="276" w:lineRule="auto"/>
              <w:jc w:val="left"/>
              <w:rPr>
                <w:rFonts w:cs="Arial"/>
                <w:szCs w:val="20"/>
              </w:rPr>
            </w:pPr>
            <w:r w:rsidRPr="00AD19BC">
              <w:rPr>
                <w:rFonts w:cs="Arial"/>
                <w:szCs w:val="20"/>
              </w:rPr>
              <w:t>Modified response options to allow for non-binary response. This change aligns with that in the 1973-78 survey 9 Main based on the Department of Health request to add the additional non-gendered responses.</w:t>
            </w:r>
          </w:p>
        </w:tc>
        <w:tc>
          <w:tcPr>
            <w:tcW w:w="2551" w:type="dxa"/>
            <w:tcBorders>
              <w:top w:val="single" w:sz="8" w:space="0" w:color="auto"/>
              <w:left w:val="single" w:sz="8" w:space="0" w:color="auto"/>
              <w:bottom w:val="single" w:sz="8" w:space="0" w:color="auto"/>
              <w:right w:val="single" w:sz="8" w:space="0" w:color="auto"/>
            </w:tcBorders>
          </w:tcPr>
          <w:p w14:paraId="0FA15619" w14:textId="77777777" w:rsidR="00A213C3" w:rsidRPr="00AD19BC" w:rsidRDefault="00A213C3" w:rsidP="00E86D5D">
            <w:pPr>
              <w:spacing w:before="40" w:after="40" w:line="276" w:lineRule="auto"/>
              <w:jc w:val="left"/>
              <w:rPr>
                <w:rFonts w:cs="Arial"/>
                <w:szCs w:val="20"/>
              </w:rPr>
            </w:pPr>
          </w:p>
        </w:tc>
      </w:tr>
      <w:tr w:rsidR="00A213C3" w:rsidRPr="00AD19BC" w14:paraId="13BCCFAF"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6DDEA7DC" w14:textId="77777777" w:rsidR="00A213C3" w:rsidRPr="00AD19BC" w:rsidRDefault="00A213C3" w:rsidP="00E86D5D">
            <w:pPr>
              <w:spacing w:before="40" w:after="40" w:line="276" w:lineRule="auto"/>
              <w:jc w:val="left"/>
              <w:rPr>
                <w:rFonts w:cs="Arial"/>
                <w:szCs w:val="20"/>
              </w:rPr>
            </w:pPr>
            <w:r w:rsidRPr="00AD19BC">
              <w:rPr>
                <w:rFonts w:cs="Arial"/>
                <w:szCs w:val="20"/>
              </w:rPr>
              <w:t>101</w:t>
            </w:r>
          </w:p>
        </w:tc>
        <w:tc>
          <w:tcPr>
            <w:tcW w:w="2079" w:type="dxa"/>
            <w:tcBorders>
              <w:top w:val="single" w:sz="8" w:space="0" w:color="auto"/>
              <w:left w:val="single" w:sz="8" w:space="0" w:color="auto"/>
              <w:bottom w:val="single" w:sz="8" w:space="0" w:color="auto"/>
              <w:right w:val="single" w:sz="8" w:space="0" w:color="auto"/>
            </w:tcBorders>
            <w:hideMark/>
          </w:tcPr>
          <w:p w14:paraId="11DA9198" w14:textId="77777777" w:rsidR="00A213C3" w:rsidRPr="00AD19BC" w:rsidRDefault="00A213C3" w:rsidP="00E86D5D">
            <w:pPr>
              <w:spacing w:before="40" w:after="40" w:line="276" w:lineRule="auto"/>
              <w:jc w:val="left"/>
              <w:rPr>
                <w:rFonts w:cs="Arial"/>
                <w:szCs w:val="20"/>
              </w:rPr>
            </w:pPr>
            <w:r w:rsidRPr="00AD19BC">
              <w:rPr>
                <w:rFonts w:cs="Arial"/>
                <w:szCs w:val="20"/>
              </w:rPr>
              <w:t>Date of Bereavement</w:t>
            </w:r>
          </w:p>
        </w:tc>
        <w:tc>
          <w:tcPr>
            <w:tcW w:w="4158" w:type="dxa"/>
            <w:tcBorders>
              <w:top w:val="single" w:sz="8" w:space="0" w:color="auto"/>
              <w:left w:val="single" w:sz="8" w:space="0" w:color="auto"/>
              <w:bottom w:val="single" w:sz="8" w:space="0" w:color="auto"/>
              <w:right w:val="single" w:sz="8" w:space="0" w:color="auto"/>
            </w:tcBorders>
            <w:hideMark/>
          </w:tcPr>
          <w:p w14:paraId="091032A3"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4D735674"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5CC885AB" w14:textId="77777777" w:rsidR="00A213C3" w:rsidRPr="00AD19BC" w:rsidRDefault="00A213C3" w:rsidP="00E86D5D">
            <w:pPr>
              <w:spacing w:before="40" w:after="40" w:line="276" w:lineRule="auto"/>
              <w:jc w:val="left"/>
              <w:rPr>
                <w:rFonts w:cs="Arial"/>
                <w:szCs w:val="20"/>
              </w:rPr>
            </w:pPr>
          </w:p>
        </w:tc>
      </w:tr>
      <w:tr w:rsidR="00A213C3" w:rsidRPr="00AD19BC" w14:paraId="42140400"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4D7828E4" w14:textId="77777777" w:rsidR="00A213C3" w:rsidRPr="00AD19BC" w:rsidRDefault="00A213C3" w:rsidP="00E86D5D">
            <w:pPr>
              <w:spacing w:before="40" w:after="40" w:line="276" w:lineRule="auto"/>
              <w:jc w:val="left"/>
              <w:rPr>
                <w:rFonts w:cs="Arial"/>
                <w:szCs w:val="20"/>
              </w:rPr>
            </w:pPr>
            <w:r w:rsidRPr="00AD19BC">
              <w:rPr>
                <w:rFonts w:cs="Arial"/>
                <w:szCs w:val="20"/>
              </w:rPr>
              <w:t>102</w:t>
            </w:r>
          </w:p>
        </w:tc>
        <w:tc>
          <w:tcPr>
            <w:tcW w:w="2079" w:type="dxa"/>
            <w:tcBorders>
              <w:top w:val="single" w:sz="8" w:space="0" w:color="auto"/>
              <w:left w:val="single" w:sz="8" w:space="0" w:color="auto"/>
              <w:bottom w:val="single" w:sz="8" w:space="0" w:color="auto"/>
              <w:right w:val="single" w:sz="8" w:space="0" w:color="auto"/>
            </w:tcBorders>
            <w:hideMark/>
          </w:tcPr>
          <w:p w14:paraId="15C59523" w14:textId="77777777" w:rsidR="00A213C3" w:rsidRPr="00AD19BC" w:rsidRDefault="00A213C3" w:rsidP="00E86D5D">
            <w:pPr>
              <w:spacing w:before="40" w:after="40" w:line="276" w:lineRule="auto"/>
              <w:jc w:val="left"/>
              <w:rPr>
                <w:rFonts w:cs="Arial"/>
                <w:szCs w:val="20"/>
              </w:rPr>
            </w:pPr>
            <w:r w:rsidRPr="00AD19BC">
              <w:rPr>
                <w:rFonts w:cs="Arial"/>
                <w:szCs w:val="20"/>
              </w:rPr>
              <w:t>Who lives with you</w:t>
            </w:r>
          </w:p>
        </w:tc>
        <w:tc>
          <w:tcPr>
            <w:tcW w:w="4158" w:type="dxa"/>
            <w:tcBorders>
              <w:top w:val="single" w:sz="8" w:space="0" w:color="auto"/>
              <w:left w:val="single" w:sz="8" w:space="0" w:color="auto"/>
              <w:bottom w:val="single" w:sz="8" w:space="0" w:color="auto"/>
              <w:right w:val="single" w:sz="8" w:space="0" w:color="auto"/>
            </w:tcBorders>
            <w:hideMark/>
          </w:tcPr>
          <w:p w14:paraId="57F71F2E" w14:textId="77777777" w:rsidR="00A213C3" w:rsidRPr="00AD19BC" w:rsidRDefault="00A213C3" w:rsidP="00E86D5D">
            <w:pPr>
              <w:spacing w:before="40" w:after="40" w:line="276" w:lineRule="auto"/>
              <w:jc w:val="left"/>
              <w:rPr>
                <w:rFonts w:cs="Arial"/>
                <w:szCs w:val="20"/>
                <w:highlight w:val="magenta"/>
              </w:rPr>
            </w:pPr>
            <w:r w:rsidRPr="00AD19BC">
              <w:rPr>
                <w:rFonts w:cs="Arial"/>
                <w:szCs w:val="20"/>
              </w:rPr>
              <w:t>Modified from ABS (1994) Australian Housing Survey: User Guide. Canberra: ABS. Cat No. 4180.0</w:t>
            </w:r>
          </w:p>
        </w:tc>
        <w:tc>
          <w:tcPr>
            <w:tcW w:w="3828" w:type="dxa"/>
            <w:tcBorders>
              <w:top w:val="single" w:sz="8" w:space="0" w:color="auto"/>
              <w:left w:val="single" w:sz="8" w:space="0" w:color="auto"/>
              <w:bottom w:val="single" w:sz="8" w:space="0" w:color="auto"/>
              <w:right w:val="single" w:sz="8" w:space="0" w:color="auto"/>
            </w:tcBorders>
          </w:tcPr>
          <w:p w14:paraId="3E73FBC8"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028EF9DB" w14:textId="77777777" w:rsidR="00A213C3" w:rsidRPr="00AD19BC" w:rsidRDefault="00A213C3" w:rsidP="00E86D5D">
            <w:pPr>
              <w:spacing w:before="40" w:after="40" w:line="276" w:lineRule="auto"/>
              <w:jc w:val="left"/>
              <w:rPr>
                <w:rFonts w:cs="Arial"/>
                <w:szCs w:val="20"/>
              </w:rPr>
            </w:pPr>
          </w:p>
        </w:tc>
      </w:tr>
      <w:tr w:rsidR="00A213C3" w:rsidRPr="00AD19BC" w14:paraId="5247BDD2"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14EA4BBF" w14:textId="77777777" w:rsidR="00A213C3" w:rsidRPr="00AD19BC" w:rsidRDefault="00A213C3" w:rsidP="00E86D5D">
            <w:pPr>
              <w:spacing w:before="40" w:after="40" w:line="276" w:lineRule="auto"/>
              <w:jc w:val="left"/>
              <w:rPr>
                <w:rFonts w:cs="Arial"/>
                <w:szCs w:val="20"/>
              </w:rPr>
            </w:pPr>
            <w:r w:rsidRPr="00AD19BC">
              <w:rPr>
                <w:rFonts w:cs="Arial"/>
                <w:szCs w:val="20"/>
              </w:rPr>
              <w:t>103</w:t>
            </w:r>
          </w:p>
        </w:tc>
        <w:tc>
          <w:tcPr>
            <w:tcW w:w="2079" w:type="dxa"/>
            <w:tcBorders>
              <w:top w:val="single" w:sz="8" w:space="0" w:color="auto"/>
              <w:left w:val="single" w:sz="8" w:space="0" w:color="auto"/>
              <w:bottom w:val="single" w:sz="8" w:space="0" w:color="auto"/>
              <w:right w:val="single" w:sz="8" w:space="0" w:color="auto"/>
            </w:tcBorders>
            <w:hideMark/>
          </w:tcPr>
          <w:p w14:paraId="7B689D66" w14:textId="77777777" w:rsidR="00A213C3" w:rsidRPr="00AD19BC" w:rsidRDefault="00A213C3" w:rsidP="00E86D5D">
            <w:pPr>
              <w:spacing w:before="40" w:after="40" w:line="276" w:lineRule="auto"/>
              <w:jc w:val="left"/>
              <w:rPr>
                <w:rFonts w:cs="Arial"/>
                <w:szCs w:val="20"/>
              </w:rPr>
            </w:pPr>
            <w:r w:rsidRPr="00AD19BC">
              <w:rPr>
                <w:rFonts w:cs="Arial"/>
                <w:szCs w:val="20"/>
              </w:rPr>
              <w:t>Achievements</w:t>
            </w:r>
          </w:p>
        </w:tc>
        <w:tc>
          <w:tcPr>
            <w:tcW w:w="4158" w:type="dxa"/>
            <w:tcBorders>
              <w:top w:val="single" w:sz="8" w:space="0" w:color="auto"/>
              <w:left w:val="single" w:sz="8" w:space="0" w:color="auto"/>
              <w:bottom w:val="single" w:sz="8" w:space="0" w:color="auto"/>
              <w:right w:val="single" w:sz="8" w:space="0" w:color="auto"/>
            </w:tcBorders>
            <w:hideMark/>
          </w:tcPr>
          <w:p w14:paraId="776B490A"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hideMark/>
          </w:tcPr>
          <w:p w14:paraId="69DDEF8E" w14:textId="77777777" w:rsidR="00A213C3" w:rsidRPr="00AD19BC" w:rsidRDefault="00A213C3" w:rsidP="00E86D5D">
            <w:pPr>
              <w:spacing w:before="40" w:after="40" w:line="276" w:lineRule="auto"/>
              <w:jc w:val="left"/>
              <w:rPr>
                <w:rFonts w:cs="Arial"/>
                <w:szCs w:val="20"/>
              </w:rPr>
            </w:pPr>
            <w:r w:rsidRPr="00AD19BC">
              <w:rPr>
                <w:rFonts w:cs="Arial"/>
                <w:szCs w:val="20"/>
              </w:rPr>
              <w:t>Deleted response option “Study” due to high missing values in Mid9 Main Survey, and to align with what was done for the 1921-26 cohort.</w:t>
            </w:r>
          </w:p>
        </w:tc>
        <w:tc>
          <w:tcPr>
            <w:tcW w:w="2551" w:type="dxa"/>
            <w:tcBorders>
              <w:top w:val="single" w:sz="8" w:space="0" w:color="auto"/>
              <w:left w:val="single" w:sz="8" w:space="0" w:color="auto"/>
              <w:bottom w:val="single" w:sz="8" w:space="0" w:color="auto"/>
              <w:right w:val="single" w:sz="8" w:space="0" w:color="auto"/>
            </w:tcBorders>
          </w:tcPr>
          <w:p w14:paraId="023BFC39" w14:textId="77777777" w:rsidR="00A213C3" w:rsidRPr="00AD19BC" w:rsidRDefault="00A213C3" w:rsidP="00E86D5D">
            <w:pPr>
              <w:spacing w:before="40" w:after="40" w:line="276" w:lineRule="auto"/>
              <w:jc w:val="left"/>
              <w:rPr>
                <w:rFonts w:cs="Arial"/>
                <w:szCs w:val="20"/>
              </w:rPr>
            </w:pPr>
          </w:p>
        </w:tc>
      </w:tr>
      <w:tr w:rsidR="00A213C3" w:rsidRPr="00AD19BC" w14:paraId="260963A2"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2549F417" w14:textId="77777777" w:rsidR="00A213C3" w:rsidRPr="00AD19BC" w:rsidRDefault="00A213C3" w:rsidP="00E86D5D">
            <w:pPr>
              <w:spacing w:before="40" w:after="40" w:line="276" w:lineRule="auto"/>
              <w:jc w:val="left"/>
              <w:rPr>
                <w:rFonts w:cs="Arial"/>
                <w:szCs w:val="20"/>
              </w:rPr>
            </w:pPr>
            <w:r w:rsidRPr="00AD19BC">
              <w:rPr>
                <w:rFonts w:cs="Arial"/>
                <w:szCs w:val="20"/>
              </w:rPr>
              <w:t>104</w:t>
            </w:r>
          </w:p>
        </w:tc>
        <w:tc>
          <w:tcPr>
            <w:tcW w:w="2079" w:type="dxa"/>
            <w:tcBorders>
              <w:top w:val="single" w:sz="8" w:space="0" w:color="auto"/>
              <w:left w:val="single" w:sz="8" w:space="0" w:color="auto"/>
              <w:bottom w:val="single" w:sz="8" w:space="0" w:color="auto"/>
              <w:right w:val="single" w:sz="8" w:space="0" w:color="auto"/>
            </w:tcBorders>
            <w:hideMark/>
          </w:tcPr>
          <w:p w14:paraId="2125D5D2" w14:textId="77777777" w:rsidR="00A213C3" w:rsidRPr="00AD19BC" w:rsidRDefault="00A213C3" w:rsidP="00E86D5D">
            <w:pPr>
              <w:spacing w:before="40" w:after="40" w:line="276" w:lineRule="auto"/>
              <w:jc w:val="left"/>
              <w:rPr>
                <w:rFonts w:cs="Arial"/>
                <w:szCs w:val="20"/>
              </w:rPr>
            </w:pPr>
            <w:r w:rsidRPr="00AD19BC">
              <w:rPr>
                <w:rFonts w:cs="Arial"/>
                <w:szCs w:val="20"/>
              </w:rPr>
              <w:t>Proxy</w:t>
            </w:r>
          </w:p>
        </w:tc>
        <w:tc>
          <w:tcPr>
            <w:tcW w:w="4158" w:type="dxa"/>
            <w:tcBorders>
              <w:top w:val="single" w:sz="8" w:space="0" w:color="auto"/>
              <w:left w:val="single" w:sz="8" w:space="0" w:color="auto"/>
              <w:bottom w:val="single" w:sz="8" w:space="0" w:color="auto"/>
              <w:right w:val="single" w:sz="8" w:space="0" w:color="auto"/>
            </w:tcBorders>
            <w:hideMark/>
          </w:tcPr>
          <w:p w14:paraId="4388AD5C"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6D6F749E"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67D9B533" w14:textId="77777777" w:rsidR="00A213C3" w:rsidRPr="00AD19BC" w:rsidRDefault="00A213C3" w:rsidP="00E86D5D">
            <w:pPr>
              <w:spacing w:before="40" w:after="40" w:line="276" w:lineRule="auto"/>
              <w:jc w:val="left"/>
              <w:rPr>
                <w:rFonts w:cs="Arial"/>
                <w:szCs w:val="20"/>
              </w:rPr>
            </w:pPr>
          </w:p>
        </w:tc>
      </w:tr>
      <w:tr w:rsidR="00A213C3" w:rsidRPr="00AD19BC" w14:paraId="6D47E32E"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51400C3A" w14:textId="77777777" w:rsidR="00A213C3" w:rsidRPr="00AD19BC" w:rsidRDefault="00A213C3" w:rsidP="00E86D5D">
            <w:pPr>
              <w:spacing w:before="40" w:after="40" w:line="276" w:lineRule="auto"/>
              <w:jc w:val="left"/>
              <w:rPr>
                <w:rFonts w:cs="Arial"/>
                <w:szCs w:val="20"/>
              </w:rPr>
            </w:pPr>
            <w:r w:rsidRPr="00AD19BC">
              <w:rPr>
                <w:rFonts w:cs="Arial"/>
                <w:szCs w:val="20"/>
              </w:rPr>
              <w:t>105</w:t>
            </w:r>
          </w:p>
        </w:tc>
        <w:tc>
          <w:tcPr>
            <w:tcW w:w="2079" w:type="dxa"/>
            <w:tcBorders>
              <w:top w:val="single" w:sz="8" w:space="0" w:color="auto"/>
              <w:left w:val="single" w:sz="8" w:space="0" w:color="auto"/>
              <w:bottom w:val="single" w:sz="8" w:space="0" w:color="auto"/>
              <w:right w:val="single" w:sz="8" w:space="0" w:color="auto"/>
            </w:tcBorders>
            <w:hideMark/>
          </w:tcPr>
          <w:p w14:paraId="2121E6C3" w14:textId="77777777" w:rsidR="00A213C3" w:rsidRPr="00AD19BC" w:rsidRDefault="00A213C3" w:rsidP="00E86D5D">
            <w:pPr>
              <w:spacing w:before="40" w:after="40" w:line="276" w:lineRule="auto"/>
              <w:jc w:val="left"/>
              <w:rPr>
                <w:rFonts w:cs="Arial"/>
                <w:szCs w:val="20"/>
              </w:rPr>
            </w:pPr>
            <w:r w:rsidRPr="00AD19BC">
              <w:rPr>
                <w:rFonts w:cs="Arial"/>
                <w:szCs w:val="20"/>
              </w:rPr>
              <w:t>Reason for needing help</w:t>
            </w:r>
          </w:p>
        </w:tc>
        <w:tc>
          <w:tcPr>
            <w:tcW w:w="4158" w:type="dxa"/>
            <w:tcBorders>
              <w:top w:val="single" w:sz="8" w:space="0" w:color="auto"/>
              <w:left w:val="single" w:sz="8" w:space="0" w:color="auto"/>
              <w:bottom w:val="single" w:sz="8" w:space="0" w:color="auto"/>
              <w:right w:val="single" w:sz="8" w:space="0" w:color="auto"/>
            </w:tcBorders>
            <w:hideMark/>
          </w:tcPr>
          <w:p w14:paraId="2C9E8A94" w14:textId="77777777" w:rsidR="00A213C3" w:rsidRPr="00AD19BC" w:rsidRDefault="00A213C3" w:rsidP="00E86D5D">
            <w:pPr>
              <w:spacing w:before="40" w:after="40" w:line="276" w:lineRule="auto"/>
              <w:jc w:val="left"/>
              <w:rPr>
                <w:rFonts w:cs="Arial"/>
                <w:szCs w:val="20"/>
              </w:rPr>
            </w:pPr>
            <w:r w:rsidRPr="00AD19B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59370B08" w14:textId="77777777" w:rsidR="00A213C3" w:rsidRPr="00AD19B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2FAF25BF" w14:textId="77777777" w:rsidR="00A213C3" w:rsidRPr="00AD19BC" w:rsidRDefault="00A213C3" w:rsidP="00E86D5D">
            <w:pPr>
              <w:spacing w:before="40" w:after="40" w:line="276" w:lineRule="auto"/>
              <w:jc w:val="left"/>
              <w:rPr>
                <w:rFonts w:cs="Arial"/>
                <w:szCs w:val="20"/>
              </w:rPr>
            </w:pPr>
          </w:p>
        </w:tc>
      </w:tr>
      <w:tr w:rsidR="0000266C" w:rsidRPr="0000266C" w14:paraId="7FF7C997"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tcPr>
          <w:p w14:paraId="79E350E5" w14:textId="77777777" w:rsidR="00A213C3" w:rsidRPr="0000266C" w:rsidRDefault="00A213C3" w:rsidP="00E86D5D">
            <w:pPr>
              <w:spacing w:before="40" w:after="40" w:line="276" w:lineRule="auto"/>
              <w:jc w:val="left"/>
              <w:rPr>
                <w:rFonts w:cs="Arial"/>
                <w:szCs w:val="20"/>
              </w:rPr>
            </w:pPr>
          </w:p>
        </w:tc>
        <w:tc>
          <w:tcPr>
            <w:tcW w:w="2079" w:type="dxa"/>
            <w:tcBorders>
              <w:top w:val="single" w:sz="8" w:space="0" w:color="auto"/>
              <w:left w:val="single" w:sz="8" w:space="0" w:color="auto"/>
              <w:bottom w:val="single" w:sz="8" w:space="0" w:color="auto"/>
              <w:right w:val="single" w:sz="8" w:space="0" w:color="auto"/>
            </w:tcBorders>
            <w:hideMark/>
          </w:tcPr>
          <w:p w14:paraId="20A364B1" w14:textId="77777777" w:rsidR="00A213C3" w:rsidRPr="0000266C" w:rsidRDefault="00A213C3" w:rsidP="00E86D5D">
            <w:pPr>
              <w:spacing w:before="40" w:after="40" w:line="276" w:lineRule="auto"/>
              <w:jc w:val="left"/>
              <w:rPr>
                <w:rFonts w:cs="Arial"/>
                <w:szCs w:val="20"/>
              </w:rPr>
            </w:pPr>
            <w:r w:rsidRPr="0000266C">
              <w:rPr>
                <w:rFonts w:cs="Arial"/>
                <w:szCs w:val="20"/>
              </w:rPr>
              <w:t>Have we missed anything?</w:t>
            </w:r>
          </w:p>
        </w:tc>
        <w:tc>
          <w:tcPr>
            <w:tcW w:w="4158" w:type="dxa"/>
            <w:tcBorders>
              <w:top w:val="single" w:sz="8" w:space="0" w:color="auto"/>
              <w:left w:val="single" w:sz="8" w:space="0" w:color="auto"/>
              <w:bottom w:val="single" w:sz="8" w:space="0" w:color="auto"/>
              <w:right w:val="single" w:sz="8" w:space="0" w:color="auto"/>
            </w:tcBorders>
            <w:hideMark/>
          </w:tcPr>
          <w:p w14:paraId="375AABC0" w14:textId="77777777" w:rsidR="00A213C3" w:rsidRPr="0000266C" w:rsidRDefault="00A213C3" w:rsidP="00E86D5D">
            <w:pPr>
              <w:spacing w:before="40" w:after="40" w:line="276" w:lineRule="auto"/>
              <w:jc w:val="left"/>
              <w:rPr>
                <w:rFonts w:cs="Arial"/>
                <w:szCs w:val="20"/>
              </w:rPr>
            </w:pPr>
            <w:r w:rsidRPr="0000266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2C7BA93C" w14:textId="77777777" w:rsidR="00A213C3" w:rsidRPr="0000266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1F183D63" w14:textId="77777777" w:rsidR="00A213C3" w:rsidRPr="0000266C" w:rsidRDefault="00A213C3" w:rsidP="00E86D5D">
            <w:pPr>
              <w:spacing w:before="40" w:after="40" w:line="276" w:lineRule="auto"/>
              <w:jc w:val="left"/>
              <w:rPr>
                <w:rFonts w:cs="Arial"/>
                <w:szCs w:val="20"/>
              </w:rPr>
            </w:pPr>
          </w:p>
        </w:tc>
      </w:tr>
      <w:tr w:rsidR="0000266C" w:rsidRPr="0000266C" w14:paraId="43610C61" w14:textId="77777777" w:rsidTr="007F282B">
        <w:trPr>
          <w:trHeight w:val="189"/>
        </w:trPr>
        <w:tc>
          <w:tcPr>
            <w:tcW w:w="992" w:type="dxa"/>
            <w:tcBorders>
              <w:top w:val="single" w:sz="8" w:space="0" w:color="auto"/>
              <w:left w:val="single" w:sz="8" w:space="0" w:color="auto"/>
              <w:bottom w:val="single" w:sz="8" w:space="0" w:color="auto"/>
              <w:right w:val="single" w:sz="8" w:space="0" w:color="auto"/>
            </w:tcBorders>
            <w:hideMark/>
          </w:tcPr>
          <w:p w14:paraId="5FFDA2C2" w14:textId="77777777" w:rsidR="00A213C3" w:rsidRPr="0000266C" w:rsidRDefault="00A213C3" w:rsidP="00E86D5D">
            <w:pPr>
              <w:spacing w:before="40" w:after="40" w:line="276" w:lineRule="auto"/>
              <w:jc w:val="left"/>
              <w:rPr>
                <w:rFonts w:cs="Arial"/>
                <w:szCs w:val="20"/>
              </w:rPr>
            </w:pPr>
            <w:r w:rsidRPr="0000266C">
              <w:rPr>
                <w:rFonts w:cs="Arial"/>
                <w:szCs w:val="20"/>
              </w:rPr>
              <w:t>Consent Page</w:t>
            </w:r>
          </w:p>
        </w:tc>
        <w:tc>
          <w:tcPr>
            <w:tcW w:w="2079" w:type="dxa"/>
            <w:tcBorders>
              <w:top w:val="single" w:sz="8" w:space="0" w:color="auto"/>
              <w:left w:val="single" w:sz="8" w:space="0" w:color="auto"/>
              <w:bottom w:val="single" w:sz="8" w:space="0" w:color="auto"/>
              <w:right w:val="single" w:sz="8" w:space="0" w:color="auto"/>
            </w:tcBorders>
            <w:hideMark/>
          </w:tcPr>
          <w:p w14:paraId="2059E4E3" w14:textId="77777777" w:rsidR="00A213C3" w:rsidRPr="0000266C" w:rsidRDefault="00A213C3" w:rsidP="00E86D5D">
            <w:pPr>
              <w:spacing w:before="40" w:after="40" w:line="276" w:lineRule="auto"/>
              <w:jc w:val="left"/>
              <w:rPr>
                <w:rFonts w:cs="Arial"/>
                <w:szCs w:val="20"/>
              </w:rPr>
            </w:pPr>
            <w:r w:rsidRPr="0000266C">
              <w:rPr>
                <w:rFonts w:cs="Arial"/>
                <w:szCs w:val="20"/>
              </w:rPr>
              <w:t>Statement</w:t>
            </w:r>
          </w:p>
        </w:tc>
        <w:tc>
          <w:tcPr>
            <w:tcW w:w="4158" w:type="dxa"/>
            <w:tcBorders>
              <w:top w:val="single" w:sz="8" w:space="0" w:color="auto"/>
              <w:left w:val="single" w:sz="8" w:space="0" w:color="auto"/>
              <w:bottom w:val="single" w:sz="8" w:space="0" w:color="auto"/>
              <w:right w:val="single" w:sz="8" w:space="0" w:color="auto"/>
            </w:tcBorders>
            <w:hideMark/>
          </w:tcPr>
          <w:p w14:paraId="33AEAE55" w14:textId="77777777" w:rsidR="00A213C3" w:rsidRPr="0000266C" w:rsidRDefault="00A213C3" w:rsidP="00E86D5D">
            <w:pPr>
              <w:spacing w:before="40" w:after="40" w:line="276" w:lineRule="auto"/>
              <w:jc w:val="left"/>
              <w:rPr>
                <w:rFonts w:cs="Arial"/>
                <w:szCs w:val="20"/>
              </w:rPr>
            </w:pPr>
            <w:r w:rsidRPr="0000266C">
              <w:rPr>
                <w:rFonts w:cs="Arial"/>
                <w:szCs w:val="20"/>
              </w:rPr>
              <w:t>ALSWH</w:t>
            </w:r>
          </w:p>
        </w:tc>
        <w:tc>
          <w:tcPr>
            <w:tcW w:w="3828" w:type="dxa"/>
            <w:tcBorders>
              <w:top w:val="single" w:sz="8" w:space="0" w:color="auto"/>
              <w:left w:val="single" w:sz="8" w:space="0" w:color="auto"/>
              <w:bottom w:val="single" w:sz="8" w:space="0" w:color="auto"/>
              <w:right w:val="single" w:sz="8" w:space="0" w:color="auto"/>
            </w:tcBorders>
          </w:tcPr>
          <w:p w14:paraId="4F62D2DD" w14:textId="77777777" w:rsidR="00A213C3" w:rsidRPr="0000266C" w:rsidRDefault="00A213C3" w:rsidP="00E86D5D">
            <w:pPr>
              <w:spacing w:before="40" w:after="40" w:line="276" w:lineRule="auto"/>
              <w:jc w:val="left"/>
              <w:rPr>
                <w:rFonts w:cs="Arial"/>
                <w:szCs w:val="20"/>
              </w:rPr>
            </w:pPr>
          </w:p>
        </w:tc>
        <w:tc>
          <w:tcPr>
            <w:tcW w:w="2551" w:type="dxa"/>
            <w:tcBorders>
              <w:top w:val="single" w:sz="8" w:space="0" w:color="auto"/>
              <w:left w:val="single" w:sz="8" w:space="0" w:color="auto"/>
              <w:bottom w:val="single" w:sz="8" w:space="0" w:color="auto"/>
              <w:right w:val="single" w:sz="8" w:space="0" w:color="auto"/>
            </w:tcBorders>
          </w:tcPr>
          <w:p w14:paraId="1D4035EA" w14:textId="77777777" w:rsidR="00A213C3" w:rsidRPr="0000266C" w:rsidRDefault="00A213C3" w:rsidP="00E86D5D">
            <w:pPr>
              <w:spacing w:before="40" w:after="40" w:line="276" w:lineRule="auto"/>
              <w:jc w:val="left"/>
              <w:rPr>
                <w:rFonts w:cs="Arial"/>
                <w:szCs w:val="20"/>
              </w:rPr>
            </w:pPr>
          </w:p>
        </w:tc>
      </w:tr>
    </w:tbl>
    <w:p w14:paraId="7D24ABD1" w14:textId="77777777" w:rsidR="00A213C3" w:rsidRPr="0000266C" w:rsidRDefault="00A213C3" w:rsidP="00A213C3">
      <w:pPr>
        <w:spacing w:before="0" w:after="160" w:line="259" w:lineRule="auto"/>
        <w:jc w:val="left"/>
        <w:rPr>
          <w:rFonts w:cs="Arial"/>
          <w:szCs w:val="20"/>
        </w:rPr>
      </w:pPr>
      <w:r w:rsidRPr="0000266C">
        <w:rPr>
          <w:rFonts w:cs="Arial"/>
          <w:szCs w:val="20"/>
        </w:rPr>
        <w:br w:type="page"/>
      </w:r>
    </w:p>
    <w:p w14:paraId="02E0752E" w14:textId="77777777" w:rsidR="00A213C3" w:rsidRPr="0000266C" w:rsidRDefault="00A213C3" w:rsidP="00A213C3">
      <w:pPr>
        <w:spacing w:after="0"/>
        <w:rPr>
          <w:rFonts w:cs="Arial"/>
          <w:szCs w:val="20"/>
        </w:rPr>
      </w:pPr>
    </w:p>
    <w:p w14:paraId="77FC09C0" w14:textId="264B3DC8" w:rsidR="00A213C3" w:rsidRPr="00B769F5" w:rsidRDefault="00B769F5" w:rsidP="00B769F5">
      <w:pPr>
        <w:pStyle w:val="Caption"/>
        <w:rPr>
          <w:rFonts w:cs="Arial"/>
        </w:rPr>
      </w:pPr>
      <w:bookmarkStart w:id="28" w:name="_Ref113876418"/>
      <w:r w:rsidRPr="00B769F5">
        <w:t xml:space="preserve">Table </w:t>
      </w:r>
      <w:fldSimple w:instr=" STYLEREF 1 \s ">
        <w:r w:rsidR="007D19D7">
          <w:rPr>
            <w:noProof/>
          </w:rPr>
          <w:t>3</w:t>
        </w:r>
      </w:fldSimple>
      <w:r w:rsidR="00327D59">
        <w:noBreakHyphen/>
      </w:r>
      <w:fldSimple w:instr=" SEQ Table \* ARABIC \s 1 ">
        <w:r w:rsidR="007D19D7">
          <w:rPr>
            <w:noProof/>
          </w:rPr>
          <w:t>3</w:t>
        </w:r>
      </w:fldSimple>
      <w:bookmarkEnd w:id="28"/>
      <w:r w:rsidRPr="00B769F5">
        <w:t xml:space="preserve"> </w:t>
      </w:r>
      <w:r w:rsidR="007F282B" w:rsidRPr="00B769F5">
        <w:rPr>
          <w:rFonts w:cs="Arial"/>
        </w:rPr>
        <w:t xml:space="preserve">Items from Survey 9 of the 1946-51 cohort deleted for Pilot Cohort Survey 10 </w:t>
      </w:r>
    </w:p>
    <w:tbl>
      <w:tblPr>
        <w:tblW w:w="140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1E0" w:firstRow="1" w:lastRow="1" w:firstColumn="1" w:lastColumn="1" w:noHBand="0" w:noVBand="0"/>
      </w:tblPr>
      <w:tblGrid>
        <w:gridCol w:w="1287"/>
        <w:gridCol w:w="2000"/>
        <w:gridCol w:w="5492"/>
        <w:gridCol w:w="5221"/>
      </w:tblGrid>
      <w:tr w:rsidR="00A213C3" w:rsidRPr="0000266C" w14:paraId="18652E2C" w14:textId="77777777" w:rsidTr="00E86D5D">
        <w:trPr>
          <w:cantSplit/>
          <w:tblHeader/>
        </w:trPr>
        <w:tc>
          <w:tcPr>
            <w:tcW w:w="1287" w:type="dxa"/>
            <w:shd w:val="clear" w:color="auto" w:fill="E5DFEC" w:themeFill="accent4" w:themeFillTint="33"/>
            <w:vAlign w:val="center"/>
          </w:tcPr>
          <w:p w14:paraId="1B0EF2C1" w14:textId="77777777" w:rsidR="00A213C3" w:rsidRPr="0000266C" w:rsidRDefault="00A213C3" w:rsidP="00E86D5D">
            <w:pPr>
              <w:spacing w:before="40" w:after="40" w:line="276" w:lineRule="auto"/>
              <w:jc w:val="left"/>
              <w:rPr>
                <w:rFonts w:cs="Arial"/>
                <w:b/>
                <w:szCs w:val="20"/>
              </w:rPr>
            </w:pPr>
            <w:r w:rsidRPr="0000266C">
              <w:rPr>
                <w:rFonts w:cs="Arial"/>
                <w:b/>
                <w:szCs w:val="20"/>
              </w:rPr>
              <w:t>Survey 9 Main Item Number</w:t>
            </w:r>
          </w:p>
        </w:tc>
        <w:tc>
          <w:tcPr>
            <w:tcW w:w="2000" w:type="dxa"/>
            <w:shd w:val="clear" w:color="auto" w:fill="E5DFEC" w:themeFill="accent4" w:themeFillTint="33"/>
            <w:vAlign w:val="center"/>
          </w:tcPr>
          <w:p w14:paraId="2783A52A" w14:textId="77777777" w:rsidR="00A213C3" w:rsidRPr="0000266C" w:rsidRDefault="00A213C3" w:rsidP="00E86D5D">
            <w:pPr>
              <w:spacing w:before="40" w:after="40" w:line="276" w:lineRule="auto"/>
              <w:jc w:val="left"/>
              <w:rPr>
                <w:rFonts w:cs="Arial"/>
                <w:b/>
                <w:szCs w:val="20"/>
              </w:rPr>
            </w:pPr>
            <w:r w:rsidRPr="0000266C">
              <w:rPr>
                <w:rFonts w:cs="Arial"/>
                <w:b/>
                <w:szCs w:val="20"/>
              </w:rPr>
              <w:t>Topic</w:t>
            </w:r>
          </w:p>
        </w:tc>
        <w:tc>
          <w:tcPr>
            <w:tcW w:w="5492" w:type="dxa"/>
            <w:shd w:val="clear" w:color="auto" w:fill="E5DFEC" w:themeFill="accent4" w:themeFillTint="33"/>
            <w:vAlign w:val="center"/>
          </w:tcPr>
          <w:p w14:paraId="006407F1" w14:textId="77777777" w:rsidR="00A213C3" w:rsidRPr="0000266C" w:rsidRDefault="00A213C3" w:rsidP="00E86D5D">
            <w:pPr>
              <w:spacing w:before="40" w:after="40" w:line="276" w:lineRule="auto"/>
              <w:jc w:val="left"/>
              <w:rPr>
                <w:rFonts w:cs="Arial"/>
                <w:b/>
                <w:szCs w:val="20"/>
              </w:rPr>
            </w:pPr>
            <w:r w:rsidRPr="0000266C">
              <w:rPr>
                <w:rFonts w:cs="Arial"/>
                <w:b/>
                <w:szCs w:val="20"/>
              </w:rPr>
              <w:t>Source</w:t>
            </w:r>
          </w:p>
        </w:tc>
        <w:tc>
          <w:tcPr>
            <w:tcW w:w="5221" w:type="dxa"/>
            <w:shd w:val="clear" w:color="auto" w:fill="E5DFEC" w:themeFill="accent4" w:themeFillTint="33"/>
            <w:vAlign w:val="center"/>
          </w:tcPr>
          <w:p w14:paraId="18914733" w14:textId="77777777" w:rsidR="00A213C3" w:rsidRPr="0000266C" w:rsidRDefault="00A213C3" w:rsidP="00E86D5D">
            <w:pPr>
              <w:spacing w:before="40" w:after="40" w:line="276" w:lineRule="auto"/>
              <w:jc w:val="left"/>
              <w:rPr>
                <w:rFonts w:cs="Arial"/>
                <w:b/>
                <w:szCs w:val="20"/>
              </w:rPr>
            </w:pPr>
            <w:r w:rsidRPr="0000266C">
              <w:rPr>
                <w:rFonts w:cs="Arial"/>
                <w:b/>
                <w:szCs w:val="20"/>
              </w:rPr>
              <w:t>Justification of deletion</w:t>
            </w:r>
          </w:p>
        </w:tc>
      </w:tr>
      <w:tr w:rsidR="00A213C3" w:rsidRPr="0000266C" w14:paraId="3A72D557" w14:textId="77777777" w:rsidTr="00E86D5D">
        <w:trPr>
          <w:cantSplit/>
          <w:trHeight w:val="308"/>
        </w:trPr>
        <w:tc>
          <w:tcPr>
            <w:tcW w:w="1287" w:type="dxa"/>
          </w:tcPr>
          <w:p w14:paraId="7CA90A21" w14:textId="77777777" w:rsidR="00A213C3" w:rsidRPr="0000266C" w:rsidRDefault="00A213C3" w:rsidP="00E86D5D">
            <w:pPr>
              <w:spacing w:before="40" w:after="40" w:line="276" w:lineRule="auto"/>
              <w:jc w:val="left"/>
              <w:rPr>
                <w:rFonts w:cs="Arial"/>
                <w:szCs w:val="20"/>
              </w:rPr>
            </w:pPr>
            <w:r w:rsidRPr="0000266C">
              <w:rPr>
                <w:rFonts w:cs="Arial"/>
                <w:szCs w:val="20"/>
              </w:rPr>
              <w:t>22b</w:t>
            </w:r>
          </w:p>
        </w:tc>
        <w:tc>
          <w:tcPr>
            <w:tcW w:w="2000" w:type="dxa"/>
            <w:shd w:val="clear" w:color="auto" w:fill="auto"/>
          </w:tcPr>
          <w:p w14:paraId="7BF69691" w14:textId="77777777" w:rsidR="00A213C3" w:rsidRPr="0000266C" w:rsidRDefault="00A213C3" w:rsidP="00E86D5D">
            <w:pPr>
              <w:spacing w:before="40" w:after="40" w:line="276" w:lineRule="auto"/>
              <w:jc w:val="left"/>
              <w:rPr>
                <w:rFonts w:cs="Arial"/>
                <w:szCs w:val="20"/>
              </w:rPr>
            </w:pPr>
            <w:r w:rsidRPr="0000266C">
              <w:rPr>
                <w:rFonts w:cs="Arial"/>
                <w:szCs w:val="20"/>
              </w:rPr>
              <w:t>Screening</w:t>
            </w:r>
          </w:p>
        </w:tc>
        <w:tc>
          <w:tcPr>
            <w:tcW w:w="5492" w:type="dxa"/>
          </w:tcPr>
          <w:p w14:paraId="3DFB3163" w14:textId="77777777" w:rsidR="00A213C3" w:rsidRPr="0000266C" w:rsidRDefault="00A213C3" w:rsidP="00E86D5D">
            <w:pPr>
              <w:spacing w:before="40" w:after="40" w:line="276" w:lineRule="auto"/>
              <w:jc w:val="left"/>
              <w:rPr>
                <w:rFonts w:cs="Arial"/>
                <w:szCs w:val="20"/>
              </w:rPr>
            </w:pPr>
            <w:r w:rsidRPr="0000266C">
              <w:rPr>
                <w:rFonts w:cs="Arial"/>
                <w:szCs w:val="20"/>
              </w:rPr>
              <w:t>ALSWH</w:t>
            </w:r>
          </w:p>
        </w:tc>
        <w:tc>
          <w:tcPr>
            <w:tcW w:w="5221" w:type="dxa"/>
          </w:tcPr>
          <w:p w14:paraId="68A26E6A" w14:textId="77777777" w:rsidR="00A213C3" w:rsidRPr="0000266C" w:rsidRDefault="00A213C3" w:rsidP="00E86D5D">
            <w:pPr>
              <w:spacing w:before="40" w:after="40" w:line="276" w:lineRule="auto"/>
              <w:jc w:val="left"/>
              <w:rPr>
                <w:rFonts w:cs="Arial"/>
                <w:szCs w:val="20"/>
              </w:rPr>
            </w:pPr>
            <w:r w:rsidRPr="0000266C">
              <w:rPr>
                <w:rFonts w:cs="Arial"/>
                <w:szCs w:val="20"/>
              </w:rPr>
              <w:t>Does not need to be asked at each survey.</w:t>
            </w:r>
          </w:p>
        </w:tc>
      </w:tr>
      <w:tr w:rsidR="00A213C3" w:rsidRPr="0000266C" w14:paraId="188E7AB6" w14:textId="77777777" w:rsidTr="00E86D5D">
        <w:trPr>
          <w:cantSplit/>
          <w:trHeight w:val="551"/>
        </w:trPr>
        <w:tc>
          <w:tcPr>
            <w:tcW w:w="1287" w:type="dxa"/>
          </w:tcPr>
          <w:p w14:paraId="626F359B" w14:textId="77777777" w:rsidR="00A213C3" w:rsidRPr="0000266C" w:rsidRDefault="00A213C3" w:rsidP="00E86D5D">
            <w:pPr>
              <w:spacing w:before="40" w:after="40" w:line="276" w:lineRule="auto"/>
              <w:jc w:val="left"/>
              <w:rPr>
                <w:rFonts w:cs="Arial"/>
                <w:szCs w:val="20"/>
              </w:rPr>
            </w:pPr>
            <w:r w:rsidRPr="0000266C">
              <w:rPr>
                <w:rFonts w:cs="Arial"/>
                <w:szCs w:val="20"/>
              </w:rPr>
              <w:t>37-38</w:t>
            </w:r>
          </w:p>
        </w:tc>
        <w:tc>
          <w:tcPr>
            <w:tcW w:w="2000" w:type="dxa"/>
            <w:shd w:val="clear" w:color="auto" w:fill="auto"/>
          </w:tcPr>
          <w:p w14:paraId="5F6874B1" w14:textId="77777777" w:rsidR="00A213C3" w:rsidRPr="0000266C" w:rsidRDefault="00A213C3" w:rsidP="00E86D5D">
            <w:pPr>
              <w:spacing w:before="40" w:after="40" w:line="276" w:lineRule="auto"/>
              <w:jc w:val="left"/>
              <w:rPr>
                <w:rFonts w:cs="Arial"/>
                <w:szCs w:val="20"/>
              </w:rPr>
            </w:pPr>
            <w:r w:rsidRPr="0000266C">
              <w:rPr>
                <w:rFonts w:cs="Arial"/>
                <w:szCs w:val="20"/>
              </w:rPr>
              <w:t>Number of remaining teeth</w:t>
            </w:r>
          </w:p>
        </w:tc>
        <w:tc>
          <w:tcPr>
            <w:tcW w:w="5492" w:type="dxa"/>
          </w:tcPr>
          <w:p w14:paraId="45518E08" w14:textId="77777777" w:rsidR="00A213C3" w:rsidRPr="0000266C" w:rsidRDefault="00A213C3" w:rsidP="00E86D5D">
            <w:pPr>
              <w:spacing w:before="40" w:after="40" w:line="276" w:lineRule="auto"/>
              <w:jc w:val="left"/>
              <w:rPr>
                <w:rFonts w:cs="Arial"/>
                <w:szCs w:val="20"/>
              </w:rPr>
            </w:pPr>
            <w:r w:rsidRPr="0000266C">
              <w:rPr>
                <w:rFonts w:cs="Arial"/>
                <w:szCs w:val="20"/>
              </w:rPr>
              <w:t>Modified from Carter KD &amp; Stewart JF. (2002). National Dental Telephone Interview Survey 2002. The AIHW Dental Statistics and Research Unit, University of Adelaide.</w:t>
            </w:r>
          </w:p>
        </w:tc>
        <w:tc>
          <w:tcPr>
            <w:tcW w:w="5221" w:type="dxa"/>
          </w:tcPr>
          <w:p w14:paraId="64C299AD" w14:textId="77777777" w:rsidR="00A213C3" w:rsidRPr="0000266C" w:rsidRDefault="00A213C3" w:rsidP="00E86D5D">
            <w:pPr>
              <w:spacing w:before="40" w:after="40" w:line="276" w:lineRule="auto"/>
              <w:jc w:val="left"/>
              <w:rPr>
                <w:rFonts w:cs="Arial"/>
                <w:szCs w:val="20"/>
              </w:rPr>
            </w:pPr>
            <w:r w:rsidRPr="0000266C">
              <w:rPr>
                <w:rFonts w:cs="Arial"/>
                <w:szCs w:val="20"/>
              </w:rPr>
              <w:t>Does not need to be asked at each survey.</w:t>
            </w:r>
          </w:p>
        </w:tc>
      </w:tr>
      <w:tr w:rsidR="00A213C3" w:rsidRPr="0000266C" w14:paraId="3B7C4A36" w14:textId="77777777" w:rsidTr="00E86D5D">
        <w:trPr>
          <w:cantSplit/>
        </w:trPr>
        <w:tc>
          <w:tcPr>
            <w:tcW w:w="1287" w:type="dxa"/>
          </w:tcPr>
          <w:p w14:paraId="2D064B12" w14:textId="77777777" w:rsidR="00A213C3" w:rsidRPr="0000266C" w:rsidRDefault="00A213C3" w:rsidP="00E86D5D">
            <w:pPr>
              <w:spacing w:before="40" w:after="40" w:line="276" w:lineRule="auto"/>
              <w:jc w:val="left"/>
              <w:rPr>
                <w:rFonts w:cs="Arial"/>
                <w:szCs w:val="20"/>
              </w:rPr>
            </w:pPr>
            <w:r w:rsidRPr="0000266C">
              <w:rPr>
                <w:rFonts w:cs="Arial"/>
                <w:szCs w:val="20"/>
              </w:rPr>
              <w:t>39</w:t>
            </w:r>
          </w:p>
        </w:tc>
        <w:tc>
          <w:tcPr>
            <w:tcW w:w="2000" w:type="dxa"/>
          </w:tcPr>
          <w:p w14:paraId="657AB8CB" w14:textId="77777777" w:rsidR="00A213C3" w:rsidRPr="0000266C" w:rsidRDefault="00A213C3" w:rsidP="00E86D5D">
            <w:pPr>
              <w:spacing w:before="40" w:after="40" w:line="276" w:lineRule="auto"/>
              <w:jc w:val="left"/>
              <w:rPr>
                <w:rFonts w:cs="Arial"/>
                <w:szCs w:val="20"/>
              </w:rPr>
            </w:pPr>
            <w:r w:rsidRPr="0000266C">
              <w:rPr>
                <w:rFonts w:cs="Arial"/>
                <w:szCs w:val="20"/>
              </w:rPr>
              <w:t>Sense of taste</w:t>
            </w:r>
          </w:p>
        </w:tc>
        <w:tc>
          <w:tcPr>
            <w:tcW w:w="5492" w:type="dxa"/>
          </w:tcPr>
          <w:p w14:paraId="301039FC" w14:textId="77777777" w:rsidR="00A213C3" w:rsidRPr="0000266C" w:rsidRDefault="00A213C3" w:rsidP="00E86D5D">
            <w:pPr>
              <w:spacing w:before="40" w:after="40" w:line="276" w:lineRule="auto"/>
              <w:jc w:val="left"/>
              <w:rPr>
                <w:rFonts w:cs="Arial"/>
                <w:szCs w:val="20"/>
              </w:rPr>
            </w:pPr>
            <w:r w:rsidRPr="0000266C">
              <w:rPr>
                <w:rFonts w:cs="Arial"/>
                <w:szCs w:val="20"/>
              </w:rPr>
              <w:t>ALSWH</w:t>
            </w:r>
          </w:p>
        </w:tc>
        <w:tc>
          <w:tcPr>
            <w:tcW w:w="5221" w:type="dxa"/>
          </w:tcPr>
          <w:p w14:paraId="798D4425" w14:textId="77777777" w:rsidR="00A213C3" w:rsidRPr="0000266C" w:rsidRDefault="00A213C3" w:rsidP="00E86D5D">
            <w:pPr>
              <w:spacing w:before="40" w:after="40" w:line="276" w:lineRule="auto"/>
              <w:jc w:val="left"/>
              <w:rPr>
                <w:rFonts w:cs="Arial"/>
                <w:szCs w:val="20"/>
              </w:rPr>
            </w:pPr>
            <w:r w:rsidRPr="0000266C">
              <w:rPr>
                <w:rFonts w:cs="Arial"/>
                <w:szCs w:val="20"/>
              </w:rPr>
              <w:t>Does not need to be asked at each survey.</w:t>
            </w:r>
          </w:p>
        </w:tc>
      </w:tr>
      <w:tr w:rsidR="00A213C3" w:rsidRPr="0000266C" w14:paraId="3598E691" w14:textId="77777777" w:rsidTr="00E86D5D">
        <w:trPr>
          <w:cantSplit/>
        </w:trPr>
        <w:tc>
          <w:tcPr>
            <w:tcW w:w="1287" w:type="dxa"/>
          </w:tcPr>
          <w:p w14:paraId="2A37BC61" w14:textId="77777777" w:rsidR="00A213C3" w:rsidRPr="0000266C" w:rsidRDefault="00A213C3" w:rsidP="00E86D5D">
            <w:pPr>
              <w:spacing w:before="40" w:after="40" w:line="276" w:lineRule="auto"/>
              <w:jc w:val="left"/>
              <w:rPr>
                <w:rFonts w:cs="Arial"/>
                <w:szCs w:val="20"/>
              </w:rPr>
            </w:pPr>
            <w:r w:rsidRPr="0000266C">
              <w:rPr>
                <w:rFonts w:cs="Arial"/>
                <w:szCs w:val="20"/>
              </w:rPr>
              <w:t>40</w:t>
            </w:r>
          </w:p>
        </w:tc>
        <w:tc>
          <w:tcPr>
            <w:tcW w:w="2000" w:type="dxa"/>
          </w:tcPr>
          <w:p w14:paraId="3742A902" w14:textId="77777777" w:rsidR="00A213C3" w:rsidRPr="0000266C" w:rsidRDefault="00A213C3" w:rsidP="00E86D5D">
            <w:pPr>
              <w:spacing w:before="40" w:after="40" w:line="276" w:lineRule="auto"/>
              <w:jc w:val="left"/>
              <w:rPr>
                <w:rFonts w:cs="Arial"/>
                <w:szCs w:val="20"/>
              </w:rPr>
            </w:pPr>
            <w:r w:rsidRPr="0000266C">
              <w:rPr>
                <w:rFonts w:cs="Arial"/>
                <w:szCs w:val="20"/>
              </w:rPr>
              <w:t>Sense of smell</w:t>
            </w:r>
          </w:p>
        </w:tc>
        <w:tc>
          <w:tcPr>
            <w:tcW w:w="5492" w:type="dxa"/>
          </w:tcPr>
          <w:p w14:paraId="135A8E6A" w14:textId="77777777" w:rsidR="00A213C3" w:rsidRPr="0000266C" w:rsidRDefault="00A213C3" w:rsidP="00E86D5D">
            <w:pPr>
              <w:spacing w:before="40" w:after="40" w:line="276" w:lineRule="auto"/>
              <w:jc w:val="left"/>
              <w:rPr>
                <w:rFonts w:cs="Arial"/>
                <w:szCs w:val="20"/>
              </w:rPr>
            </w:pPr>
            <w:proofErr w:type="spellStart"/>
            <w:r w:rsidRPr="0000266C">
              <w:rPr>
                <w:rFonts w:cs="Arial"/>
                <w:szCs w:val="20"/>
              </w:rPr>
              <w:t>Pusswald</w:t>
            </w:r>
            <w:proofErr w:type="spellEnd"/>
            <w:r w:rsidRPr="0000266C">
              <w:rPr>
                <w:rFonts w:cs="Arial"/>
                <w:szCs w:val="20"/>
              </w:rPr>
              <w:t xml:space="preserve"> G, </w:t>
            </w:r>
            <w:proofErr w:type="spellStart"/>
            <w:r w:rsidRPr="0000266C">
              <w:rPr>
                <w:rFonts w:cs="Arial"/>
                <w:szCs w:val="20"/>
              </w:rPr>
              <w:t>Auff</w:t>
            </w:r>
            <w:proofErr w:type="spellEnd"/>
            <w:r w:rsidRPr="0000266C">
              <w:rPr>
                <w:rFonts w:cs="Arial"/>
                <w:szCs w:val="20"/>
              </w:rPr>
              <w:t xml:space="preserve"> E &amp; </w:t>
            </w:r>
            <w:proofErr w:type="spellStart"/>
            <w:r w:rsidRPr="0000266C">
              <w:rPr>
                <w:rFonts w:cs="Arial"/>
                <w:szCs w:val="20"/>
              </w:rPr>
              <w:t>Lehrner</w:t>
            </w:r>
            <w:proofErr w:type="spellEnd"/>
            <w:r w:rsidRPr="0000266C">
              <w:rPr>
                <w:rFonts w:cs="Arial"/>
                <w:szCs w:val="20"/>
              </w:rPr>
              <w:t xml:space="preserve"> J. (2012). Development of a brief self-report inventory to measure olfactory dysfunction and quality of life in patients with problems with the sense of smell. </w:t>
            </w:r>
            <w:r w:rsidRPr="0000266C">
              <w:rPr>
                <w:rFonts w:cs="Arial"/>
                <w:i/>
                <w:szCs w:val="20"/>
              </w:rPr>
              <w:t>Chemosensory Perception</w:t>
            </w:r>
            <w:r w:rsidRPr="0000266C">
              <w:rPr>
                <w:rFonts w:cs="Arial"/>
                <w:szCs w:val="20"/>
              </w:rPr>
              <w:t>, 5(3-4), 292-299.</w:t>
            </w:r>
          </w:p>
        </w:tc>
        <w:tc>
          <w:tcPr>
            <w:tcW w:w="5221" w:type="dxa"/>
          </w:tcPr>
          <w:p w14:paraId="14164670" w14:textId="77777777" w:rsidR="00A213C3" w:rsidRPr="0000266C" w:rsidRDefault="00A213C3" w:rsidP="00E86D5D">
            <w:pPr>
              <w:spacing w:before="40" w:after="40" w:line="276" w:lineRule="auto"/>
              <w:jc w:val="left"/>
              <w:rPr>
                <w:rFonts w:cs="Arial"/>
                <w:szCs w:val="20"/>
              </w:rPr>
            </w:pPr>
            <w:r w:rsidRPr="0000266C">
              <w:rPr>
                <w:rFonts w:cs="Arial"/>
                <w:szCs w:val="20"/>
              </w:rPr>
              <w:t>Does not need to be asked at each survey.</w:t>
            </w:r>
          </w:p>
        </w:tc>
      </w:tr>
      <w:tr w:rsidR="00A213C3" w:rsidRPr="0000266C" w14:paraId="07430A62" w14:textId="77777777" w:rsidTr="00E86D5D">
        <w:trPr>
          <w:cantSplit/>
        </w:trPr>
        <w:tc>
          <w:tcPr>
            <w:tcW w:w="1287" w:type="dxa"/>
          </w:tcPr>
          <w:p w14:paraId="45D22523" w14:textId="77777777" w:rsidR="00A213C3" w:rsidRPr="0000266C" w:rsidRDefault="00A213C3" w:rsidP="00E86D5D">
            <w:pPr>
              <w:spacing w:before="40" w:after="40" w:line="276" w:lineRule="auto"/>
              <w:jc w:val="left"/>
              <w:rPr>
                <w:rFonts w:cs="Arial"/>
                <w:szCs w:val="20"/>
              </w:rPr>
            </w:pPr>
            <w:r w:rsidRPr="0000266C">
              <w:rPr>
                <w:rFonts w:cs="Arial"/>
                <w:szCs w:val="20"/>
              </w:rPr>
              <w:t>41</w:t>
            </w:r>
          </w:p>
        </w:tc>
        <w:tc>
          <w:tcPr>
            <w:tcW w:w="2000" w:type="dxa"/>
          </w:tcPr>
          <w:p w14:paraId="29E78F1A" w14:textId="77777777" w:rsidR="00A213C3" w:rsidRPr="0000266C" w:rsidRDefault="00A213C3" w:rsidP="00E86D5D">
            <w:pPr>
              <w:spacing w:before="40" w:after="40" w:line="276" w:lineRule="auto"/>
              <w:jc w:val="left"/>
              <w:rPr>
                <w:rFonts w:cs="Arial"/>
                <w:szCs w:val="20"/>
              </w:rPr>
            </w:pPr>
            <w:r w:rsidRPr="0000266C">
              <w:rPr>
                <w:rFonts w:cs="Arial"/>
                <w:szCs w:val="20"/>
              </w:rPr>
              <w:t>Sight (impairments)</w:t>
            </w:r>
          </w:p>
        </w:tc>
        <w:tc>
          <w:tcPr>
            <w:tcW w:w="5492" w:type="dxa"/>
          </w:tcPr>
          <w:p w14:paraId="336994B0" w14:textId="77777777" w:rsidR="00A213C3" w:rsidRPr="0000266C" w:rsidRDefault="00A213C3" w:rsidP="00E86D5D">
            <w:pPr>
              <w:spacing w:before="40" w:after="40" w:line="276" w:lineRule="auto"/>
              <w:jc w:val="left"/>
              <w:rPr>
                <w:rFonts w:cs="Arial"/>
                <w:szCs w:val="20"/>
              </w:rPr>
            </w:pPr>
            <w:r w:rsidRPr="0000266C">
              <w:rPr>
                <w:rFonts w:cs="Arial"/>
                <w:szCs w:val="20"/>
              </w:rPr>
              <w:t xml:space="preserve">Modified from Charlton JRH, Patrick DL &amp; Peach H. (1983).  Use of multivariate measures of disability in health surveys.  </w:t>
            </w:r>
            <w:r w:rsidRPr="0000266C">
              <w:rPr>
                <w:rFonts w:cs="Arial"/>
                <w:i/>
                <w:iCs/>
                <w:szCs w:val="20"/>
              </w:rPr>
              <w:t>Journal of Epidemiology and Community Health</w:t>
            </w:r>
            <w:r w:rsidRPr="0000266C">
              <w:rPr>
                <w:rFonts w:cs="Arial"/>
                <w:szCs w:val="20"/>
              </w:rPr>
              <w:t>, 37, 296-304.</w:t>
            </w:r>
          </w:p>
        </w:tc>
        <w:tc>
          <w:tcPr>
            <w:tcW w:w="5221" w:type="dxa"/>
          </w:tcPr>
          <w:p w14:paraId="7479FF46" w14:textId="77777777" w:rsidR="00A213C3" w:rsidRPr="0000266C" w:rsidRDefault="00A213C3" w:rsidP="00E86D5D">
            <w:pPr>
              <w:spacing w:before="40" w:after="40" w:line="276" w:lineRule="auto"/>
              <w:jc w:val="left"/>
              <w:rPr>
                <w:rFonts w:cs="Arial"/>
                <w:szCs w:val="20"/>
              </w:rPr>
            </w:pPr>
            <w:r w:rsidRPr="0000266C">
              <w:rPr>
                <w:rFonts w:cs="Arial"/>
                <w:szCs w:val="20"/>
              </w:rPr>
              <w:t>Does not need to be asked at each survey.</w:t>
            </w:r>
          </w:p>
        </w:tc>
      </w:tr>
      <w:tr w:rsidR="00A213C3" w:rsidRPr="0000266C" w14:paraId="41323282" w14:textId="77777777" w:rsidTr="00E86D5D">
        <w:trPr>
          <w:cantSplit/>
        </w:trPr>
        <w:tc>
          <w:tcPr>
            <w:tcW w:w="1287" w:type="dxa"/>
          </w:tcPr>
          <w:p w14:paraId="31F1FF16" w14:textId="77777777" w:rsidR="00A213C3" w:rsidRPr="0000266C" w:rsidRDefault="00A213C3" w:rsidP="00E86D5D">
            <w:pPr>
              <w:spacing w:before="40" w:after="40" w:line="276" w:lineRule="auto"/>
              <w:jc w:val="left"/>
              <w:rPr>
                <w:rFonts w:cs="Arial"/>
                <w:szCs w:val="20"/>
              </w:rPr>
            </w:pPr>
            <w:r w:rsidRPr="0000266C">
              <w:rPr>
                <w:rFonts w:cs="Arial"/>
                <w:szCs w:val="20"/>
              </w:rPr>
              <w:t>43</w:t>
            </w:r>
          </w:p>
        </w:tc>
        <w:tc>
          <w:tcPr>
            <w:tcW w:w="2000" w:type="dxa"/>
          </w:tcPr>
          <w:p w14:paraId="2BD3AC49" w14:textId="77777777" w:rsidR="00A213C3" w:rsidRPr="0000266C" w:rsidRDefault="00A213C3" w:rsidP="00E86D5D">
            <w:pPr>
              <w:spacing w:before="40" w:after="40" w:line="276" w:lineRule="auto"/>
              <w:jc w:val="left"/>
              <w:rPr>
                <w:rFonts w:cs="Arial"/>
                <w:szCs w:val="20"/>
              </w:rPr>
            </w:pPr>
            <w:r w:rsidRPr="0000266C">
              <w:rPr>
                <w:rFonts w:cs="Arial"/>
                <w:szCs w:val="20"/>
              </w:rPr>
              <w:t>Life Orientation Test – Revised</w:t>
            </w:r>
          </w:p>
        </w:tc>
        <w:tc>
          <w:tcPr>
            <w:tcW w:w="5492" w:type="dxa"/>
          </w:tcPr>
          <w:p w14:paraId="72853652" w14:textId="77777777" w:rsidR="00A213C3" w:rsidRPr="0000266C" w:rsidRDefault="00A213C3" w:rsidP="00E86D5D">
            <w:pPr>
              <w:spacing w:before="40" w:after="40" w:line="276" w:lineRule="auto"/>
              <w:jc w:val="left"/>
              <w:rPr>
                <w:rFonts w:cs="Arial"/>
                <w:szCs w:val="20"/>
              </w:rPr>
            </w:pPr>
            <w:r w:rsidRPr="0000266C">
              <w:rPr>
                <w:rFonts w:cs="Arial"/>
                <w:szCs w:val="20"/>
              </w:rPr>
              <w:t xml:space="preserve">Revised and reduced Revised Life Orientation Test (LOT-R) </w:t>
            </w:r>
            <w:proofErr w:type="spellStart"/>
            <w:r w:rsidRPr="0000266C">
              <w:rPr>
                <w:rFonts w:cs="Arial"/>
                <w:szCs w:val="20"/>
              </w:rPr>
              <w:t>Scheier</w:t>
            </w:r>
            <w:proofErr w:type="spellEnd"/>
            <w:r w:rsidRPr="0000266C">
              <w:rPr>
                <w:rFonts w:cs="Arial"/>
                <w:szCs w:val="20"/>
              </w:rPr>
              <w:t xml:space="preserve"> MF, Carver CS, Bridges MW. (1994). Distinguishing optimism from neuroticism (and trait anxiety, self-mastery, and </w:t>
            </w:r>
            <w:proofErr w:type="spellStart"/>
            <w:r w:rsidRPr="0000266C">
              <w:rPr>
                <w:rFonts w:cs="Arial"/>
                <w:szCs w:val="20"/>
              </w:rPr>
              <w:t>self esteem</w:t>
            </w:r>
            <w:proofErr w:type="spellEnd"/>
            <w:r w:rsidRPr="0000266C">
              <w:rPr>
                <w:rFonts w:cs="Arial"/>
                <w:szCs w:val="20"/>
              </w:rPr>
              <w:t xml:space="preserve">): A re-evaluation of the life orientation test. </w:t>
            </w:r>
            <w:r w:rsidRPr="0000266C">
              <w:rPr>
                <w:rFonts w:cs="Arial"/>
                <w:i/>
                <w:szCs w:val="20"/>
              </w:rPr>
              <w:t>Journal of Personality and Social Psychology</w:t>
            </w:r>
            <w:r w:rsidRPr="0000266C">
              <w:rPr>
                <w:rFonts w:cs="Arial"/>
                <w:szCs w:val="20"/>
              </w:rPr>
              <w:t>, 67, 1063-1078.</w:t>
            </w:r>
          </w:p>
        </w:tc>
        <w:tc>
          <w:tcPr>
            <w:tcW w:w="5221" w:type="dxa"/>
          </w:tcPr>
          <w:p w14:paraId="7B81E4C4" w14:textId="77777777" w:rsidR="00A213C3" w:rsidRPr="0000266C" w:rsidRDefault="00A213C3" w:rsidP="00E86D5D">
            <w:pPr>
              <w:spacing w:before="40" w:after="40" w:line="276" w:lineRule="auto"/>
              <w:jc w:val="left"/>
              <w:rPr>
                <w:rFonts w:cs="Arial"/>
                <w:szCs w:val="20"/>
              </w:rPr>
            </w:pPr>
            <w:r w:rsidRPr="0000266C">
              <w:rPr>
                <w:rFonts w:cs="Arial"/>
                <w:szCs w:val="20"/>
              </w:rPr>
              <w:t>Does not need to be asked at each survey.</w:t>
            </w:r>
          </w:p>
        </w:tc>
      </w:tr>
      <w:tr w:rsidR="00A213C3" w:rsidRPr="0000266C" w14:paraId="111BA0C8" w14:textId="77777777" w:rsidTr="00E86D5D">
        <w:trPr>
          <w:cantSplit/>
        </w:trPr>
        <w:tc>
          <w:tcPr>
            <w:tcW w:w="1287" w:type="dxa"/>
          </w:tcPr>
          <w:p w14:paraId="3DC87015" w14:textId="77777777" w:rsidR="00A213C3" w:rsidRPr="0000266C" w:rsidRDefault="00A213C3" w:rsidP="00E86D5D">
            <w:pPr>
              <w:spacing w:before="40" w:after="40" w:line="276" w:lineRule="auto"/>
              <w:jc w:val="left"/>
              <w:rPr>
                <w:rFonts w:cs="Arial"/>
                <w:szCs w:val="20"/>
              </w:rPr>
            </w:pPr>
            <w:r w:rsidRPr="0000266C">
              <w:rPr>
                <w:rFonts w:cs="Arial"/>
                <w:szCs w:val="20"/>
              </w:rPr>
              <w:lastRenderedPageBreak/>
              <w:t>44</w:t>
            </w:r>
          </w:p>
        </w:tc>
        <w:tc>
          <w:tcPr>
            <w:tcW w:w="2000" w:type="dxa"/>
          </w:tcPr>
          <w:p w14:paraId="4D809AB6" w14:textId="77777777" w:rsidR="00A213C3" w:rsidRPr="0000266C" w:rsidRDefault="00A213C3" w:rsidP="00E86D5D">
            <w:pPr>
              <w:spacing w:before="40" w:after="40" w:line="276" w:lineRule="auto"/>
              <w:jc w:val="left"/>
              <w:rPr>
                <w:rFonts w:cs="Arial"/>
                <w:szCs w:val="20"/>
              </w:rPr>
            </w:pPr>
            <w:r w:rsidRPr="0000266C">
              <w:rPr>
                <w:rFonts w:cs="Arial"/>
                <w:szCs w:val="20"/>
              </w:rPr>
              <w:t>4-item Subjective Happiness Scale</w:t>
            </w:r>
          </w:p>
        </w:tc>
        <w:tc>
          <w:tcPr>
            <w:tcW w:w="5492" w:type="dxa"/>
          </w:tcPr>
          <w:p w14:paraId="59BC2416" w14:textId="77777777" w:rsidR="00A213C3" w:rsidRPr="0000266C" w:rsidRDefault="00A213C3" w:rsidP="00E86D5D">
            <w:pPr>
              <w:spacing w:before="40" w:after="40" w:line="276" w:lineRule="auto"/>
              <w:jc w:val="left"/>
              <w:rPr>
                <w:rFonts w:cs="Arial"/>
                <w:szCs w:val="20"/>
              </w:rPr>
            </w:pPr>
            <w:r w:rsidRPr="0000266C">
              <w:rPr>
                <w:rFonts w:cs="Arial"/>
                <w:szCs w:val="20"/>
              </w:rPr>
              <w:t>Lyubomirsky S &amp; Lepper H. (1999). A measure of subjective happiness: Preliminary reliability and construct validation. </w:t>
            </w:r>
            <w:r w:rsidRPr="0000266C">
              <w:rPr>
                <w:rStyle w:val="Emphasis"/>
                <w:rFonts w:cs="Arial"/>
                <w:szCs w:val="20"/>
              </w:rPr>
              <w:t>Social Indicators Research, 46,</w:t>
            </w:r>
            <w:r w:rsidRPr="0000266C">
              <w:rPr>
                <w:rFonts w:cs="Arial"/>
                <w:szCs w:val="20"/>
              </w:rPr>
              <w:t> 137-155. The original publication is available at www.springerlink.com.</w:t>
            </w:r>
          </w:p>
        </w:tc>
        <w:tc>
          <w:tcPr>
            <w:tcW w:w="5221" w:type="dxa"/>
          </w:tcPr>
          <w:p w14:paraId="21C15662" w14:textId="77777777" w:rsidR="00A213C3" w:rsidRPr="0000266C" w:rsidRDefault="00A213C3" w:rsidP="00E86D5D">
            <w:pPr>
              <w:spacing w:before="40" w:after="40" w:line="276" w:lineRule="auto"/>
              <w:jc w:val="left"/>
              <w:rPr>
                <w:rFonts w:cs="Arial"/>
                <w:szCs w:val="20"/>
              </w:rPr>
            </w:pPr>
            <w:r w:rsidRPr="0000266C">
              <w:rPr>
                <w:rFonts w:cs="Arial"/>
                <w:szCs w:val="20"/>
              </w:rPr>
              <w:t>Need to reduce length of Survey 10 to allow for additional measures and increased font size. Does not need to be asked at each survey.</w:t>
            </w:r>
          </w:p>
        </w:tc>
      </w:tr>
      <w:tr w:rsidR="00A213C3" w:rsidRPr="0000266C" w14:paraId="0435CB16" w14:textId="77777777" w:rsidTr="00E86D5D">
        <w:trPr>
          <w:cantSplit/>
        </w:trPr>
        <w:tc>
          <w:tcPr>
            <w:tcW w:w="1287" w:type="dxa"/>
          </w:tcPr>
          <w:p w14:paraId="6BF3CE74" w14:textId="77777777" w:rsidR="00A213C3" w:rsidRPr="0000266C" w:rsidRDefault="00A213C3" w:rsidP="00E86D5D">
            <w:pPr>
              <w:spacing w:before="40" w:after="40" w:line="276" w:lineRule="auto"/>
              <w:jc w:val="left"/>
              <w:rPr>
                <w:rFonts w:cs="Arial"/>
                <w:szCs w:val="20"/>
              </w:rPr>
            </w:pPr>
            <w:r w:rsidRPr="0000266C">
              <w:rPr>
                <w:rFonts w:cs="Arial"/>
                <w:szCs w:val="20"/>
              </w:rPr>
              <w:t>57</w:t>
            </w:r>
          </w:p>
        </w:tc>
        <w:tc>
          <w:tcPr>
            <w:tcW w:w="2000" w:type="dxa"/>
          </w:tcPr>
          <w:p w14:paraId="03442205" w14:textId="77777777" w:rsidR="00A213C3" w:rsidRPr="0000266C" w:rsidRDefault="00A213C3" w:rsidP="00E86D5D">
            <w:pPr>
              <w:spacing w:before="40" w:after="40" w:line="276" w:lineRule="auto"/>
              <w:jc w:val="left"/>
              <w:rPr>
                <w:rFonts w:cs="Arial"/>
                <w:szCs w:val="20"/>
              </w:rPr>
            </w:pPr>
            <w:r w:rsidRPr="0000266C">
              <w:rPr>
                <w:rFonts w:cs="Arial"/>
                <w:szCs w:val="20"/>
              </w:rPr>
              <w:t>Sex life satisfaction</w:t>
            </w:r>
          </w:p>
        </w:tc>
        <w:tc>
          <w:tcPr>
            <w:tcW w:w="5492" w:type="dxa"/>
          </w:tcPr>
          <w:p w14:paraId="67D9C041" w14:textId="77777777" w:rsidR="00A213C3" w:rsidRPr="0000266C" w:rsidRDefault="00A213C3" w:rsidP="00E86D5D">
            <w:pPr>
              <w:autoSpaceDE w:val="0"/>
              <w:autoSpaceDN w:val="0"/>
              <w:adjustRightInd w:val="0"/>
              <w:spacing w:before="40" w:after="40" w:line="276" w:lineRule="auto"/>
              <w:jc w:val="left"/>
              <w:rPr>
                <w:rFonts w:eastAsia="Calibri" w:cs="Arial"/>
                <w:bCs/>
                <w:i/>
                <w:szCs w:val="20"/>
              </w:rPr>
            </w:pPr>
            <w:r w:rsidRPr="0000266C">
              <w:rPr>
                <w:rFonts w:eastAsia="Calibri" w:cs="Arial"/>
                <w:szCs w:val="20"/>
              </w:rPr>
              <w:t>Department of Mental Health and Substance Dependence World Health Organization</w:t>
            </w:r>
            <w:r w:rsidRPr="0000266C">
              <w:rPr>
                <w:rFonts w:cs="Arial"/>
                <w:szCs w:val="20"/>
              </w:rPr>
              <w:t xml:space="preserve"> (2002). </w:t>
            </w:r>
            <w:r w:rsidRPr="0000266C">
              <w:rPr>
                <w:rFonts w:eastAsia="Calibri" w:cs="Arial"/>
                <w:bCs/>
                <w:i/>
                <w:szCs w:val="20"/>
              </w:rPr>
              <w:t>WHOQOL-HIV</w:t>
            </w:r>
          </w:p>
          <w:p w14:paraId="27B15E6D" w14:textId="77777777" w:rsidR="00A213C3" w:rsidRPr="0000266C" w:rsidRDefault="00A213C3" w:rsidP="00E86D5D">
            <w:pPr>
              <w:spacing w:before="40" w:after="40" w:line="276" w:lineRule="auto"/>
              <w:jc w:val="left"/>
              <w:rPr>
                <w:rFonts w:cs="Arial"/>
                <w:szCs w:val="20"/>
              </w:rPr>
            </w:pPr>
            <w:r w:rsidRPr="0000266C">
              <w:rPr>
                <w:rFonts w:eastAsia="Calibri" w:cs="Arial"/>
                <w:bCs/>
                <w:i/>
                <w:szCs w:val="20"/>
              </w:rPr>
              <w:t>Instrument: The 120 questions with response scales and 38 importance items.</w:t>
            </w:r>
          </w:p>
        </w:tc>
        <w:tc>
          <w:tcPr>
            <w:tcW w:w="5221" w:type="dxa"/>
          </w:tcPr>
          <w:p w14:paraId="5A8039C9" w14:textId="77777777" w:rsidR="00A213C3" w:rsidRPr="0000266C" w:rsidRDefault="00A213C3" w:rsidP="00E86D5D">
            <w:pPr>
              <w:spacing w:before="40" w:after="40" w:line="276" w:lineRule="auto"/>
              <w:jc w:val="left"/>
              <w:rPr>
                <w:rFonts w:cs="Arial"/>
                <w:szCs w:val="20"/>
              </w:rPr>
            </w:pPr>
            <w:r w:rsidRPr="0000266C">
              <w:rPr>
                <w:rFonts w:cs="Arial"/>
                <w:szCs w:val="20"/>
              </w:rPr>
              <w:t>Need to reduce length of Survey 10 to allow for additional measures and increased font size. Does not need to be asked at each survey.</w:t>
            </w:r>
          </w:p>
        </w:tc>
      </w:tr>
      <w:tr w:rsidR="00A213C3" w:rsidRPr="0000266C" w14:paraId="020D6744" w14:textId="77777777" w:rsidTr="00E86D5D">
        <w:trPr>
          <w:cantSplit/>
        </w:trPr>
        <w:tc>
          <w:tcPr>
            <w:tcW w:w="1287" w:type="dxa"/>
          </w:tcPr>
          <w:p w14:paraId="1EBCB029" w14:textId="77777777" w:rsidR="00A213C3" w:rsidRPr="0000266C" w:rsidRDefault="00A213C3" w:rsidP="00E86D5D">
            <w:pPr>
              <w:spacing w:before="40" w:after="40" w:line="276" w:lineRule="auto"/>
              <w:jc w:val="left"/>
              <w:rPr>
                <w:rFonts w:cs="Arial"/>
                <w:szCs w:val="20"/>
              </w:rPr>
            </w:pPr>
            <w:r w:rsidRPr="0000266C">
              <w:rPr>
                <w:rFonts w:cs="Arial"/>
                <w:szCs w:val="20"/>
              </w:rPr>
              <w:t>65</w:t>
            </w:r>
          </w:p>
        </w:tc>
        <w:tc>
          <w:tcPr>
            <w:tcW w:w="2000" w:type="dxa"/>
          </w:tcPr>
          <w:p w14:paraId="47BECBF7" w14:textId="77777777" w:rsidR="00A213C3" w:rsidRPr="0000266C" w:rsidRDefault="00A213C3" w:rsidP="00E86D5D">
            <w:pPr>
              <w:spacing w:before="40" w:after="40" w:line="276" w:lineRule="auto"/>
              <w:jc w:val="left"/>
              <w:rPr>
                <w:rFonts w:cs="Arial"/>
                <w:szCs w:val="20"/>
              </w:rPr>
            </w:pPr>
            <w:r w:rsidRPr="0000266C">
              <w:rPr>
                <w:rFonts w:cs="Arial"/>
                <w:szCs w:val="20"/>
              </w:rPr>
              <w:t>Marijuana use</w:t>
            </w:r>
          </w:p>
        </w:tc>
        <w:tc>
          <w:tcPr>
            <w:tcW w:w="5492" w:type="dxa"/>
          </w:tcPr>
          <w:p w14:paraId="7DA3AFF9" w14:textId="77777777" w:rsidR="00A213C3" w:rsidRPr="0000266C" w:rsidRDefault="00A213C3" w:rsidP="00E86D5D">
            <w:pPr>
              <w:spacing w:before="40" w:after="40" w:line="276" w:lineRule="auto"/>
              <w:jc w:val="left"/>
              <w:rPr>
                <w:rFonts w:cs="Arial"/>
                <w:szCs w:val="20"/>
              </w:rPr>
            </w:pPr>
            <w:r w:rsidRPr="0000266C">
              <w:rPr>
                <w:rFonts w:cs="Arial"/>
                <w:szCs w:val="20"/>
              </w:rPr>
              <w:t>National Drug Strategy household survey: Survey report 1995 (1996).</w:t>
            </w:r>
          </w:p>
        </w:tc>
        <w:tc>
          <w:tcPr>
            <w:tcW w:w="5221" w:type="dxa"/>
          </w:tcPr>
          <w:p w14:paraId="0BA2DD38" w14:textId="77777777" w:rsidR="00A213C3" w:rsidRPr="0000266C" w:rsidRDefault="00A213C3" w:rsidP="00E86D5D">
            <w:pPr>
              <w:spacing w:before="40" w:after="40" w:line="276" w:lineRule="auto"/>
              <w:jc w:val="left"/>
              <w:rPr>
                <w:rFonts w:cs="Arial"/>
                <w:szCs w:val="20"/>
              </w:rPr>
            </w:pPr>
            <w:r w:rsidRPr="0000266C">
              <w:rPr>
                <w:rFonts w:cs="Arial"/>
                <w:szCs w:val="20"/>
              </w:rPr>
              <w:t>Need to reduce length of Survey 10 to allow for additional measures and increased font size. Does not need to be asked at each survey.</w:t>
            </w:r>
          </w:p>
        </w:tc>
      </w:tr>
      <w:tr w:rsidR="00A213C3" w:rsidRPr="0000266C" w14:paraId="486045CE" w14:textId="77777777" w:rsidTr="00E86D5D">
        <w:trPr>
          <w:cantSplit/>
        </w:trPr>
        <w:tc>
          <w:tcPr>
            <w:tcW w:w="1287" w:type="dxa"/>
          </w:tcPr>
          <w:p w14:paraId="573F5ED6" w14:textId="77777777" w:rsidR="00A213C3" w:rsidRPr="0000266C" w:rsidRDefault="00A213C3" w:rsidP="00E86D5D">
            <w:pPr>
              <w:spacing w:before="40" w:after="40" w:line="276" w:lineRule="auto"/>
              <w:jc w:val="left"/>
              <w:rPr>
                <w:rFonts w:cs="Arial"/>
                <w:szCs w:val="20"/>
              </w:rPr>
            </w:pPr>
            <w:r w:rsidRPr="0000266C">
              <w:rPr>
                <w:rFonts w:cs="Arial"/>
                <w:szCs w:val="20"/>
              </w:rPr>
              <w:t>77</w:t>
            </w:r>
          </w:p>
        </w:tc>
        <w:tc>
          <w:tcPr>
            <w:tcW w:w="2000" w:type="dxa"/>
          </w:tcPr>
          <w:p w14:paraId="35262E5B" w14:textId="77777777" w:rsidR="00A213C3" w:rsidRPr="0000266C" w:rsidRDefault="00A213C3" w:rsidP="00E86D5D">
            <w:pPr>
              <w:spacing w:before="40" w:after="40" w:line="276" w:lineRule="auto"/>
              <w:jc w:val="left"/>
              <w:rPr>
                <w:rFonts w:cs="Arial"/>
                <w:szCs w:val="20"/>
              </w:rPr>
            </w:pPr>
            <w:r w:rsidRPr="0000266C">
              <w:rPr>
                <w:rFonts w:cs="Arial"/>
                <w:szCs w:val="20"/>
              </w:rPr>
              <w:t>Pets</w:t>
            </w:r>
          </w:p>
        </w:tc>
        <w:tc>
          <w:tcPr>
            <w:tcW w:w="5492" w:type="dxa"/>
          </w:tcPr>
          <w:p w14:paraId="14CD3825" w14:textId="77777777" w:rsidR="00A213C3" w:rsidRPr="0000266C" w:rsidRDefault="00A213C3" w:rsidP="00E86D5D">
            <w:pPr>
              <w:spacing w:before="40" w:after="40" w:line="276" w:lineRule="auto"/>
              <w:jc w:val="left"/>
              <w:rPr>
                <w:rFonts w:cs="Arial"/>
                <w:szCs w:val="20"/>
              </w:rPr>
            </w:pPr>
            <w:r w:rsidRPr="0000266C">
              <w:rPr>
                <w:rFonts w:cs="Arial"/>
                <w:szCs w:val="20"/>
              </w:rPr>
              <w:t>ALSWH</w:t>
            </w:r>
          </w:p>
        </w:tc>
        <w:tc>
          <w:tcPr>
            <w:tcW w:w="5221" w:type="dxa"/>
          </w:tcPr>
          <w:p w14:paraId="1FEFAA2D" w14:textId="77777777" w:rsidR="00A213C3" w:rsidRPr="0000266C" w:rsidRDefault="00A213C3" w:rsidP="00E86D5D">
            <w:pPr>
              <w:spacing w:before="40" w:after="40" w:line="276" w:lineRule="auto"/>
              <w:jc w:val="left"/>
              <w:rPr>
                <w:rFonts w:cs="Arial"/>
                <w:szCs w:val="20"/>
              </w:rPr>
            </w:pPr>
            <w:r w:rsidRPr="0000266C">
              <w:rPr>
                <w:rFonts w:cs="Arial"/>
                <w:szCs w:val="20"/>
              </w:rPr>
              <w:t>Need to reduce length of Survey 10 to allow for additional measures and increased font size. Does not need to be asked at each survey.</w:t>
            </w:r>
          </w:p>
        </w:tc>
      </w:tr>
      <w:tr w:rsidR="00A213C3" w:rsidRPr="0000266C" w14:paraId="30C39CE4" w14:textId="77777777" w:rsidTr="00E86D5D">
        <w:trPr>
          <w:cantSplit/>
        </w:trPr>
        <w:tc>
          <w:tcPr>
            <w:tcW w:w="1287" w:type="dxa"/>
          </w:tcPr>
          <w:p w14:paraId="3062D84A" w14:textId="77777777" w:rsidR="00A213C3" w:rsidRPr="0000266C" w:rsidRDefault="00A213C3" w:rsidP="00E86D5D">
            <w:pPr>
              <w:spacing w:before="40" w:after="40" w:line="276" w:lineRule="auto"/>
              <w:jc w:val="left"/>
              <w:rPr>
                <w:rFonts w:cs="Arial"/>
                <w:szCs w:val="20"/>
              </w:rPr>
            </w:pPr>
            <w:r w:rsidRPr="0000266C">
              <w:rPr>
                <w:rFonts w:cs="Arial"/>
                <w:szCs w:val="20"/>
              </w:rPr>
              <w:t>88</w:t>
            </w:r>
          </w:p>
        </w:tc>
        <w:tc>
          <w:tcPr>
            <w:tcW w:w="2000" w:type="dxa"/>
          </w:tcPr>
          <w:p w14:paraId="5B104A4D" w14:textId="77777777" w:rsidR="00A213C3" w:rsidRPr="0000266C" w:rsidRDefault="00A213C3" w:rsidP="00E86D5D">
            <w:pPr>
              <w:spacing w:before="40" w:after="40" w:line="276" w:lineRule="auto"/>
              <w:jc w:val="left"/>
              <w:rPr>
                <w:rFonts w:cs="Arial"/>
                <w:szCs w:val="20"/>
              </w:rPr>
            </w:pPr>
            <w:r w:rsidRPr="0000266C">
              <w:rPr>
                <w:rFonts w:cs="Arial"/>
                <w:szCs w:val="20"/>
              </w:rPr>
              <w:t>Partner status</w:t>
            </w:r>
          </w:p>
        </w:tc>
        <w:tc>
          <w:tcPr>
            <w:tcW w:w="5492" w:type="dxa"/>
          </w:tcPr>
          <w:p w14:paraId="1AFF4763" w14:textId="77777777" w:rsidR="00A213C3" w:rsidRPr="0000266C" w:rsidRDefault="00A213C3" w:rsidP="00E86D5D">
            <w:pPr>
              <w:spacing w:before="40" w:after="40" w:line="276" w:lineRule="auto"/>
              <w:jc w:val="left"/>
              <w:rPr>
                <w:rFonts w:cs="Arial"/>
                <w:szCs w:val="20"/>
              </w:rPr>
            </w:pPr>
            <w:r w:rsidRPr="0000266C">
              <w:rPr>
                <w:rFonts w:cs="Arial"/>
                <w:szCs w:val="20"/>
              </w:rPr>
              <w:t>ALSWH</w:t>
            </w:r>
          </w:p>
        </w:tc>
        <w:tc>
          <w:tcPr>
            <w:tcW w:w="5221" w:type="dxa"/>
          </w:tcPr>
          <w:p w14:paraId="4E626B85" w14:textId="77777777" w:rsidR="00A213C3" w:rsidRPr="0000266C" w:rsidRDefault="00A213C3" w:rsidP="00E86D5D">
            <w:pPr>
              <w:spacing w:before="40" w:after="40" w:line="276" w:lineRule="auto"/>
              <w:jc w:val="left"/>
              <w:rPr>
                <w:rFonts w:cs="Arial"/>
                <w:szCs w:val="20"/>
              </w:rPr>
            </w:pPr>
            <w:r w:rsidRPr="0000266C">
              <w:rPr>
                <w:rFonts w:cs="Arial"/>
                <w:szCs w:val="20"/>
              </w:rPr>
              <w:t>Was used as a screener question for partner retirement status, so removed.</w:t>
            </w:r>
          </w:p>
        </w:tc>
      </w:tr>
      <w:tr w:rsidR="00A213C3" w:rsidRPr="0000266C" w14:paraId="406C05FE" w14:textId="77777777" w:rsidTr="00E86D5D">
        <w:trPr>
          <w:cantSplit/>
        </w:trPr>
        <w:tc>
          <w:tcPr>
            <w:tcW w:w="1287" w:type="dxa"/>
          </w:tcPr>
          <w:p w14:paraId="5B66ACEB" w14:textId="77777777" w:rsidR="00A213C3" w:rsidRPr="0000266C" w:rsidRDefault="00A213C3" w:rsidP="00E86D5D">
            <w:pPr>
              <w:spacing w:before="40" w:after="40" w:line="276" w:lineRule="auto"/>
              <w:jc w:val="left"/>
              <w:rPr>
                <w:rFonts w:cs="Arial"/>
                <w:szCs w:val="20"/>
              </w:rPr>
            </w:pPr>
            <w:r w:rsidRPr="0000266C">
              <w:rPr>
                <w:rFonts w:cs="Arial"/>
                <w:szCs w:val="20"/>
              </w:rPr>
              <w:t>89</w:t>
            </w:r>
          </w:p>
        </w:tc>
        <w:tc>
          <w:tcPr>
            <w:tcW w:w="2000" w:type="dxa"/>
          </w:tcPr>
          <w:p w14:paraId="0D04A843" w14:textId="77777777" w:rsidR="00A213C3" w:rsidRPr="0000266C" w:rsidRDefault="00A213C3" w:rsidP="00E86D5D">
            <w:pPr>
              <w:spacing w:before="40" w:after="40" w:line="276" w:lineRule="auto"/>
              <w:jc w:val="left"/>
              <w:rPr>
                <w:rFonts w:cs="Arial"/>
                <w:szCs w:val="20"/>
              </w:rPr>
            </w:pPr>
            <w:r w:rsidRPr="0000266C">
              <w:rPr>
                <w:rFonts w:cs="Arial"/>
                <w:szCs w:val="20"/>
              </w:rPr>
              <w:t>Retirement status (partner)</w:t>
            </w:r>
          </w:p>
        </w:tc>
        <w:tc>
          <w:tcPr>
            <w:tcW w:w="5492" w:type="dxa"/>
          </w:tcPr>
          <w:p w14:paraId="06B7D39B" w14:textId="77777777" w:rsidR="00A213C3" w:rsidRPr="0000266C" w:rsidRDefault="00A213C3" w:rsidP="00E86D5D">
            <w:pPr>
              <w:spacing w:before="40" w:after="40" w:line="276" w:lineRule="auto"/>
              <w:jc w:val="left"/>
              <w:rPr>
                <w:rFonts w:cs="Arial"/>
                <w:szCs w:val="20"/>
              </w:rPr>
            </w:pPr>
            <w:r w:rsidRPr="0000266C">
              <w:rPr>
                <w:rFonts w:cs="Arial"/>
                <w:szCs w:val="20"/>
              </w:rPr>
              <w:t>Modified from the Household, Income and Labour Dynamics in Australia (HILDA) Survey - Continuing Person Questionnaire, Wave 3, question L2a.</w:t>
            </w:r>
          </w:p>
          <w:p w14:paraId="553D9CCD" w14:textId="77777777" w:rsidR="00A213C3" w:rsidRPr="0000266C" w:rsidRDefault="00A213C3" w:rsidP="00E86D5D">
            <w:pPr>
              <w:spacing w:before="40" w:after="40" w:line="276" w:lineRule="auto"/>
              <w:jc w:val="left"/>
              <w:rPr>
                <w:rFonts w:cs="Arial"/>
                <w:szCs w:val="20"/>
              </w:rPr>
            </w:pPr>
          </w:p>
        </w:tc>
        <w:tc>
          <w:tcPr>
            <w:tcW w:w="5221" w:type="dxa"/>
          </w:tcPr>
          <w:p w14:paraId="37B546DB" w14:textId="77777777" w:rsidR="00A213C3" w:rsidRPr="0000266C" w:rsidRDefault="00A213C3" w:rsidP="00E86D5D">
            <w:pPr>
              <w:spacing w:before="40" w:after="40" w:line="276" w:lineRule="auto"/>
              <w:jc w:val="left"/>
              <w:rPr>
                <w:rFonts w:cs="Arial"/>
                <w:szCs w:val="20"/>
              </w:rPr>
            </w:pPr>
            <w:r w:rsidRPr="0000266C">
              <w:rPr>
                <w:rFonts w:cs="Arial"/>
                <w:szCs w:val="20"/>
              </w:rPr>
              <w:t>Need to reduce length of Survey 10 to allow for additional measures and increased font size. Does not need to be asked at each survey.</w:t>
            </w:r>
          </w:p>
        </w:tc>
      </w:tr>
      <w:tr w:rsidR="00A213C3" w:rsidRPr="0000266C" w14:paraId="4DF4AFAA" w14:textId="77777777" w:rsidTr="00E86D5D">
        <w:trPr>
          <w:cantSplit/>
        </w:trPr>
        <w:tc>
          <w:tcPr>
            <w:tcW w:w="1287" w:type="dxa"/>
          </w:tcPr>
          <w:p w14:paraId="0B2EB13A" w14:textId="77777777" w:rsidR="00A213C3" w:rsidRPr="0000266C" w:rsidRDefault="00A213C3" w:rsidP="00E86D5D">
            <w:pPr>
              <w:spacing w:before="40" w:after="40" w:line="276" w:lineRule="auto"/>
              <w:jc w:val="left"/>
              <w:rPr>
                <w:rFonts w:cs="Arial"/>
                <w:szCs w:val="20"/>
              </w:rPr>
            </w:pPr>
            <w:r w:rsidRPr="0000266C">
              <w:rPr>
                <w:rFonts w:cs="Arial"/>
                <w:szCs w:val="20"/>
              </w:rPr>
              <w:t>90</w:t>
            </w:r>
          </w:p>
        </w:tc>
        <w:tc>
          <w:tcPr>
            <w:tcW w:w="2000" w:type="dxa"/>
          </w:tcPr>
          <w:p w14:paraId="1951AA48" w14:textId="77777777" w:rsidR="00A213C3" w:rsidRPr="0000266C" w:rsidRDefault="00A213C3" w:rsidP="00E86D5D">
            <w:pPr>
              <w:spacing w:before="40" w:after="40" w:line="276" w:lineRule="auto"/>
              <w:jc w:val="left"/>
              <w:rPr>
                <w:rFonts w:cs="Arial"/>
                <w:szCs w:val="20"/>
              </w:rPr>
            </w:pPr>
            <w:r w:rsidRPr="0000266C">
              <w:rPr>
                <w:rFonts w:cs="Arial"/>
                <w:szCs w:val="20"/>
              </w:rPr>
              <w:t>Date of retirement (partner)</w:t>
            </w:r>
          </w:p>
        </w:tc>
        <w:tc>
          <w:tcPr>
            <w:tcW w:w="5492" w:type="dxa"/>
          </w:tcPr>
          <w:p w14:paraId="6CFE4613" w14:textId="77777777" w:rsidR="00A213C3" w:rsidRPr="0000266C" w:rsidRDefault="00A213C3" w:rsidP="00E86D5D">
            <w:pPr>
              <w:spacing w:before="40" w:after="40" w:line="276" w:lineRule="auto"/>
              <w:jc w:val="left"/>
              <w:rPr>
                <w:rFonts w:cs="Arial"/>
                <w:szCs w:val="20"/>
              </w:rPr>
            </w:pPr>
            <w:r w:rsidRPr="0000266C">
              <w:rPr>
                <w:rFonts w:cs="Arial"/>
                <w:szCs w:val="20"/>
              </w:rPr>
              <w:t>Modified from the Household, Income and Labour Dynamics in Australia (HILDA) Survey - Continuing Person Questionnaire, Wave 3, question L2b.</w:t>
            </w:r>
          </w:p>
        </w:tc>
        <w:tc>
          <w:tcPr>
            <w:tcW w:w="5221" w:type="dxa"/>
          </w:tcPr>
          <w:p w14:paraId="71D33066" w14:textId="77777777" w:rsidR="00A213C3" w:rsidRPr="0000266C" w:rsidRDefault="00A213C3" w:rsidP="00E86D5D">
            <w:pPr>
              <w:spacing w:before="40" w:after="40" w:line="276" w:lineRule="auto"/>
              <w:jc w:val="left"/>
              <w:rPr>
                <w:rFonts w:cs="Arial"/>
                <w:szCs w:val="20"/>
              </w:rPr>
            </w:pPr>
            <w:r w:rsidRPr="0000266C">
              <w:rPr>
                <w:rFonts w:cs="Arial"/>
                <w:szCs w:val="20"/>
              </w:rPr>
              <w:t>Need to reduce length of Survey 10 to allow for additional measures and increased font size. Does not need to be asked at each survey.</w:t>
            </w:r>
          </w:p>
        </w:tc>
      </w:tr>
      <w:tr w:rsidR="00A213C3" w:rsidRPr="0000266C" w14:paraId="41535273" w14:textId="77777777" w:rsidTr="00E86D5D">
        <w:trPr>
          <w:cantSplit/>
        </w:trPr>
        <w:tc>
          <w:tcPr>
            <w:tcW w:w="1287" w:type="dxa"/>
          </w:tcPr>
          <w:p w14:paraId="3F03FB47" w14:textId="77777777" w:rsidR="00A213C3" w:rsidRPr="0000266C" w:rsidRDefault="00A213C3" w:rsidP="00E86D5D">
            <w:pPr>
              <w:spacing w:before="40" w:after="40" w:line="276" w:lineRule="auto"/>
              <w:jc w:val="left"/>
              <w:rPr>
                <w:rFonts w:cs="Arial"/>
                <w:szCs w:val="20"/>
              </w:rPr>
            </w:pPr>
            <w:r w:rsidRPr="0000266C">
              <w:rPr>
                <w:rFonts w:cs="Arial"/>
                <w:szCs w:val="20"/>
              </w:rPr>
              <w:lastRenderedPageBreak/>
              <w:t>100</w:t>
            </w:r>
          </w:p>
        </w:tc>
        <w:tc>
          <w:tcPr>
            <w:tcW w:w="2000" w:type="dxa"/>
          </w:tcPr>
          <w:p w14:paraId="16CBA990" w14:textId="77777777" w:rsidR="00A213C3" w:rsidRPr="0000266C" w:rsidRDefault="00A213C3" w:rsidP="00E86D5D">
            <w:pPr>
              <w:spacing w:before="40" w:after="40" w:line="276" w:lineRule="auto"/>
              <w:jc w:val="left"/>
              <w:rPr>
                <w:rFonts w:cs="Arial"/>
                <w:szCs w:val="20"/>
              </w:rPr>
            </w:pPr>
            <w:r w:rsidRPr="0000266C">
              <w:rPr>
                <w:rFonts w:cs="Arial"/>
                <w:szCs w:val="20"/>
              </w:rPr>
              <w:t>Housing (changes to current home)</w:t>
            </w:r>
          </w:p>
        </w:tc>
        <w:tc>
          <w:tcPr>
            <w:tcW w:w="5492" w:type="dxa"/>
          </w:tcPr>
          <w:p w14:paraId="1E34B9D4" w14:textId="77777777" w:rsidR="00A213C3" w:rsidRPr="0000266C" w:rsidRDefault="00A213C3" w:rsidP="00E86D5D">
            <w:pPr>
              <w:spacing w:before="40" w:after="40" w:line="276" w:lineRule="auto"/>
              <w:jc w:val="left"/>
              <w:rPr>
                <w:rFonts w:cs="Arial"/>
                <w:szCs w:val="20"/>
              </w:rPr>
            </w:pPr>
            <w:r w:rsidRPr="0000266C">
              <w:rPr>
                <w:rFonts w:cs="Arial"/>
                <w:szCs w:val="20"/>
              </w:rPr>
              <w:t>Modified from Byles et al. (2011). Housing and Independent Living: Environmental and built factors for maintaining independence in older age.</w:t>
            </w:r>
          </w:p>
        </w:tc>
        <w:tc>
          <w:tcPr>
            <w:tcW w:w="5221" w:type="dxa"/>
          </w:tcPr>
          <w:p w14:paraId="67C9BC8D" w14:textId="77777777" w:rsidR="00A213C3" w:rsidRPr="0000266C" w:rsidRDefault="00A213C3" w:rsidP="00E86D5D">
            <w:pPr>
              <w:spacing w:before="40" w:after="40" w:line="276" w:lineRule="auto"/>
              <w:jc w:val="left"/>
              <w:rPr>
                <w:rFonts w:cs="Arial"/>
                <w:szCs w:val="20"/>
              </w:rPr>
            </w:pPr>
            <w:r w:rsidRPr="0000266C">
              <w:rPr>
                <w:rFonts w:cs="Arial"/>
                <w:szCs w:val="20"/>
              </w:rPr>
              <w:t>Need to reduce length of Survey 10 to allow for additional measures and increased font size. Does not need to be asked at each survey.</w:t>
            </w:r>
          </w:p>
        </w:tc>
      </w:tr>
      <w:tr w:rsidR="00A213C3" w:rsidRPr="0000266C" w14:paraId="593C38AB" w14:textId="77777777" w:rsidTr="00E86D5D">
        <w:trPr>
          <w:cantSplit/>
        </w:trPr>
        <w:tc>
          <w:tcPr>
            <w:tcW w:w="1287" w:type="dxa"/>
          </w:tcPr>
          <w:p w14:paraId="348EEED4" w14:textId="77777777" w:rsidR="00A213C3" w:rsidRPr="0000266C" w:rsidRDefault="00A213C3" w:rsidP="00E86D5D">
            <w:pPr>
              <w:spacing w:before="40" w:after="40" w:line="276" w:lineRule="auto"/>
              <w:jc w:val="left"/>
              <w:rPr>
                <w:rFonts w:cs="Arial"/>
                <w:szCs w:val="20"/>
              </w:rPr>
            </w:pPr>
            <w:r w:rsidRPr="0000266C">
              <w:rPr>
                <w:rFonts w:cs="Arial"/>
                <w:szCs w:val="20"/>
              </w:rPr>
              <w:t>102</w:t>
            </w:r>
          </w:p>
        </w:tc>
        <w:tc>
          <w:tcPr>
            <w:tcW w:w="2000" w:type="dxa"/>
          </w:tcPr>
          <w:p w14:paraId="6A6D07D1" w14:textId="77777777" w:rsidR="00A213C3" w:rsidRPr="0000266C" w:rsidRDefault="00A213C3" w:rsidP="00E86D5D">
            <w:pPr>
              <w:spacing w:before="40" w:after="40" w:line="276" w:lineRule="auto"/>
              <w:jc w:val="left"/>
              <w:rPr>
                <w:rFonts w:cs="Arial"/>
                <w:szCs w:val="20"/>
              </w:rPr>
            </w:pPr>
            <w:r w:rsidRPr="0000266C">
              <w:rPr>
                <w:rFonts w:cs="Arial"/>
                <w:szCs w:val="20"/>
              </w:rPr>
              <w:t>Housing</w:t>
            </w:r>
          </w:p>
        </w:tc>
        <w:tc>
          <w:tcPr>
            <w:tcW w:w="5492" w:type="dxa"/>
          </w:tcPr>
          <w:p w14:paraId="73D1BDBB" w14:textId="77777777" w:rsidR="00A213C3" w:rsidRPr="0000266C" w:rsidRDefault="00A213C3" w:rsidP="00E86D5D">
            <w:pPr>
              <w:spacing w:before="40" w:after="40" w:line="276" w:lineRule="auto"/>
              <w:jc w:val="left"/>
              <w:rPr>
                <w:rFonts w:cs="Arial"/>
                <w:szCs w:val="20"/>
              </w:rPr>
            </w:pPr>
            <w:r w:rsidRPr="0000266C">
              <w:rPr>
                <w:rFonts w:cs="Arial"/>
                <w:szCs w:val="20"/>
              </w:rPr>
              <w:t>ALSWH; 45 &amp; Up (SEEF and HAIL); HILDA (wave 15 household questionnaire)</w:t>
            </w:r>
          </w:p>
        </w:tc>
        <w:tc>
          <w:tcPr>
            <w:tcW w:w="5221" w:type="dxa"/>
          </w:tcPr>
          <w:p w14:paraId="5068A2D9" w14:textId="77777777" w:rsidR="00A213C3" w:rsidRPr="0000266C" w:rsidRDefault="00A213C3" w:rsidP="00E86D5D">
            <w:pPr>
              <w:spacing w:before="40" w:after="40" w:line="276" w:lineRule="auto"/>
              <w:jc w:val="left"/>
              <w:rPr>
                <w:rFonts w:cs="Arial"/>
                <w:szCs w:val="20"/>
              </w:rPr>
            </w:pPr>
            <w:r w:rsidRPr="0000266C">
              <w:rPr>
                <w:rFonts w:cs="Arial"/>
                <w:szCs w:val="20"/>
              </w:rPr>
              <w:t>Need to reduce length of Survey 10 to allow for additional measures and increased font size. Does not need to be asked at each survey.</w:t>
            </w:r>
          </w:p>
        </w:tc>
      </w:tr>
      <w:tr w:rsidR="00A213C3" w:rsidRPr="0000266C" w14:paraId="52E93484" w14:textId="77777777" w:rsidTr="00E86D5D">
        <w:trPr>
          <w:cantSplit/>
        </w:trPr>
        <w:tc>
          <w:tcPr>
            <w:tcW w:w="1287" w:type="dxa"/>
          </w:tcPr>
          <w:p w14:paraId="7656F027" w14:textId="77777777" w:rsidR="00A213C3" w:rsidRPr="0000266C" w:rsidRDefault="00A213C3" w:rsidP="00E86D5D">
            <w:pPr>
              <w:spacing w:before="40" w:after="40" w:line="276" w:lineRule="auto"/>
              <w:jc w:val="left"/>
              <w:rPr>
                <w:rFonts w:cs="Arial"/>
                <w:szCs w:val="20"/>
              </w:rPr>
            </w:pPr>
            <w:r w:rsidRPr="0000266C">
              <w:rPr>
                <w:rFonts w:cs="Arial"/>
                <w:szCs w:val="20"/>
              </w:rPr>
              <w:t>104</w:t>
            </w:r>
          </w:p>
        </w:tc>
        <w:tc>
          <w:tcPr>
            <w:tcW w:w="2000" w:type="dxa"/>
          </w:tcPr>
          <w:p w14:paraId="004807ED" w14:textId="77777777" w:rsidR="00A213C3" w:rsidRPr="0000266C" w:rsidRDefault="00A213C3" w:rsidP="00E86D5D">
            <w:pPr>
              <w:spacing w:before="40" w:after="40" w:line="276" w:lineRule="auto"/>
              <w:jc w:val="left"/>
              <w:rPr>
                <w:rFonts w:cs="Arial"/>
                <w:szCs w:val="20"/>
              </w:rPr>
            </w:pPr>
            <w:r w:rsidRPr="0000266C">
              <w:rPr>
                <w:rFonts w:cs="Arial"/>
                <w:szCs w:val="20"/>
              </w:rPr>
              <w:t>Transport aids</w:t>
            </w:r>
          </w:p>
        </w:tc>
        <w:tc>
          <w:tcPr>
            <w:tcW w:w="5492" w:type="dxa"/>
          </w:tcPr>
          <w:p w14:paraId="6664B708" w14:textId="77777777" w:rsidR="00A213C3" w:rsidRPr="0000266C" w:rsidRDefault="00A213C3" w:rsidP="00E86D5D">
            <w:pPr>
              <w:spacing w:before="40" w:after="40" w:line="276" w:lineRule="auto"/>
              <w:jc w:val="left"/>
              <w:rPr>
                <w:rFonts w:cs="Arial"/>
                <w:szCs w:val="20"/>
              </w:rPr>
            </w:pPr>
            <w:r w:rsidRPr="0000266C">
              <w:rPr>
                <w:rFonts w:cs="Arial"/>
                <w:szCs w:val="20"/>
              </w:rPr>
              <w:t>ALSWH</w:t>
            </w:r>
          </w:p>
        </w:tc>
        <w:tc>
          <w:tcPr>
            <w:tcW w:w="5221" w:type="dxa"/>
          </w:tcPr>
          <w:p w14:paraId="40CEA6FE" w14:textId="77777777" w:rsidR="00A213C3" w:rsidRPr="0000266C" w:rsidRDefault="00A213C3" w:rsidP="00E86D5D">
            <w:pPr>
              <w:spacing w:before="40" w:after="40" w:line="276" w:lineRule="auto"/>
              <w:jc w:val="left"/>
              <w:rPr>
                <w:rFonts w:cs="Arial"/>
                <w:szCs w:val="20"/>
              </w:rPr>
            </w:pPr>
            <w:r w:rsidRPr="0000266C">
              <w:rPr>
                <w:rFonts w:cs="Arial"/>
                <w:szCs w:val="20"/>
              </w:rPr>
              <w:t>Need to reduce length of Survey 10 to allow for additional measures and increased font size. Does not need to be asked at each survey.</w:t>
            </w:r>
          </w:p>
        </w:tc>
      </w:tr>
      <w:tr w:rsidR="00A213C3" w:rsidRPr="0000266C" w14:paraId="5203A858" w14:textId="77777777" w:rsidTr="00E86D5D">
        <w:trPr>
          <w:cantSplit/>
        </w:trPr>
        <w:tc>
          <w:tcPr>
            <w:tcW w:w="1287" w:type="dxa"/>
          </w:tcPr>
          <w:p w14:paraId="5790886A" w14:textId="77777777" w:rsidR="00A213C3" w:rsidRPr="0000266C" w:rsidRDefault="00A213C3" w:rsidP="00E86D5D">
            <w:pPr>
              <w:spacing w:before="40" w:after="40" w:line="276" w:lineRule="auto"/>
              <w:jc w:val="left"/>
              <w:rPr>
                <w:rFonts w:cs="Arial"/>
                <w:szCs w:val="20"/>
              </w:rPr>
            </w:pPr>
            <w:r w:rsidRPr="0000266C">
              <w:rPr>
                <w:rFonts w:cs="Arial"/>
                <w:szCs w:val="20"/>
              </w:rPr>
              <w:t>105</w:t>
            </w:r>
          </w:p>
        </w:tc>
        <w:tc>
          <w:tcPr>
            <w:tcW w:w="2000" w:type="dxa"/>
          </w:tcPr>
          <w:p w14:paraId="5ECE29E4" w14:textId="77777777" w:rsidR="00A213C3" w:rsidRPr="0000266C" w:rsidRDefault="00A213C3" w:rsidP="00E86D5D">
            <w:pPr>
              <w:spacing w:before="40" w:after="40" w:line="276" w:lineRule="auto"/>
              <w:jc w:val="left"/>
              <w:rPr>
                <w:rFonts w:cs="Arial"/>
                <w:szCs w:val="20"/>
              </w:rPr>
            </w:pPr>
            <w:r w:rsidRPr="0000266C">
              <w:rPr>
                <w:rFonts w:cs="Arial"/>
                <w:szCs w:val="20"/>
              </w:rPr>
              <w:t>Problems with transport</w:t>
            </w:r>
          </w:p>
        </w:tc>
        <w:tc>
          <w:tcPr>
            <w:tcW w:w="5492" w:type="dxa"/>
          </w:tcPr>
          <w:p w14:paraId="2629F270" w14:textId="77777777" w:rsidR="00A213C3" w:rsidRPr="0000266C" w:rsidRDefault="00A213C3" w:rsidP="00E86D5D">
            <w:pPr>
              <w:spacing w:before="40" w:after="40" w:line="276" w:lineRule="auto"/>
              <w:jc w:val="left"/>
              <w:rPr>
                <w:rFonts w:cs="Arial"/>
                <w:szCs w:val="20"/>
              </w:rPr>
            </w:pPr>
            <w:r w:rsidRPr="0000266C">
              <w:rPr>
                <w:rFonts w:cs="Arial"/>
                <w:szCs w:val="20"/>
              </w:rPr>
              <w:t>ALSWH</w:t>
            </w:r>
          </w:p>
        </w:tc>
        <w:tc>
          <w:tcPr>
            <w:tcW w:w="5221" w:type="dxa"/>
          </w:tcPr>
          <w:p w14:paraId="324667AA" w14:textId="77777777" w:rsidR="00A213C3" w:rsidRPr="0000266C" w:rsidRDefault="00A213C3" w:rsidP="00E86D5D">
            <w:pPr>
              <w:spacing w:before="40" w:after="40" w:line="276" w:lineRule="auto"/>
              <w:jc w:val="left"/>
              <w:rPr>
                <w:rFonts w:cs="Arial"/>
                <w:szCs w:val="20"/>
              </w:rPr>
            </w:pPr>
            <w:r w:rsidRPr="0000266C">
              <w:rPr>
                <w:rFonts w:cs="Arial"/>
                <w:szCs w:val="20"/>
              </w:rPr>
              <w:t>Need to reduce length of Survey 10 to allow for additional measures and increased font size. Does not need to be asked at each survey.</w:t>
            </w:r>
          </w:p>
        </w:tc>
      </w:tr>
      <w:tr w:rsidR="00A213C3" w:rsidRPr="0000266C" w14:paraId="7126256F" w14:textId="77777777" w:rsidTr="00E86D5D">
        <w:trPr>
          <w:cantSplit/>
        </w:trPr>
        <w:tc>
          <w:tcPr>
            <w:tcW w:w="1287" w:type="dxa"/>
          </w:tcPr>
          <w:p w14:paraId="715E0BA9" w14:textId="77777777" w:rsidR="00A213C3" w:rsidRPr="0000266C" w:rsidRDefault="00A213C3" w:rsidP="00E86D5D">
            <w:pPr>
              <w:spacing w:before="40" w:after="40" w:line="276" w:lineRule="auto"/>
              <w:jc w:val="left"/>
              <w:rPr>
                <w:rFonts w:cs="Arial"/>
                <w:szCs w:val="20"/>
              </w:rPr>
            </w:pPr>
            <w:r w:rsidRPr="0000266C">
              <w:rPr>
                <w:rFonts w:cs="Arial"/>
                <w:szCs w:val="20"/>
              </w:rPr>
              <w:t>106</w:t>
            </w:r>
          </w:p>
        </w:tc>
        <w:tc>
          <w:tcPr>
            <w:tcW w:w="2000" w:type="dxa"/>
          </w:tcPr>
          <w:p w14:paraId="3FF24E7A" w14:textId="77777777" w:rsidR="00A213C3" w:rsidRPr="0000266C" w:rsidRDefault="00A213C3" w:rsidP="00E86D5D">
            <w:pPr>
              <w:spacing w:before="40" w:after="40" w:line="276" w:lineRule="auto"/>
              <w:jc w:val="left"/>
              <w:rPr>
                <w:rFonts w:cs="Arial"/>
                <w:szCs w:val="20"/>
              </w:rPr>
            </w:pPr>
            <w:r w:rsidRPr="0000266C">
              <w:rPr>
                <w:rFonts w:cs="Arial"/>
                <w:szCs w:val="20"/>
              </w:rPr>
              <w:t>Legal arrangements</w:t>
            </w:r>
          </w:p>
        </w:tc>
        <w:tc>
          <w:tcPr>
            <w:tcW w:w="5492" w:type="dxa"/>
          </w:tcPr>
          <w:p w14:paraId="4DB9705E" w14:textId="77777777" w:rsidR="00A213C3" w:rsidRPr="0000266C" w:rsidRDefault="00A213C3" w:rsidP="00E86D5D">
            <w:pPr>
              <w:spacing w:before="40" w:after="40" w:line="276" w:lineRule="auto"/>
              <w:jc w:val="left"/>
              <w:rPr>
                <w:rFonts w:cs="Arial"/>
                <w:szCs w:val="20"/>
              </w:rPr>
            </w:pPr>
            <w:r w:rsidRPr="0000266C">
              <w:rPr>
                <w:rFonts w:cs="Arial"/>
                <w:szCs w:val="20"/>
              </w:rPr>
              <w:t>ALSWH</w:t>
            </w:r>
          </w:p>
        </w:tc>
        <w:tc>
          <w:tcPr>
            <w:tcW w:w="5221" w:type="dxa"/>
          </w:tcPr>
          <w:p w14:paraId="5E189C04" w14:textId="77777777" w:rsidR="00A213C3" w:rsidRPr="0000266C" w:rsidRDefault="00A213C3" w:rsidP="00E86D5D">
            <w:pPr>
              <w:spacing w:before="40" w:after="40" w:line="276" w:lineRule="auto"/>
              <w:jc w:val="left"/>
              <w:rPr>
                <w:rFonts w:cs="Arial"/>
                <w:szCs w:val="20"/>
              </w:rPr>
            </w:pPr>
            <w:r w:rsidRPr="0000266C">
              <w:rPr>
                <w:rFonts w:cs="Arial"/>
                <w:szCs w:val="20"/>
              </w:rPr>
              <w:t>Need to reduce length of Survey 10 to allow for additional measures and increased font size. Does not need to be asked at each survey.</w:t>
            </w:r>
          </w:p>
        </w:tc>
      </w:tr>
      <w:tr w:rsidR="00A213C3" w:rsidRPr="0000266C" w14:paraId="1D632F83" w14:textId="77777777" w:rsidTr="00E86D5D">
        <w:trPr>
          <w:cantSplit/>
        </w:trPr>
        <w:tc>
          <w:tcPr>
            <w:tcW w:w="1287" w:type="dxa"/>
          </w:tcPr>
          <w:p w14:paraId="5F770750" w14:textId="77777777" w:rsidR="00A213C3" w:rsidRPr="0000266C" w:rsidRDefault="00A213C3" w:rsidP="00E86D5D">
            <w:pPr>
              <w:spacing w:before="40" w:after="40" w:line="276" w:lineRule="auto"/>
              <w:jc w:val="left"/>
              <w:rPr>
                <w:rFonts w:cs="Arial"/>
                <w:szCs w:val="20"/>
              </w:rPr>
            </w:pPr>
            <w:r w:rsidRPr="0000266C">
              <w:rPr>
                <w:rFonts w:cs="Arial"/>
                <w:szCs w:val="20"/>
              </w:rPr>
              <w:t>109</w:t>
            </w:r>
          </w:p>
        </w:tc>
        <w:tc>
          <w:tcPr>
            <w:tcW w:w="2000" w:type="dxa"/>
          </w:tcPr>
          <w:p w14:paraId="746068CB" w14:textId="77777777" w:rsidR="00A213C3" w:rsidRPr="0000266C" w:rsidRDefault="00A213C3" w:rsidP="00E86D5D">
            <w:pPr>
              <w:spacing w:before="40" w:after="40" w:line="276" w:lineRule="auto"/>
              <w:jc w:val="left"/>
              <w:rPr>
                <w:rFonts w:cs="Arial"/>
                <w:szCs w:val="20"/>
              </w:rPr>
            </w:pPr>
            <w:r w:rsidRPr="0000266C">
              <w:rPr>
                <w:rFonts w:cs="Arial"/>
                <w:szCs w:val="20"/>
              </w:rPr>
              <w:t>Indicators of social well-being</w:t>
            </w:r>
          </w:p>
        </w:tc>
        <w:tc>
          <w:tcPr>
            <w:tcW w:w="5492" w:type="dxa"/>
          </w:tcPr>
          <w:p w14:paraId="31A120B1" w14:textId="77777777" w:rsidR="00A213C3" w:rsidRPr="0000266C" w:rsidRDefault="00A213C3" w:rsidP="00E86D5D">
            <w:pPr>
              <w:spacing w:before="40" w:after="40" w:line="276" w:lineRule="auto"/>
              <w:jc w:val="left"/>
              <w:rPr>
                <w:rFonts w:cs="Arial"/>
                <w:szCs w:val="20"/>
              </w:rPr>
            </w:pPr>
            <w:r w:rsidRPr="0000266C">
              <w:rPr>
                <w:rFonts w:cs="Arial"/>
                <w:szCs w:val="20"/>
              </w:rPr>
              <w:t xml:space="preserve">Modified from Keyes CLM. (1998). Social well-being. </w:t>
            </w:r>
            <w:r w:rsidRPr="0000266C">
              <w:rPr>
                <w:rFonts w:cs="Arial"/>
                <w:i/>
                <w:szCs w:val="20"/>
              </w:rPr>
              <w:t>Social Psychology Quarterly</w:t>
            </w:r>
            <w:r w:rsidRPr="0000266C">
              <w:rPr>
                <w:rFonts w:cs="Arial"/>
                <w:szCs w:val="20"/>
              </w:rPr>
              <w:t>, 61(2), 121-140</w:t>
            </w:r>
          </w:p>
        </w:tc>
        <w:tc>
          <w:tcPr>
            <w:tcW w:w="5221" w:type="dxa"/>
          </w:tcPr>
          <w:p w14:paraId="0D700457" w14:textId="77777777" w:rsidR="00A213C3" w:rsidRPr="0000266C" w:rsidRDefault="00A213C3" w:rsidP="00E86D5D">
            <w:pPr>
              <w:spacing w:before="40" w:after="40" w:line="276" w:lineRule="auto"/>
              <w:jc w:val="left"/>
              <w:rPr>
                <w:rFonts w:cs="Arial"/>
                <w:szCs w:val="20"/>
              </w:rPr>
            </w:pPr>
            <w:r w:rsidRPr="0000266C">
              <w:rPr>
                <w:rFonts w:cs="Arial"/>
                <w:szCs w:val="20"/>
              </w:rPr>
              <w:t>Need to reduce length of Survey 10 to allow for additional measures and increased font size. Does not need to be asked at each survey.</w:t>
            </w:r>
          </w:p>
        </w:tc>
      </w:tr>
      <w:tr w:rsidR="00A213C3" w:rsidRPr="0000266C" w14:paraId="64D19E45" w14:textId="77777777" w:rsidTr="00E86D5D">
        <w:trPr>
          <w:cantSplit/>
        </w:trPr>
        <w:tc>
          <w:tcPr>
            <w:tcW w:w="1287" w:type="dxa"/>
          </w:tcPr>
          <w:p w14:paraId="01226705" w14:textId="77777777" w:rsidR="00A213C3" w:rsidRPr="0000266C" w:rsidRDefault="00A213C3" w:rsidP="00E86D5D">
            <w:pPr>
              <w:spacing w:before="40" w:after="40" w:line="276" w:lineRule="auto"/>
              <w:jc w:val="left"/>
              <w:rPr>
                <w:rFonts w:cs="Arial"/>
                <w:szCs w:val="20"/>
              </w:rPr>
            </w:pPr>
            <w:r w:rsidRPr="0000266C">
              <w:rPr>
                <w:rFonts w:cs="Arial"/>
                <w:szCs w:val="20"/>
              </w:rPr>
              <w:t>114-184</w:t>
            </w:r>
          </w:p>
        </w:tc>
        <w:tc>
          <w:tcPr>
            <w:tcW w:w="2000" w:type="dxa"/>
          </w:tcPr>
          <w:p w14:paraId="1FD6E7A9" w14:textId="77777777" w:rsidR="00A213C3" w:rsidRPr="0000266C" w:rsidRDefault="00A213C3" w:rsidP="00E86D5D">
            <w:pPr>
              <w:spacing w:before="40" w:after="40" w:line="276" w:lineRule="auto"/>
              <w:jc w:val="left"/>
              <w:rPr>
                <w:rFonts w:cs="Arial"/>
                <w:szCs w:val="20"/>
              </w:rPr>
            </w:pPr>
            <w:r w:rsidRPr="0000266C">
              <w:rPr>
                <w:rFonts w:cs="Arial"/>
                <w:szCs w:val="20"/>
              </w:rPr>
              <w:t>Diet</w:t>
            </w:r>
          </w:p>
        </w:tc>
        <w:tc>
          <w:tcPr>
            <w:tcW w:w="5492" w:type="dxa"/>
          </w:tcPr>
          <w:p w14:paraId="128204C2" w14:textId="77777777" w:rsidR="00A213C3" w:rsidRPr="0000266C" w:rsidRDefault="00A213C3" w:rsidP="00E86D5D">
            <w:pPr>
              <w:spacing w:before="40" w:after="40" w:line="276" w:lineRule="auto"/>
              <w:jc w:val="left"/>
              <w:rPr>
                <w:rFonts w:cs="Arial"/>
                <w:szCs w:val="20"/>
              </w:rPr>
            </w:pPr>
            <w:r w:rsidRPr="0000266C">
              <w:rPr>
                <w:rFonts w:cs="Arial"/>
                <w:szCs w:val="20"/>
              </w:rPr>
              <w:t>CSIRO Healthy Diet Score</w:t>
            </w:r>
          </w:p>
          <w:p w14:paraId="20FD3499" w14:textId="77777777" w:rsidR="00A213C3" w:rsidRPr="0000266C" w:rsidRDefault="00A213C3" w:rsidP="00E86D5D">
            <w:pPr>
              <w:spacing w:before="40" w:after="40" w:line="276" w:lineRule="auto"/>
              <w:jc w:val="left"/>
              <w:rPr>
                <w:rFonts w:cs="Arial"/>
                <w:szCs w:val="20"/>
              </w:rPr>
            </w:pPr>
            <w:r w:rsidRPr="0000266C">
              <w:rPr>
                <w:rFonts w:cs="Arial"/>
                <w:szCs w:val="20"/>
              </w:rPr>
              <w:t>(</w:t>
            </w:r>
            <w:proofErr w:type="gramStart"/>
            <w:r w:rsidRPr="0000266C">
              <w:rPr>
                <w:rFonts w:cs="Arial"/>
                <w:szCs w:val="20"/>
              </w:rPr>
              <w:t>minus</w:t>
            </w:r>
            <w:proofErr w:type="gramEnd"/>
            <w:r w:rsidRPr="0000266C">
              <w:rPr>
                <w:rFonts w:cs="Arial"/>
                <w:szCs w:val="20"/>
              </w:rPr>
              <w:t xml:space="preserve"> the demographic questions)</w:t>
            </w:r>
          </w:p>
        </w:tc>
        <w:tc>
          <w:tcPr>
            <w:tcW w:w="5221" w:type="dxa"/>
          </w:tcPr>
          <w:p w14:paraId="2CD79090" w14:textId="77777777" w:rsidR="00A213C3" w:rsidRPr="0000266C" w:rsidRDefault="00A213C3" w:rsidP="00E86D5D">
            <w:pPr>
              <w:spacing w:before="40" w:after="40" w:line="276" w:lineRule="auto"/>
              <w:jc w:val="left"/>
              <w:rPr>
                <w:rFonts w:cs="Arial"/>
                <w:szCs w:val="20"/>
              </w:rPr>
            </w:pPr>
            <w:r w:rsidRPr="0000266C">
              <w:rPr>
                <w:rFonts w:cs="Arial"/>
                <w:szCs w:val="20"/>
              </w:rPr>
              <w:t>Does not need to be asked at each survey.</w:t>
            </w:r>
          </w:p>
        </w:tc>
      </w:tr>
    </w:tbl>
    <w:p w14:paraId="58B196DE" w14:textId="77777777" w:rsidR="00A213C3" w:rsidRPr="0000266C" w:rsidRDefault="00A213C3" w:rsidP="00A213C3">
      <w:pPr>
        <w:spacing w:before="40" w:after="40" w:line="276" w:lineRule="auto"/>
        <w:rPr>
          <w:rFonts w:cs="Arial"/>
          <w:szCs w:val="20"/>
        </w:rPr>
      </w:pPr>
    </w:p>
    <w:p w14:paraId="2FF5A40E" w14:textId="77777777" w:rsidR="00A213C3" w:rsidRPr="0000266C" w:rsidRDefault="00A213C3" w:rsidP="00A213C3">
      <w:pPr>
        <w:spacing w:before="40" w:after="40" w:line="276" w:lineRule="auto"/>
        <w:rPr>
          <w:rFonts w:cs="Arial"/>
          <w:szCs w:val="20"/>
        </w:rPr>
      </w:pPr>
    </w:p>
    <w:p w14:paraId="7DA38C04" w14:textId="77777777" w:rsidR="00A213C3" w:rsidRPr="0000266C" w:rsidRDefault="00A213C3" w:rsidP="00A213C3">
      <w:pPr>
        <w:spacing w:after="0"/>
        <w:rPr>
          <w:rFonts w:cs="Arial"/>
          <w:szCs w:val="20"/>
        </w:rPr>
      </w:pPr>
    </w:p>
    <w:p w14:paraId="063F7AFB" w14:textId="77777777" w:rsidR="00A213C3" w:rsidRDefault="00A213C3" w:rsidP="00A213C3">
      <w:pPr>
        <w:spacing w:after="0"/>
        <w:rPr>
          <w:rFonts w:cs="Arial"/>
        </w:rPr>
        <w:sectPr w:rsidR="00A213C3" w:rsidSect="0007030B">
          <w:pgSz w:w="15840" w:h="12240" w:orient="landscape"/>
          <w:pgMar w:top="1440" w:right="1080" w:bottom="1440" w:left="1080" w:header="709" w:footer="709" w:gutter="0"/>
          <w:cols w:space="720"/>
          <w:docGrid w:linePitch="272"/>
        </w:sectPr>
      </w:pPr>
    </w:p>
    <w:p w14:paraId="4C5D96AC" w14:textId="77777777" w:rsidR="00A213C3" w:rsidRDefault="00A213C3" w:rsidP="00901558">
      <w:pPr>
        <w:pStyle w:val="Heading4"/>
      </w:pPr>
      <w:r w:rsidRPr="00500C30">
        <w:lastRenderedPageBreak/>
        <w:t>Approvals</w:t>
      </w:r>
      <w:r>
        <w:t xml:space="preserve"> </w:t>
      </w:r>
    </w:p>
    <w:p w14:paraId="3D6A13C2" w14:textId="4A3E11A2" w:rsidR="00A213C3" w:rsidRDefault="00A213C3" w:rsidP="00A213C3">
      <w:r w:rsidRPr="00F77C67">
        <w:t xml:space="preserve">Approval from the Department of Health and the University of Newcastle Human Research Ethics Committee </w:t>
      </w:r>
      <w:r>
        <w:t xml:space="preserve">(HREC) </w:t>
      </w:r>
      <w:r w:rsidRPr="00F77C67">
        <w:t xml:space="preserve">was applied for and was ratified by the University of Queensland </w:t>
      </w:r>
      <w:r>
        <w:t>HREC</w:t>
      </w:r>
      <w:r w:rsidRPr="00F77C67">
        <w:t xml:space="preserve"> </w:t>
      </w:r>
      <w:r>
        <w:t>in November 2021.</w:t>
      </w:r>
    </w:p>
    <w:p w14:paraId="2984DA10" w14:textId="77777777" w:rsidR="00A213C3" w:rsidRDefault="00A213C3" w:rsidP="00901558">
      <w:pPr>
        <w:pStyle w:val="Heading4"/>
      </w:pPr>
      <w:r w:rsidRPr="008B1DAF">
        <w:t>Data Collection</w:t>
      </w:r>
      <w:r>
        <w:t xml:space="preserve"> </w:t>
      </w:r>
    </w:p>
    <w:p w14:paraId="68AE5075" w14:textId="77777777" w:rsidR="00A213C3" w:rsidRDefault="00A213C3" w:rsidP="00A213C3">
      <w:r w:rsidRPr="00475556">
        <w:t xml:space="preserve">Data collection began on </w:t>
      </w:r>
      <w:r>
        <w:t>10 December 2021</w:t>
      </w:r>
      <w:r w:rsidRPr="00475556">
        <w:t>.</w:t>
      </w:r>
      <w:r>
        <w:t xml:space="preserve"> </w:t>
      </w:r>
      <w:r w:rsidRPr="00475556">
        <w:t xml:space="preserve">The survey was offered in </w:t>
      </w:r>
      <w:r>
        <w:t>2</w:t>
      </w:r>
      <w:r w:rsidRPr="00475556">
        <w:t xml:space="preserve"> formats, online and paper. As is usual for pilot surveys, an evaluation questionnaire was included with both forms of the survey. The online surveys were programmed using the </w:t>
      </w:r>
      <w:r>
        <w:t>Research Electronic Data Capture (</w:t>
      </w:r>
      <w:proofErr w:type="spellStart"/>
      <w:r>
        <w:t>REDCap</w:t>
      </w:r>
      <w:proofErr w:type="spellEnd"/>
      <w:r>
        <w:t>)</w:t>
      </w:r>
      <w:r w:rsidRPr="00475556">
        <w:t xml:space="preserve"> platform. Paper surveys were printed in</w:t>
      </w:r>
      <w:r>
        <w:t>-</w:t>
      </w:r>
      <w:r w:rsidRPr="00475556">
        <w:t xml:space="preserve">house and were entered into the online survey manually. </w:t>
      </w:r>
    </w:p>
    <w:p w14:paraId="02517EA3" w14:textId="77777777" w:rsidR="00A213C3" w:rsidRDefault="00A213C3" w:rsidP="00901558">
      <w:pPr>
        <w:pStyle w:val="Heading4"/>
      </w:pPr>
      <w:r w:rsidRPr="008B1DAF">
        <w:t>Prizes</w:t>
      </w:r>
      <w:r>
        <w:t xml:space="preserve"> </w:t>
      </w:r>
    </w:p>
    <w:p w14:paraId="0B73D66F" w14:textId="4138513D" w:rsidR="00A213C3" w:rsidRDefault="00A213C3" w:rsidP="00A213C3">
      <w:pPr>
        <w:spacing w:after="0"/>
        <w:rPr>
          <w:lang w:val="en-US"/>
        </w:rPr>
      </w:pPr>
      <w:r>
        <w:t xml:space="preserve">Three prize draws were offered for the Pilot Survey 10 participants, as detailed </w:t>
      </w:r>
      <w:r w:rsidRPr="00B769F5">
        <w:t xml:space="preserve">in </w:t>
      </w:r>
      <w:r w:rsidR="00B769F5" w:rsidRPr="00B769F5">
        <w:fldChar w:fldCharType="begin"/>
      </w:r>
      <w:r w:rsidR="00B769F5" w:rsidRPr="00B769F5">
        <w:instrText xml:space="preserve"> REF _Ref113714482 \h </w:instrText>
      </w:r>
      <w:r w:rsidR="00B769F5" w:rsidRPr="009429DC">
        <w:instrText xml:space="preserve"> \* MERGEFORMAT </w:instrText>
      </w:r>
      <w:r w:rsidR="00B769F5" w:rsidRPr="00B769F5">
        <w:fldChar w:fldCharType="separate"/>
      </w:r>
      <w:r w:rsidR="007D19D7" w:rsidRPr="007D19D7">
        <w:rPr>
          <w:rFonts w:cs="Arial"/>
        </w:rPr>
        <w:t xml:space="preserve">Table </w:t>
      </w:r>
      <w:r w:rsidR="007D19D7" w:rsidRPr="007D19D7">
        <w:rPr>
          <w:rFonts w:cs="Arial"/>
          <w:noProof/>
        </w:rPr>
        <w:t>3</w:t>
      </w:r>
      <w:r w:rsidR="007D19D7" w:rsidRPr="007D19D7">
        <w:rPr>
          <w:rFonts w:cs="Arial"/>
          <w:noProof/>
        </w:rPr>
        <w:noBreakHyphen/>
        <w:t>4</w:t>
      </w:r>
      <w:r w:rsidR="00B769F5" w:rsidRPr="00B769F5">
        <w:fldChar w:fldCharType="end"/>
      </w:r>
      <w:r w:rsidR="00B769F5" w:rsidRPr="00B769F5">
        <w:t xml:space="preserve"> </w:t>
      </w:r>
      <w:r w:rsidRPr="00B769F5">
        <w:t>below</w:t>
      </w:r>
      <w:r>
        <w:t xml:space="preserve">. </w:t>
      </w:r>
      <w:r>
        <w:rPr>
          <w:lang w:val="en-US"/>
        </w:rPr>
        <w:t xml:space="preserve">Prize draws 1 and 2 were to encourage participants to complete the survey online rather than on paper. </w:t>
      </w:r>
      <w:proofErr w:type="spellStart"/>
      <w:r>
        <w:rPr>
          <w:lang w:val="en-US"/>
        </w:rPr>
        <w:t>Prezzee</w:t>
      </w:r>
      <w:proofErr w:type="spellEnd"/>
      <w:r>
        <w:rPr>
          <w:lang w:val="en-US"/>
        </w:rPr>
        <w:t xml:space="preserve"> gift vouchers were used for all prize draws, with electronic gift cards emailed to winners. By using electronic gift cards as prizes, participants were encouraged to ensure their email contact details were current.</w:t>
      </w:r>
    </w:p>
    <w:p w14:paraId="75F62209" w14:textId="77777777" w:rsidR="00A213C3" w:rsidRDefault="00A213C3" w:rsidP="00A213C3">
      <w:pPr>
        <w:spacing w:after="0"/>
      </w:pPr>
    </w:p>
    <w:p w14:paraId="7E84AF90" w14:textId="2175FBE9" w:rsidR="00A213C3" w:rsidRPr="00B769F5" w:rsidRDefault="00B769F5" w:rsidP="00B769F5">
      <w:pPr>
        <w:rPr>
          <w:rFonts w:cs="Arial"/>
          <w:b/>
          <w:bCs/>
        </w:rPr>
      </w:pPr>
      <w:bookmarkStart w:id="29" w:name="_Ref113714482"/>
      <w:r w:rsidRPr="00B769F5">
        <w:rPr>
          <w:rFonts w:cs="Arial"/>
          <w:b/>
          <w:bCs/>
        </w:rPr>
        <w:t xml:space="preserve">Table </w:t>
      </w:r>
      <w:r w:rsidR="00327D59">
        <w:rPr>
          <w:rFonts w:cs="Arial"/>
          <w:b/>
          <w:bCs/>
        </w:rPr>
        <w:fldChar w:fldCharType="begin"/>
      </w:r>
      <w:r w:rsidR="00327D59">
        <w:rPr>
          <w:rFonts w:cs="Arial"/>
          <w:b/>
          <w:bCs/>
        </w:rPr>
        <w:instrText xml:space="preserve"> STYLEREF 1 \s </w:instrText>
      </w:r>
      <w:r w:rsidR="00327D59">
        <w:rPr>
          <w:rFonts w:cs="Arial"/>
          <w:b/>
          <w:bCs/>
        </w:rPr>
        <w:fldChar w:fldCharType="separate"/>
      </w:r>
      <w:r w:rsidR="007D19D7">
        <w:rPr>
          <w:rFonts w:cs="Arial"/>
          <w:b/>
          <w:bCs/>
          <w:noProof/>
        </w:rPr>
        <w:t>3</w:t>
      </w:r>
      <w:r w:rsidR="00327D59">
        <w:rPr>
          <w:rFonts w:cs="Arial"/>
          <w:b/>
          <w:bCs/>
        </w:rPr>
        <w:fldChar w:fldCharType="end"/>
      </w:r>
      <w:r w:rsidR="00327D59">
        <w:rPr>
          <w:rFonts w:cs="Arial"/>
          <w:b/>
          <w:bCs/>
        </w:rPr>
        <w:noBreakHyphen/>
      </w:r>
      <w:r w:rsidR="00327D59">
        <w:rPr>
          <w:rFonts w:cs="Arial"/>
          <w:b/>
          <w:bCs/>
        </w:rPr>
        <w:fldChar w:fldCharType="begin"/>
      </w:r>
      <w:r w:rsidR="00327D59">
        <w:rPr>
          <w:rFonts w:cs="Arial"/>
          <w:b/>
          <w:bCs/>
        </w:rPr>
        <w:instrText xml:space="preserve"> SEQ Table \* ARABIC \s 1 </w:instrText>
      </w:r>
      <w:r w:rsidR="00327D59">
        <w:rPr>
          <w:rFonts w:cs="Arial"/>
          <w:b/>
          <w:bCs/>
        </w:rPr>
        <w:fldChar w:fldCharType="separate"/>
      </w:r>
      <w:r w:rsidR="007D19D7">
        <w:rPr>
          <w:rFonts w:cs="Arial"/>
          <w:b/>
          <w:bCs/>
          <w:noProof/>
        </w:rPr>
        <w:t>4</w:t>
      </w:r>
      <w:r w:rsidR="00327D59">
        <w:rPr>
          <w:rFonts w:cs="Arial"/>
          <w:b/>
          <w:bCs/>
        </w:rPr>
        <w:fldChar w:fldCharType="end"/>
      </w:r>
      <w:bookmarkEnd w:id="29"/>
      <w:r w:rsidRPr="00B769F5">
        <w:rPr>
          <w:rFonts w:cs="Arial"/>
          <w:b/>
          <w:bCs/>
        </w:rPr>
        <w:t xml:space="preserve"> </w:t>
      </w:r>
      <w:r w:rsidR="00A213C3" w:rsidRPr="00B769F5">
        <w:rPr>
          <w:rFonts w:cs="Arial"/>
          <w:b/>
          <w:bCs/>
        </w:rPr>
        <w:t>Prize draws for Pilot Survey 10 for the 1946-51 Cohort participants</w:t>
      </w:r>
    </w:p>
    <w:tbl>
      <w:tblPr>
        <w:tblStyle w:val="TableGrid"/>
        <w:tblW w:w="935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1614"/>
        <w:gridCol w:w="1930"/>
        <w:gridCol w:w="1937"/>
        <w:gridCol w:w="1937"/>
        <w:gridCol w:w="1938"/>
      </w:tblGrid>
      <w:tr w:rsidR="00A213C3" w14:paraId="1956C58B" w14:textId="77777777" w:rsidTr="00E86D5D">
        <w:tc>
          <w:tcPr>
            <w:tcW w:w="1614" w:type="dxa"/>
            <w:tcBorders>
              <w:bottom w:val="nil"/>
            </w:tcBorders>
          </w:tcPr>
          <w:p w14:paraId="4350256B" w14:textId="77777777" w:rsidR="00A213C3" w:rsidRDefault="00A213C3" w:rsidP="00E86D5D">
            <w:pPr>
              <w:spacing w:before="60" w:after="60" w:line="240" w:lineRule="auto"/>
              <w:rPr>
                <w:rFonts w:cs="Arial"/>
              </w:rPr>
            </w:pPr>
          </w:p>
        </w:tc>
        <w:tc>
          <w:tcPr>
            <w:tcW w:w="1930" w:type="dxa"/>
            <w:tcBorders>
              <w:top w:val="single" w:sz="8" w:space="0" w:color="auto"/>
              <w:bottom w:val="nil"/>
            </w:tcBorders>
          </w:tcPr>
          <w:p w14:paraId="74B84851" w14:textId="77777777" w:rsidR="00A213C3" w:rsidRDefault="00A213C3" w:rsidP="00E86D5D">
            <w:pPr>
              <w:spacing w:before="60" w:after="60" w:line="240" w:lineRule="auto"/>
              <w:jc w:val="center"/>
              <w:rPr>
                <w:rFonts w:cs="Arial"/>
                <w:b/>
                <w:bCs/>
              </w:rPr>
            </w:pPr>
          </w:p>
        </w:tc>
        <w:tc>
          <w:tcPr>
            <w:tcW w:w="5812" w:type="dxa"/>
            <w:gridSpan w:val="3"/>
            <w:tcBorders>
              <w:top w:val="single" w:sz="8" w:space="0" w:color="auto"/>
              <w:bottom w:val="single" w:sz="8" w:space="0" w:color="auto"/>
            </w:tcBorders>
          </w:tcPr>
          <w:p w14:paraId="5CBB5272" w14:textId="77777777" w:rsidR="00A213C3" w:rsidRPr="003D2F6C" w:rsidRDefault="00A213C3" w:rsidP="00E86D5D">
            <w:pPr>
              <w:spacing w:before="60" w:after="60" w:line="240" w:lineRule="auto"/>
              <w:jc w:val="center"/>
              <w:rPr>
                <w:rFonts w:cs="Arial"/>
                <w:b/>
                <w:bCs/>
              </w:rPr>
            </w:pPr>
            <w:r>
              <w:rPr>
                <w:rFonts w:cs="Arial"/>
                <w:b/>
                <w:bCs/>
              </w:rPr>
              <w:t>Survey to be completed by:</w:t>
            </w:r>
          </w:p>
        </w:tc>
      </w:tr>
      <w:tr w:rsidR="00A213C3" w14:paraId="7FE2E8CB" w14:textId="77777777" w:rsidTr="00E86D5D">
        <w:tc>
          <w:tcPr>
            <w:tcW w:w="1614" w:type="dxa"/>
            <w:tcBorders>
              <w:top w:val="nil"/>
              <w:bottom w:val="single" w:sz="8" w:space="0" w:color="auto"/>
            </w:tcBorders>
          </w:tcPr>
          <w:p w14:paraId="30E52F14" w14:textId="77777777" w:rsidR="00A213C3" w:rsidRDefault="00A213C3" w:rsidP="00E86D5D">
            <w:pPr>
              <w:spacing w:before="60" w:after="60" w:line="240" w:lineRule="auto"/>
              <w:rPr>
                <w:rFonts w:cs="Arial"/>
              </w:rPr>
            </w:pPr>
          </w:p>
        </w:tc>
        <w:tc>
          <w:tcPr>
            <w:tcW w:w="1930" w:type="dxa"/>
            <w:tcBorders>
              <w:top w:val="nil"/>
              <w:bottom w:val="single" w:sz="8" w:space="0" w:color="auto"/>
            </w:tcBorders>
          </w:tcPr>
          <w:p w14:paraId="634BD3FA" w14:textId="77777777" w:rsidR="00A213C3" w:rsidRPr="003D2F6C" w:rsidRDefault="00A213C3" w:rsidP="00E86D5D">
            <w:pPr>
              <w:spacing w:before="60" w:after="60" w:line="240" w:lineRule="auto"/>
              <w:jc w:val="center"/>
              <w:rPr>
                <w:rFonts w:cs="Arial"/>
                <w:b/>
                <w:bCs/>
              </w:rPr>
            </w:pPr>
            <w:r>
              <w:rPr>
                <w:rFonts w:cs="Arial"/>
                <w:b/>
                <w:bCs/>
              </w:rPr>
              <w:t>Prize</w:t>
            </w:r>
          </w:p>
        </w:tc>
        <w:tc>
          <w:tcPr>
            <w:tcW w:w="1937" w:type="dxa"/>
            <w:tcBorders>
              <w:top w:val="single" w:sz="8" w:space="0" w:color="auto"/>
              <w:bottom w:val="single" w:sz="8" w:space="0" w:color="auto"/>
            </w:tcBorders>
          </w:tcPr>
          <w:p w14:paraId="6F10031F" w14:textId="77777777" w:rsidR="00A213C3" w:rsidRPr="003D2F6C" w:rsidRDefault="00A213C3" w:rsidP="00E86D5D">
            <w:pPr>
              <w:spacing w:before="60" w:after="60" w:line="240" w:lineRule="auto"/>
              <w:jc w:val="center"/>
              <w:rPr>
                <w:rFonts w:cs="Arial"/>
                <w:b/>
                <w:bCs/>
              </w:rPr>
            </w:pPr>
            <w:r w:rsidRPr="003D2F6C">
              <w:rPr>
                <w:rFonts w:cs="Arial"/>
                <w:b/>
                <w:bCs/>
              </w:rPr>
              <w:t>5pm, 10 Jan 2022</w:t>
            </w:r>
          </w:p>
        </w:tc>
        <w:tc>
          <w:tcPr>
            <w:tcW w:w="1937" w:type="dxa"/>
            <w:tcBorders>
              <w:top w:val="single" w:sz="8" w:space="0" w:color="auto"/>
              <w:bottom w:val="single" w:sz="8" w:space="0" w:color="auto"/>
            </w:tcBorders>
          </w:tcPr>
          <w:p w14:paraId="5454AC47" w14:textId="77777777" w:rsidR="00A213C3" w:rsidRPr="003D2F6C" w:rsidRDefault="00A213C3" w:rsidP="00E86D5D">
            <w:pPr>
              <w:spacing w:before="60" w:after="60" w:line="240" w:lineRule="auto"/>
              <w:jc w:val="center"/>
              <w:rPr>
                <w:rFonts w:cs="Arial"/>
                <w:b/>
                <w:bCs/>
              </w:rPr>
            </w:pPr>
            <w:r w:rsidRPr="003D2F6C">
              <w:rPr>
                <w:rFonts w:cs="Arial"/>
                <w:b/>
                <w:bCs/>
              </w:rPr>
              <w:t>5pm, 14 Feb 2022</w:t>
            </w:r>
          </w:p>
        </w:tc>
        <w:tc>
          <w:tcPr>
            <w:tcW w:w="1938" w:type="dxa"/>
            <w:tcBorders>
              <w:top w:val="single" w:sz="8" w:space="0" w:color="auto"/>
              <w:bottom w:val="single" w:sz="8" w:space="0" w:color="auto"/>
            </w:tcBorders>
          </w:tcPr>
          <w:p w14:paraId="4F620EE9" w14:textId="77777777" w:rsidR="00A213C3" w:rsidRPr="003D2F6C" w:rsidRDefault="00A213C3" w:rsidP="00E86D5D">
            <w:pPr>
              <w:spacing w:before="60" w:after="60" w:line="240" w:lineRule="auto"/>
              <w:jc w:val="center"/>
              <w:rPr>
                <w:rFonts w:cs="Arial"/>
                <w:b/>
                <w:bCs/>
              </w:rPr>
            </w:pPr>
            <w:r w:rsidRPr="003D2F6C">
              <w:rPr>
                <w:rFonts w:cs="Arial"/>
                <w:b/>
                <w:bCs/>
              </w:rPr>
              <w:t>5pm, 11 Apr 2022</w:t>
            </w:r>
          </w:p>
        </w:tc>
      </w:tr>
      <w:tr w:rsidR="00A213C3" w14:paraId="3C10A4CC" w14:textId="77777777" w:rsidTr="00E86D5D">
        <w:tc>
          <w:tcPr>
            <w:tcW w:w="1614" w:type="dxa"/>
            <w:tcBorders>
              <w:top w:val="single" w:sz="8" w:space="0" w:color="auto"/>
            </w:tcBorders>
            <w:vAlign w:val="center"/>
          </w:tcPr>
          <w:p w14:paraId="3F09A005" w14:textId="77777777" w:rsidR="00A213C3" w:rsidRPr="003D2F6C" w:rsidRDefault="00A213C3" w:rsidP="00E86D5D">
            <w:pPr>
              <w:spacing w:before="60" w:after="60" w:line="240" w:lineRule="auto"/>
              <w:jc w:val="left"/>
              <w:rPr>
                <w:rFonts w:cs="Arial"/>
                <w:b/>
                <w:bCs/>
              </w:rPr>
            </w:pPr>
            <w:r w:rsidRPr="003D2F6C">
              <w:rPr>
                <w:rFonts w:cs="Arial"/>
                <w:b/>
                <w:bCs/>
              </w:rPr>
              <w:t>Prize Draw 1</w:t>
            </w:r>
          </w:p>
        </w:tc>
        <w:tc>
          <w:tcPr>
            <w:tcW w:w="1930" w:type="dxa"/>
            <w:tcBorders>
              <w:top w:val="single" w:sz="8" w:space="0" w:color="auto"/>
              <w:bottom w:val="single" w:sz="8" w:space="0" w:color="auto"/>
            </w:tcBorders>
            <w:shd w:val="clear" w:color="auto" w:fill="auto"/>
            <w:vAlign w:val="center"/>
          </w:tcPr>
          <w:p w14:paraId="6F4CA56C" w14:textId="77777777" w:rsidR="00A213C3" w:rsidRDefault="00A213C3" w:rsidP="00E86D5D">
            <w:pPr>
              <w:spacing w:before="60" w:after="60" w:line="240" w:lineRule="auto"/>
              <w:jc w:val="center"/>
            </w:pPr>
            <w:r>
              <w:t>$100 voucher</w:t>
            </w:r>
          </w:p>
          <w:p w14:paraId="6A73169E" w14:textId="77777777" w:rsidR="00A213C3" w:rsidRDefault="00A213C3" w:rsidP="00E86D5D">
            <w:pPr>
              <w:spacing w:before="60" w:after="60" w:line="240" w:lineRule="auto"/>
              <w:jc w:val="center"/>
              <w:rPr>
                <w:rFonts w:cs="Arial"/>
              </w:rPr>
            </w:pPr>
            <w:r>
              <w:t>(Two winners)</w:t>
            </w:r>
          </w:p>
        </w:tc>
        <w:tc>
          <w:tcPr>
            <w:tcW w:w="1937" w:type="dxa"/>
            <w:tcBorders>
              <w:top w:val="single" w:sz="8" w:space="0" w:color="auto"/>
              <w:bottom w:val="single" w:sz="8" w:space="0" w:color="auto"/>
            </w:tcBorders>
            <w:shd w:val="clear" w:color="auto" w:fill="E5DFEC" w:themeFill="accent4" w:themeFillTint="33"/>
            <w:vAlign w:val="center"/>
          </w:tcPr>
          <w:p w14:paraId="5C37AB4D" w14:textId="77777777" w:rsidR="00A213C3" w:rsidRDefault="00A213C3" w:rsidP="00E86D5D">
            <w:pPr>
              <w:spacing w:before="60" w:after="60" w:line="240" w:lineRule="auto"/>
              <w:jc w:val="center"/>
              <w:rPr>
                <w:rFonts w:cs="Arial"/>
              </w:rPr>
            </w:pPr>
            <w:r>
              <w:rPr>
                <w:rFonts w:cs="Arial"/>
              </w:rPr>
              <w:t>Eligible (1 entry)</w:t>
            </w:r>
          </w:p>
        </w:tc>
        <w:tc>
          <w:tcPr>
            <w:tcW w:w="1937" w:type="dxa"/>
            <w:tcBorders>
              <w:top w:val="single" w:sz="8" w:space="0" w:color="auto"/>
              <w:bottom w:val="single" w:sz="8" w:space="0" w:color="auto"/>
            </w:tcBorders>
            <w:vAlign w:val="center"/>
          </w:tcPr>
          <w:p w14:paraId="5EB38522" w14:textId="77777777" w:rsidR="00A213C3" w:rsidRDefault="00A213C3" w:rsidP="00E86D5D">
            <w:pPr>
              <w:spacing w:before="60" w:after="60" w:line="240" w:lineRule="auto"/>
              <w:jc w:val="center"/>
              <w:rPr>
                <w:rFonts w:cs="Arial"/>
              </w:rPr>
            </w:pPr>
          </w:p>
        </w:tc>
        <w:tc>
          <w:tcPr>
            <w:tcW w:w="1938" w:type="dxa"/>
            <w:tcBorders>
              <w:top w:val="single" w:sz="8" w:space="0" w:color="auto"/>
              <w:bottom w:val="single" w:sz="8" w:space="0" w:color="auto"/>
            </w:tcBorders>
            <w:vAlign w:val="center"/>
          </w:tcPr>
          <w:p w14:paraId="2807533A" w14:textId="77777777" w:rsidR="00A213C3" w:rsidRDefault="00A213C3" w:rsidP="00E86D5D">
            <w:pPr>
              <w:spacing w:before="60" w:after="60" w:line="240" w:lineRule="auto"/>
              <w:jc w:val="center"/>
              <w:rPr>
                <w:rFonts w:cs="Arial"/>
              </w:rPr>
            </w:pPr>
          </w:p>
        </w:tc>
      </w:tr>
      <w:tr w:rsidR="00A213C3" w14:paraId="63FE76F9" w14:textId="77777777" w:rsidTr="00E86D5D">
        <w:tc>
          <w:tcPr>
            <w:tcW w:w="1614" w:type="dxa"/>
            <w:vAlign w:val="center"/>
          </w:tcPr>
          <w:p w14:paraId="658EFFF2" w14:textId="77777777" w:rsidR="00A213C3" w:rsidRPr="003D2F6C" w:rsidRDefault="00A213C3" w:rsidP="00E86D5D">
            <w:pPr>
              <w:spacing w:before="60" w:after="60" w:line="240" w:lineRule="auto"/>
              <w:jc w:val="left"/>
              <w:rPr>
                <w:rFonts w:cs="Arial"/>
                <w:b/>
                <w:bCs/>
              </w:rPr>
            </w:pPr>
            <w:r w:rsidRPr="003D2F6C">
              <w:rPr>
                <w:rFonts w:cs="Arial"/>
                <w:b/>
                <w:bCs/>
              </w:rPr>
              <w:t>Prize Draw 2</w:t>
            </w:r>
          </w:p>
        </w:tc>
        <w:tc>
          <w:tcPr>
            <w:tcW w:w="1930" w:type="dxa"/>
            <w:tcBorders>
              <w:top w:val="single" w:sz="8" w:space="0" w:color="auto"/>
              <w:bottom w:val="single" w:sz="8" w:space="0" w:color="auto"/>
            </w:tcBorders>
            <w:vAlign w:val="center"/>
          </w:tcPr>
          <w:p w14:paraId="39FDDEF3" w14:textId="77777777" w:rsidR="00A213C3" w:rsidRDefault="00A213C3" w:rsidP="00E86D5D">
            <w:pPr>
              <w:spacing w:before="60" w:after="60" w:line="240" w:lineRule="auto"/>
              <w:jc w:val="center"/>
            </w:pPr>
            <w:r>
              <w:t>$100 vouchers</w:t>
            </w:r>
          </w:p>
          <w:p w14:paraId="5B5EE9AA" w14:textId="77777777" w:rsidR="00A213C3" w:rsidRDefault="00A213C3" w:rsidP="00E86D5D">
            <w:pPr>
              <w:spacing w:before="60" w:after="60" w:line="240" w:lineRule="auto"/>
              <w:jc w:val="center"/>
              <w:rPr>
                <w:rFonts w:cs="Arial"/>
              </w:rPr>
            </w:pPr>
            <w:r>
              <w:t>(Two winners)</w:t>
            </w:r>
          </w:p>
        </w:tc>
        <w:tc>
          <w:tcPr>
            <w:tcW w:w="1937" w:type="dxa"/>
            <w:tcBorders>
              <w:top w:val="single" w:sz="8" w:space="0" w:color="auto"/>
              <w:bottom w:val="single" w:sz="8" w:space="0" w:color="auto"/>
            </w:tcBorders>
            <w:vAlign w:val="center"/>
          </w:tcPr>
          <w:p w14:paraId="63371358" w14:textId="77777777" w:rsidR="00A213C3" w:rsidRDefault="00A213C3" w:rsidP="00E86D5D">
            <w:pPr>
              <w:spacing w:before="60" w:after="60" w:line="240" w:lineRule="auto"/>
              <w:jc w:val="center"/>
              <w:rPr>
                <w:rFonts w:cs="Arial"/>
              </w:rPr>
            </w:pPr>
          </w:p>
        </w:tc>
        <w:tc>
          <w:tcPr>
            <w:tcW w:w="1937" w:type="dxa"/>
            <w:tcBorders>
              <w:top w:val="single" w:sz="8" w:space="0" w:color="auto"/>
              <w:bottom w:val="single" w:sz="8" w:space="0" w:color="auto"/>
            </w:tcBorders>
            <w:shd w:val="clear" w:color="auto" w:fill="E5DFEC" w:themeFill="accent4" w:themeFillTint="33"/>
            <w:vAlign w:val="center"/>
          </w:tcPr>
          <w:p w14:paraId="52EE0915" w14:textId="77777777" w:rsidR="00A213C3" w:rsidRDefault="00A213C3" w:rsidP="00E86D5D">
            <w:pPr>
              <w:spacing w:before="60" w:after="60" w:line="240" w:lineRule="auto"/>
              <w:jc w:val="center"/>
              <w:rPr>
                <w:rFonts w:cs="Arial"/>
              </w:rPr>
            </w:pPr>
            <w:r>
              <w:rPr>
                <w:rFonts w:cs="Arial"/>
              </w:rPr>
              <w:t>Eligible (1 entry)</w:t>
            </w:r>
          </w:p>
        </w:tc>
        <w:tc>
          <w:tcPr>
            <w:tcW w:w="1938" w:type="dxa"/>
            <w:tcBorders>
              <w:top w:val="single" w:sz="8" w:space="0" w:color="auto"/>
              <w:bottom w:val="single" w:sz="8" w:space="0" w:color="auto"/>
            </w:tcBorders>
            <w:vAlign w:val="center"/>
          </w:tcPr>
          <w:p w14:paraId="10DF5CF9" w14:textId="77777777" w:rsidR="00A213C3" w:rsidRDefault="00A213C3" w:rsidP="00E86D5D">
            <w:pPr>
              <w:spacing w:before="60" w:after="60" w:line="240" w:lineRule="auto"/>
              <w:jc w:val="center"/>
              <w:rPr>
                <w:rFonts w:cs="Arial"/>
              </w:rPr>
            </w:pPr>
          </w:p>
        </w:tc>
      </w:tr>
      <w:tr w:rsidR="00A213C3" w14:paraId="609B9BC8" w14:textId="77777777" w:rsidTr="00E86D5D">
        <w:tc>
          <w:tcPr>
            <w:tcW w:w="1614" w:type="dxa"/>
            <w:vAlign w:val="center"/>
          </w:tcPr>
          <w:p w14:paraId="34272957" w14:textId="77777777" w:rsidR="00A213C3" w:rsidRPr="003D2F6C" w:rsidRDefault="00A213C3" w:rsidP="00E86D5D">
            <w:pPr>
              <w:spacing w:before="60" w:after="60" w:line="240" w:lineRule="auto"/>
              <w:jc w:val="left"/>
              <w:rPr>
                <w:rFonts w:cs="Arial"/>
                <w:b/>
                <w:bCs/>
              </w:rPr>
            </w:pPr>
            <w:r w:rsidRPr="003D2F6C">
              <w:rPr>
                <w:rFonts w:cs="Arial"/>
                <w:b/>
                <w:bCs/>
              </w:rPr>
              <w:t>Prize Draw 3 (Major)</w:t>
            </w:r>
          </w:p>
        </w:tc>
        <w:tc>
          <w:tcPr>
            <w:tcW w:w="1930" w:type="dxa"/>
            <w:tcBorders>
              <w:top w:val="single" w:sz="8" w:space="0" w:color="auto"/>
            </w:tcBorders>
            <w:vAlign w:val="center"/>
          </w:tcPr>
          <w:p w14:paraId="5D69C43F" w14:textId="77777777" w:rsidR="00A213C3" w:rsidRDefault="00A213C3" w:rsidP="00E86D5D">
            <w:pPr>
              <w:spacing w:before="60" w:after="60" w:line="240" w:lineRule="auto"/>
              <w:jc w:val="center"/>
            </w:pPr>
            <w:r>
              <w:t>$300 voucher</w:t>
            </w:r>
          </w:p>
          <w:p w14:paraId="3D9A9654" w14:textId="77777777" w:rsidR="00A213C3" w:rsidRDefault="00A213C3" w:rsidP="00E86D5D">
            <w:pPr>
              <w:spacing w:before="60" w:after="60" w:line="240" w:lineRule="auto"/>
              <w:jc w:val="center"/>
              <w:rPr>
                <w:rFonts w:cs="Arial"/>
              </w:rPr>
            </w:pPr>
            <w:r>
              <w:t>(One winner)</w:t>
            </w:r>
          </w:p>
        </w:tc>
        <w:tc>
          <w:tcPr>
            <w:tcW w:w="1937" w:type="dxa"/>
            <w:tcBorders>
              <w:top w:val="single" w:sz="8" w:space="0" w:color="auto"/>
            </w:tcBorders>
            <w:vAlign w:val="center"/>
          </w:tcPr>
          <w:p w14:paraId="6E85EE81" w14:textId="77777777" w:rsidR="00A213C3" w:rsidRDefault="00A213C3" w:rsidP="00E86D5D">
            <w:pPr>
              <w:spacing w:before="60" w:after="60" w:line="240" w:lineRule="auto"/>
              <w:jc w:val="center"/>
              <w:rPr>
                <w:rFonts w:cs="Arial"/>
              </w:rPr>
            </w:pPr>
          </w:p>
        </w:tc>
        <w:tc>
          <w:tcPr>
            <w:tcW w:w="1937" w:type="dxa"/>
            <w:tcBorders>
              <w:top w:val="single" w:sz="8" w:space="0" w:color="auto"/>
            </w:tcBorders>
            <w:vAlign w:val="center"/>
          </w:tcPr>
          <w:p w14:paraId="231BAA79" w14:textId="77777777" w:rsidR="00A213C3" w:rsidRDefault="00A213C3" w:rsidP="00E86D5D">
            <w:pPr>
              <w:spacing w:before="60" w:after="60" w:line="240" w:lineRule="auto"/>
              <w:jc w:val="center"/>
              <w:rPr>
                <w:rFonts w:cs="Arial"/>
              </w:rPr>
            </w:pPr>
          </w:p>
        </w:tc>
        <w:tc>
          <w:tcPr>
            <w:tcW w:w="1938" w:type="dxa"/>
            <w:tcBorders>
              <w:top w:val="single" w:sz="8" w:space="0" w:color="auto"/>
              <w:bottom w:val="single" w:sz="8" w:space="0" w:color="auto"/>
            </w:tcBorders>
            <w:shd w:val="clear" w:color="auto" w:fill="E5DFEC" w:themeFill="accent4" w:themeFillTint="33"/>
            <w:vAlign w:val="center"/>
          </w:tcPr>
          <w:p w14:paraId="7767B51A" w14:textId="77777777" w:rsidR="00A213C3" w:rsidRDefault="00A213C3" w:rsidP="00E86D5D">
            <w:pPr>
              <w:spacing w:before="60" w:after="60" w:line="240" w:lineRule="auto"/>
              <w:jc w:val="center"/>
              <w:rPr>
                <w:rFonts w:cs="Arial"/>
              </w:rPr>
            </w:pPr>
            <w:r>
              <w:rPr>
                <w:rFonts w:cs="Arial"/>
              </w:rPr>
              <w:t>Eligible (1 entry)</w:t>
            </w:r>
          </w:p>
        </w:tc>
      </w:tr>
    </w:tbl>
    <w:p w14:paraId="4CB432E1" w14:textId="77777777" w:rsidR="00A213C3" w:rsidRDefault="00A213C3" w:rsidP="00A213C3">
      <w:pPr>
        <w:spacing w:after="0"/>
        <w:rPr>
          <w:rFonts w:cs="Arial"/>
        </w:rPr>
      </w:pPr>
    </w:p>
    <w:p w14:paraId="3810B8CE" w14:textId="77777777" w:rsidR="00A213C3" w:rsidRDefault="00A213C3" w:rsidP="00901558">
      <w:pPr>
        <w:pStyle w:val="Heading4"/>
      </w:pPr>
      <w:r>
        <w:t xml:space="preserve">Invitation and </w:t>
      </w:r>
      <w:r w:rsidRPr="008B1DAF">
        <w:t>Reminder protocol</w:t>
      </w:r>
      <w:r>
        <w:t xml:space="preserve"> </w:t>
      </w:r>
    </w:p>
    <w:p w14:paraId="748E9338" w14:textId="385782C7" w:rsidR="00A213C3" w:rsidRDefault="00A213C3" w:rsidP="00A213C3">
      <w:pPr>
        <w:spacing w:after="0"/>
        <w:rPr>
          <w:rFonts w:cs="Arial"/>
        </w:rPr>
      </w:pPr>
      <w:r>
        <w:rPr>
          <w:rFonts w:cs="Arial"/>
        </w:rPr>
        <w:t xml:space="preserve">The invitation and reminder protocol </w:t>
      </w:r>
      <w:proofErr w:type="gramStart"/>
      <w:r>
        <w:rPr>
          <w:rFonts w:cs="Arial"/>
        </w:rPr>
        <w:t>is</w:t>
      </w:r>
      <w:proofErr w:type="gramEnd"/>
      <w:r>
        <w:rPr>
          <w:rFonts w:cs="Arial"/>
        </w:rPr>
        <w:t xml:space="preserve"> presented in</w:t>
      </w:r>
      <w:r w:rsidR="00B769F5">
        <w:rPr>
          <w:rFonts w:cs="Arial"/>
        </w:rPr>
        <w:t xml:space="preserve"> </w:t>
      </w:r>
      <w:r w:rsidR="00B769F5" w:rsidRPr="00B769F5">
        <w:rPr>
          <w:rFonts w:cs="Arial"/>
          <w:highlight w:val="cyan"/>
        </w:rPr>
        <w:fldChar w:fldCharType="begin"/>
      </w:r>
      <w:r w:rsidR="00B769F5" w:rsidRPr="00B769F5">
        <w:rPr>
          <w:rFonts w:cs="Arial"/>
        </w:rPr>
        <w:instrText xml:space="preserve"> REF _Ref113714504 \h </w:instrText>
      </w:r>
      <w:r w:rsidR="00B769F5" w:rsidRPr="009429DC">
        <w:rPr>
          <w:rFonts w:cs="Arial"/>
          <w:highlight w:val="cyan"/>
        </w:rPr>
        <w:instrText xml:space="preserve"> \* MERGEFORMAT </w:instrText>
      </w:r>
      <w:r w:rsidR="00B769F5" w:rsidRPr="00B769F5">
        <w:rPr>
          <w:rFonts w:cs="Arial"/>
          <w:highlight w:val="cyan"/>
        </w:rPr>
      </w:r>
      <w:r w:rsidR="00B769F5" w:rsidRPr="00B769F5">
        <w:rPr>
          <w:rFonts w:cs="Arial"/>
          <w:highlight w:val="cyan"/>
        </w:rPr>
        <w:fldChar w:fldCharType="separate"/>
      </w:r>
      <w:r w:rsidR="007D19D7" w:rsidRPr="007D19D7">
        <w:rPr>
          <w:rFonts w:cs="Arial"/>
        </w:rPr>
        <w:t xml:space="preserve">Figure </w:t>
      </w:r>
      <w:r w:rsidR="007D19D7" w:rsidRPr="007D19D7">
        <w:rPr>
          <w:rFonts w:cs="Arial"/>
          <w:noProof/>
        </w:rPr>
        <w:t>3</w:t>
      </w:r>
      <w:r w:rsidR="007D19D7" w:rsidRPr="007D19D7">
        <w:rPr>
          <w:rFonts w:cs="Arial"/>
          <w:noProof/>
        </w:rPr>
        <w:noBreakHyphen/>
        <w:t>1</w:t>
      </w:r>
      <w:r w:rsidR="00B769F5" w:rsidRPr="00B769F5">
        <w:rPr>
          <w:rFonts w:cs="Arial"/>
          <w:highlight w:val="cyan"/>
        </w:rPr>
        <w:fldChar w:fldCharType="end"/>
      </w:r>
      <w:r w:rsidRPr="00B769F5">
        <w:rPr>
          <w:rFonts w:cs="Arial"/>
        </w:rPr>
        <w:t>, while</w:t>
      </w:r>
      <w:r>
        <w:rPr>
          <w:rFonts w:cs="Arial"/>
        </w:rPr>
        <w:t xml:space="preserve"> the follow-up survey activities are presented in</w:t>
      </w:r>
      <w:r w:rsidR="00B769F5">
        <w:rPr>
          <w:rFonts w:cs="Arial"/>
        </w:rPr>
        <w:t xml:space="preserve"> </w:t>
      </w:r>
      <w:r w:rsidR="00B769F5">
        <w:rPr>
          <w:rFonts w:cs="Arial"/>
        </w:rPr>
        <w:fldChar w:fldCharType="begin"/>
      </w:r>
      <w:r w:rsidR="00B769F5">
        <w:rPr>
          <w:rFonts w:cs="Arial"/>
        </w:rPr>
        <w:instrText xml:space="preserve"> REF _Ref113714523 \h </w:instrText>
      </w:r>
      <w:r w:rsidR="00B769F5">
        <w:rPr>
          <w:rFonts w:cs="Arial"/>
        </w:rPr>
      </w:r>
      <w:r w:rsidR="00B769F5">
        <w:rPr>
          <w:rFonts w:cs="Arial"/>
        </w:rPr>
        <w:fldChar w:fldCharType="separate"/>
      </w:r>
      <w:r w:rsidR="007D19D7" w:rsidRPr="009429DC">
        <w:rPr>
          <w:rFonts w:cs="Arial"/>
          <w:b/>
          <w:bCs/>
        </w:rPr>
        <w:t xml:space="preserve">Table </w:t>
      </w:r>
      <w:r w:rsidR="007D19D7">
        <w:rPr>
          <w:rFonts w:cs="Arial"/>
          <w:b/>
          <w:bCs/>
          <w:noProof/>
        </w:rPr>
        <w:t>3</w:t>
      </w:r>
      <w:r w:rsidR="007D19D7">
        <w:rPr>
          <w:rFonts w:cs="Arial"/>
          <w:b/>
          <w:bCs/>
        </w:rPr>
        <w:noBreakHyphen/>
      </w:r>
      <w:r w:rsidR="007D19D7">
        <w:rPr>
          <w:rFonts w:cs="Arial"/>
          <w:b/>
          <w:bCs/>
          <w:noProof/>
        </w:rPr>
        <w:t>5</w:t>
      </w:r>
      <w:r w:rsidR="00B769F5">
        <w:rPr>
          <w:rFonts w:cs="Arial"/>
        </w:rPr>
        <w:fldChar w:fldCharType="end"/>
      </w:r>
      <w:r>
        <w:rPr>
          <w:rFonts w:cs="Arial"/>
        </w:rPr>
        <w:t>.</w:t>
      </w:r>
    </w:p>
    <w:p w14:paraId="1CB2CA20" w14:textId="77777777" w:rsidR="00A213C3" w:rsidRDefault="00A213C3" w:rsidP="00A213C3">
      <w:pPr>
        <w:spacing w:after="0"/>
        <w:rPr>
          <w:rFonts w:cs="Arial"/>
        </w:rPr>
      </w:pPr>
    </w:p>
    <w:p w14:paraId="2A6AA17C" w14:textId="77777777" w:rsidR="00A213C3" w:rsidRDefault="00A213C3" w:rsidP="00A213C3">
      <w:pPr>
        <w:spacing w:after="0"/>
        <w:rPr>
          <w:rFonts w:cs="Arial"/>
        </w:rPr>
      </w:pPr>
    </w:p>
    <w:p w14:paraId="57C1D3FC" w14:textId="77777777" w:rsidR="00A213C3" w:rsidRDefault="00A213C3" w:rsidP="00A213C3">
      <w:pPr>
        <w:spacing w:after="0"/>
        <w:rPr>
          <w:rFonts w:cs="Arial"/>
        </w:rPr>
      </w:pPr>
    </w:p>
    <w:p w14:paraId="41EE3E64" w14:textId="3C3B4348" w:rsidR="00A213C3" w:rsidRPr="00B769F5" w:rsidRDefault="00B769F5" w:rsidP="00B769F5">
      <w:pPr>
        <w:rPr>
          <w:rFonts w:cs="Arial"/>
          <w:b/>
          <w:bCs/>
        </w:rPr>
      </w:pPr>
      <w:bookmarkStart w:id="30" w:name="_Ref113714504"/>
      <w:r w:rsidRPr="00B769F5">
        <w:rPr>
          <w:rFonts w:cs="Arial"/>
          <w:b/>
          <w:bCs/>
        </w:rPr>
        <w:lastRenderedPageBreak/>
        <w:t xml:space="preserve">Figure </w:t>
      </w:r>
      <w:r w:rsidR="00621B2D">
        <w:rPr>
          <w:rFonts w:cs="Arial"/>
          <w:b/>
          <w:bCs/>
        </w:rPr>
        <w:fldChar w:fldCharType="begin"/>
      </w:r>
      <w:r w:rsidR="00621B2D">
        <w:rPr>
          <w:rFonts w:cs="Arial"/>
          <w:b/>
          <w:bCs/>
        </w:rPr>
        <w:instrText xml:space="preserve"> STYLEREF 1 \s </w:instrText>
      </w:r>
      <w:r w:rsidR="00621B2D">
        <w:rPr>
          <w:rFonts w:cs="Arial"/>
          <w:b/>
          <w:bCs/>
        </w:rPr>
        <w:fldChar w:fldCharType="separate"/>
      </w:r>
      <w:r w:rsidR="007D19D7">
        <w:rPr>
          <w:rFonts w:cs="Arial"/>
          <w:b/>
          <w:bCs/>
          <w:noProof/>
        </w:rPr>
        <w:t>3</w:t>
      </w:r>
      <w:r w:rsidR="00621B2D">
        <w:rPr>
          <w:rFonts w:cs="Arial"/>
          <w:b/>
          <w:bCs/>
        </w:rPr>
        <w:fldChar w:fldCharType="end"/>
      </w:r>
      <w:r w:rsidR="00621B2D">
        <w:rPr>
          <w:rFonts w:cs="Arial"/>
          <w:b/>
          <w:bCs/>
        </w:rPr>
        <w:noBreakHyphen/>
      </w:r>
      <w:r w:rsidR="00621B2D">
        <w:rPr>
          <w:rFonts w:cs="Arial"/>
          <w:b/>
          <w:bCs/>
        </w:rPr>
        <w:fldChar w:fldCharType="begin"/>
      </w:r>
      <w:r w:rsidR="00621B2D">
        <w:rPr>
          <w:rFonts w:cs="Arial"/>
          <w:b/>
          <w:bCs/>
        </w:rPr>
        <w:instrText xml:space="preserve"> SEQ Figure \* ARABIC \s 1 </w:instrText>
      </w:r>
      <w:r w:rsidR="00621B2D">
        <w:rPr>
          <w:rFonts w:cs="Arial"/>
          <w:b/>
          <w:bCs/>
        </w:rPr>
        <w:fldChar w:fldCharType="separate"/>
      </w:r>
      <w:r w:rsidR="007D19D7">
        <w:rPr>
          <w:rFonts w:cs="Arial"/>
          <w:b/>
          <w:bCs/>
          <w:noProof/>
        </w:rPr>
        <w:t>1</w:t>
      </w:r>
      <w:r w:rsidR="00621B2D">
        <w:rPr>
          <w:rFonts w:cs="Arial"/>
          <w:b/>
          <w:bCs/>
        </w:rPr>
        <w:fldChar w:fldCharType="end"/>
      </w:r>
      <w:bookmarkEnd w:id="30"/>
      <w:r w:rsidRPr="00B769F5">
        <w:rPr>
          <w:rFonts w:cs="Arial"/>
          <w:b/>
          <w:bCs/>
        </w:rPr>
        <w:t xml:space="preserve"> </w:t>
      </w:r>
      <w:r w:rsidR="00A213C3" w:rsidRPr="00B769F5">
        <w:rPr>
          <w:rFonts w:cs="Arial"/>
          <w:b/>
          <w:bCs/>
        </w:rPr>
        <w:t>Invitation and reminder protocol for Pilot Survey 10 for the 1946-51 Pilot Cohort</w:t>
      </w:r>
      <w:r w:rsidR="00E8397D">
        <w:rPr>
          <w:rFonts w:cs="Arial"/>
          <w:b/>
          <w:bCs/>
        </w:rPr>
        <w:t>.</w:t>
      </w:r>
    </w:p>
    <w:p w14:paraId="6BDC65FB" w14:textId="77777777" w:rsidR="00A213C3" w:rsidRDefault="00A213C3" w:rsidP="00A213C3">
      <w:pPr>
        <w:spacing w:after="0"/>
        <w:jc w:val="center"/>
        <w:rPr>
          <w:rFonts w:cs="Arial"/>
        </w:rPr>
      </w:pPr>
      <w:r>
        <w:rPr>
          <w:noProof/>
        </w:rPr>
        <w:drawing>
          <wp:inline distT="0" distB="0" distL="0" distR="0" wp14:anchorId="53E22E44" wp14:editId="2715CC9C">
            <wp:extent cx="4933747" cy="7494842"/>
            <wp:effectExtent l="0" t="0" r="63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5"/>
                    <a:stretch>
                      <a:fillRect/>
                    </a:stretch>
                  </pic:blipFill>
                  <pic:spPr>
                    <a:xfrm>
                      <a:off x="0" y="0"/>
                      <a:ext cx="4947096" cy="7515121"/>
                    </a:xfrm>
                    <a:prstGeom prst="rect">
                      <a:avLst/>
                    </a:prstGeom>
                  </pic:spPr>
                </pic:pic>
              </a:graphicData>
            </a:graphic>
          </wp:inline>
        </w:drawing>
      </w:r>
    </w:p>
    <w:p w14:paraId="01413E5B" w14:textId="77777777" w:rsidR="00A213C3" w:rsidRDefault="00A213C3" w:rsidP="00A213C3">
      <w:pPr>
        <w:spacing w:after="0"/>
        <w:rPr>
          <w:rFonts w:cs="Arial"/>
        </w:rPr>
      </w:pPr>
    </w:p>
    <w:p w14:paraId="3F01D963" w14:textId="60CC9ACA" w:rsidR="00A213C3" w:rsidRPr="009429DC" w:rsidRDefault="00B769F5" w:rsidP="009429DC">
      <w:pPr>
        <w:spacing w:after="40"/>
        <w:rPr>
          <w:rFonts w:cs="Arial"/>
          <w:b/>
          <w:bCs/>
        </w:rPr>
      </w:pPr>
      <w:bookmarkStart w:id="31" w:name="_Ref113714523"/>
      <w:r w:rsidRPr="009429DC">
        <w:rPr>
          <w:rFonts w:cs="Arial"/>
          <w:b/>
          <w:bCs/>
        </w:rPr>
        <w:lastRenderedPageBreak/>
        <w:t xml:space="preserve">Table </w:t>
      </w:r>
      <w:r w:rsidR="00327D59">
        <w:rPr>
          <w:rFonts w:cs="Arial"/>
          <w:b/>
          <w:bCs/>
        </w:rPr>
        <w:fldChar w:fldCharType="begin"/>
      </w:r>
      <w:r w:rsidR="00327D59">
        <w:rPr>
          <w:rFonts w:cs="Arial"/>
          <w:b/>
          <w:bCs/>
        </w:rPr>
        <w:instrText xml:space="preserve"> STYLEREF 1 \s </w:instrText>
      </w:r>
      <w:r w:rsidR="00327D59">
        <w:rPr>
          <w:rFonts w:cs="Arial"/>
          <w:b/>
          <w:bCs/>
        </w:rPr>
        <w:fldChar w:fldCharType="separate"/>
      </w:r>
      <w:r w:rsidR="007D19D7">
        <w:rPr>
          <w:rFonts w:cs="Arial"/>
          <w:b/>
          <w:bCs/>
          <w:noProof/>
        </w:rPr>
        <w:t>3</w:t>
      </w:r>
      <w:r w:rsidR="00327D59">
        <w:rPr>
          <w:rFonts w:cs="Arial"/>
          <w:b/>
          <w:bCs/>
        </w:rPr>
        <w:fldChar w:fldCharType="end"/>
      </w:r>
      <w:r w:rsidR="00327D59">
        <w:rPr>
          <w:rFonts w:cs="Arial"/>
          <w:b/>
          <w:bCs/>
        </w:rPr>
        <w:noBreakHyphen/>
      </w:r>
      <w:r w:rsidR="00327D59">
        <w:rPr>
          <w:rFonts w:cs="Arial"/>
          <w:b/>
          <w:bCs/>
        </w:rPr>
        <w:fldChar w:fldCharType="begin"/>
      </w:r>
      <w:r w:rsidR="00327D59">
        <w:rPr>
          <w:rFonts w:cs="Arial"/>
          <w:b/>
          <w:bCs/>
        </w:rPr>
        <w:instrText xml:space="preserve"> SEQ Table \* ARABIC \s 1 </w:instrText>
      </w:r>
      <w:r w:rsidR="00327D59">
        <w:rPr>
          <w:rFonts w:cs="Arial"/>
          <w:b/>
          <w:bCs/>
        </w:rPr>
        <w:fldChar w:fldCharType="separate"/>
      </w:r>
      <w:r w:rsidR="007D19D7">
        <w:rPr>
          <w:rFonts w:cs="Arial"/>
          <w:b/>
          <w:bCs/>
          <w:noProof/>
        </w:rPr>
        <w:t>5</w:t>
      </w:r>
      <w:r w:rsidR="00327D59">
        <w:rPr>
          <w:rFonts w:cs="Arial"/>
          <w:b/>
          <w:bCs/>
        </w:rPr>
        <w:fldChar w:fldCharType="end"/>
      </w:r>
      <w:bookmarkEnd w:id="31"/>
      <w:r w:rsidRPr="009429DC">
        <w:rPr>
          <w:rFonts w:cs="Arial"/>
          <w:b/>
          <w:bCs/>
        </w:rPr>
        <w:t xml:space="preserve"> </w:t>
      </w:r>
      <w:r w:rsidR="00A213C3" w:rsidRPr="009429DC">
        <w:rPr>
          <w:rFonts w:cs="Arial"/>
          <w:b/>
          <w:bCs/>
        </w:rPr>
        <w:t>Survey follow-up activity for the 1946-51 pilot cohort Survey 10</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69"/>
        <w:gridCol w:w="1466"/>
        <w:gridCol w:w="1135"/>
        <w:gridCol w:w="5380"/>
      </w:tblGrid>
      <w:tr w:rsidR="00A213C3" w:rsidRPr="00324BC7" w14:paraId="55FCB0CA" w14:textId="77777777" w:rsidTr="00E86D5D">
        <w:trPr>
          <w:cantSplit/>
        </w:trPr>
        <w:tc>
          <w:tcPr>
            <w:tcW w:w="732" w:type="pct"/>
            <w:tcBorders>
              <w:bottom w:val="single" w:sz="4" w:space="0" w:color="auto"/>
            </w:tcBorders>
            <w:shd w:val="clear" w:color="auto" w:fill="E5DFEC" w:themeFill="accent4" w:themeFillTint="33"/>
            <w:hideMark/>
          </w:tcPr>
          <w:p w14:paraId="44FD8AE0" w14:textId="77777777" w:rsidR="00A213C3" w:rsidRPr="00324BC7" w:rsidRDefault="00A213C3" w:rsidP="00E86D5D">
            <w:pPr>
              <w:spacing w:before="60" w:after="60" w:line="240" w:lineRule="auto"/>
              <w:jc w:val="left"/>
              <w:rPr>
                <w:b/>
                <w:bCs/>
              </w:rPr>
            </w:pPr>
            <w:r w:rsidRPr="00324BC7">
              <w:rPr>
                <w:b/>
                <w:bCs/>
              </w:rPr>
              <w:t xml:space="preserve">Date </w:t>
            </w:r>
          </w:p>
        </w:tc>
        <w:tc>
          <w:tcPr>
            <w:tcW w:w="784" w:type="pct"/>
            <w:tcBorders>
              <w:bottom w:val="single" w:sz="4" w:space="0" w:color="auto"/>
            </w:tcBorders>
            <w:shd w:val="clear" w:color="auto" w:fill="E5DFEC" w:themeFill="accent4" w:themeFillTint="33"/>
            <w:hideMark/>
          </w:tcPr>
          <w:p w14:paraId="4DC5857F" w14:textId="77777777" w:rsidR="00A213C3" w:rsidRPr="00324BC7" w:rsidRDefault="00A213C3" w:rsidP="00E86D5D">
            <w:pPr>
              <w:spacing w:before="60" w:after="60" w:line="240" w:lineRule="auto"/>
              <w:jc w:val="left"/>
              <w:rPr>
                <w:b/>
                <w:bCs/>
              </w:rPr>
            </w:pPr>
            <w:r w:rsidRPr="00324BC7">
              <w:rPr>
                <w:b/>
                <w:bCs/>
              </w:rPr>
              <w:t>Activity</w:t>
            </w:r>
          </w:p>
        </w:tc>
        <w:tc>
          <w:tcPr>
            <w:tcW w:w="607" w:type="pct"/>
            <w:tcBorders>
              <w:bottom w:val="single" w:sz="4" w:space="0" w:color="auto"/>
            </w:tcBorders>
            <w:shd w:val="clear" w:color="auto" w:fill="E5DFEC" w:themeFill="accent4" w:themeFillTint="33"/>
            <w:hideMark/>
          </w:tcPr>
          <w:p w14:paraId="2D9F35F9" w14:textId="77777777" w:rsidR="00A213C3" w:rsidRPr="00324BC7" w:rsidRDefault="00A213C3" w:rsidP="00E86D5D">
            <w:pPr>
              <w:spacing w:before="60" w:after="60" w:line="240" w:lineRule="auto"/>
              <w:jc w:val="left"/>
              <w:rPr>
                <w:b/>
                <w:bCs/>
              </w:rPr>
            </w:pPr>
            <w:r w:rsidRPr="00324BC7">
              <w:rPr>
                <w:b/>
                <w:bCs/>
              </w:rPr>
              <w:t>Step No.</w:t>
            </w:r>
          </w:p>
        </w:tc>
        <w:tc>
          <w:tcPr>
            <w:tcW w:w="2877" w:type="pct"/>
            <w:tcBorders>
              <w:bottom w:val="single" w:sz="4" w:space="0" w:color="auto"/>
            </w:tcBorders>
            <w:shd w:val="clear" w:color="auto" w:fill="E5DFEC" w:themeFill="accent4" w:themeFillTint="33"/>
            <w:hideMark/>
          </w:tcPr>
          <w:p w14:paraId="4FE66D52" w14:textId="77777777" w:rsidR="00A213C3" w:rsidRPr="00324BC7" w:rsidRDefault="00A213C3" w:rsidP="00E86D5D">
            <w:pPr>
              <w:spacing w:before="60" w:after="60" w:line="240" w:lineRule="auto"/>
              <w:jc w:val="left"/>
              <w:rPr>
                <w:b/>
                <w:bCs/>
              </w:rPr>
            </w:pPr>
            <w:r w:rsidRPr="00324BC7">
              <w:rPr>
                <w:b/>
                <w:bCs/>
              </w:rPr>
              <w:t>Items</w:t>
            </w:r>
          </w:p>
        </w:tc>
      </w:tr>
      <w:tr w:rsidR="00A213C3" w:rsidRPr="00475556" w14:paraId="7A2D86E9" w14:textId="77777777" w:rsidTr="00E86D5D">
        <w:trPr>
          <w:cantSplit/>
        </w:trPr>
        <w:tc>
          <w:tcPr>
            <w:tcW w:w="732" w:type="pct"/>
            <w:tcBorders>
              <w:bottom w:val="nil"/>
              <w:right w:val="single" w:sz="8" w:space="0" w:color="auto"/>
            </w:tcBorders>
            <w:hideMark/>
          </w:tcPr>
          <w:p w14:paraId="5A171298" w14:textId="77777777" w:rsidR="00A213C3" w:rsidRPr="00475556" w:rsidRDefault="00A213C3" w:rsidP="00E86D5D">
            <w:pPr>
              <w:spacing w:before="60" w:after="60" w:line="240" w:lineRule="auto"/>
              <w:jc w:val="left"/>
            </w:pPr>
            <w:r>
              <w:t>Dec 2021</w:t>
            </w:r>
          </w:p>
        </w:tc>
        <w:tc>
          <w:tcPr>
            <w:tcW w:w="784" w:type="pct"/>
            <w:tcBorders>
              <w:left w:val="single" w:sz="8" w:space="0" w:color="auto"/>
              <w:bottom w:val="nil"/>
              <w:right w:val="single" w:sz="8" w:space="0" w:color="auto"/>
            </w:tcBorders>
            <w:hideMark/>
          </w:tcPr>
          <w:p w14:paraId="4231298F" w14:textId="77777777" w:rsidR="00A213C3" w:rsidRPr="00475556" w:rsidRDefault="00A213C3" w:rsidP="00E86D5D">
            <w:pPr>
              <w:spacing w:before="60" w:after="60" w:line="240" w:lineRule="auto"/>
              <w:jc w:val="left"/>
            </w:pPr>
            <w:r w:rsidRPr="00475556">
              <w:t>Mailout</w:t>
            </w:r>
          </w:p>
        </w:tc>
        <w:tc>
          <w:tcPr>
            <w:tcW w:w="607" w:type="pct"/>
            <w:tcBorders>
              <w:left w:val="single" w:sz="8" w:space="0" w:color="auto"/>
              <w:bottom w:val="nil"/>
              <w:right w:val="single" w:sz="8" w:space="0" w:color="auto"/>
            </w:tcBorders>
            <w:hideMark/>
          </w:tcPr>
          <w:p w14:paraId="731432B4" w14:textId="77777777" w:rsidR="00A213C3" w:rsidRPr="00475556" w:rsidRDefault="00A213C3" w:rsidP="00E86D5D">
            <w:pPr>
              <w:spacing w:before="60" w:after="60" w:line="240" w:lineRule="auto"/>
              <w:jc w:val="left"/>
            </w:pPr>
            <w:r w:rsidRPr="00475556">
              <w:t>A</w:t>
            </w:r>
            <w:r>
              <w:t>1</w:t>
            </w:r>
          </w:p>
        </w:tc>
        <w:tc>
          <w:tcPr>
            <w:tcW w:w="2877" w:type="pct"/>
            <w:tcBorders>
              <w:left w:val="single" w:sz="8" w:space="0" w:color="auto"/>
              <w:bottom w:val="nil"/>
            </w:tcBorders>
            <w:hideMark/>
          </w:tcPr>
          <w:p w14:paraId="68EA28D6" w14:textId="77777777" w:rsidR="00A213C3" w:rsidRPr="00475556" w:rsidRDefault="00A213C3" w:rsidP="00E86D5D">
            <w:pPr>
              <w:spacing w:before="60" w:after="60" w:line="240" w:lineRule="auto"/>
              <w:jc w:val="left"/>
            </w:pPr>
            <w:r>
              <w:t>M</w:t>
            </w:r>
            <w:r w:rsidRPr="00475556">
              <w:t>ail invitation to do online survey</w:t>
            </w:r>
          </w:p>
        </w:tc>
      </w:tr>
      <w:tr w:rsidR="00A213C3" w:rsidRPr="00475556" w14:paraId="35A6CFCF" w14:textId="77777777" w:rsidTr="00E86D5D">
        <w:trPr>
          <w:cantSplit/>
        </w:trPr>
        <w:tc>
          <w:tcPr>
            <w:tcW w:w="732" w:type="pct"/>
            <w:tcBorders>
              <w:top w:val="nil"/>
              <w:bottom w:val="nil"/>
              <w:right w:val="single" w:sz="8" w:space="0" w:color="auto"/>
            </w:tcBorders>
          </w:tcPr>
          <w:p w14:paraId="3F9D8B6F" w14:textId="77777777" w:rsidR="00A213C3" w:rsidRPr="00475556" w:rsidRDefault="00A213C3" w:rsidP="00E86D5D">
            <w:pPr>
              <w:spacing w:before="60" w:after="60" w:line="240" w:lineRule="auto"/>
              <w:jc w:val="left"/>
            </w:pPr>
          </w:p>
        </w:tc>
        <w:tc>
          <w:tcPr>
            <w:tcW w:w="784" w:type="pct"/>
            <w:tcBorders>
              <w:top w:val="nil"/>
              <w:left w:val="single" w:sz="8" w:space="0" w:color="auto"/>
              <w:bottom w:val="nil"/>
              <w:right w:val="single" w:sz="8" w:space="0" w:color="auto"/>
            </w:tcBorders>
          </w:tcPr>
          <w:p w14:paraId="19FB05A8" w14:textId="77777777" w:rsidR="00A213C3" w:rsidRDefault="00A213C3" w:rsidP="00E86D5D">
            <w:pPr>
              <w:spacing w:before="60" w:after="60" w:line="240" w:lineRule="auto"/>
              <w:jc w:val="left"/>
            </w:pPr>
            <w:r>
              <w:t>Email</w:t>
            </w:r>
          </w:p>
        </w:tc>
        <w:tc>
          <w:tcPr>
            <w:tcW w:w="607" w:type="pct"/>
            <w:tcBorders>
              <w:top w:val="nil"/>
              <w:left w:val="single" w:sz="8" w:space="0" w:color="auto"/>
              <w:bottom w:val="nil"/>
              <w:right w:val="single" w:sz="8" w:space="0" w:color="auto"/>
            </w:tcBorders>
          </w:tcPr>
          <w:p w14:paraId="4E14B9D3" w14:textId="77777777" w:rsidR="00A213C3" w:rsidRPr="00475556" w:rsidRDefault="00A213C3" w:rsidP="00E86D5D">
            <w:pPr>
              <w:spacing w:before="60" w:after="60" w:line="240" w:lineRule="auto"/>
              <w:jc w:val="left"/>
            </w:pPr>
            <w:r w:rsidRPr="00475556">
              <w:t>A</w:t>
            </w:r>
            <w:r>
              <w:t>2</w:t>
            </w:r>
          </w:p>
        </w:tc>
        <w:tc>
          <w:tcPr>
            <w:tcW w:w="2877" w:type="pct"/>
            <w:tcBorders>
              <w:top w:val="nil"/>
              <w:left w:val="single" w:sz="8" w:space="0" w:color="auto"/>
              <w:bottom w:val="nil"/>
            </w:tcBorders>
          </w:tcPr>
          <w:p w14:paraId="0C29AB8C" w14:textId="77777777" w:rsidR="00A213C3" w:rsidRDefault="00A213C3" w:rsidP="00E86D5D">
            <w:pPr>
              <w:spacing w:before="60" w:after="60" w:line="240" w:lineRule="auto"/>
              <w:jc w:val="left"/>
            </w:pPr>
            <w:r>
              <w:t>Em</w:t>
            </w:r>
            <w:r w:rsidRPr="00475556">
              <w:t>ail invitation to do online survey</w:t>
            </w:r>
          </w:p>
        </w:tc>
      </w:tr>
      <w:tr w:rsidR="00A213C3" w:rsidRPr="00475556" w14:paraId="4335D589" w14:textId="77777777" w:rsidTr="00E86D5D">
        <w:trPr>
          <w:cantSplit/>
        </w:trPr>
        <w:tc>
          <w:tcPr>
            <w:tcW w:w="732" w:type="pct"/>
            <w:tcBorders>
              <w:top w:val="nil"/>
              <w:bottom w:val="single" w:sz="4" w:space="0" w:color="auto"/>
              <w:right w:val="single" w:sz="8" w:space="0" w:color="auto"/>
            </w:tcBorders>
          </w:tcPr>
          <w:p w14:paraId="5B7F09A5" w14:textId="77777777" w:rsidR="00A213C3" w:rsidRPr="00475556" w:rsidRDefault="00A213C3" w:rsidP="00E86D5D">
            <w:pPr>
              <w:spacing w:before="60" w:after="60" w:line="240" w:lineRule="auto"/>
              <w:jc w:val="left"/>
            </w:pPr>
          </w:p>
        </w:tc>
        <w:tc>
          <w:tcPr>
            <w:tcW w:w="784" w:type="pct"/>
            <w:tcBorders>
              <w:top w:val="nil"/>
              <w:left w:val="single" w:sz="8" w:space="0" w:color="auto"/>
              <w:bottom w:val="single" w:sz="4" w:space="0" w:color="auto"/>
              <w:right w:val="single" w:sz="8" w:space="0" w:color="auto"/>
            </w:tcBorders>
          </w:tcPr>
          <w:p w14:paraId="33A1E9CA" w14:textId="77777777" w:rsidR="00A213C3" w:rsidRPr="00475556" w:rsidRDefault="00A213C3" w:rsidP="00E86D5D">
            <w:pPr>
              <w:spacing w:before="60" w:after="60" w:line="240" w:lineRule="auto"/>
              <w:jc w:val="left"/>
            </w:pPr>
            <w:r>
              <w:t>SMS</w:t>
            </w:r>
          </w:p>
        </w:tc>
        <w:tc>
          <w:tcPr>
            <w:tcW w:w="607" w:type="pct"/>
            <w:tcBorders>
              <w:top w:val="nil"/>
              <w:left w:val="single" w:sz="8" w:space="0" w:color="auto"/>
              <w:bottom w:val="single" w:sz="4" w:space="0" w:color="auto"/>
              <w:right w:val="single" w:sz="8" w:space="0" w:color="auto"/>
            </w:tcBorders>
          </w:tcPr>
          <w:p w14:paraId="6592C4F8" w14:textId="77777777" w:rsidR="00A213C3" w:rsidRPr="00475556" w:rsidRDefault="00A213C3" w:rsidP="00E86D5D">
            <w:pPr>
              <w:spacing w:before="60" w:after="60" w:line="240" w:lineRule="auto"/>
              <w:jc w:val="left"/>
            </w:pPr>
            <w:r>
              <w:t>A3</w:t>
            </w:r>
          </w:p>
        </w:tc>
        <w:tc>
          <w:tcPr>
            <w:tcW w:w="2877" w:type="pct"/>
            <w:tcBorders>
              <w:top w:val="nil"/>
              <w:left w:val="single" w:sz="8" w:space="0" w:color="auto"/>
              <w:bottom w:val="single" w:sz="4" w:space="0" w:color="auto"/>
            </w:tcBorders>
          </w:tcPr>
          <w:p w14:paraId="4A9B4F16" w14:textId="77777777" w:rsidR="00A213C3" w:rsidRPr="00475556" w:rsidRDefault="00A213C3" w:rsidP="00E86D5D">
            <w:pPr>
              <w:spacing w:before="60" w:after="60" w:line="240" w:lineRule="auto"/>
              <w:jc w:val="left"/>
            </w:pPr>
            <w:r>
              <w:t>SMS</w:t>
            </w:r>
            <w:r w:rsidRPr="00475556">
              <w:t xml:space="preserve"> invitation to do online survey</w:t>
            </w:r>
            <w:r>
              <w:t xml:space="preserve"> (if email bounces)</w:t>
            </w:r>
          </w:p>
        </w:tc>
      </w:tr>
      <w:tr w:rsidR="00A213C3" w:rsidRPr="00475556" w14:paraId="2917169D" w14:textId="77777777" w:rsidTr="00E86D5D">
        <w:trPr>
          <w:cantSplit/>
        </w:trPr>
        <w:tc>
          <w:tcPr>
            <w:tcW w:w="732" w:type="pct"/>
            <w:tcBorders>
              <w:bottom w:val="nil"/>
            </w:tcBorders>
          </w:tcPr>
          <w:p w14:paraId="034DBABF" w14:textId="77777777" w:rsidR="00A213C3" w:rsidRPr="00475556" w:rsidRDefault="00A213C3" w:rsidP="00E86D5D">
            <w:pPr>
              <w:spacing w:before="60" w:after="60" w:line="240" w:lineRule="auto"/>
              <w:jc w:val="left"/>
            </w:pPr>
            <w:r>
              <w:t>Jan 2022</w:t>
            </w:r>
          </w:p>
        </w:tc>
        <w:tc>
          <w:tcPr>
            <w:tcW w:w="784" w:type="pct"/>
            <w:tcBorders>
              <w:bottom w:val="nil"/>
            </w:tcBorders>
          </w:tcPr>
          <w:p w14:paraId="5801D9EC" w14:textId="77777777" w:rsidR="00A213C3" w:rsidRPr="00475556" w:rsidRDefault="00A213C3" w:rsidP="00E86D5D">
            <w:pPr>
              <w:spacing w:before="60" w:after="60" w:line="240" w:lineRule="auto"/>
              <w:jc w:val="left"/>
            </w:pPr>
            <w:r>
              <w:t>Prize Draw 1</w:t>
            </w:r>
          </w:p>
        </w:tc>
        <w:tc>
          <w:tcPr>
            <w:tcW w:w="607" w:type="pct"/>
            <w:tcBorders>
              <w:bottom w:val="nil"/>
            </w:tcBorders>
          </w:tcPr>
          <w:p w14:paraId="5A1216D7" w14:textId="77777777" w:rsidR="00A213C3" w:rsidRPr="00475556" w:rsidRDefault="00A213C3" w:rsidP="00E86D5D">
            <w:pPr>
              <w:spacing w:before="60" w:after="60" w:line="240" w:lineRule="auto"/>
              <w:jc w:val="left"/>
            </w:pPr>
          </w:p>
        </w:tc>
        <w:tc>
          <w:tcPr>
            <w:tcW w:w="2877" w:type="pct"/>
            <w:tcBorders>
              <w:bottom w:val="nil"/>
            </w:tcBorders>
          </w:tcPr>
          <w:p w14:paraId="03031A5D" w14:textId="77777777" w:rsidR="00A213C3" w:rsidRPr="00475556" w:rsidRDefault="00A213C3" w:rsidP="00E86D5D">
            <w:pPr>
              <w:spacing w:before="60" w:after="60" w:line="240" w:lineRule="auto"/>
              <w:jc w:val="left"/>
            </w:pPr>
          </w:p>
        </w:tc>
      </w:tr>
      <w:tr w:rsidR="00A213C3" w:rsidRPr="00475556" w14:paraId="3A238E61" w14:textId="77777777" w:rsidTr="00E86D5D">
        <w:trPr>
          <w:cantSplit/>
        </w:trPr>
        <w:tc>
          <w:tcPr>
            <w:tcW w:w="732" w:type="pct"/>
            <w:tcBorders>
              <w:top w:val="nil"/>
              <w:bottom w:val="nil"/>
            </w:tcBorders>
          </w:tcPr>
          <w:p w14:paraId="75CB3AAF" w14:textId="77777777" w:rsidR="00A213C3" w:rsidRPr="00475556" w:rsidRDefault="00A213C3" w:rsidP="00E86D5D">
            <w:pPr>
              <w:spacing w:before="60" w:after="60" w:line="240" w:lineRule="auto"/>
              <w:jc w:val="left"/>
            </w:pPr>
          </w:p>
        </w:tc>
        <w:tc>
          <w:tcPr>
            <w:tcW w:w="784" w:type="pct"/>
            <w:tcBorders>
              <w:top w:val="nil"/>
              <w:bottom w:val="nil"/>
            </w:tcBorders>
          </w:tcPr>
          <w:p w14:paraId="10973E84" w14:textId="77777777" w:rsidR="00A213C3" w:rsidRPr="00475556" w:rsidRDefault="00A213C3" w:rsidP="00E86D5D">
            <w:pPr>
              <w:spacing w:before="60" w:after="60" w:line="240" w:lineRule="auto"/>
              <w:jc w:val="left"/>
            </w:pPr>
            <w:r>
              <w:t>Email</w:t>
            </w:r>
          </w:p>
        </w:tc>
        <w:tc>
          <w:tcPr>
            <w:tcW w:w="607" w:type="pct"/>
            <w:tcBorders>
              <w:top w:val="nil"/>
              <w:bottom w:val="nil"/>
            </w:tcBorders>
          </w:tcPr>
          <w:p w14:paraId="15461A02" w14:textId="77777777" w:rsidR="00A213C3" w:rsidRPr="00475556" w:rsidRDefault="00A213C3" w:rsidP="00E86D5D">
            <w:pPr>
              <w:spacing w:before="60" w:after="60" w:line="240" w:lineRule="auto"/>
              <w:jc w:val="left"/>
            </w:pPr>
            <w:r w:rsidRPr="00475556">
              <w:t>A</w:t>
            </w:r>
            <w:r>
              <w:t>4</w:t>
            </w:r>
          </w:p>
        </w:tc>
        <w:tc>
          <w:tcPr>
            <w:tcW w:w="2877" w:type="pct"/>
            <w:tcBorders>
              <w:top w:val="nil"/>
              <w:bottom w:val="nil"/>
            </w:tcBorders>
          </w:tcPr>
          <w:p w14:paraId="3D608037" w14:textId="77777777" w:rsidR="00A213C3" w:rsidRPr="00475556" w:rsidRDefault="00A213C3" w:rsidP="00E86D5D">
            <w:pPr>
              <w:spacing w:before="60" w:after="60" w:line="240" w:lineRule="auto"/>
              <w:jc w:val="left"/>
            </w:pPr>
            <w:r>
              <w:t>Email</w:t>
            </w:r>
            <w:r w:rsidRPr="00475556">
              <w:t xml:space="preserve"> reminder to do online survey</w:t>
            </w:r>
          </w:p>
        </w:tc>
      </w:tr>
      <w:tr w:rsidR="00A213C3" w:rsidRPr="00475556" w14:paraId="35EC986C" w14:textId="77777777" w:rsidTr="00E86D5D">
        <w:trPr>
          <w:cantSplit/>
        </w:trPr>
        <w:tc>
          <w:tcPr>
            <w:tcW w:w="732" w:type="pct"/>
            <w:tcBorders>
              <w:top w:val="nil"/>
              <w:bottom w:val="single" w:sz="4" w:space="0" w:color="auto"/>
            </w:tcBorders>
          </w:tcPr>
          <w:p w14:paraId="0119F543" w14:textId="77777777" w:rsidR="00A213C3" w:rsidRDefault="00A213C3" w:rsidP="00E86D5D">
            <w:pPr>
              <w:spacing w:before="60" w:after="60" w:line="240" w:lineRule="auto"/>
              <w:jc w:val="left"/>
            </w:pPr>
          </w:p>
        </w:tc>
        <w:tc>
          <w:tcPr>
            <w:tcW w:w="784" w:type="pct"/>
            <w:tcBorders>
              <w:top w:val="nil"/>
              <w:bottom w:val="single" w:sz="4" w:space="0" w:color="auto"/>
            </w:tcBorders>
          </w:tcPr>
          <w:p w14:paraId="5BE2AC88" w14:textId="77777777" w:rsidR="00A213C3" w:rsidRPr="00475556" w:rsidRDefault="00A213C3" w:rsidP="00E86D5D">
            <w:pPr>
              <w:spacing w:before="60" w:after="60" w:line="240" w:lineRule="auto"/>
              <w:jc w:val="left"/>
            </w:pPr>
            <w:r w:rsidRPr="00475556">
              <w:t>SMS</w:t>
            </w:r>
          </w:p>
        </w:tc>
        <w:tc>
          <w:tcPr>
            <w:tcW w:w="607" w:type="pct"/>
            <w:tcBorders>
              <w:top w:val="nil"/>
              <w:bottom w:val="single" w:sz="4" w:space="0" w:color="auto"/>
            </w:tcBorders>
          </w:tcPr>
          <w:p w14:paraId="2201C928" w14:textId="77777777" w:rsidR="00A213C3" w:rsidRPr="00475556" w:rsidRDefault="00A213C3" w:rsidP="00E86D5D">
            <w:pPr>
              <w:spacing w:before="60" w:after="60" w:line="240" w:lineRule="auto"/>
              <w:jc w:val="left"/>
            </w:pPr>
            <w:r w:rsidRPr="00475556">
              <w:t>A</w:t>
            </w:r>
            <w:r>
              <w:t>5</w:t>
            </w:r>
          </w:p>
        </w:tc>
        <w:tc>
          <w:tcPr>
            <w:tcW w:w="2877" w:type="pct"/>
            <w:tcBorders>
              <w:top w:val="nil"/>
              <w:bottom w:val="single" w:sz="4" w:space="0" w:color="auto"/>
            </w:tcBorders>
          </w:tcPr>
          <w:p w14:paraId="398ECA1D" w14:textId="77777777" w:rsidR="00A213C3" w:rsidRPr="00475556" w:rsidRDefault="00A213C3" w:rsidP="00E86D5D">
            <w:pPr>
              <w:spacing w:before="60" w:after="60" w:line="240" w:lineRule="auto"/>
              <w:jc w:val="left"/>
            </w:pPr>
            <w:r w:rsidRPr="00475556">
              <w:t>SMS reminders to do survey</w:t>
            </w:r>
          </w:p>
        </w:tc>
      </w:tr>
      <w:tr w:rsidR="00A213C3" w:rsidRPr="00475556" w14:paraId="0529EED5" w14:textId="77777777" w:rsidTr="00E86D5D">
        <w:trPr>
          <w:cantSplit/>
        </w:trPr>
        <w:tc>
          <w:tcPr>
            <w:tcW w:w="732" w:type="pct"/>
            <w:tcBorders>
              <w:bottom w:val="nil"/>
            </w:tcBorders>
          </w:tcPr>
          <w:p w14:paraId="50A03190" w14:textId="77777777" w:rsidR="00A213C3" w:rsidRDefault="00A213C3" w:rsidP="00E86D5D">
            <w:pPr>
              <w:spacing w:before="60" w:after="60" w:line="240" w:lineRule="auto"/>
              <w:jc w:val="left"/>
            </w:pPr>
            <w:r>
              <w:t>Feb 2022</w:t>
            </w:r>
          </w:p>
        </w:tc>
        <w:tc>
          <w:tcPr>
            <w:tcW w:w="784" w:type="pct"/>
            <w:tcBorders>
              <w:bottom w:val="nil"/>
            </w:tcBorders>
          </w:tcPr>
          <w:p w14:paraId="2C9A4259" w14:textId="77777777" w:rsidR="00A213C3" w:rsidRPr="00475556" w:rsidRDefault="00A213C3" w:rsidP="00E86D5D">
            <w:pPr>
              <w:spacing w:before="60" w:after="60" w:line="240" w:lineRule="auto"/>
              <w:jc w:val="left"/>
            </w:pPr>
            <w:r>
              <w:t>Prize Draw 2</w:t>
            </w:r>
          </w:p>
        </w:tc>
        <w:tc>
          <w:tcPr>
            <w:tcW w:w="607" w:type="pct"/>
            <w:tcBorders>
              <w:bottom w:val="nil"/>
            </w:tcBorders>
          </w:tcPr>
          <w:p w14:paraId="34F00C6D" w14:textId="77777777" w:rsidR="00A213C3" w:rsidRPr="00475556" w:rsidRDefault="00A213C3" w:rsidP="00E86D5D">
            <w:pPr>
              <w:spacing w:before="60" w:after="60" w:line="240" w:lineRule="auto"/>
              <w:jc w:val="left"/>
            </w:pPr>
          </w:p>
        </w:tc>
        <w:tc>
          <w:tcPr>
            <w:tcW w:w="2877" w:type="pct"/>
            <w:tcBorders>
              <w:bottom w:val="nil"/>
            </w:tcBorders>
          </w:tcPr>
          <w:p w14:paraId="78197EFF" w14:textId="77777777" w:rsidR="00A213C3" w:rsidRPr="00475556" w:rsidRDefault="00A213C3" w:rsidP="00E86D5D">
            <w:pPr>
              <w:spacing w:before="60" w:after="60" w:line="240" w:lineRule="auto"/>
              <w:jc w:val="left"/>
            </w:pPr>
          </w:p>
        </w:tc>
      </w:tr>
      <w:tr w:rsidR="00A213C3" w:rsidRPr="00475556" w14:paraId="09580C8C" w14:textId="77777777" w:rsidTr="00E86D5D">
        <w:trPr>
          <w:cantSplit/>
        </w:trPr>
        <w:tc>
          <w:tcPr>
            <w:tcW w:w="732" w:type="pct"/>
            <w:tcBorders>
              <w:top w:val="nil"/>
              <w:bottom w:val="single" w:sz="4" w:space="0" w:color="auto"/>
            </w:tcBorders>
          </w:tcPr>
          <w:p w14:paraId="34BC0DF6" w14:textId="77777777" w:rsidR="00A213C3" w:rsidRDefault="00A213C3" w:rsidP="00E86D5D">
            <w:pPr>
              <w:spacing w:before="60" w:after="60" w:line="240" w:lineRule="auto"/>
              <w:jc w:val="left"/>
            </w:pPr>
          </w:p>
        </w:tc>
        <w:tc>
          <w:tcPr>
            <w:tcW w:w="784" w:type="pct"/>
            <w:tcBorders>
              <w:top w:val="nil"/>
              <w:bottom w:val="single" w:sz="4" w:space="0" w:color="auto"/>
            </w:tcBorders>
          </w:tcPr>
          <w:p w14:paraId="2D707321" w14:textId="77777777" w:rsidR="00A213C3" w:rsidRPr="00475556" w:rsidRDefault="00A213C3" w:rsidP="00E86D5D">
            <w:pPr>
              <w:spacing w:before="60" w:after="60" w:line="240" w:lineRule="auto"/>
              <w:jc w:val="left"/>
            </w:pPr>
            <w:r w:rsidRPr="00475556">
              <w:t>Mailout</w:t>
            </w:r>
          </w:p>
        </w:tc>
        <w:tc>
          <w:tcPr>
            <w:tcW w:w="607" w:type="pct"/>
            <w:tcBorders>
              <w:top w:val="nil"/>
              <w:bottom w:val="single" w:sz="4" w:space="0" w:color="auto"/>
            </w:tcBorders>
          </w:tcPr>
          <w:p w14:paraId="4DFD8DE2" w14:textId="77777777" w:rsidR="00A213C3" w:rsidRPr="00475556" w:rsidRDefault="00A213C3" w:rsidP="00E86D5D">
            <w:pPr>
              <w:spacing w:before="60" w:after="60" w:line="240" w:lineRule="auto"/>
              <w:jc w:val="left"/>
            </w:pPr>
            <w:r w:rsidRPr="00475556">
              <w:t>A</w:t>
            </w:r>
            <w:r>
              <w:t>6</w:t>
            </w:r>
          </w:p>
        </w:tc>
        <w:tc>
          <w:tcPr>
            <w:tcW w:w="2877" w:type="pct"/>
            <w:tcBorders>
              <w:top w:val="nil"/>
              <w:bottom w:val="single" w:sz="4" w:space="0" w:color="auto"/>
            </w:tcBorders>
          </w:tcPr>
          <w:p w14:paraId="1338E93A" w14:textId="77777777" w:rsidR="00A213C3" w:rsidRPr="00475556" w:rsidRDefault="00A213C3" w:rsidP="00E86D5D">
            <w:pPr>
              <w:spacing w:before="60" w:after="60" w:line="240" w:lineRule="auto"/>
              <w:jc w:val="left"/>
            </w:pPr>
            <w:r w:rsidRPr="00475556">
              <w:t xml:space="preserve">Mailed package (letter with online survey link, paper survey, change of details card, reply-paid envelope </w:t>
            </w:r>
          </w:p>
        </w:tc>
      </w:tr>
      <w:tr w:rsidR="00A213C3" w:rsidRPr="00475556" w14:paraId="04020FE0" w14:textId="77777777" w:rsidTr="00E86D5D">
        <w:trPr>
          <w:cantSplit/>
        </w:trPr>
        <w:tc>
          <w:tcPr>
            <w:tcW w:w="732" w:type="pct"/>
            <w:tcBorders>
              <w:bottom w:val="nil"/>
            </w:tcBorders>
          </w:tcPr>
          <w:p w14:paraId="11E60C5C" w14:textId="77777777" w:rsidR="00A213C3" w:rsidRDefault="00A213C3" w:rsidP="00E86D5D">
            <w:pPr>
              <w:spacing w:before="60" w:after="60" w:line="240" w:lineRule="auto"/>
              <w:jc w:val="left"/>
            </w:pPr>
            <w:r>
              <w:t>Mar 2022</w:t>
            </w:r>
          </w:p>
        </w:tc>
        <w:tc>
          <w:tcPr>
            <w:tcW w:w="784" w:type="pct"/>
            <w:tcBorders>
              <w:bottom w:val="nil"/>
            </w:tcBorders>
          </w:tcPr>
          <w:p w14:paraId="4174F36C" w14:textId="77777777" w:rsidR="00A213C3" w:rsidRPr="00475556" w:rsidRDefault="00A213C3" w:rsidP="00E86D5D">
            <w:pPr>
              <w:spacing w:before="60" w:after="60" w:line="240" w:lineRule="auto"/>
              <w:jc w:val="left"/>
            </w:pPr>
            <w:r w:rsidRPr="00475556">
              <w:t>Phone call</w:t>
            </w:r>
          </w:p>
        </w:tc>
        <w:tc>
          <w:tcPr>
            <w:tcW w:w="607" w:type="pct"/>
            <w:tcBorders>
              <w:bottom w:val="nil"/>
            </w:tcBorders>
          </w:tcPr>
          <w:p w14:paraId="3EAB5372" w14:textId="77777777" w:rsidR="00A213C3" w:rsidRPr="00475556" w:rsidRDefault="00A213C3" w:rsidP="00E86D5D">
            <w:pPr>
              <w:spacing w:before="60" w:after="60" w:line="240" w:lineRule="auto"/>
              <w:jc w:val="left"/>
            </w:pPr>
            <w:r w:rsidRPr="00475556">
              <w:t>A</w:t>
            </w:r>
            <w:r>
              <w:t>7</w:t>
            </w:r>
          </w:p>
        </w:tc>
        <w:tc>
          <w:tcPr>
            <w:tcW w:w="2877" w:type="pct"/>
            <w:tcBorders>
              <w:bottom w:val="nil"/>
            </w:tcBorders>
          </w:tcPr>
          <w:p w14:paraId="4DAD14C1" w14:textId="77777777" w:rsidR="00A213C3" w:rsidRPr="00475556" w:rsidRDefault="00A213C3" w:rsidP="00E86D5D">
            <w:pPr>
              <w:spacing w:before="60" w:after="60" w:line="240" w:lineRule="auto"/>
              <w:jc w:val="left"/>
            </w:pPr>
            <w:r w:rsidRPr="00475556">
              <w:t>Phone call reminder to do survey</w:t>
            </w:r>
          </w:p>
        </w:tc>
      </w:tr>
      <w:tr w:rsidR="00A213C3" w:rsidRPr="00475556" w14:paraId="21F50182" w14:textId="77777777" w:rsidTr="00E86D5D">
        <w:trPr>
          <w:cantSplit/>
        </w:trPr>
        <w:tc>
          <w:tcPr>
            <w:tcW w:w="732" w:type="pct"/>
            <w:tcBorders>
              <w:top w:val="nil"/>
              <w:bottom w:val="nil"/>
            </w:tcBorders>
          </w:tcPr>
          <w:p w14:paraId="5E27BD18" w14:textId="77777777" w:rsidR="00A213C3" w:rsidRPr="00475556" w:rsidRDefault="00A213C3" w:rsidP="00E86D5D">
            <w:pPr>
              <w:spacing w:before="60" w:after="60" w:line="240" w:lineRule="auto"/>
              <w:jc w:val="left"/>
            </w:pPr>
          </w:p>
        </w:tc>
        <w:tc>
          <w:tcPr>
            <w:tcW w:w="784" w:type="pct"/>
            <w:tcBorders>
              <w:top w:val="nil"/>
              <w:bottom w:val="nil"/>
            </w:tcBorders>
          </w:tcPr>
          <w:p w14:paraId="358E2ED1" w14:textId="77777777" w:rsidR="00A213C3" w:rsidRPr="00475556" w:rsidRDefault="00A213C3" w:rsidP="00E86D5D">
            <w:pPr>
              <w:spacing w:before="60" w:after="60" w:line="240" w:lineRule="auto"/>
              <w:jc w:val="left"/>
            </w:pPr>
            <w:r w:rsidRPr="00475556">
              <w:t>Email</w:t>
            </w:r>
          </w:p>
        </w:tc>
        <w:tc>
          <w:tcPr>
            <w:tcW w:w="607" w:type="pct"/>
            <w:tcBorders>
              <w:top w:val="nil"/>
              <w:bottom w:val="nil"/>
            </w:tcBorders>
          </w:tcPr>
          <w:p w14:paraId="2AA6CD63" w14:textId="77777777" w:rsidR="00A213C3" w:rsidRPr="00475556" w:rsidRDefault="00A213C3" w:rsidP="00E86D5D">
            <w:pPr>
              <w:spacing w:before="60" w:after="60" w:line="240" w:lineRule="auto"/>
              <w:jc w:val="left"/>
            </w:pPr>
            <w:r w:rsidRPr="00475556">
              <w:t>A</w:t>
            </w:r>
            <w:r>
              <w:t>8</w:t>
            </w:r>
          </w:p>
        </w:tc>
        <w:tc>
          <w:tcPr>
            <w:tcW w:w="2877" w:type="pct"/>
            <w:tcBorders>
              <w:top w:val="nil"/>
              <w:bottom w:val="nil"/>
            </w:tcBorders>
          </w:tcPr>
          <w:p w14:paraId="5C22110D" w14:textId="77777777" w:rsidR="00A213C3" w:rsidRPr="00475556" w:rsidRDefault="00A213C3" w:rsidP="00E86D5D">
            <w:pPr>
              <w:spacing w:before="60" w:after="60" w:line="240" w:lineRule="auto"/>
              <w:jc w:val="left"/>
            </w:pPr>
            <w:r w:rsidRPr="00475556">
              <w:t xml:space="preserve">Email reminder </w:t>
            </w:r>
            <w:r>
              <w:t>about completing</w:t>
            </w:r>
            <w:r w:rsidRPr="00475556">
              <w:t xml:space="preserve"> survey</w:t>
            </w:r>
            <w:r>
              <w:t xml:space="preserve"> &amp; prize draw 3 </w:t>
            </w:r>
          </w:p>
        </w:tc>
      </w:tr>
      <w:tr w:rsidR="00A213C3" w:rsidRPr="00475556" w14:paraId="5EA47366" w14:textId="77777777" w:rsidTr="00E86D5D">
        <w:trPr>
          <w:cantSplit/>
        </w:trPr>
        <w:tc>
          <w:tcPr>
            <w:tcW w:w="732" w:type="pct"/>
            <w:tcBorders>
              <w:top w:val="nil"/>
              <w:bottom w:val="single" w:sz="4" w:space="0" w:color="auto"/>
            </w:tcBorders>
          </w:tcPr>
          <w:p w14:paraId="4F478D46" w14:textId="77777777" w:rsidR="00A213C3" w:rsidRPr="00475556" w:rsidRDefault="00A213C3" w:rsidP="00E86D5D">
            <w:pPr>
              <w:spacing w:before="60" w:after="60" w:line="240" w:lineRule="auto"/>
              <w:jc w:val="left"/>
            </w:pPr>
          </w:p>
        </w:tc>
        <w:tc>
          <w:tcPr>
            <w:tcW w:w="784" w:type="pct"/>
            <w:tcBorders>
              <w:top w:val="nil"/>
              <w:bottom w:val="single" w:sz="4" w:space="0" w:color="auto"/>
            </w:tcBorders>
          </w:tcPr>
          <w:p w14:paraId="0703A75A" w14:textId="77777777" w:rsidR="00A213C3" w:rsidRPr="00475556" w:rsidRDefault="00A213C3" w:rsidP="00E86D5D">
            <w:pPr>
              <w:spacing w:before="60" w:after="60" w:line="240" w:lineRule="auto"/>
              <w:jc w:val="left"/>
            </w:pPr>
            <w:r w:rsidRPr="00475556">
              <w:t>Email</w:t>
            </w:r>
          </w:p>
        </w:tc>
        <w:tc>
          <w:tcPr>
            <w:tcW w:w="607" w:type="pct"/>
            <w:tcBorders>
              <w:top w:val="nil"/>
              <w:bottom w:val="single" w:sz="4" w:space="0" w:color="auto"/>
            </w:tcBorders>
          </w:tcPr>
          <w:p w14:paraId="3237D0E8" w14:textId="77777777" w:rsidR="00A213C3" w:rsidRPr="00475556" w:rsidRDefault="00A213C3" w:rsidP="00E86D5D">
            <w:pPr>
              <w:spacing w:before="60" w:after="60" w:line="240" w:lineRule="auto"/>
              <w:jc w:val="left"/>
            </w:pPr>
            <w:r w:rsidRPr="00475556">
              <w:t>A</w:t>
            </w:r>
            <w:r>
              <w:t>9</w:t>
            </w:r>
          </w:p>
        </w:tc>
        <w:tc>
          <w:tcPr>
            <w:tcW w:w="2877" w:type="pct"/>
            <w:tcBorders>
              <w:top w:val="nil"/>
              <w:bottom w:val="single" w:sz="4" w:space="0" w:color="auto"/>
            </w:tcBorders>
          </w:tcPr>
          <w:p w14:paraId="22562A60" w14:textId="77777777" w:rsidR="00A213C3" w:rsidRPr="00475556" w:rsidRDefault="00A213C3" w:rsidP="00E86D5D">
            <w:pPr>
              <w:spacing w:before="60" w:after="60" w:line="240" w:lineRule="auto"/>
              <w:jc w:val="left"/>
            </w:pPr>
            <w:r w:rsidRPr="00475556">
              <w:t>Email survey link following request during phone call</w:t>
            </w:r>
          </w:p>
        </w:tc>
      </w:tr>
      <w:tr w:rsidR="00A213C3" w:rsidRPr="00475556" w14:paraId="2BC4318D" w14:textId="77777777" w:rsidTr="00E86D5D">
        <w:trPr>
          <w:cantSplit/>
        </w:trPr>
        <w:tc>
          <w:tcPr>
            <w:tcW w:w="732" w:type="pct"/>
            <w:tcBorders>
              <w:bottom w:val="nil"/>
            </w:tcBorders>
          </w:tcPr>
          <w:p w14:paraId="65EBF7AE" w14:textId="77777777" w:rsidR="00A213C3" w:rsidRPr="00475556" w:rsidRDefault="00A213C3" w:rsidP="00E86D5D">
            <w:pPr>
              <w:spacing w:before="60" w:after="60" w:line="240" w:lineRule="auto"/>
              <w:jc w:val="left"/>
            </w:pPr>
            <w:r>
              <w:t>Apr 2022</w:t>
            </w:r>
          </w:p>
        </w:tc>
        <w:tc>
          <w:tcPr>
            <w:tcW w:w="784" w:type="pct"/>
            <w:tcBorders>
              <w:bottom w:val="nil"/>
            </w:tcBorders>
          </w:tcPr>
          <w:p w14:paraId="2889B012" w14:textId="77777777" w:rsidR="00A213C3" w:rsidRPr="00475556" w:rsidRDefault="00A213C3" w:rsidP="00E86D5D">
            <w:pPr>
              <w:spacing w:before="60" w:after="60" w:line="240" w:lineRule="auto"/>
              <w:jc w:val="left"/>
            </w:pPr>
            <w:r>
              <w:t>SMS</w:t>
            </w:r>
          </w:p>
        </w:tc>
        <w:tc>
          <w:tcPr>
            <w:tcW w:w="607" w:type="pct"/>
            <w:tcBorders>
              <w:bottom w:val="nil"/>
            </w:tcBorders>
          </w:tcPr>
          <w:p w14:paraId="45345E8E" w14:textId="77777777" w:rsidR="00A213C3" w:rsidRPr="00475556" w:rsidRDefault="00A213C3" w:rsidP="00E86D5D">
            <w:pPr>
              <w:spacing w:before="60" w:after="60" w:line="240" w:lineRule="auto"/>
              <w:jc w:val="left"/>
            </w:pPr>
            <w:r w:rsidRPr="00475556">
              <w:t>A</w:t>
            </w:r>
            <w:r>
              <w:t>10</w:t>
            </w:r>
          </w:p>
        </w:tc>
        <w:tc>
          <w:tcPr>
            <w:tcW w:w="2877" w:type="pct"/>
            <w:tcBorders>
              <w:bottom w:val="nil"/>
            </w:tcBorders>
          </w:tcPr>
          <w:p w14:paraId="051C5A63" w14:textId="77777777" w:rsidR="00A213C3" w:rsidRPr="00475556" w:rsidRDefault="00A213C3" w:rsidP="00E86D5D">
            <w:pPr>
              <w:spacing w:before="60" w:after="60" w:line="240" w:lineRule="auto"/>
              <w:jc w:val="left"/>
            </w:pPr>
            <w:r>
              <w:t>SMS</w:t>
            </w:r>
            <w:r w:rsidRPr="00475556">
              <w:t xml:space="preserve"> reminder </w:t>
            </w:r>
            <w:r>
              <w:t>about completing</w:t>
            </w:r>
            <w:r w:rsidRPr="00475556">
              <w:t xml:space="preserve"> survey</w:t>
            </w:r>
            <w:r>
              <w:t xml:space="preserve"> &amp; final prize draw </w:t>
            </w:r>
          </w:p>
        </w:tc>
      </w:tr>
      <w:tr w:rsidR="00A213C3" w:rsidRPr="00475556" w14:paraId="40C178F8" w14:textId="77777777" w:rsidTr="00E86D5D">
        <w:trPr>
          <w:cantSplit/>
        </w:trPr>
        <w:tc>
          <w:tcPr>
            <w:tcW w:w="732" w:type="pct"/>
            <w:tcBorders>
              <w:top w:val="nil"/>
              <w:bottom w:val="nil"/>
            </w:tcBorders>
          </w:tcPr>
          <w:p w14:paraId="20ADC0CC" w14:textId="77777777" w:rsidR="00A213C3" w:rsidRDefault="00A213C3" w:rsidP="00E86D5D">
            <w:pPr>
              <w:spacing w:before="60" w:after="60" w:line="240" w:lineRule="auto"/>
              <w:jc w:val="left"/>
            </w:pPr>
          </w:p>
        </w:tc>
        <w:tc>
          <w:tcPr>
            <w:tcW w:w="784" w:type="pct"/>
            <w:tcBorders>
              <w:top w:val="nil"/>
              <w:bottom w:val="nil"/>
            </w:tcBorders>
          </w:tcPr>
          <w:p w14:paraId="44CA0C07" w14:textId="77777777" w:rsidR="00A213C3" w:rsidRPr="00475556" w:rsidRDefault="00A213C3" w:rsidP="00E86D5D">
            <w:pPr>
              <w:spacing w:before="60" w:after="60" w:line="240" w:lineRule="auto"/>
              <w:jc w:val="left"/>
            </w:pPr>
            <w:r>
              <w:t>Prize Draw 3</w:t>
            </w:r>
          </w:p>
        </w:tc>
        <w:tc>
          <w:tcPr>
            <w:tcW w:w="607" w:type="pct"/>
            <w:tcBorders>
              <w:top w:val="nil"/>
              <w:bottom w:val="nil"/>
            </w:tcBorders>
          </w:tcPr>
          <w:p w14:paraId="163C520B" w14:textId="77777777" w:rsidR="00A213C3" w:rsidRDefault="00A213C3" w:rsidP="00E86D5D">
            <w:pPr>
              <w:spacing w:before="60" w:after="60" w:line="240" w:lineRule="auto"/>
              <w:jc w:val="left"/>
            </w:pPr>
          </w:p>
        </w:tc>
        <w:tc>
          <w:tcPr>
            <w:tcW w:w="2877" w:type="pct"/>
            <w:tcBorders>
              <w:top w:val="nil"/>
              <w:bottom w:val="nil"/>
            </w:tcBorders>
          </w:tcPr>
          <w:p w14:paraId="2324403F" w14:textId="77777777" w:rsidR="00A213C3" w:rsidRDefault="00A213C3" w:rsidP="00E86D5D">
            <w:pPr>
              <w:spacing w:before="60" w:after="60" w:line="240" w:lineRule="auto"/>
              <w:jc w:val="left"/>
            </w:pPr>
          </w:p>
        </w:tc>
      </w:tr>
      <w:tr w:rsidR="00A213C3" w:rsidRPr="00475556" w14:paraId="702A0A5F" w14:textId="77777777" w:rsidTr="00E86D5D">
        <w:trPr>
          <w:cantSplit/>
        </w:trPr>
        <w:tc>
          <w:tcPr>
            <w:tcW w:w="732" w:type="pct"/>
            <w:tcBorders>
              <w:top w:val="nil"/>
              <w:bottom w:val="nil"/>
            </w:tcBorders>
          </w:tcPr>
          <w:p w14:paraId="594A91E4" w14:textId="77777777" w:rsidR="00A213C3" w:rsidRDefault="00A213C3" w:rsidP="00E86D5D">
            <w:pPr>
              <w:spacing w:before="60" w:after="60" w:line="240" w:lineRule="auto"/>
              <w:jc w:val="left"/>
            </w:pPr>
          </w:p>
        </w:tc>
        <w:tc>
          <w:tcPr>
            <w:tcW w:w="784" w:type="pct"/>
            <w:tcBorders>
              <w:top w:val="nil"/>
              <w:bottom w:val="nil"/>
            </w:tcBorders>
          </w:tcPr>
          <w:p w14:paraId="1CCBC2D4" w14:textId="77777777" w:rsidR="00A213C3" w:rsidRPr="00475556" w:rsidRDefault="00A213C3" w:rsidP="00E86D5D">
            <w:pPr>
              <w:spacing w:before="60" w:after="60" w:line="240" w:lineRule="auto"/>
              <w:jc w:val="left"/>
            </w:pPr>
            <w:r w:rsidRPr="00475556">
              <w:t>Email</w:t>
            </w:r>
          </w:p>
        </w:tc>
        <w:tc>
          <w:tcPr>
            <w:tcW w:w="607" w:type="pct"/>
            <w:tcBorders>
              <w:top w:val="nil"/>
              <w:bottom w:val="nil"/>
            </w:tcBorders>
          </w:tcPr>
          <w:p w14:paraId="4FFE012D" w14:textId="77777777" w:rsidR="00A213C3" w:rsidRPr="00475556" w:rsidRDefault="00A213C3" w:rsidP="00E86D5D">
            <w:pPr>
              <w:spacing w:before="60" w:after="60" w:line="240" w:lineRule="auto"/>
              <w:jc w:val="left"/>
            </w:pPr>
            <w:r>
              <w:t>A11</w:t>
            </w:r>
          </w:p>
        </w:tc>
        <w:tc>
          <w:tcPr>
            <w:tcW w:w="2877" w:type="pct"/>
            <w:tcBorders>
              <w:top w:val="nil"/>
              <w:bottom w:val="nil"/>
            </w:tcBorders>
          </w:tcPr>
          <w:p w14:paraId="5E800419" w14:textId="77777777" w:rsidR="00A213C3" w:rsidRPr="00475556" w:rsidRDefault="00A213C3" w:rsidP="00E86D5D">
            <w:pPr>
              <w:spacing w:before="60" w:after="60" w:line="240" w:lineRule="auto"/>
              <w:jc w:val="left"/>
            </w:pPr>
            <w:r>
              <w:t>Final e</w:t>
            </w:r>
            <w:r w:rsidRPr="00475556">
              <w:t xml:space="preserve">mail reminder </w:t>
            </w:r>
            <w:r>
              <w:t>to complete</w:t>
            </w:r>
            <w:r w:rsidRPr="00475556">
              <w:t xml:space="preserve"> survey</w:t>
            </w:r>
          </w:p>
        </w:tc>
      </w:tr>
      <w:tr w:rsidR="00A213C3" w:rsidRPr="00475556" w14:paraId="2C9A58AC" w14:textId="77777777" w:rsidTr="00E86D5D">
        <w:trPr>
          <w:cantSplit/>
        </w:trPr>
        <w:tc>
          <w:tcPr>
            <w:tcW w:w="732" w:type="pct"/>
            <w:tcBorders>
              <w:top w:val="nil"/>
            </w:tcBorders>
          </w:tcPr>
          <w:p w14:paraId="17DCCFCE" w14:textId="77777777" w:rsidR="00A213C3" w:rsidRDefault="00A213C3" w:rsidP="00E86D5D">
            <w:pPr>
              <w:spacing w:before="60" w:after="60" w:line="240" w:lineRule="auto"/>
              <w:jc w:val="left"/>
            </w:pPr>
          </w:p>
        </w:tc>
        <w:tc>
          <w:tcPr>
            <w:tcW w:w="784" w:type="pct"/>
            <w:tcBorders>
              <w:top w:val="nil"/>
            </w:tcBorders>
          </w:tcPr>
          <w:p w14:paraId="0D1CDDE4" w14:textId="77777777" w:rsidR="00A213C3" w:rsidRPr="00475556" w:rsidRDefault="00A213C3" w:rsidP="00E86D5D">
            <w:pPr>
              <w:spacing w:before="60" w:after="60" w:line="240" w:lineRule="auto"/>
              <w:jc w:val="left"/>
            </w:pPr>
            <w:r w:rsidRPr="00475556">
              <w:t>SMS</w:t>
            </w:r>
          </w:p>
        </w:tc>
        <w:tc>
          <w:tcPr>
            <w:tcW w:w="607" w:type="pct"/>
            <w:tcBorders>
              <w:top w:val="nil"/>
            </w:tcBorders>
          </w:tcPr>
          <w:p w14:paraId="27793551" w14:textId="77777777" w:rsidR="00A213C3" w:rsidRPr="00475556" w:rsidRDefault="00A213C3" w:rsidP="00E86D5D">
            <w:pPr>
              <w:spacing w:before="60" w:after="60" w:line="240" w:lineRule="auto"/>
              <w:jc w:val="left"/>
            </w:pPr>
            <w:r w:rsidRPr="00475556">
              <w:t>A</w:t>
            </w:r>
            <w:r>
              <w:t>12</w:t>
            </w:r>
          </w:p>
        </w:tc>
        <w:tc>
          <w:tcPr>
            <w:tcW w:w="2877" w:type="pct"/>
            <w:tcBorders>
              <w:top w:val="nil"/>
            </w:tcBorders>
          </w:tcPr>
          <w:p w14:paraId="6FFF34D2" w14:textId="77777777" w:rsidR="00A213C3" w:rsidRPr="00475556" w:rsidRDefault="00A213C3" w:rsidP="00E86D5D">
            <w:pPr>
              <w:spacing w:before="60" w:after="60" w:line="240" w:lineRule="auto"/>
              <w:jc w:val="left"/>
            </w:pPr>
            <w:r w:rsidRPr="00475556">
              <w:t xml:space="preserve">Final SMS reminder to </w:t>
            </w:r>
            <w:r>
              <w:t>complete</w:t>
            </w:r>
            <w:r w:rsidRPr="00475556">
              <w:t xml:space="preserve"> survey</w:t>
            </w:r>
          </w:p>
        </w:tc>
      </w:tr>
      <w:tr w:rsidR="00A213C3" w:rsidRPr="00475556" w14:paraId="514B1961" w14:textId="77777777" w:rsidTr="00E86D5D">
        <w:trPr>
          <w:cantSplit/>
        </w:trPr>
        <w:tc>
          <w:tcPr>
            <w:tcW w:w="5000" w:type="pct"/>
            <w:gridSpan w:val="4"/>
            <w:tcBorders>
              <w:bottom w:val="single" w:sz="4" w:space="0" w:color="auto"/>
            </w:tcBorders>
          </w:tcPr>
          <w:p w14:paraId="3848860B" w14:textId="77777777" w:rsidR="00A213C3" w:rsidRPr="00520353" w:rsidRDefault="00A213C3" w:rsidP="00E86D5D">
            <w:pPr>
              <w:spacing w:before="60" w:after="60" w:line="240" w:lineRule="auto"/>
              <w:jc w:val="left"/>
              <w:rPr>
                <w:b/>
                <w:bCs/>
                <w:i/>
                <w:iCs/>
              </w:rPr>
            </w:pPr>
            <w:r w:rsidRPr="00520353">
              <w:rPr>
                <w:b/>
                <w:bCs/>
                <w:i/>
                <w:iCs/>
              </w:rPr>
              <w:t>PARTIALLY COMPLETED ONLINE SURVEYS (</w:t>
            </w:r>
            <w:r>
              <w:rPr>
                <w:b/>
                <w:bCs/>
                <w:i/>
                <w:iCs/>
              </w:rPr>
              <w:t>triggered</w:t>
            </w:r>
            <w:r w:rsidRPr="00520353">
              <w:rPr>
                <w:b/>
                <w:bCs/>
                <w:i/>
                <w:iCs/>
              </w:rPr>
              <w:t xml:space="preserve"> from first incomplete survey attempt)</w:t>
            </w:r>
          </w:p>
        </w:tc>
      </w:tr>
      <w:tr w:rsidR="00A213C3" w:rsidRPr="00475556" w14:paraId="1E08129D" w14:textId="77777777" w:rsidTr="00E86D5D">
        <w:trPr>
          <w:cantSplit/>
        </w:trPr>
        <w:tc>
          <w:tcPr>
            <w:tcW w:w="732" w:type="pct"/>
            <w:tcBorders>
              <w:bottom w:val="nil"/>
            </w:tcBorders>
          </w:tcPr>
          <w:p w14:paraId="49197FB8" w14:textId="77777777" w:rsidR="00A213C3" w:rsidRPr="00475556" w:rsidRDefault="00A213C3" w:rsidP="00E86D5D">
            <w:pPr>
              <w:spacing w:before="60" w:after="60" w:line="240" w:lineRule="auto"/>
              <w:jc w:val="left"/>
            </w:pPr>
            <w:r>
              <w:t>Dec 2021 to Apr 2022</w:t>
            </w:r>
          </w:p>
        </w:tc>
        <w:tc>
          <w:tcPr>
            <w:tcW w:w="784" w:type="pct"/>
            <w:tcBorders>
              <w:bottom w:val="nil"/>
            </w:tcBorders>
          </w:tcPr>
          <w:p w14:paraId="72459BBE" w14:textId="77777777" w:rsidR="00A213C3" w:rsidRPr="00475556" w:rsidRDefault="00A213C3" w:rsidP="00E86D5D">
            <w:pPr>
              <w:spacing w:before="60" w:after="60" w:line="240" w:lineRule="auto"/>
              <w:jc w:val="left"/>
            </w:pPr>
            <w:r w:rsidRPr="00475556">
              <w:t>Email</w:t>
            </w:r>
          </w:p>
        </w:tc>
        <w:tc>
          <w:tcPr>
            <w:tcW w:w="607" w:type="pct"/>
            <w:tcBorders>
              <w:bottom w:val="nil"/>
            </w:tcBorders>
          </w:tcPr>
          <w:p w14:paraId="7374C96C" w14:textId="77777777" w:rsidR="00A213C3" w:rsidRPr="00475556" w:rsidRDefault="00A213C3" w:rsidP="00E86D5D">
            <w:pPr>
              <w:spacing w:before="60" w:after="60" w:line="240" w:lineRule="auto"/>
              <w:jc w:val="left"/>
            </w:pPr>
            <w:r>
              <w:t>A13</w:t>
            </w:r>
          </w:p>
        </w:tc>
        <w:tc>
          <w:tcPr>
            <w:tcW w:w="2877" w:type="pct"/>
            <w:tcBorders>
              <w:bottom w:val="nil"/>
            </w:tcBorders>
          </w:tcPr>
          <w:p w14:paraId="626028BF" w14:textId="77777777" w:rsidR="00A213C3" w:rsidRPr="00475556" w:rsidRDefault="00A213C3" w:rsidP="00E86D5D">
            <w:pPr>
              <w:spacing w:before="60" w:after="60" w:line="240" w:lineRule="auto"/>
              <w:jc w:val="left"/>
            </w:pPr>
            <w:r w:rsidRPr="00475556">
              <w:t>Automated email reminder to complete online survey</w:t>
            </w:r>
            <w:r>
              <w:t xml:space="preserve"> (3 reminders, one week apart)</w:t>
            </w:r>
          </w:p>
        </w:tc>
      </w:tr>
      <w:tr w:rsidR="00A213C3" w:rsidRPr="00475556" w14:paraId="37C451FF" w14:textId="77777777" w:rsidTr="00E86D5D">
        <w:trPr>
          <w:cantSplit/>
        </w:trPr>
        <w:tc>
          <w:tcPr>
            <w:tcW w:w="732" w:type="pct"/>
            <w:tcBorders>
              <w:top w:val="nil"/>
              <w:bottom w:val="nil"/>
            </w:tcBorders>
          </w:tcPr>
          <w:p w14:paraId="36BEC1BD" w14:textId="77777777" w:rsidR="00A213C3" w:rsidRPr="00475556" w:rsidRDefault="00A213C3" w:rsidP="00E86D5D">
            <w:pPr>
              <w:spacing w:before="60" w:after="60" w:line="240" w:lineRule="auto"/>
              <w:jc w:val="left"/>
            </w:pPr>
          </w:p>
        </w:tc>
        <w:tc>
          <w:tcPr>
            <w:tcW w:w="784" w:type="pct"/>
            <w:tcBorders>
              <w:top w:val="nil"/>
              <w:bottom w:val="nil"/>
            </w:tcBorders>
          </w:tcPr>
          <w:p w14:paraId="4F1B4C0C" w14:textId="77777777" w:rsidR="00A213C3" w:rsidRPr="00475556" w:rsidRDefault="00A213C3" w:rsidP="00E86D5D">
            <w:pPr>
              <w:spacing w:before="60" w:after="60" w:line="240" w:lineRule="auto"/>
              <w:jc w:val="left"/>
            </w:pPr>
            <w:r w:rsidRPr="00475556">
              <w:t>SMS</w:t>
            </w:r>
          </w:p>
        </w:tc>
        <w:tc>
          <w:tcPr>
            <w:tcW w:w="607" w:type="pct"/>
            <w:tcBorders>
              <w:top w:val="nil"/>
              <w:bottom w:val="nil"/>
            </w:tcBorders>
          </w:tcPr>
          <w:p w14:paraId="654140C6" w14:textId="77777777" w:rsidR="00A213C3" w:rsidRPr="00475556" w:rsidRDefault="00A213C3" w:rsidP="00E86D5D">
            <w:pPr>
              <w:spacing w:before="60" w:after="60" w:line="240" w:lineRule="auto"/>
              <w:jc w:val="left"/>
            </w:pPr>
            <w:r>
              <w:t>A14</w:t>
            </w:r>
          </w:p>
        </w:tc>
        <w:tc>
          <w:tcPr>
            <w:tcW w:w="2877" w:type="pct"/>
            <w:tcBorders>
              <w:top w:val="nil"/>
              <w:bottom w:val="nil"/>
            </w:tcBorders>
          </w:tcPr>
          <w:p w14:paraId="135ED2A9" w14:textId="77777777" w:rsidR="00A213C3" w:rsidRPr="00475556" w:rsidRDefault="00A213C3" w:rsidP="00E86D5D">
            <w:pPr>
              <w:spacing w:before="60" w:after="60" w:line="240" w:lineRule="auto"/>
              <w:jc w:val="left"/>
            </w:pPr>
            <w:r w:rsidRPr="00475556">
              <w:t>Automated SMS reminder to complete online survey</w:t>
            </w:r>
          </w:p>
        </w:tc>
      </w:tr>
      <w:tr w:rsidR="00A213C3" w:rsidRPr="00475556" w14:paraId="7FC64F43" w14:textId="77777777" w:rsidTr="00E86D5D">
        <w:trPr>
          <w:cantSplit/>
        </w:trPr>
        <w:tc>
          <w:tcPr>
            <w:tcW w:w="732" w:type="pct"/>
            <w:tcBorders>
              <w:top w:val="nil"/>
              <w:bottom w:val="nil"/>
            </w:tcBorders>
          </w:tcPr>
          <w:p w14:paraId="018A6ABF" w14:textId="77777777" w:rsidR="00A213C3" w:rsidRPr="00475556" w:rsidRDefault="00A213C3" w:rsidP="00E86D5D">
            <w:pPr>
              <w:spacing w:before="60" w:after="60" w:line="240" w:lineRule="auto"/>
              <w:jc w:val="left"/>
            </w:pPr>
          </w:p>
        </w:tc>
        <w:tc>
          <w:tcPr>
            <w:tcW w:w="784" w:type="pct"/>
            <w:tcBorders>
              <w:top w:val="nil"/>
              <w:bottom w:val="nil"/>
            </w:tcBorders>
          </w:tcPr>
          <w:p w14:paraId="362DE353" w14:textId="77777777" w:rsidR="00A213C3" w:rsidRPr="00475556" w:rsidRDefault="00A213C3" w:rsidP="00E86D5D">
            <w:pPr>
              <w:spacing w:before="60" w:after="60" w:line="240" w:lineRule="auto"/>
              <w:jc w:val="left"/>
            </w:pPr>
            <w:r w:rsidRPr="00475556">
              <w:t>Phone call</w:t>
            </w:r>
          </w:p>
        </w:tc>
        <w:tc>
          <w:tcPr>
            <w:tcW w:w="607" w:type="pct"/>
            <w:tcBorders>
              <w:top w:val="nil"/>
              <w:bottom w:val="nil"/>
            </w:tcBorders>
          </w:tcPr>
          <w:p w14:paraId="1976BB00" w14:textId="77777777" w:rsidR="00A213C3" w:rsidRPr="00475556" w:rsidRDefault="00A213C3" w:rsidP="00E86D5D">
            <w:pPr>
              <w:spacing w:before="60" w:after="60" w:line="240" w:lineRule="auto"/>
              <w:jc w:val="left"/>
            </w:pPr>
            <w:r>
              <w:t>A15</w:t>
            </w:r>
          </w:p>
        </w:tc>
        <w:tc>
          <w:tcPr>
            <w:tcW w:w="2877" w:type="pct"/>
            <w:tcBorders>
              <w:top w:val="nil"/>
              <w:bottom w:val="nil"/>
            </w:tcBorders>
          </w:tcPr>
          <w:p w14:paraId="7AF0B7C1" w14:textId="77777777" w:rsidR="00A213C3" w:rsidRPr="00475556" w:rsidRDefault="00A213C3" w:rsidP="00E86D5D">
            <w:pPr>
              <w:spacing w:before="60" w:after="60" w:line="240" w:lineRule="auto"/>
              <w:jc w:val="left"/>
            </w:pPr>
            <w:r w:rsidRPr="00475556">
              <w:t>Phone call reminder to complete online survey</w:t>
            </w:r>
          </w:p>
        </w:tc>
      </w:tr>
      <w:tr w:rsidR="00A213C3" w:rsidRPr="00475556" w14:paraId="5C919ADB" w14:textId="77777777" w:rsidTr="00E86D5D">
        <w:trPr>
          <w:cantSplit/>
        </w:trPr>
        <w:tc>
          <w:tcPr>
            <w:tcW w:w="732" w:type="pct"/>
            <w:tcBorders>
              <w:top w:val="nil"/>
              <w:bottom w:val="nil"/>
            </w:tcBorders>
          </w:tcPr>
          <w:p w14:paraId="75DBA9C2" w14:textId="77777777" w:rsidR="00A213C3" w:rsidRDefault="00A213C3" w:rsidP="00E86D5D">
            <w:pPr>
              <w:spacing w:before="60" w:after="60" w:line="240" w:lineRule="auto"/>
              <w:jc w:val="left"/>
            </w:pPr>
          </w:p>
        </w:tc>
        <w:tc>
          <w:tcPr>
            <w:tcW w:w="784" w:type="pct"/>
            <w:tcBorders>
              <w:top w:val="nil"/>
              <w:bottom w:val="nil"/>
            </w:tcBorders>
          </w:tcPr>
          <w:p w14:paraId="070C7164" w14:textId="77777777" w:rsidR="00A213C3" w:rsidRPr="00475556" w:rsidRDefault="00A213C3" w:rsidP="00E86D5D">
            <w:pPr>
              <w:spacing w:before="60" w:after="60" w:line="240" w:lineRule="auto"/>
              <w:jc w:val="left"/>
            </w:pPr>
            <w:r>
              <w:t>SMS</w:t>
            </w:r>
          </w:p>
        </w:tc>
        <w:tc>
          <w:tcPr>
            <w:tcW w:w="607" w:type="pct"/>
            <w:tcBorders>
              <w:top w:val="nil"/>
              <w:bottom w:val="nil"/>
            </w:tcBorders>
          </w:tcPr>
          <w:p w14:paraId="0366AAD3" w14:textId="77777777" w:rsidR="00A213C3" w:rsidRDefault="00A213C3" w:rsidP="00E86D5D">
            <w:pPr>
              <w:spacing w:before="60" w:after="60" w:line="240" w:lineRule="auto"/>
              <w:jc w:val="left"/>
            </w:pPr>
            <w:r>
              <w:t>A16</w:t>
            </w:r>
          </w:p>
        </w:tc>
        <w:tc>
          <w:tcPr>
            <w:tcW w:w="2877" w:type="pct"/>
            <w:tcBorders>
              <w:top w:val="nil"/>
              <w:bottom w:val="nil"/>
            </w:tcBorders>
          </w:tcPr>
          <w:p w14:paraId="14B41B8D" w14:textId="77777777" w:rsidR="00A213C3" w:rsidRPr="00475556" w:rsidRDefault="00A213C3" w:rsidP="00E86D5D">
            <w:pPr>
              <w:spacing w:before="60" w:after="60" w:line="240" w:lineRule="auto"/>
              <w:jc w:val="left"/>
            </w:pPr>
            <w:r>
              <w:t xml:space="preserve">Final </w:t>
            </w:r>
            <w:r w:rsidRPr="00475556">
              <w:t>SMS reminder to complete online survey</w:t>
            </w:r>
          </w:p>
        </w:tc>
      </w:tr>
      <w:tr w:rsidR="00A213C3" w:rsidRPr="00475556" w14:paraId="5BEF1EC2" w14:textId="77777777" w:rsidTr="00E86D5D">
        <w:trPr>
          <w:cantSplit/>
        </w:trPr>
        <w:tc>
          <w:tcPr>
            <w:tcW w:w="732" w:type="pct"/>
            <w:tcBorders>
              <w:top w:val="nil"/>
            </w:tcBorders>
          </w:tcPr>
          <w:p w14:paraId="58EEAAF5" w14:textId="77777777" w:rsidR="00A213C3" w:rsidRDefault="00A213C3" w:rsidP="00E86D5D">
            <w:pPr>
              <w:spacing w:before="60" w:after="60" w:line="240" w:lineRule="auto"/>
              <w:jc w:val="left"/>
            </w:pPr>
          </w:p>
        </w:tc>
        <w:tc>
          <w:tcPr>
            <w:tcW w:w="784" w:type="pct"/>
            <w:tcBorders>
              <w:top w:val="nil"/>
            </w:tcBorders>
          </w:tcPr>
          <w:p w14:paraId="57216C51" w14:textId="77777777" w:rsidR="00A213C3" w:rsidRPr="00475556" w:rsidRDefault="00A213C3" w:rsidP="00E86D5D">
            <w:pPr>
              <w:spacing w:before="60" w:after="60" w:line="240" w:lineRule="auto"/>
              <w:jc w:val="left"/>
            </w:pPr>
            <w:r>
              <w:t>Email</w:t>
            </w:r>
          </w:p>
        </w:tc>
        <w:tc>
          <w:tcPr>
            <w:tcW w:w="607" w:type="pct"/>
            <w:tcBorders>
              <w:top w:val="nil"/>
            </w:tcBorders>
          </w:tcPr>
          <w:p w14:paraId="38454E2C" w14:textId="77777777" w:rsidR="00A213C3" w:rsidRDefault="00A213C3" w:rsidP="00E86D5D">
            <w:pPr>
              <w:spacing w:before="60" w:after="60" w:line="240" w:lineRule="auto"/>
              <w:jc w:val="left"/>
            </w:pPr>
            <w:r>
              <w:t>A17</w:t>
            </w:r>
          </w:p>
        </w:tc>
        <w:tc>
          <w:tcPr>
            <w:tcW w:w="2877" w:type="pct"/>
            <w:tcBorders>
              <w:top w:val="nil"/>
            </w:tcBorders>
          </w:tcPr>
          <w:p w14:paraId="55D4B34B" w14:textId="77777777" w:rsidR="00A213C3" w:rsidRPr="00475556" w:rsidRDefault="00A213C3" w:rsidP="00E86D5D">
            <w:pPr>
              <w:spacing w:before="60" w:after="60" w:line="240" w:lineRule="auto"/>
              <w:jc w:val="left"/>
            </w:pPr>
            <w:r>
              <w:t>Final email</w:t>
            </w:r>
            <w:r w:rsidRPr="00475556">
              <w:t xml:space="preserve"> reminder to complete online survey</w:t>
            </w:r>
          </w:p>
        </w:tc>
      </w:tr>
    </w:tbl>
    <w:p w14:paraId="7F7BE27F" w14:textId="77777777" w:rsidR="00A213C3" w:rsidRDefault="00A213C3" w:rsidP="00A213C3">
      <w:pPr>
        <w:spacing w:after="0"/>
        <w:rPr>
          <w:rFonts w:cs="Arial"/>
        </w:rPr>
      </w:pPr>
    </w:p>
    <w:p w14:paraId="4EAD232A" w14:textId="77777777" w:rsidR="00A213C3" w:rsidRDefault="00A213C3" w:rsidP="00901558">
      <w:pPr>
        <w:pStyle w:val="Heading4"/>
      </w:pPr>
      <w:r w:rsidRPr="006C5181">
        <w:lastRenderedPageBreak/>
        <w:t>Response rate</w:t>
      </w:r>
      <w:r>
        <w:t xml:space="preserve"> </w:t>
      </w:r>
    </w:p>
    <w:p w14:paraId="632AD401" w14:textId="4ECE7532" w:rsidR="00A213C3" w:rsidRDefault="00B769F5" w:rsidP="00A213C3">
      <w:pPr>
        <w:spacing w:after="0"/>
      </w:pPr>
      <w:r w:rsidRPr="00B769F5">
        <w:fldChar w:fldCharType="begin"/>
      </w:r>
      <w:r w:rsidRPr="00B769F5">
        <w:instrText xml:space="preserve"> REF _Ref113714582 \h </w:instrText>
      </w:r>
      <w:r w:rsidRPr="009429DC">
        <w:instrText xml:space="preserve"> \* MERGEFORMAT </w:instrText>
      </w:r>
      <w:r w:rsidRPr="00B769F5">
        <w:fldChar w:fldCharType="separate"/>
      </w:r>
      <w:r w:rsidR="007D19D7" w:rsidRPr="007D19D7">
        <w:t xml:space="preserve">Table </w:t>
      </w:r>
      <w:r w:rsidR="007D19D7" w:rsidRPr="007D19D7">
        <w:rPr>
          <w:noProof/>
        </w:rPr>
        <w:t>3</w:t>
      </w:r>
      <w:r w:rsidR="007D19D7" w:rsidRPr="007D19D7">
        <w:rPr>
          <w:noProof/>
        </w:rPr>
        <w:noBreakHyphen/>
        <w:t>6</w:t>
      </w:r>
      <w:r w:rsidRPr="00B769F5">
        <w:fldChar w:fldCharType="end"/>
      </w:r>
      <w:r w:rsidRPr="00B769F5">
        <w:t xml:space="preserve"> </w:t>
      </w:r>
      <w:r w:rsidR="00A213C3" w:rsidRPr="00B769F5">
        <w:t>details the response</w:t>
      </w:r>
      <w:r w:rsidR="00A213C3" w:rsidRPr="00475556">
        <w:t xml:space="preserve"> rates for </w:t>
      </w:r>
      <w:r w:rsidR="00A213C3">
        <w:t>pilot survey 10 for the 1946-51 pilot cohort</w:t>
      </w:r>
      <w:r w:rsidR="00A213C3" w:rsidRPr="00475556">
        <w:t xml:space="preserve">. Completed (online or paper) </w:t>
      </w:r>
      <w:r w:rsidR="00A213C3">
        <w:t xml:space="preserve">pilot </w:t>
      </w:r>
      <w:r w:rsidR="00A213C3" w:rsidRPr="00475556">
        <w:t xml:space="preserve">surveys </w:t>
      </w:r>
      <w:r w:rsidR="00A213C3">
        <w:t>were</w:t>
      </w:r>
      <w:r w:rsidR="00A213C3" w:rsidRPr="00475556">
        <w:t xml:space="preserve"> received from </w:t>
      </w:r>
      <w:r w:rsidR="00A213C3">
        <w:t>219</w:t>
      </w:r>
      <w:r w:rsidR="00A213C3" w:rsidRPr="00475556">
        <w:t xml:space="preserve"> women, which </w:t>
      </w:r>
      <w:r w:rsidR="00A213C3">
        <w:t>was</w:t>
      </w:r>
      <w:r w:rsidR="00A213C3" w:rsidRPr="00475556">
        <w:t xml:space="preserve"> </w:t>
      </w:r>
      <w:r w:rsidR="00A213C3">
        <w:t>72</w:t>
      </w:r>
      <w:r w:rsidR="00A213C3" w:rsidRPr="00475556">
        <w:t xml:space="preserve">% of those </w:t>
      </w:r>
      <w:proofErr w:type="gramStart"/>
      <w:r w:rsidR="00A213C3" w:rsidRPr="00475556">
        <w:t>invited;</w:t>
      </w:r>
      <w:proofErr w:type="gramEnd"/>
      <w:r w:rsidR="00A213C3" w:rsidRPr="00475556">
        <w:t xml:space="preserve"> while another </w:t>
      </w:r>
      <w:r w:rsidR="00A213C3">
        <w:t>4</w:t>
      </w:r>
      <w:r w:rsidR="00A213C3" w:rsidRPr="00DC4861">
        <w:t xml:space="preserve"> (</w:t>
      </w:r>
      <w:r w:rsidR="00A213C3">
        <w:t>1</w:t>
      </w:r>
      <w:r w:rsidR="00A213C3" w:rsidRPr="00DC4861">
        <w:t>%)</w:t>
      </w:r>
      <w:r w:rsidR="00A213C3" w:rsidRPr="00475556">
        <w:t xml:space="preserve"> partially completed their survey online.</w:t>
      </w:r>
    </w:p>
    <w:p w14:paraId="7D140AB8" w14:textId="63D87C74" w:rsidR="00A213C3" w:rsidRPr="00B769F5" w:rsidRDefault="00B769F5" w:rsidP="009429DC">
      <w:pPr>
        <w:spacing w:before="40" w:after="40" w:line="240" w:lineRule="auto"/>
        <w:rPr>
          <w:b/>
          <w:bCs/>
        </w:rPr>
      </w:pPr>
      <w:bookmarkStart w:id="32" w:name="_Ref113714582"/>
      <w:r w:rsidRPr="00B769F5">
        <w:rPr>
          <w:b/>
          <w:bCs/>
        </w:rPr>
        <w:t xml:space="preserve">Table </w:t>
      </w:r>
      <w:r w:rsidR="00327D59">
        <w:rPr>
          <w:b/>
          <w:bCs/>
        </w:rPr>
        <w:fldChar w:fldCharType="begin"/>
      </w:r>
      <w:r w:rsidR="00327D59">
        <w:rPr>
          <w:b/>
          <w:bCs/>
        </w:rPr>
        <w:instrText xml:space="preserve"> STYLEREF 1 \s </w:instrText>
      </w:r>
      <w:r w:rsidR="00327D59">
        <w:rPr>
          <w:b/>
          <w:bCs/>
        </w:rPr>
        <w:fldChar w:fldCharType="separate"/>
      </w:r>
      <w:r w:rsidR="007D19D7">
        <w:rPr>
          <w:b/>
          <w:bCs/>
          <w:noProof/>
        </w:rPr>
        <w:t>3</w:t>
      </w:r>
      <w:r w:rsidR="00327D59">
        <w:rPr>
          <w:b/>
          <w:bCs/>
        </w:rPr>
        <w:fldChar w:fldCharType="end"/>
      </w:r>
      <w:r w:rsidR="00327D59">
        <w:rPr>
          <w:b/>
          <w:bCs/>
        </w:rPr>
        <w:noBreakHyphen/>
      </w:r>
      <w:r w:rsidR="00327D59">
        <w:rPr>
          <w:b/>
          <w:bCs/>
        </w:rPr>
        <w:fldChar w:fldCharType="begin"/>
      </w:r>
      <w:r w:rsidR="00327D59">
        <w:rPr>
          <w:b/>
          <w:bCs/>
        </w:rPr>
        <w:instrText xml:space="preserve"> SEQ Table \* ARABIC \s 1 </w:instrText>
      </w:r>
      <w:r w:rsidR="00327D59">
        <w:rPr>
          <w:b/>
          <w:bCs/>
        </w:rPr>
        <w:fldChar w:fldCharType="separate"/>
      </w:r>
      <w:r w:rsidR="007D19D7">
        <w:rPr>
          <w:b/>
          <w:bCs/>
          <w:noProof/>
        </w:rPr>
        <w:t>6</w:t>
      </w:r>
      <w:r w:rsidR="00327D59">
        <w:rPr>
          <w:b/>
          <w:bCs/>
        </w:rPr>
        <w:fldChar w:fldCharType="end"/>
      </w:r>
      <w:bookmarkEnd w:id="32"/>
      <w:r w:rsidRPr="00B769F5">
        <w:rPr>
          <w:b/>
          <w:bCs/>
        </w:rPr>
        <w:t xml:space="preserve"> </w:t>
      </w:r>
      <w:r w:rsidR="00A213C3" w:rsidRPr="00B769F5">
        <w:rPr>
          <w:b/>
          <w:bCs/>
        </w:rPr>
        <w:t>Response rates for Pilot Survey 10 for the 1946-51 pilot cohort (N=303)</w:t>
      </w:r>
    </w:p>
    <w:tbl>
      <w:tblPr>
        <w:tblW w:w="4169" w:type="pct"/>
        <w:tblBorders>
          <w:top w:val="single" w:sz="4" w:space="0" w:color="auto"/>
          <w:left w:val="single" w:sz="4" w:space="0" w:color="auto"/>
          <w:bottom w:val="single" w:sz="4" w:space="0" w:color="auto"/>
          <w:right w:val="single" w:sz="4" w:space="0" w:color="auto"/>
        </w:tblBorders>
        <w:tblCellMar>
          <w:top w:w="28" w:type="dxa"/>
          <w:left w:w="85" w:type="dxa"/>
          <w:bottom w:w="28" w:type="dxa"/>
          <w:right w:w="85" w:type="dxa"/>
        </w:tblCellMar>
        <w:tblLook w:val="04A0" w:firstRow="1" w:lastRow="0" w:firstColumn="1" w:lastColumn="0" w:noHBand="0" w:noVBand="1"/>
      </w:tblPr>
      <w:tblGrid>
        <w:gridCol w:w="3678"/>
        <w:gridCol w:w="1275"/>
        <w:gridCol w:w="2839"/>
      </w:tblGrid>
      <w:tr w:rsidR="00A213C3" w:rsidRPr="00ED6106" w14:paraId="70A81220" w14:textId="77777777" w:rsidTr="00E86D5D">
        <w:trPr>
          <w:trHeight w:hRule="exact" w:val="510"/>
          <w:tblHeader/>
        </w:trPr>
        <w:tc>
          <w:tcPr>
            <w:tcW w:w="2360" w:type="pct"/>
            <w:tcBorders>
              <w:top w:val="single" w:sz="4" w:space="0" w:color="auto"/>
              <w:left w:val="single" w:sz="4" w:space="0" w:color="auto"/>
              <w:bottom w:val="nil"/>
              <w:right w:val="nil"/>
            </w:tcBorders>
            <w:shd w:val="clear" w:color="auto" w:fill="E5DFEC" w:themeFill="accent4" w:themeFillTint="33"/>
            <w:vAlign w:val="center"/>
          </w:tcPr>
          <w:p w14:paraId="04EC2551" w14:textId="77777777" w:rsidR="00A213C3" w:rsidRPr="001543A4" w:rsidRDefault="00A213C3" w:rsidP="00E86D5D">
            <w:pPr>
              <w:spacing w:before="0" w:after="0" w:line="240" w:lineRule="auto"/>
              <w:jc w:val="left"/>
              <w:rPr>
                <w:rFonts w:cs="Arial"/>
                <w:b/>
                <w:bCs/>
                <w:szCs w:val="20"/>
              </w:rPr>
            </w:pPr>
          </w:p>
        </w:tc>
        <w:tc>
          <w:tcPr>
            <w:tcW w:w="2640" w:type="pct"/>
            <w:gridSpan w:val="2"/>
            <w:tcBorders>
              <w:top w:val="single" w:sz="4" w:space="0" w:color="auto"/>
              <w:left w:val="nil"/>
              <w:bottom w:val="nil"/>
              <w:right w:val="single" w:sz="8" w:space="0" w:color="auto"/>
            </w:tcBorders>
            <w:shd w:val="clear" w:color="auto" w:fill="E5DFEC" w:themeFill="accent4" w:themeFillTint="33"/>
            <w:vAlign w:val="center"/>
          </w:tcPr>
          <w:p w14:paraId="72603A43" w14:textId="77777777" w:rsidR="00A213C3" w:rsidRPr="001543A4" w:rsidRDefault="00A213C3" w:rsidP="00E86D5D">
            <w:pPr>
              <w:spacing w:before="0" w:after="0" w:line="240" w:lineRule="auto"/>
              <w:jc w:val="right"/>
              <w:rPr>
                <w:rFonts w:cs="Arial"/>
                <w:b/>
                <w:bCs/>
                <w:szCs w:val="20"/>
              </w:rPr>
            </w:pPr>
            <w:r>
              <w:rPr>
                <w:rFonts w:cs="Arial"/>
                <w:b/>
                <w:bCs/>
                <w:szCs w:val="20"/>
              </w:rPr>
              <w:t>Pilot</w:t>
            </w:r>
            <w:r w:rsidRPr="001543A4">
              <w:rPr>
                <w:rFonts w:cs="Arial"/>
                <w:b/>
                <w:bCs/>
                <w:szCs w:val="20"/>
              </w:rPr>
              <w:t xml:space="preserve"> Survey</w:t>
            </w:r>
          </w:p>
        </w:tc>
      </w:tr>
      <w:tr w:rsidR="00A213C3" w:rsidRPr="00ED6106" w14:paraId="717ADBC9" w14:textId="77777777" w:rsidTr="00E86D5D">
        <w:trPr>
          <w:trHeight w:hRule="exact" w:val="510"/>
          <w:tblHeader/>
        </w:trPr>
        <w:tc>
          <w:tcPr>
            <w:tcW w:w="2360" w:type="pct"/>
            <w:tcBorders>
              <w:top w:val="nil"/>
              <w:left w:val="single" w:sz="4" w:space="0" w:color="auto"/>
              <w:bottom w:val="single" w:sz="4" w:space="0" w:color="auto"/>
              <w:right w:val="nil"/>
            </w:tcBorders>
            <w:shd w:val="clear" w:color="auto" w:fill="E5DFEC" w:themeFill="accent4" w:themeFillTint="33"/>
            <w:vAlign w:val="center"/>
          </w:tcPr>
          <w:p w14:paraId="7ACC4424" w14:textId="77777777" w:rsidR="00A213C3" w:rsidRPr="001543A4" w:rsidRDefault="00A213C3" w:rsidP="00E86D5D">
            <w:pPr>
              <w:spacing w:before="0" w:after="0" w:line="240" w:lineRule="auto"/>
              <w:jc w:val="left"/>
              <w:rPr>
                <w:rFonts w:cs="Arial"/>
                <w:b/>
                <w:bCs/>
                <w:szCs w:val="20"/>
              </w:rPr>
            </w:pPr>
          </w:p>
        </w:tc>
        <w:tc>
          <w:tcPr>
            <w:tcW w:w="818" w:type="pct"/>
            <w:tcBorders>
              <w:top w:val="nil"/>
              <w:left w:val="nil"/>
              <w:bottom w:val="single" w:sz="4" w:space="0" w:color="auto"/>
              <w:right w:val="nil"/>
            </w:tcBorders>
            <w:shd w:val="clear" w:color="auto" w:fill="E5DFEC" w:themeFill="accent4" w:themeFillTint="33"/>
            <w:vAlign w:val="center"/>
            <w:hideMark/>
          </w:tcPr>
          <w:p w14:paraId="095F1649" w14:textId="77777777" w:rsidR="00A213C3" w:rsidRPr="001543A4" w:rsidRDefault="00A213C3" w:rsidP="00E86D5D">
            <w:pPr>
              <w:spacing w:before="0" w:after="0" w:line="240" w:lineRule="auto"/>
              <w:jc w:val="right"/>
              <w:rPr>
                <w:rFonts w:cs="Arial"/>
                <w:b/>
                <w:bCs/>
                <w:szCs w:val="20"/>
              </w:rPr>
            </w:pPr>
            <w:r w:rsidRPr="001543A4">
              <w:rPr>
                <w:rFonts w:cs="Arial"/>
                <w:b/>
                <w:bCs/>
                <w:szCs w:val="20"/>
              </w:rPr>
              <w:t>N</w:t>
            </w:r>
          </w:p>
          <w:p w14:paraId="1FE6B614" w14:textId="77777777" w:rsidR="00A213C3" w:rsidRPr="001543A4" w:rsidRDefault="00A213C3" w:rsidP="00E86D5D">
            <w:pPr>
              <w:spacing w:before="0" w:after="0" w:line="240" w:lineRule="auto"/>
              <w:jc w:val="right"/>
              <w:rPr>
                <w:rFonts w:cs="Arial"/>
                <w:b/>
                <w:bCs/>
                <w:szCs w:val="20"/>
              </w:rPr>
            </w:pPr>
          </w:p>
        </w:tc>
        <w:tc>
          <w:tcPr>
            <w:tcW w:w="1822" w:type="pct"/>
            <w:tcBorders>
              <w:top w:val="nil"/>
              <w:left w:val="nil"/>
              <w:bottom w:val="single" w:sz="4" w:space="0" w:color="auto"/>
              <w:right w:val="single" w:sz="8" w:space="0" w:color="auto"/>
            </w:tcBorders>
            <w:shd w:val="clear" w:color="auto" w:fill="E5DFEC" w:themeFill="accent4" w:themeFillTint="33"/>
            <w:vAlign w:val="center"/>
            <w:hideMark/>
          </w:tcPr>
          <w:p w14:paraId="70E3E2A6" w14:textId="77777777" w:rsidR="00A213C3" w:rsidRPr="001543A4" w:rsidRDefault="00A213C3" w:rsidP="00E86D5D">
            <w:pPr>
              <w:spacing w:before="0" w:after="0" w:line="240" w:lineRule="auto"/>
              <w:jc w:val="right"/>
              <w:rPr>
                <w:rFonts w:cs="Arial"/>
                <w:b/>
                <w:bCs/>
                <w:szCs w:val="20"/>
              </w:rPr>
            </w:pPr>
            <w:r w:rsidRPr="001543A4">
              <w:rPr>
                <w:rFonts w:cs="Arial"/>
                <w:b/>
                <w:bCs/>
                <w:szCs w:val="20"/>
              </w:rPr>
              <w:t>%</w:t>
            </w:r>
          </w:p>
        </w:tc>
      </w:tr>
      <w:tr w:rsidR="00A213C3" w:rsidRPr="00475556" w14:paraId="55BEEDA3" w14:textId="77777777" w:rsidTr="00E86D5D">
        <w:trPr>
          <w:trHeight w:hRule="exact" w:val="340"/>
        </w:trPr>
        <w:tc>
          <w:tcPr>
            <w:tcW w:w="2360" w:type="pct"/>
            <w:tcBorders>
              <w:top w:val="single" w:sz="4" w:space="0" w:color="auto"/>
              <w:left w:val="single" w:sz="4" w:space="0" w:color="auto"/>
              <w:bottom w:val="nil"/>
              <w:right w:val="nil"/>
            </w:tcBorders>
            <w:vAlign w:val="center"/>
            <w:hideMark/>
          </w:tcPr>
          <w:p w14:paraId="114E9400" w14:textId="77777777" w:rsidR="00A213C3" w:rsidRPr="001543A4" w:rsidRDefault="00A213C3" w:rsidP="00E86D5D">
            <w:pPr>
              <w:spacing w:before="0" w:after="0" w:line="240" w:lineRule="auto"/>
              <w:jc w:val="left"/>
              <w:rPr>
                <w:rFonts w:cs="Arial"/>
                <w:szCs w:val="20"/>
              </w:rPr>
            </w:pPr>
            <w:r w:rsidRPr="001543A4">
              <w:rPr>
                <w:rFonts w:cs="Arial"/>
                <w:szCs w:val="20"/>
              </w:rPr>
              <w:t>Completed online survey</w:t>
            </w:r>
          </w:p>
        </w:tc>
        <w:tc>
          <w:tcPr>
            <w:tcW w:w="818" w:type="pct"/>
            <w:tcBorders>
              <w:top w:val="single" w:sz="4" w:space="0" w:color="auto"/>
              <w:left w:val="nil"/>
              <w:bottom w:val="nil"/>
              <w:right w:val="nil"/>
            </w:tcBorders>
            <w:vAlign w:val="center"/>
          </w:tcPr>
          <w:p w14:paraId="0E907FB9" w14:textId="77777777" w:rsidR="00A213C3" w:rsidRPr="001543A4" w:rsidRDefault="00A213C3" w:rsidP="00E86D5D">
            <w:pPr>
              <w:spacing w:before="0" w:after="0" w:line="240" w:lineRule="auto"/>
              <w:jc w:val="right"/>
              <w:rPr>
                <w:rFonts w:cs="Arial"/>
                <w:szCs w:val="20"/>
              </w:rPr>
            </w:pPr>
            <w:r>
              <w:rPr>
                <w:rFonts w:cs="Arial"/>
                <w:szCs w:val="20"/>
              </w:rPr>
              <w:t>119</w:t>
            </w:r>
          </w:p>
        </w:tc>
        <w:tc>
          <w:tcPr>
            <w:tcW w:w="1822" w:type="pct"/>
            <w:tcBorders>
              <w:top w:val="single" w:sz="4" w:space="0" w:color="auto"/>
              <w:left w:val="nil"/>
              <w:bottom w:val="nil"/>
              <w:right w:val="single" w:sz="8" w:space="0" w:color="auto"/>
            </w:tcBorders>
            <w:vAlign w:val="center"/>
          </w:tcPr>
          <w:p w14:paraId="588086C4" w14:textId="77777777" w:rsidR="00A213C3" w:rsidRPr="001543A4" w:rsidRDefault="00A213C3" w:rsidP="00E86D5D">
            <w:pPr>
              <w:spacing w:before="0" w:after="0" w:line="240" w:lineRule="auto"/>
              <w:jc w:val="right"/>
              <w:rPr>
                <w:rFonts w:cs="Arial"/>
                <w:szCs w:val="20"/>
              </w:rPr>
            </w:pPr>
            <w:r>
              <w:rPr>
                <w:rFonts w:cs="Arial"/>
                <w:szCs w:val="20"/>
              </w:rPr>
              <w:t>39</w:t>
            </w:r>
          </w:p>
        </w:tc>
      </w:tr>
      <w:tr w:rsidR="00A213C3" w:rsidRPr="00475556" w14:paraId="264E6427" w14:textId="77777777" w:rsidTr="00E86D5D">
        <w:trPr>
          <w:trHeight w:hRule="exact" w:val="340"/>
        </w:trPr>
        <w:tc>
          <w:tcPr>
            <w:tcW w:w="2360" w:type="pct"/>
            <w:tcBorders>
              <w:top w:val="nil"/>
              <w:left w:val="single" w:sz="4" w:space="0" w:color="auto"/>
              <w:bottom w:val="nil"/>
              <w:right w:val="nil"/>
            </w:tcBorders>
            <w:vAlign w:val="center"/>
            <w:hideMark/>
          </w:tcPr>
          <w:p w14:paraId="18AF574A" w14:textId="77777777" w:rsidR="00A213C3" w:rsidRPr="001543A4" w:rsidRDefault="00A213C3" w:rsidP="00E86D5D">
            <w:pPr>
              <w:spacing w:before="0" w:after="0" w:line="240" w:lineRule="auto"/>
              <w:jc w:val="left"/>
              <w:rPr>
                <w:rFonts w:cs="Arial"/>
                <w:szCs w:val="20"/>
              </w:rPr>
            </w:pPr>
            <w:r w:rsidRPr="001543A4">
              <w:rPr>
                <w:rFonts w:cs="Arial"/>
                <w:szCs w:val="20"/>
              </w:rPr>
              <w:t>Partially completed online surve</w:t>
            </w:r>
            <w:r>
              <w:rPr>
                <w:rFonts w:cs="Arial"/>
                <w:szCs w:val="20"/>
              </w:rPr>
              <w:t>y</w:t>
            </w:r>
          </w:p>
        </w:tc>
        <w:tc>
          <w:tcPr>
            <w:tcW w:w="818" w:type="pct"/>
            <w:tcBorders>
              <w:top w:val="nil"/>
              <w:left w:val="nil"/>
              <w:bottom w:val="nil"/>
              <w:right w:val="nil"/>
            </w:tcBorders>
            <w:vAlign w:val="center"/>
          </w:tcPr>
          <w:p w14:paraId="19B479E4" w14:textId="77777777" w:rsidR="00A213C3" w:rsidRPr="001543A4" w:rsidRDefault="00A213C3" w:rsidP="00E86D5D">
            <w:pPr>
              <w:spacing w:before="0" w:after="0" w:line="240" w:lineRule="auto"/>
              <w:jc w:val="right"/>
              <w:rPr>
                <w:rFonts w:cs="Arial"/>
                <w:szCs w:val="20"/>
              </w:rPr>
            </w:pPr>
            <w:r>
              <w:rPr>
                <w:rFonts w:cs="Arial"/>
                <w:szCs w:val="20"/>
              </w:rPr>
              <w:t>4</w:t>
            </w:r>
          </w:p>
        </w:tc>
        <w:tc>
          <w:tcPr>
            <w:tcW w:w="1822" w:type="pct"/>
            <w:tcBorders>
              <w:top w:val="nil"/>
              <w:left w:val="nil"/>
              <w:bottom w:val="nil"/>
              <w:right w:val="single" w:sz="8" w:space="0" w:color="auto"/>
            </w:tcBorders>
            <w:vAlign w:val="center"/>
          </w:tcPr>
          <w:p w14:paraId="3BB4E8A9" w14:textId="77777777" w:rsidR="00A213C3" w:rsidRPr="001543A4" w:rsidRDefault="00A213C3" w:rsidP="00E86D5D">
            <w:pPr>
              <w:spacing w:before="0" w:after="0" w:line="240" w:lineRule="auto"/>
              <w:jc w:val="right"/>
              <w:rPr>
                <w:rFonts w:cs="Arial"/>
                <w:szCs w:val="20"/>
              </w:rPr>
            </w:pPr>
            <w:r>
              <w:rPr>
                <w:rFonts w:cs="Arial"/>
                <w:szCs w:val="20"/>
              </w:rPr>
              <w:t>1</w:t>
            </w:r>
          </w:p>
        </w:tc>
      </w:tr>
      <w:tr w:rsidR="00A213C3" w:rsidRPr="00475556" w14:paraId="75CD588C" w14:textId="77777777" w:rsidTr="00E86D5D">
        <w:trPr>
          <w:trHeight w:hRule="exact" w:val="340"/>
        </w:trPr>
        <w:tc>
          <w:tcPr>
            <w:tcW w:w="2360" w:type="pct"/>
            <w:tcBorders>
              <w:top w:val="nil"/>
              <w:left w:val="single" w:sz="4" w:space="0" w:color="auto"/>
              <w:bottom w:val="nil"/>
              <w:right w:val="nil"/>
            </w:tcBorders>
            <w:vAlign w:val="center"/>
            <w:hideMark/>
          </w:tcPr>
          <w:p w14:paraId="2864EDF5" w14:textId="77777777" w:rsidR="00A213C3" w:rsidRPr="001543A4" w:rsidRDefault="00A213C3" w:rsidP="00E86D5D">
            <w:pPr>
              <w:spacing w:before="0" w:after="0" w:line="240" w:lineRule="auto"/>
              <w:jc w:val="left"/>
              <w:rPr>
                <w:rFonts w:cs="Arial"/>
                <w:szCs w:val="20"/>
              </w:rPr>
            </w:pPr>
            <w:r w:rsidRPr="001543A4">
              <w:rPr>
                <w:rFonts w:cs="Arial"/>
                <w:szCs w:val="20"/>
              </w:rPr>
              <w:t>Completed paper survey</w:t>
            </w:r>
          </w:p>
        </w:tc>
        <w:tc>
          <w:tcPr>
            <w:tcW w:w="818" w:type="pct"/>
            <w:tcBorders>
              <w:top w:val="nil"/>
              <w:left w:val="nil"/>
              <w:bottom w:val="nil"/>
              <w:right w:val="nil"/>
            </w:tcBorders>
            <w:vAlign w:val="center"/>
          </w:tcPr>
          <w:p w14:paraId="430995EA" w14:textId="77777777" w:rsidR="00A213C3" w:rsidRPr="001543A4" w:rsidRDefault="00A213C3" w:rsidP="00E86D5D">
            <w:pPr>
              <w:spacing w:before="0" w:after="0" w:line="240" w:lineRule="auto"/>
              <w:jc w:val="right"/>
              <w:rPr>
                <w:rFonts w:cs="Arial"/>
                <w:szCs w:val="20"/>
              </w:rPr>
            </w:pPr>
            <w:r>
              <w:rPr>
                <w:rFonts w:cs="Arial"/>
                <w:szCs w:val="20"/>
              </w:rPr>
              <w:t>100</w:t>
            </w:r>
          </w:p>
        </w:tc>
        <w:tc>
          <w:tcPr>
            <w:tcW w:w="1822" w:type="pct"/>
            <w:tcBorders>
              <w:top w:val="nil"/>
              <w:left w:val="nil"/>
              <w:bottom w:val="nil"/>
              <w:right w:val="single" w:sz="8" w:space="0" w:color="auto"/>
            </w:tcBorders>
            <w:vAlign w:val="center"/>
          </w:tcPr>
          <w:p w14:paraId="61C8F78A" w14:textId="77777777" w:rsidR="00A213C3" w:rsidRPr="001543A4" w:rsidRDefault="00A213C3" w:rsidP="00E86D5D">
            <w:pPr>
              <w:spacing w:before="0" w:after="0" w:line="240" w:lineRule="auto"/>
              <w:jc w:val="right"/>
              <w:rPr>
                <w:rFonts w:cs="Arial"/>
                <w:szCs w:val="20"/>
              </w:rPr>
            </w:pPr>
            <w:r>
              <w:rPr>
                <w:rFonts w:cs="Arial"/>
                <w:szCs w:val="20"/>
              </w:rPr>
              <w:t>33</w:t>
            </w:r>
          </w:p>
        </w:tc>
      </w:tr>
      <w:tr w:rsidR="00A213C3" w:rsidRPr="00475556" w14:paraId="67F94908" w14:textId="77777777" w:rsidTr="00E86D5D">
        <w:trPr>
          <w:trHeight w:hRule="exact" w:val="340"/>
        </w:trPr>
        <w:tc>
          <w:tcPr>
            <w:tcW w:w="2360" w:type="pct"/>
            <w:tcBorders>
              <w:top w:val="nil"/>
              <w:left w:val="single" w:sz="4" w:space="0" w:color="auto"/>
              <w:bottom w:val="nil"/>
              <w:right w:val="nil"/>
            </w:tcBorders>
            <w:vAlign w:val="center"/>
          </w:tcPr>
          <w:p w14:paraId="61CAF6E2" w14:textId="77777777" w:rsidR="00A213C3" w:rsidRPr="001543A4" w:rsidRDefault="00A213C3" w:rsidP="00E86D5D">
            <w:pPr>
              <w:spacing w:before="0" w:after="0" w:line="240" w:lineRule="auto"/>
              <w:jc w:val="left"/>
              <w:rPr>
                <w:rFonts w:cs="Arial"/>
                <w:szCs w:val="20"/>
              </w:rPr>
            </w:pPr>
            <w:r w:rsidRPr="001543A4">
              <w:rPr>
                <w:rFonts w:cs="Arial"/>
                <w:szCs w:val="20"/>
              </w:rPr>
              <w:t>Deceased</w:t>
            </w:r>
          </w:p>
        </w:tc>
        <w:tc>
          <w:tcPr>
            <w:tcW w:w="818" w:type="pct"/>
            <w:tcBorders>
              <w:top w:val="nil"/>
              <w:left w:val="nil"/>
              <w:bottom w:val="nil"/>
              <w:right w:val="nil"/>
            </w:tcBorders>
            <w:vAlign w:val="center"/>
          </w:tcPr>
          <w:p w14:paraId="426E180A" w14:textId="77777777" w:rsidR="00A213C3" w:rsidRPr="001543A4" w:rsidRDefault="00A213C3" w:rsidP="00E86D5D">
            <w:pPr>
              <w:spacing w:before="0" w:after="0" w:line="240" w:lineRule="auto"/>
              <w:jc w:val="right"/>
              <w:rPr>
                <w:rFonts w:cs="Arial"/>
                <w:szCs w:val="20"/>
              </w:rPr>
            </w:pPr>
            <w:r>
              <w:rPr>
                <w:rFonts w:cs="Arial"/>
                <w:szCs w:val="20"/>
              </w:rPr>
              <w:t>5</w:t>
            </w:r>
          </w:p>
        </w:tc>
        <w:tc>
          <w:tcPr>
            <w:tcW w:w="1822" w:type="pct"/>
            <w:tcBorders>
              <w:top w:val="nil"/>
              <w:left w:val="nil"/>
              <w:bottom w:val="nil"/>
              <w:right w:val="single" w:sz="8" w:space="0" w:color="auto"/>
            </w:tcBorders>
            <w:vAlign w:val="center"/>
          </w:tcPr>
          <w:p w14:paraId="149D0C9B" w14:textId="77777777" w:rsidR="00A213C3" w:rsidRPr="001543A4" w:rsidRDefault="00A213C3" w:rsidP="00E86D5D">
            <w:pPr>
              <w:spacing w:before="0" w:after="0" w:line="240" w:lineRule="auto"/>
              <w:jc w:val="right"/>
              <w:rPr>
                <w:rFonts w:cs="Arial"/>
                <w:szCs w:val="20"/>
              </w:rPr>
            </w:pPr>
            <w:r>
              <w:rPr>
                <w:rFonts w:cs="Arial"/>
                <w:szCs w:val="20"/>
              </w:rPr>
              <w:t>2</w:t>
            </w:r>
          </w:p>
        </w:tc>
      </w:tr>
      <w:tr w:rsidR="00A213C3" w:rsidRPr="00475556" w14:paraId="02E1011C" w14:textId="77777777" w:rsidTr="00E86D5D">
        <w:trPr>
          <w:trHeight w:hRule="exact" w:val="340"/>
        </w:trPr>
        <w:tc>
          <w:tcPr>
            <w:tcW w:w="2360" w:type="pct"/>
            <w:tcBorders>
              <w:top w:val="nil"/>
              <w:left w:val="single" w:sz="4" w:space="0" w:color="auto"/>
              <w:bottom w:val="nil"/>
              <w:right w:val="nil"/>
            </w:tcBorders>
            <w:vAlign w:val="center"/>
            <w:hideMark/>
          </w:tcPr>
          <w:p w14:paraId="6173B6FC" w14:textId="77777777" w:rsidR="00A213C3" w:rsidRPr="001543A4" w:rsidRDefault="00A213C3" w:rsidP="00E86D5D">
            <w:pPr>
              <w:spacing w:before="0" w:after="0" w:line="240" w:lineRule="auto"/>
              <w:jc w:val="left"/>
              <w:rPr>
                <w:rFonts w:cs="Arial"/>
                <w:szCs w:val="20"/>
              </w:rPr>
            </w:pPr>
            <w:r w:rsidRPr="001543A4">
              <w:rPr>
                <w:rFonts w:cs="Arial"/>
                <w:szCs w:val="20"/>
              </w:rPr>
              <w:t>Withdrawn</w:t>
            </w:r>
          </w:p>
        </w:tc>
        <w:tc>
          <w:tcPr>
            <w:tcW w:w="818" w:type="pct"/>
            <w:tcBorders>
              <w:top w:val="nil"/>
              <w:left w:val="nil"/>
              <w:bottom w:val="nil"/>
              <w:right w:val="nil"/>
            </w:tcBorders>
            <w:vAlign w:val="center"/>
          </w:tcPr>
          <w:p w14:paraId="2F3FBDC9" w14:textId="77777777" w:rsidR="00A213C3" w:rsidRPr="001543A4" w:rsidRDefault="00A213C3" w:rsidP="00E86D5D">
            <w:pPr>
              <w:spacing w:before="0" w:after="0" w:line="240" w:lineRule="auto"/>
              <w:jc w:val="right"/>
              <w:rPr>
                <w:rFonts w:cs="Arial"/>
                <w:szCs w:val="20"/>
              </w:rPr>
            </w:pPr>
            <w:r>
              <w:rPr>
                <w:rFonts w:cs="Arial"/>
                <w:szCs w:val="20"/>
              </w:rPr>
              <w:t>3</w:t>
            </w:r>
          </w:p>
        </w:tc>
        <w:tc>
          <w:tcPr>
            <w:tcW w:w="1822" w:type="pct"/>
            <w:tcBorders>
              <w:top w:val="nil"/>
              <w:left w:val="nil"/>
              <w:bottom w:val="nil"/>
              <w:right w:val="single" w:sz="8" w:space="0" w:color="auto"/>
            </w:tcBorders>
            <w:vAlign w:val="center"/>
          </w:tcPr>
          <w:p w14:paraId="3B609280" w14:textId="77777777" w:rsidR="00A213C3" w:rsidRPr="001543A4" w:rsidRDefault="00A213C3" w:rsidP="00E86D5D">
            <w:pPr>
              <w:spacing w:before="0" w:after="0" w:line="240" w:lineRule="auto"/>
              <w:jc w:val="right"/>
              <w:rPr>
                <w:rFonts w:cs="Arial"/>
                <w:szCs w:val="20"/>
              </w:rPr>
            </w:pPr>
            <w:r>
              <w:rPr>
                <w:rFonts w:cs="Arial"/>
                <w:szCs w:val="20"/>
              </w:rPr>
              <w:t>1</w:t>
            </w:r>
          </w:p>
        </w:tc>
      </w:tr>
      <w:tr w:rsidR="00A213C3" w:rsidRPr="00475556" w14:paraId="35C5E62E" w14:textId="77777777" w:rsidTr="00E86D5D">
        <w:trPr>
          <w:trHeight w:hRule="exact" w:val="340"/>
        </w:trPr>
        <w:tc>
          <w:tcPr>
            <w:tcW w:w="2360" w:type="pct"/>
            <w:tcBorders>
              <w:top w:val="nil"/>
              <w:left w:val="single" w:sz="4" w:space="0" w:color="auto"/>
              <w:bottom w:val="nil"/>
              <w:right w:val="nil"/>
            </w:tcBorders>
            <w:vAlign w:val="center"/>
            <w:hideMark/>
          </w:tcPr>
          <w:p w14:paraId="0CF44307" w14:textId="77777777" w:rsidR="00A213C3" w:rsidRPr="001543A4" w:rsidRDefault="00A213C3" w:rsidP="00E86D5D">
            <w:pPr>
              <w:spacing w:before="0" w:after="0" w:line="240" w:lineRule="auto"/>
              <w:jc w:val="left"/>
              <w:rPr>
                <w:rFonts w:cs="Arial"/>
                <w:szCs w:val="20"/>
              </w:rPr>
            </w:pPr>
            <w:r w:rsidRPr="001543A4">
              <w:rPr>
                <w:rFonts w:cs="Arial"/>
                <w:szCs w:val="20"/>
              </w:rPr>
              <w:t>Not this time</w:t>
            </w:r>
          </w:p>
        </w:tc>
        <w:tc>
          <w:tcPr>
            <w:tcW w:w="818" w:type="pct"/>
            <w:tcBorders>
              <w:top w:val="nil"/>
              <w:left w:val="nil"/>
              <w:bottom w:val="nil"/>
              <w:right w:val="nil"/>
            </w:tcBorders>
            <w:vAlign w:val="center"/>
          </w:tcPr>
          <w:p w14:paraId="11BC0B56" w14:textId="77777777" w:rsidR="00A213C3" w:rsidRPr="001543A4" w:rsidRDefault="00A213C3" w:rsidP="00E86D5D">
            <w:pPr>
              <w:spacing w:before="0" w:after="0" w:line="240" w:lineRule="auto"/>
              <w:jc w:val="right"/>
              <w:rPr>
                <w:rFonts w:cs="Arial"/>
                <w:szCs w:val="20"/>
              </w:rPr>
            </w:pPr>
            <w:r>
              <w:rPr>
                <w:rFonts w:cs="Arial"/>
                <w:szCs w:val="20"/>
              </w:rPr>
              <w:t>8</w:t>
            </w:r>
          </w:p>
        </w:tc>
        <w:tc>
          <w:tcPr>
            <w:tcW w:w="1822" w:type="pct"/>
            <w:tcBorders>
              <w:top w:val="nil"/>
              <w:left w:val="nil"/>
              <w:bottom w:val="nil"/>
              <w:right w:val="single" w:sz="8" w:space="0" w:color="auto"/>
            </w:tcBorders>
            <w:vAlign w:val="center"/>
          </w:tcPr>
          <w:p w14:paraId="760B97A7" w14:textId="77777777" w:rsidR="00A213C3" w:rsidRPr="001543A4" w:rsidRDefault="00A213C3" w:rsidP="00E86D5D">
            <w:pPr>
              <w:spacing w:before="0" w:after="0" w:line="240" w:lineRule="auto"/>
              <w:jc w:val="right"/>
              <w:rPr>
                <w:rFonts w:cs="Arial"/>
                <w:szCs w:val="20"/>
              </w:rPr>
            </w:pPr>
            <w:r>
              <w:rPr>
                <w:rFonts w:cs="Arial"/>
                <w:szCs w:val="20"/>
              </w:rPr>
              <w:t>3</w:t>
            </w:r>
          </w:p>
        </w:tc>
      </w:tr>
      <w:tr w:rsidR="00A213C3" w:rsidRPr="00475556" w14:paraId="7A3546C6" w14:textId="77777777" w:rsidTr="00E86D5D">
        <w:trPr>
          <w:trHeight w:hRule="exact" w:val="340"/>
        </w:trPr>
        <w:tc>
          <w:tcPr>
            <w:tcW w:w="2360" w:type="pct"/>
            <w:tcBorders>
              <w:top w:val="nil"/>
              <w:left w:val="single" w:sz="4" w:space="0" w:color="auto"/>
              <w:bottom w:val="single" w:sz="4" w:space="0" w:color="auto"/>
              <w:right w:val="nil"/>
            </w:tcBorders>
            <w:vAlign w:val="center"/>
          </w:tcPr>
          <w:p w14:paraId="041C425D" w14:textId="77777777" w:rsidR="00A213C3" w:rsidRPr="001543A4" w:rsidRDefault="00A213C3" w:rsidP="00E86D5D">
            <w:pPr>
              <w:spacing w:before="0" w:after="0" w:line="240" w:lineRule="auto"/>
              <w:jc w:val="left"/>
              <w:rPr>
                <w:rFonts w:cs="Arial"/>
                <w:szCs w:val="20"/>
              </w:rPr>
            </w:pPr>
            <w:r w:rsidRPr="001543A4">
              <w:rPr>
                <w:rFonts w:cs="Arial"/>
                <w:szCs w:val="20"/>
              </w:rPr>
              <w:t>No response</w:t>
            </w:r>
          </w:p>
        </w:tc>
        <w:tc>
          <w:tcPr>
            <w:tcW w:w="818" w:type="pct"/>
            <w:tcBorders>
              <w:top w:val="nil"/>
              <w:left w:val="nil"/>
              <w:bottom w:val="single" w:sz="4" w:space="0" w:color="auto"/>
              <w:right w:val="nil"/>
            </w:tcBorders>
            <w:vAlign w:val="center"/>
          </w:tcPr>
          <w:p w14:paraId="4B2AA07C" w14:textId="77777777" w:rsidR="00A213C3" w:rsidRPr="001543A4" w:rsidRDefault="00A213C3" w:rsidP="00E86D5D">
            <w:pPr>
              <w:spacing w:before="0" w:after="0" w:line="240" w:lineRule="auto"/>
              <w:jc w:val="right"/>
              <w:rPr>
                <w:rFonts w:cs="Arial"/>
                <w:szCs w:val="20"/>
              </w:rPr>
            </w:pPr>
            <w:r>
              <w:rPr>
                <w:rFonts w:cs="Arial"/>
                <w:szCs w:val="20"/>
              </w:rPr>
              <w:t>64</w:t>
            </w:r>
          </w:p>
        </w:tc>
        <w:tc>
          <w:tcPr>
            <w:tcW w:w="1822" w:type="pct"/>
            <w:tcBorders>
              <w:top w:val="nil"/>
              <w:left w:val="nil"/>
              <w:bottom w:val="single" w:sz="4" w:space="0" w:color="auto"/>
              <w:right w:val="single" w:sz="8" w:space="0" w:color="auto"/>
            </w:tcBorders>
            <w:vAlign w:val="center"/>
          </w:tcPr>
          <w:p w14:paraId="3D5B7F73" w14:textId="77777777" w:rsidR="00A213C3" w:rsidRPr="001543A4" w:rsidRDefault="00A213C3" w:rsidP="00E86D5D">
            <w:pPr>
              <w:spacing w:before="0" w:after="0" w:line="240" w:lineRule="auto"/>
              <w:jc w:val="right"/>
              <w:rPr>
                <w:rFonts w:cs="Arial"/>
                <w:szCs w:val="20"/>
              </w:rPr>
            </w:pPr>
            <w:r>
              <w:rPr>
                <w:rFonts w:cs="Arial"/>
                <w:szCs w:val="20"/>
              </w:rPr>
              <w:t>21</w:t>
            </w:r>
          </w:p>
        </w:tc>
      </w:tr>
      <w:tr w:rsidR="00A213C3" w:rsidRPr="00ED6106" w14:paraId="55548452" w14:textId="77777777" w:rsidTr="00E86D5D">
        <w:trPr>
          <w:trHeight w:hRule="exact" w:val="465"/>
        </w:trPr>
        <w:tc>
          <w:tcPr>
            <w:tcW w:w="2360" w:type="pct"/>
            <w:tcBorders>
              <w:top w:val="single" w:sz="4" w:space="0" w:color="auto"/>
              <w:left w:val="single" w:sz="4" w:space="0" w:color="auto"/>
              <w:bottom w:val="single" w:sz="4" w:space="0" w:color="auto"/>
              <w:right w:val="nil"/>
            </w:tcBorders>
            <w:vAlign w:val="center"/>
            <w:hideMark/>
          </w:tcPr>
          <w:p w14:paraId="68E91EA0" w14:textId="77777777" w:rsidR="00A213C3" w:rsidRPr="001543A4" w:rsidRDefault="00A213C3" w:rsidP="00E86D5D">
            <w:pPr>
              <w:spacing w:before="0" w:after="0" w:line="240" w:lineRule="auto"/>
              <w:jc w:val="left"/>
              <w:rPr>
                <w:rFonts w:cs="Arial"/>
                <w:b/>
                <w:bCs/>
                <w:szCs w:val="20"/>
              </w:rPr>
            </w:pPr>
            <w:r w:rsidRPr="001543A4">
              <w:rPr>
                <w:rFonts w:cs="Arial"/>
                <w:b/>
                <w:bCs/>
                <w:szCs w:val="20"/>
              </w:rPr>
              <w:t xml:space="preserve">Total </w:t>
            </w:r>
          </w:p>
        </w:tc>
        <w:tc>
          <w:tcPr>
            <w:tcW w:w="818" w:type="pct"/>
            <w:tcBorders>
              <w:top w:val="single" w:sz="4" w:space="0" w:color="auto"/>
              <w:left w:val="nil"/>
              <w:bottom w:val="single" w:sz="4" w:space="0" w:color="auto"/>
              <w:right w:val="nil"/>
            </w:tcBorders>
            <w:vAlign w:val="center"/>
          </w:tcPr>
          <w:p w14:paraId="5248D457" w14:textId="77777777" w:rsidR="00A213C3" w:rsidRPr="001543A4" w:rsidRDefault="00A213C3" w:rsidP="00E86D5D">
            <w:pPr>
              <w:spacing w:before="0" w:after="0" w:line="240" w:lineRule="auto"/>
              <w:jc w:val="right"/>
              <w:rPr>
                <w:rFonts w:cs="Arial"/>
                <w:b/>
                <w:bCs/>
                <w:szCs w:val="20"/>
              </w:rPr>
            </w:pPr>
            <w:r>
              <w:rPr>
                <w:rFonts w:cs="Arial"/>
                <w:b/>
                <w:bCs/>
                <w:szCs w:val="20"/>
              </w:rPr>
              <w:t>303</w:t>
            </w:r>
          </w:p>
        </w:tc>
        <w:tc>
          <w:tcPr>
            <w:tcW w:w="1822" w:type="pct"/>
            <w:tcBorders>
              <w:top w:val="single" w:sz="4" w:space="0" w:color="auto"/>
              <w:left w:val="nil"/>
              <w:bottom w:val="single" w:sz="4" w:space="0" w:color="auto"/>
              <w:right w:val="single" w:sz="8" w:space="0" w:color="auto"/>
            </w:tcBorders>
            <w:vAlign w:val="center"/>
          </w:tcPr>
          <w:p w14:paraId="4F06DCE1" w14:textId="77777777" w:rsidR="00A213C3" w:rsidRPr="001543A4" w:rsidRDefault="00A213C3" w:rsidP="00E86D5D">
            <w:pPr>
              <w:spacing w:before="0" w:after="0" w:line="240" w:lineRule="auto"/>
              <w:jc w:val="right"/>
              <w:rPr>
                <w:rFonts w:cs="Arial"/>
                <w:b/>
                <w:bCs/>
                <w:szCs w:val="20"/>
              </w:rPr>
            </w:pPr>
            <w:r>
              <w:rPr>
                <w:rFonts w:cs="Arial"/>
                <w:b/>
                <w:bCs/>
                <w:szCs w:val="20"/>
              </w:rPr>
              <w:t>100</w:t>
            </w:r>
          </w:p>
        </w:tc>
      </w:tr>
    </w:tbl>
    <w:p w14:paraId="26651CCD" w14:textId="77777777" w:rsidR="00A213C3" w:rsidRDefault="00A213C3" w:rsidP="00A213C3">
      <w:pPr>
        <w:spacing w:after="0"/>
        <w:rPr>
          <w:rFonts w:cs="Arial"/>
        </w:rPr>
      </w:pPr>
    </w:p>
    <w:p w14:paraId="100EA43D" w14:textId="77777777" w:rsidR="00A213C3" w:rsidRPr="00B57651" w:rsidRDefault="00A213C3" w:rsidP="00A213C3">
      <w:pPr>
        <w:pStyle w:val="Heading3"/>
      </w:pPr>
      <w:bookmarkStart w:id="33" w:name="_Toc124762764"/>
      <w:r w:rsidRPr="00B57651">
        <w:t>Main Survey 10</w:t>
      </w:r>
      <w:bookmarkEnd w:id="33"/>
    </w:p>
    <w:p w14:paraId="1CBF81BE" w14:textId="77777777" w:rsidR="00A213C3" w:rsidRPr="00D076DA" w:rsidRDefault="00A213C3" w:rsidP="00901558">
      <w:pPr>
        <w:pStyle w:val="Heading4"/>
      </w:pPr>
      <w:r w:rsidRPr="00D076DA">
        <w:t>Planning and Development</w:t>
      </w:r>
    </w:p>
    <w:p w14:paraId="79E117BB" w14:textId="66F4E7E5" w:rsidR="00A213C3" w:rsidRPr="00475556" w:rsidRDefault="00A213C3" w:rsidP="00A213C3">
      <w:r>
        <w:t>During March and April 2022, f</w:t>
      </w:r>
      <w:r w:rsidRPr="00475556">
        <w:t>requencies, evaluation question responses and comments from the 19</w:t>
      </w:r>
      <w:r>
        <w:t>46-</w:t>
      </w:r>
      <w:r w:rsidR="000806FB">
        <w:noBreakHyphen/>
      </w:r>
      <w:r>
        <w:t>51</w:t>
      </w:r>
      <w:r w:rsidRPr="00475556">
        <w:t xml:space="preserve"> cohort Pilot Survey </w:t>
      </w:r>
      <w:r>
        <w:t>10</w:t>
      </w:r>
      <w:r w:rsidRPr="00475556">
        <w:t xml:space="preserve"> were reviewed</w:t>
      </w:r>
      <w:r>
        <w:t>,</w:t>
      </w:r>
      <w:r w:rsidRPr="00475556">
        <w:t xml:space="preserve"> and recommendations for changes and improvements to the main survey were proposed and decided on. </w:t>
      </w:r>
    </w:p>
    <w:p w14:paraId="4B586C99" w14:textId="77777777" w:rsidR="00A213C3" w:rsidRDefault="00A213C3" w:rsidP="00901558">
      <w:pPr>
        <w:pStyle w:val="Heading4"/>
      </w:pPr>
      <w:r w:rsidRPr="00500C30">
        <w:t>Development of survey materials</w:t>
      </w:r>
      <w:r>
        <w:t xml:space="preserve"> </w:t>
      </w:r>
    </w:p>
    <w:p w14:paraId="1A4B199A" w14:textId="77777777" w:rsidR="00A213C3" w:rsidRPr="0061756B" w:rsidRDefault="00A213C3" w:rsidP="00A213C3">
      <w:pPr>
        <w:keepNext/>
        <w:spacing w:after="0"/>
        <w:rPr>
          <w:rFonts w:cs="Arial"/>
        </w:rPr>
      </w:pPr>
      <w:r>
        <w:rPr>
          <w:rFonts w:cs="Arial"/>
        </w:rPr>
        <w:t>Two new items were introduced into the main survey, including</w:t>
      </w:r>
      <w:r w:rsidRPr="0061756B">
        <w:rPr>
          <w:rFonts w:cs="Arial"/>
        </w:rPr>
        <w:t>:</w:t>
      </w:r>
    </w:p>
    <w:p w14:paraId="4E21F1A0" w14:textId="77777777" w:rsidR="00A213C3" w:rsidRPr="004E56AE" w:rsidRDefault="00A213C3" w:rsidP="003D5E6A">
      <w:pPr>
        <w:pStyle w:val="ListParagraph"/>
        <w:numPr>
          <w:ilvl w:val="0"/>
          <w:numId w:val="89"/>
        </w:numPr>
        <w:spacing w:after="0"/>
        <w:rPr>
          <w:rFonts w:cs="Arial"/>
          <w:szCs w:val="20"/>
        </w:rPr>
      </w:pPr>
      <w:r w:rsidRPr="004E56AE">
        <w:rPr>
          <w:rFonts w:cs="Arial"/>
          <w:i/>
          <w:iCs/>
        </w:rPr>
        <w:t xml:space="preserve">COVID-19 </w:t>
      </w:r>
      <w:r>
        <w:rPr>
          <w:rFonts w:cs="Arial"/>
          <w:i/>
          <w:iCs/>
        </w:rPr>
        <w:t>free text comment</w:t>
      </w:r>
      <w:r w:rsidRPr="004E56AE">
        <w:rPr>
          <w:rFonts w:cs="Arial"/>
          <w:i/>
          <w:iCs/>
        </w:rPr>
        <w:t>:</w:t>
      </w:r>
      <w:r w:rsidRPr="004E56AE">
        <w:rPr>
          <w:rFonts w:cs="Arial"/>
        </w:rPr>
        <w:t xml:space="preserve"> </w:t>
      </w:r>
      <w:r w:rsidRPr="00820400">
        <w:rPr>
          <w:rFonts w:cs="Arial"/>
          <w:szCs w:val="20"/>
        </w:rPr>
        <w:t>A</w:t>
      </w:r>
      <w:r>
        <w:rPr>
          <w:rFonts w:cs="Arial"/>
          <w:szCs w:val="20"/>
        </w:rPr>
        <w:t xml:space="preserve"> free text item was added based on participant feedback to allow participants a space to </w:t>
      </w:r>
      <w:r>
        <w:t>qualify the impact COVID-19 has had on their health and wellbeing</w:t>
      </w:r>
    </w:p>
    <w:p w14:paraId="073F6850" w14:textId="2CC7794A" w:rsidR="00A213C3" w:rsidRPr="004E56AE" w:rsidRDefault="00A213C3" w:rsidP="003D5E6A">
      <w:pPr>
        <w:pStyle w:val="ListParagraph"/>
        <w:numPr>
          <w:ilvl w:val="0"/>
          <w:numId w:val="89"/>
        </w:numPr>
        <w:spacing w:after="0"/>
        <w:rPr>
          <w:rFonts w:cs="Arial"/>
        </w:rPr>
      </w:pPr>
      <w:r>
        <w:rPr>
          <w:rFonts w:cs="Arial"/>
          <w:i/>
          <w:iCs/>
          <w:szCs w:val="20"/>
        </w:rPr>
        <w:t>Diagnosis of endometriosis</w:t>
      </w:r>
      <w:r w:rsidRPr="004E56AE">
        <w:rPr>
          <w:rFonts w:cs="Arial"/>
          <w:szCs w:val="20"/>
        </w:rPr>
        <w:t xml:space="preserve">: To measure </w:t>
      </w:r>
      <w:r>
        <w:rPr>
          <w:rFonts w:cs="Arial"/>
          <w:szCs w:val="20"/>
        </w:rPr>
        <w:t xml:space="preserve">the </w:t>
      </w:r>
      <w:r w:rsidRPr="004E56AE">
        <w:rPr>
          <w:rFonts w:cs="Arial"/>
          <w:szCs w:val="20"/>
        </w:rPr>
        <w:t xml:space="preserve">prevalence of </w:t>
      </w:r>
      <w:r>
        <w:rPr>
          <w:rFonts w:cs="Arial"/>
          <w:szCs w:val="20"/>
        </w:rPr>
        <w:t>endometriosis in the cohort, added at the request of the Department of Health</w:t>
      </w:r>
      <w:r w:rsidR="00F0674D">
        <w:rPr>
          <w:rFonts w:cs="Arial"/>
          <w:szCs w:val="20"/>
        </w:rPr>
        <w:t xml:space="preserve"> and Aged Care</w:t>
      </w:r>
    </w:p>
    <w:p w14:paraId="269168BB" w14:textId="1F158807" w:rsidR="00A213C3" w:rsidRDefault="00A213C3" w:rsidP="00A213C3">
      <w:pPr>
        <w:spacing w:after="0"/>
        <w:rPr>
          <w:rFonts w:cs="Arial"/>
          <w:b/>
          <w:bCs/>
        </w:rPr>
      </w:pPr>
      <w:r>
        <w:rPr>
          <w:rFonts w:cs="Arial"/>
        </w:rPr>
        <w:t>While many of the existing survey items from Pilot Survey 10 remained unchanged, eight items were modified slightly to provide better clarity or instruction (</w:t>
      </w:r>
      <w:r w:rsidR="009429DC">
        <w:rPr>
          <w:rFonts w:cs="Arial"/>
          <w:highlight w:val="cyan"/>
        </w:rPr>
        <w:fldChar w:fldCharType="begin"/>
      </w:r>
      <w:r w:rsidR="009429DC">
        <w:rPr>
          <w:rFonts w:cs="Arial"/>
          <w:highlight w:val="cyan"/>
        </w:rPr>
        <w:instrText xml:space="preserve"> REF _Ref113714635 \h </w:instrText>
      </w:r>
      <w:r w:rsidR="009429DC">
        <w:rPr>
          <w:rFonts w:cs="Arial"/>
          <w:highlight w:val="cyan"/>
        </w:rPr>
      </w:r>
      <w:r w:rsidR="009429DC">
        <w:rPr>
          <w:rFonts w:cs="Arial"/>
          <w:highlight w:val="cyan"/>
        </w:rPr>
        <w:fldChar w:fldCharType="separate"/>
      </w:r>
      <w:r w:rsidR="007D19D7">
        <w:t xml:space="preserve">Table </w:t>
      </w:r>
      <w:r w:rsidR="007D19D7">
        <w:rPr>
          <w:noProof/>
        </w:rPr>
        <w:t>3</w:t>
      </w:r>
      <w:r w:rsidR="007D19D7">
        <w:noBreakHyphen/>
      </w:r>
      <w:r w:rsidR="007D19D7">
        <w:rPr>
          <w:noProof/>
        </w:rPr>
        <w:t>8</w:t>
      </w:r>
      <w:r w:rsidR="009429DC">
        <w:rPr>
          <w:rFonts w:cs="Arial"/>
          <w:highlight w:val="cyan"/>
        </w:rPr>
        <w:fldChar w:fldCharType="end"/>
      </w:r>
      <w:r>
        <w:rPr>
          <w:rFonts w:cs="Arial"/>
        </w:rPr>
        <w:t>). Two items from Pilot Survey 10 were removed for Main Survey 10, as presented in</w:t>
      </w:r>
      <w:r w:rsidR="009429DC">
        <w:rPr>
          <w:rFonts w:cs="Arial"/>
        </w:rPr>
        <w:t xml:space="preserve"> </w:t>
      </w:r>
      <w:r w:rsidR="009429DC">
        <w:rPr>
          <w:rFonts w:cs="Arial"/>
          <w:highlight w:val="cyan"/>
        </w:rPr>
        <w:fldChar w:fldCharType="begin"/>
      </w:r>
      <w:r w:rsidR="009429DC">
        <w:rPr>
          <w:rFonts w:cs="Arial"/>
          <w:highlight w:val="cyan"/>
        </w:rPr>
        <w:instrText xml:space="preserve"> REF _Ref113714635 \h </w:instrText>
      </w:r>
      <w:r w:rsidR="009429DC">
        <w:rPr>
          <w:rFonts w:cs="Arial"/>
          <w:highlight w:val="cyan"/>
        </w:rPr>
      </w:r>
      <w:r w:rsidR="009429DC">
        <w:rPr>
          <w:rFonts w:cs="Arial"/>
          <w:highlight w:val="cyan"/>
        </w:rPr>
        <w:fldChar w:fldCharType="separate"/>
      </w:r>
      <w:r w:rsidR="007D19D7">
        <w:t xml:space="preserve">Table </w:t>
      </w:r>
      <w:r w:rsidR="007D19D7">
        <w:rPr>
          <w:noProof/>
        </w:rPr>
        <w:t>3</w:t>
      </w:r>
      <w:r w:rsidR="007D19D7">
        <w:noBreakHyphen/>
      </w:r>
      <w:r w:rsidR="007D19D7">
        <w:rPr>
          <w:noProof/>
        </w:rPr>
        <w:t>8</w:t>
      </w:r>
      <w:r w:rsidR="009429DC">
        <w:rPr>
          <w:rFonts w:cs="Arial"/>
          <w:highlight w:val="cyan"/>
        </w:rPr>
        <w:fldChar w:fldCharType="end"/>
      </w:r>
      <w:r>
        <w:rPr>
          <w:rFonts w:cs="Arial"/>
        </w:rPr>
        <w:t>.</w:t>
      </w:r>
    </w:p>
    <w:p w14:paraId="336B9318" w14:textId="77777777" w:rsidR="00A213C3" w:rsidRDefault="00A213C3" w:rsidP="00A213C3">
      <w:pPr>
        <w:spacing w:after="0"/>
        <w:rPr>
          <w:rFonts w:cs="Arial"/>
          <w:b/>
          <w:bCs/>
        </w:rPr>
      </w:pPr>
    </w:p>
    <w:p w14:paraId="40F6CC4C" w14:textId="77777777" w:rsidR="00A213C3" w:rsidRDefault="00A213C3" w:rsidP="00A213C3">
      <w:pPr>
        <w:spacing w:after="0"/>
        <w:rPr>
          <w:rFonts w:cs="Arial"/>
          <w:b/>
          <w:bCs/>
        </w:rPr>
        <w:sectPr w:rsidR="00A213C3" w:rsidSect="00D77057">
          <w:pgSz w:w="12240" w:h="15840"/>
          <w:pgMar w:top="1080" w:right="1440" w:bottom="1080" w:left="1440" w:header="709" w:footer="709" w:gutter="0"/>
          <w:cols w:space="720"/>
          <w:docGrid w:linePitch="272"/>
        </w:sectPr>
      </w:pPr>
    </w:p>
    <w:p w14:paraId="57084B83" w14:textId="1D2B7E6F" w:rsidR="00A213C3" w:rsidRPr="009429DC" w:rsidRDefault="009429DC" w:rsidP="009429DC">
      <w:pPr>
        <w:spacing w:before="40" w:after="40" w:line="276" w:lineRule="auto"/>
        <w:rPr>
          <w:rFonts w:cs="Arial"/>
          <w:b/>
          <w:bCs/>
        </w:rPr>
      </w:pPr>
      <w:r w:rsidRPr="009429DC">
        <w:rPr>
          <w:rFonts w:cs="Arial"/>
          <w:b/>
          <w:bCs/>
        </w:rPr>
        <w:lastRenderedPageBreak/>
        <w:t xml:space="preserve">Table </w:t>
      </w:r>
      <w:r w:rsidR="00327D59">
        <w:rPr>
          <w:rFonts w:cs="Arial"/>
          <w:b/>
          <w:bCs/>
        </w:rPr>
        <w:fldChar w:fldCharType="begin"/>
      </w:r>
      <w:r w:rsidR="00327D59">
        <w:rPr>
          <w:rFonts w:cs="Arial"/>
          <w:b/>
          <w:bCs/>
        </w:rPr>
        <w:instrText xml:space="preserve"> STYLEREF 1 \s </w:instrText>
      </w:r>
      <w:r w:rsidR="00327D59">
        <w:rPr>
          <w:rFonts w:cs="Arial"/>
          <w:b/>
          <w:bCs/>
        </w:rPr>
        <w:fldChar w:fldCharType="separate"/>
      </w:r>
      <w:r w:rsidR="007D19D7">
        <w:rPr>
          <w:rFonts w:cs="Arial"/>
          <w:b/>
          <w:bCs/>
          <w:noProof/>
        </w:rPr>
        <w:t>3</w:t>
      </w:r>
      <w:r w:rsidR="00327D59">
        <w:rPr>
          <w:rFonts w:cs="Arial"/>
          <w:b/>
          <w:bCs/>
        </w:rPr>
        <w:fldChar w:fldCharType="end"/>
      </w:r>
      <w:r w:rsidR="00327D59">
        <w:rPr>
          <w:rFonts w:cs="Arial"/>
          <w:b/>
          <w:bCs/>
        </w:rPr>
        <w:noBreakHyphen/>
      </w:r>
      <w:r w:rsidR="00327D59">
        <w:rPr>
          <w:rFonts w:cs="Arial"/>
          <w:b/>
          <w:bCs/>
        </w:rPr>
        <w:fldChar w:fldCharType="begin"/>
      </w:r>
      <w:r w:rsidR="00327D59">
        <w:rPr>
          <w:rFonts w:cs="Arial"/>
          <w:b/>
          <w:bCs/>
        </w:rPr>
        <w:instrText xml:space="preserve"> SEQ Table \* ARABIC \s 1 </w:instrText>
      </w:r>
      <w:r w:rsidR="00327D59">
        <w:rPr>
          <w:rFonts w:cs="Arial"/>
          <w:b/>
          <w:bCs/>
        </w:rPr>
        <w:fldChar w:fldCharType="separate"/>
      </w:r>
      <w:r w:rsidR="007D19D7">
        <w:rPr>
          <w:rFonts w:cs="Arial"/>
          <w:b/>
          <w:bCs/>
          <w:noProof/>
        </w:rPr>
        <w:t>7</w:t>
      </w:r>
      <w:r w:rsidR="00327D59">
        <w:rPr>
          <w:rFonts w:cs="Arial"/>
          <w:b/>
          <w:bCs/>
        </w:rPr>
        <w:fldChar w:fldCharType="end"/>
      </w:r>
      <w:r w:rsidRPr="009429DC">
        <w:rPr>
          <w:rFonts w:cs="Arial"/>
          <w:b/>
          <w:bCs/>
        </w:rPr>
        <w:t xml:space="preserve"> </w:t>
      </w:r>
      <w:r w:rsidR="00A213C3" w:rsidRPr="009429DC">
        <w:rPr>
          <w:rFonts w:cs="Arial"/>
          <w:b/>
          <w:bCs/>
        </w:rPr>
        <w:t>Changes to existing items and additions of new items from Pilot Survey 10 to Main Survey 10 for the 1946-51 Cohort</w:t>
      </w:r>
    </w:p>
    <w:tbl>
      <w:tblPr>
        <w:tblW w:w="138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1E0" w:firstRow="1" w:lastRow="1" w:firstColumn="1" w:lastColumn="1" w:noHBand="0" w:noVBand="0"/>
      </w:tblPr>
      <w:tblGrid>
        <w:gridCol w:w="1227"/>
        <w:gridCol w:w="2002"/>
        <w:gridCol w:w="4558"/>
        <w:gridCol w:w="2976"/>
        <w:gridCol w:w="3097"/>
      </w:tblGrid>
      <w:tr w:rsidR="00A213C3" w:rsidRPr="00284DE5" w14:paraId="32F73483" w14:textId="77777777" w:rsidTr="00E86D5D">
        <w:trPr>
          <w:cantSplit/>
          <w:tblHeader/>
        </w:trPr>
        <w:tc>
          <w:tcPr>
            <w:tcW w:w="1227" w:type="dxa"/>
            <w:tcBorders>
              <w:top w:val="single" w:sz="4" w:space="0" w:color="auto"/>
            </w:tcBorders>
            <w:shd w:val="clear" w:color="auto" w:fill="E5DFEC" w:themeFill="accent4" w:themeFillTint="33"/>
            <w:vAlign w:val="center"/>
          </w:tcPr>
          <w:p w14:paraId="7445BA80" w14:textId="77777777" w:rsidR="00A213C3" w:rsidRPr="00284DE5" w:rsidRDefault="00A213C3" w:rsidP="009429DC">
            <w:pPr>
              <w:spacing w:before="40" w:after="40" w:line="276" w:lineRule="auto"/>
              <w:contextualSpacing/>
              <w:jc w:val="left"/>
              <w:rPr>
                <w:rFonts w:cs="Arial"/>
                <w:b/>
                <w:szCs w:val="20"/>
              </w:rPr>
            </w:pPr>
            <w:r>
              <w:rPr>
                <w:rFonts w:cs="Arial"/>
                <w:b/>
                <w:szCs w:val="20"/>
              </w:rPr>
              <w:t>Survey 10 Main</w:t>
            </w:r>
          </w:p>
          <w:p w14:paraId="3210BF81" w14:textId="77777777" w:rsidR="00A213C3" w:rsidRPr="00284DE5" w:rsidRDefault="00A213C3" w:rsidP="009429DC">
            <w:pPr>
              <w:spacing w:before="40" w:after="40" w:line="276" w:lineRule="auto"/>
              <w:contextualSpacing/>
              <w:jc w:val="left"/>
              <w:rPr>
                <w:rFonts w:cs="Arial"/>
                <w:b/>
                <w:szCs w:val="20"/>
              </w:rPr>
            </w:pPr>
            <w:r w:rsidRPr="00284DE5">
              <w:rPr>
                <w:rFonts w:cs="Arial"/>
                <w:b/>
                <w:szCs w:val="20"/>
              </w:rPr>
              <w:t>Item No</w:t>
            </w:r>
          </w:p>
        </w:tc>
        <w:tc>
          <w:tcPr>
            <w:tcW w:w="2002" w:type="dxa"/>
            <w:tcBorders>
              <w:top w:val="single" w:sz="4" w:space="0" w:color="auto"/>
            </w:tcBorders>
            <w:shd w:val="clear" w:color="auto" w:fill="E5DFEC" w:themeFill="accent4" w:themeFillTint="33"/>
            <w:vAlign w:val="center"/>
          </w:tcPr>
          <w:p w14:paraId="478F8D35" w14:textId="77777777" w:rsidR="00A213C3" w:rsidRPr="00284DE5" w:rsidRDefault="00A213C3" w:rsidP="009429DC">
            <w:pPr>
              <w:spacing w:before="40" w:after="40" w:line="276" w:lineRule="auto"/>
              <w:contextualSpacing/>
              <w:jc w:val="left"/>
              <w:rPr>
                <w:rFonts w:cs="Arial"/>
                <w:b/>
                <w:szCs w:val="20"/>
              </w:rPr>
            </w:pPr>
            <w:r w:rsidRPr="00284DE5">
              <w:rPr>
                <w:rFonts w:cs="Arial"/>
                <w:b/>
                <w:szCs w:val="20"/>
              </w:rPr>
              <w:t>Topic</w:t>
            </w:r>
          </w:p>
        </w:tc>
        <w:tc>
          <w:tcPr>
            <w:tcW w:w="4558" w:type="dxa"/>
            <w:tcBorders>
              <w:top w:val="single" w:sz="4" w:space="0" w:color="auto"/>
            </w:tcBorders>
            <w:shd w:val="clear" w:color="auto" w:fill="E5DFEC" w:themeFill="accent4" w:themeFillTint="33"/>
            <w:vAlign w:val="center"/>
          </w:tcPr>
          <w:p w14:paraId="6928FFD2" w14:textId="77777777" w:rsidR="00A213C3" w:rsidRPr="00284DE5" w:rsidRDefault="00A213C3" w:rsidP="009429DC">
            <w:pPr>
              <w:spacing w:before="40" w:after="40" w:line="276" w:lineRule="auto"/>
              <w:contextualSpacing/>
              <w:jc w:val="left"/>
              <w:rPr>
                <w:rFonts w:cs="Arial"/>
                <w:b/>
                <w:szCs w:val="20"/>
              </w:rPr>
            </w:pPr>
            <w:r w:rsidRPr="00284DE5">
              <w:rPr>
                <w:rFonts w:cs="Arial"/>
                <w:b/>
                <w:szCs w:val="20"/>
              </w:rPr>
              <w:t>Source</w:t>
            </w:r>
          </w:p>
        </w:tc>
        <w:tc>
          <w:tcPr>
            <w:tcW w:w="2976" w:type="dxa"/>
            <w:shd w:val="clear" w:color="auto" w:fill="E5DFEC" w:themeFill="accent4" w:themeFillTint="33"/>
            <w:vAlign w:val="center"/>
          </w:tcPr>
          <w:p w14:paraId="64EB05C3" w14:textId="77777777" w:rsidR="00A213C3" w:rsidRPr="00284DE5" w:rsidRDefault="00A213C3" w:rsidP="009429DC">
            <w:pPr>
              <w:spacing w:before="40" w:after="40" w:line="276" w:lineRule="auto"/>
              <w:contextualSpacing/>
              <w:jc w:val="left"/>
              <w:rPr>
                <w:rFonts w:cs="Arial"/>
                <w:b/>
                <w:szCs w:val="20"/>
              </w:rPr>
            </w:pPr>
            <w:r w:rsidRPr="00284DE5">
              <w:rPr>
                <w:rFonts w:cs="Arial"/>
                <w:b/>
                <w:szCs w:val="20"/>
              </w:rPr>
              <w:t>Item changes justification</w:t>
            </w:r>
          </w:p>
        </w:tc>
        <w:tc>
          <w:tcPr>
            <w:tcW w:w="3097" w:type="dxa"/>
            <w:shd w:val="clear" w:color="auto" w:fill="E5DFEC" w:themeFill="accent4" w:themeFillTint="33"/>
            <w:vAlign w:val="center"/>
          </w:tcPr>
          <w:p w14:paraId="2748E7F4" w14:textId="77777777" w:rsidR="00A213C3" w:rsidRPr="00284DE5" w:rsidRDefault="00A213C3" w:rsidP="009429DC">
            <w:pPr>
              <w:spacing w:before="40" w:after="40" w:line="276" w:lineRule="auto"/>
              <w:contextualSpacing/>
              <w:jc w:val="left"/>
              <w:rPr>
                <w:rFonts w:cs="Arial"/>
                <w:b/>
                <w:szCs w:val="20"/>
              </w:rPr>
            </w:pPr>
            <w:r w:rsidRPr="00284DE5">
              <w:rPr>
                <w:rFonts w:cs="Arial"/>
                <w:b/>
                <w:szCs w:val="20"/>
              </w:rPr>
              <w:t>New item justification</w:t>
            </w:r>
          </w:p>
        </w:tc>
      </w:tr>
      <w:tr w:rsidR="00A213C3" w:rsidRPr="00284DE5" w14:paraId="7CAB0D4B" w14:textId="77777777" w:rsidTr="00E86D5D">
        <w:trPr>
          <w:cantSplit/>
        </w:trPr>
        <w:tc>
          <w:tcPr>
            <w:tcW w:w="1227" w:type="dxa"/>
          </w:tcPr>
          <w:p w14:paraId="50A65A42" w14:textId="77777777" w:rsidR="00A213C3" w:rsidRDefault="00A213C3" w:rsidP="009429DC">
            <w:pPr>
              <w:spacing w:before="40" w:after="40" w:line="276" w:lineRule="auto"/>
              <w:contextualSpacing/>
              <w:jc w:val="left"/>
              <w:rPr>
                <w:rFonts w:cs="Arial"/>
                <w:szCs w:val="20"/>
              </w:rPr>
            </w:pPr>
            <w:r>
              <w:rPr>
                <w:rFonts w:cs="Arial"/>
                <w:szCs w:val="20"/>
              </w:rPr>
              <w:t>1</w:t>
            </w:r>
          </w:p>
        </w:tc>
        <w:tc>
          <w:tcPr>
            <w:tcW w:w="2002" w:type="dxa"/>
          </w:tcPr>
          <w:p w14:paraId="18E1798F"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Date of birth</w:t>
            </w:r>
          </w:p>
        </w:tc>
        <w:tc>
          <w:tcPr>
            <w:tcW w:w="4558" w:type="dxa"/>
          </w:tcPr>
          <w:p w14:paraId="1D0125CA"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tcPr>
          <w:p w14:paraId="50136AC2" w14:textId="77777777" w:rsidR="00A213C3" w:rsidRDefault="00A213C3" w:rsidP="009429DC">
            <w:pPr>
              <w:spacing w:before="40" w:after="40" w:line="276" w:lineRule="auto"/>
              <w:contextualSpacing/>
              <w:jc w:val="left"/>
              <w:rPr>
                <w:rFonts w:cs="Arial"/>
                <w:bCs/>
                <w:szCs w:val="20"/>
              </w:rPr>
            </w:pPr>
          </w:p>
        </w:tc>
        <w:tc>
          <w:tcPr>
            <w:tcW w:w="3097" w:type="dxa"/>
          </w:tcPr>
          <w:p w14:paraId="13F36D0B" w14:textId="77777777" w:rsidR="00A213C3" w:rsidRPr="00284DE5" w:rsidRDefault="00A213C3" w:rsidP="009429DC">
            <w:pPr>
              <w:spacing w:before="40" w:after="40" w:line="276" w:lineRule="auto"/>
              <w:contextualSpacing/>
              <w:jc w:val="left"/>
              <w:rPr>
                <w:rFonts w:cs="Arial"/>
                <w:szCs w:val="20"/>
              </w:rPr>
            </w:pPr>
          </w:p>
        </w:tc>
      </w:tr>
      <w:tr w:rsidR="00A213C3" w:rsidRPr="00284DE5" w14:paraId="416B9D3B" w14:textId="77777777" w:rsidTr="00E86D5D">
        <w:trPr>
          <w:cantSplit/>
        </w:trPr>
        <w:tc>
          <w:tcPr>
            <w:tcW w:w="1227" w:type="dxa"/>
          </w:tcPr>
          <w:p w14:paraId="4929EF54" w14:textId="77777777" w:rsidR="00A213C3" w:rsidRPr="00284DE5" w:rsidRDefault="00A213C3" w:rsidP="009429DC">
            <w:pPr>
              <w:spacing w:before="40" w:after="40" w:line="276" w:lineRule="auto"/>
              <w:contextualSpacing/>
              <w:jc w:val="left"/>
              <w:rPr>
                <w:rFonts w:cs="Arial"/>
                <w:szCs w:val="20"/>
              </w:rPr>
            </w:pPr>
            <w:r>
              <w:rPr>
                <w:rFonts w:cs="Arial"/>
                <w:szCs w:val="20"/>
              </w:rPr>
              <w:t>2</w:t>
            </w:r>
          </w:p>
        </w:tc>
        <w:tc>
          <w:tcPr>
            <w:tcW w:w="2002" w:type="dxa"/>
          </w:tcPr>
          <w:p w14:paraId="68CF57BC"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Postcode</w:t>
            </w:r>
          </w:p>
        </w:tc>
        <w:tc>
          <w:tcPr>
            <w:tcW w:w="4558" w:type="dxa"/>
          </w:tcPr>
          <w:p w14:paraId="7565A88D"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tcPr>
          <w:p w14:paraId="58002095" w14:textId="77777777" w:rsidR="00A213C3" w:rsidRPr="00284DE5" w:rsidRDefault="00A213C3" w:rsidP="009429DC">
            <w:pPr>
              <w:spacing w:before="40" w:after="40" w:line="276" w:lineRule="auto"/>
              <w:contextualSpacing/>
              <w:jc w:val="left"/>
              <w:rPr>
                <w:rFonts w:cs="Arial"/>
                <w:szCs w:val="20"/>
              </w:rPr>
            </w:pPr>
          </w:p>
        </w:tc>
        <w:tc>
          <w:tcPr>
            <w:tcW w:w="3097" w:type="dxa"/>
          </w:tcPr>
          <w:p w14:paraId="17EEDB9C" w14:textId="77777777" w:rsidR="00A213C3" w:rsidRPr="00284DE5" w:rsidRDefault="00A213C3" w:rsidP="009429DC">
            <w:pPr>
              <w:spacing w:before="40" w:after="40" w:line="276" w:lineRule="auto"/>
              <w:contextualSpacing/>
              <w:jc w:val="left"/>
              <w:rPr>
                <w:rFonts w:cs="Arial"/>
                <w:szCs w:val="20"/>
              </w:rPr>
            </w:pPr>
          </w:p>
        </w:tc>
      </w:tr>
      <w:tr w:rsidR="00A213C3" w:rsidRPr="00284DE5" w14:paraId="133B8AC2" w14:textId="77777777" w:rsidTr="00E86D5D">
        <w:trPr>
          <w:cantSplit/>
        </w:trPr>
        <w:tc>
          <w:tcPr>
            <w:tcW w:w="1227" w:type="dxa"/>
          </w:tcPr>
          <w:p w14:paraId="587BA4B1" w14:textId="77777777" w:rsidR="00A213C3" w:rsidRPr="00284DE5" w:rsidRDefault="00A213C3" w:rsidP="009429DC">
            <w:pPr>
              <w:spacing w:before="40" w:after="40" w:line="276" w:lineRule="auto"/>
              <w:contextualSpacing/>
              <w:jc w:val="left"/>
              <w:rPr>
                <w:rFonts w:cs="Arial"/>
                <w:szCs w:val="20"/>
              </w:rPr>
            </w:pPr>
            <w:r>
              <w:rPr>
                <w:rFonts w:cs="Arial"/>
                <w:szCs w:val="20"/>
              </w:rPr>
              <w:t>3-13</w:t>
            </w:r>
          </w:p>
        </w:tc>
        <w:tc>
          <w:tcPr>
            <w:tcW w:w="2002" w:type="dxa"/>
          </w:tcPr>
          <w:p w14:paraId="1A6A065A"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SF-36</w:t>
            </w:r>
          </w:p>
        </w:tc>
        <w:tc>
          <w:tcPr>
            <w:tcW w:w="4558" w:type="dxa"/>
          </w:tcPr>
          <w:p w14:paraId="70825B52"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Ware JE &amp; </w:t>
            </w:r>
            <w:proofErr w:type="spellStart"/>
            <w:r w:rsidRPr="00284DE5">
              <w:rPr>
                <w:rFonts w:cs="Arial"/>
                <w:szCs w:val="20"/>
              </w:rPr>
              <w:t>Sherbourne</w:t>
            </w:r>
            <w:proofErr w:type="spellEnd"/>
            <w:r w:rsidRPr="00284DE5">
              <w:rPr>
                <w:rFonts w:cs="Arial"/>
                <w:szCs w:val="20"/>
              </w:rPr>
              <w:t xml:space="preserve"> CD. (1992). The MOS 36-Item Short-Form Health Survey (SF-36): 1. Conceptual Framework and item selection, </w:t>
            </w:r>
            <w:r w:rsidRPr="00284DE5">
              <w:rPr>
                <w:rFonts w:cs="Arial"/>
                <w:i/>
                <w:szCs w:val="20"/>
              </w:rPr>
              <w:t xml:space="preserve">Medical Care, </w:t>
            </w:r>
            <w:r w:rsidRPr="00284DE5">
              <w:rPr>
                <w:rFonts w:cs="Arial"/>
                <w:szCs w:val="20"/>
              </w:rPr>
              <w:t>30(6): 473-483.</w:t>
            </w:r>
          </w:p>
        </w:tc>
        <w:tc>
          <w:tcPr>
            <w:tcW w:w="2976" w:type="dxa"/>
          </w:tcPr>
          <w:p w14:paraId="53F65492" w14:textId="77777777" w:rsidR="00A213C3" w:rsidRPr="00284DE5" w:rsidRDefault="00A213C3" w:rsidP="009429DC">
            <w:pPr>
              <w:spacing w:before="40" w:after="40" w:line="276" w:lineRule="auto"/>
              <w:contextualSpacing/>
              <w:jc w:val="left"/>
              <w:rPr>
                <w:rFonts w:cs="Arial"/>
                <w:szCs w:val="20"/>
              </w:rPr>
            </w:pPr>
          </w:p>
        </w:tc>
        <w:tc>
          <w:tcPr>
            <w:tcW w:w="3097" w:type="dxa"/>
          </w:tcPr>
          <w:p w14:paraId="2C174194" w14:textId="77777777" w:rsidR="00A213C3" w:rsidRPr="00284DE5" w:rsidRDefault="00A213C3" w:rsidP="009429DC">
            <w:pPr>
              <w:spacing w:before="40" w:after="40" w:line="276" w:lineRule="auto"/>
              <w:contextualSpacing/>
              <w:jc w:val="left"/>
              <w:rPr>
                <w:rFonts w:cs="Arial"/>
                <w:szCs w:val="20"/>
              </w:rPr>
            </w:pPr>
          </w:p>
        </w:tc>
      </w:tr>
      <w:tr w:rsidR="00A213C3" w:rsidRPr="00284DE5" w14:paraId="4E0078A6" w14:textId="77777777" w:rsidTr="00E86D5D">
        <w:trPr>
          <w:cantSplit/>
        </w:trPr>
        <w:tc>
          <w:tcPr>
            <w:tcW w:w="1227" w:type="dxa"/>
          </w:tcPr>
          <w:p w14:paraId="6E46EC98" w14:textId="77777777" w:rsidR="00A213C3" w:rsidRPr="00284DE5" w:rsidRDefault="00A213C3" w:rsidP="009429DC">
            <w:pPr>
              <w:spacing w:before="40" w:after="40" w:line="276" w:lineRule="auto"/>
              <w:contextualSpacing/>
              <w:jc w:val="left"/>
              <w:rPr>
                <w:rFonts w:cs="Arial"/>
                <w:szCs w:val="20"/>
              </w:rPr>
            </w:pPr>
            <w:r>
              <w:rPr>
                <w:rFonts w:cs="Arial"/>
                <w:szCs w:val="20"/>
              </w:rPr>
              <w:t>14</w:t>
            </w:r>
          </w:p>
        </w:tc>
        <w:tc>
          <w:tcPr>
            <w:tcW w:w="2002" w:type="dxa"/>
          </w:tcPr>
          <w:p w14:paraId="31EF854C"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GP Consultations</w:t>
            </w:r>
          </w:p>
        </w:tc>
        <w:tc>
          <w:tcPr>
            <w:tcW w:w="4558" w:type="dxa"/>
          </w:tcPr>
          <w:p w14:paraId="4CD974AC" w14:textId="77777777" w:rsidR="00A213C3" w:rsidRPr="00BE6DF3" w:rsidRDefault="00A213C3" w:rsidP="009429DC">
            <w:pPr>
              <w:spacing w:before="40" w:after="40" w:line="276" w:lineRule="auto"/>
              <w:contextualSpacing/>
              <w:jc w:val="left"/>
              <w:rPr>
                <w:rFonts w:cs="Arial"/>
                <w:szCs w:val="20"/>
              </w:rPr>
            </w:pPr>
            <w:r w:rsidRPr="00BE6DF3">
              <w:rPr>
                <w:rFonts w:cs="Arial"/>
                <w:szCs w:val="20"/>
              </w:rPr>
              <w:t>ALSWH Item</w:t>
            </w:r>
          </w:p>
          <w:p w14:paraId="4D5DCFF0" w14:textId="77777777" w:rsidR="00A213C3" w:rsidRPr="00284DE5" w:rsidRDefault="00A213C3" w:rsidP="009429DC">
            <w:pPr>
              <w:spacing w:before="40" w:after="40" w:line="276" w:lineRule="auto"/>
              <w:contextualSpacing/>
              <w:jc w:val="left"/>
              <w:rPr>
                <w:rFonts w:cs="Arial"/>
                <w:szCs w:val="20"/>
              </w:rPr>
            </w:pPr>
            <w:r w:rsidRPr="00BE6DF3">
              <w:rPr>
                <w:rFonts w:cs="Arial"/>
                <w:szCs w:val="20"/>
              </w:rPr>
              <w:t>Inspired by Australian Bureau of Statistics (1991) 1989-1990 National Health Survey Users' Guide. Canberra: ABS.  Cat No. 4363.0</w:t>
            </w:r>
          </w:p>
        </w:tc>
        <w:tc>
          <w:tcPr>
            <w:tcW w:w="2976" w:type="dxa"/>
          </w:tcPr>
          <w:p w14:paraId="22FF01C8" w14:textId="77777777" w:rsidR="00A213C3" w:rsidRPr="00284DE5" w:rsidRDefault="00A213C3" w:rsidP="009429DC">
            <w:pPr>
              <w:spacing w:before="40" w:after="40" w:line="276" w:lineRule="auto"/>
              <w:contextualSpacing/>
              <w:jc w:val="left"/>
              <w:rPr>
                <w:rFonts w:cs="Arial"/>
                <w:szCs w:val="20"/>
              </w:rPr>
            </w:pPr>
          </w:p>
        </w:tc>
        <w:tc>
          <w:tcPr>
            <w:tcW w:w="3097" w:type="dxa"/>
          </w:tcPr>
          <w:p w14:paraId="2BF41619" w14:textId="77777777" w:rsidR="00A213C3" w:rsidRPr="00284DE5" w:rsidRDefault="00A213C3" w:rsidP="009429DC">
            <w:pPr>
              <w:spacing w:before="40" w:after="40" w:line="276" w:lineRule="auto"/>
              <w:contextualSpacing/>
              <w:jc w:val="left"/>
              <w:rPr>
                <w:rFonts w:cs="Arial"/>
                <w:szCs w:val="20"/>
              </w:rPr>
            </w:pPr>
          </w:p>
        </w:tc>
      </w:tr>
      <w:tr w:rsidR="00A213C3" w:rsidRPr="00284DE5" w14:paraId="3056AC15" w14:textId="77777777" w:rsidTr="00E86D5D">
        <w:trPr>
          <w:cantSplit/>
        </w:trPr>
        <w:tc>
          <w:tcPr>
            <w:tcW w:w="1227" w:type="dxa"/>
          </w:tcPr>
          <w:p w14:paraId="032161A8" w14:textId="77777777" w:rsidR="00A213C3" w:rsidRPr="00284DE5" w:rsidRDefault="00A213C3" w:rsidP="009429DC">
            <w:pPr>
              <w:spacing w:before="40" w:after="40" w:line="276" w:lineRule="auto"/>
              <w:contextualSpacing/>
              <w:jc w:val="left"/>
              <w:rPr>
                <w:rFonts w:cs="Arial"/>
                <w:szCs w:val="20"/>
              </w:rPr>
            </w:pPr>
            <w:r>
              <w:rPr>
                <w:rFonts w:cs="Arial"/>
                <w:szCs w:val="20"/>
              </w:rPr>
              <w:t>15</w:t>
            </w:r>
          </w:p>
        </w:tc>
        <w:tc>
          <w:tcPr>
            <w:tcW w:w="2002" w:type="dxa"/>
          </w:tcPr>
          <w:p w14:paraId="32AC2C58"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Specialist Consultations</w:t>
            </w:r>
          </w:p>
        </w:tc>
        <w:tc>
          <w:tcPr>
            <w:tcW w:w="4558" w:type="dxa"/>
          </w:tcPr>
          <w:p w14:paraId="122DFC4C" w14:textId="77777777" w:rsidR="00A213C3" w:rsidRPr="00BE6DF3" w:rsidRDefault="00A213C3" w:rsidP="009429DC">
            <w:pPr>
              <w:spacing w:before="40" w:after="40" w:line="276" w:lineRule="auto"/>
              <w:contextualSpacing/>
              <w:jc w:val="left"/>
              <w:rPr>
                <w:rFonts w:cs="Arial"/>
                <w:szCs w:val="20"/>
              </w:rPr>
            </w:pPr>
            <w:r w:rsidRPr="00BE6DF3">
              <w:rPr>
                <w:rFonts w:cs="Arial"/>
                <w:szCs w:val="20"/>
              </w:rPr>
              <w:t>ALSWH Item</w:t>
            </w:r>
          </w:p>
          <w:p w14:paraId="0934AF4D" w14:textId="77777777" w:rsidR="00A213C3" w:rsidRPr="00284DE5" w:rsidRDefault="00A213C3" w:rsidP="009429DC">
            <w:pPr>
              <w:spacing w:before="40" w:after="40" w:line="276" w:lineRule="auto"/>
              <w:contextualSpacing/>
              <w:jc w:val="left"/>
              <w:rPr>
                <w:rFonts w:cs="Arial"/>
                <w:szCs w:val="20"/>
              </w:rPr>
            </w:pPr>
            <w:r w:rsidRPr="00BE6DF3">
              <w:rPr>
                <w:rFonts w:cs="Arial"/>
                <w:szCs w:val="20"/>
              </w:rPr>
              <w:t>Inspired by Australian Bureau of Statistics (1991) 1989-1990 National Health Survey Users' Guide. Canberra: ABS.  Cat No. 4363.0</w:t>
            </w:r>
          </w:p>
        </w:tc>
        <w:tc>
          <w:tcPr>
            <w:tcW w:w="2976" w:type="dxa"/>
          </w:tcPr>
          <w:p w14:paraId="4535DF95" w14:textId="77777777" w:rsidR="00A213C3" w:rsidRPr="00284DE5" w:rsidRDefault="00A213C3" w:rsidP="009429DC">
            <w:pPr>
              <w:spacing w:before="40" w:after="40" w:line="276" w:lineRule="auto"/>
              <w:contextualSpacing/>
              <w:jc w:val="left"/>
              <w:rPr>
                <w:rFonts w:cs="Arial"/>
                <w:szCs w:val="20"/>
              </w:rPr>
            </w:pPr>
            <w:r>
              <w:rPr>
                <w:rFonts w:cs="Arial"/>
                <w:szCs w:val="20"/>
              </w:rPr>
              <w:t>Response options reduced based on frequencies in pilot data and to reduce burden on participants.</w:t>
            </w:r>
          </w:p>
        </w:tc>
        <w:tc>
          <w:tcPr>
            <w:tcW w:w="3097" w:type="dxa"/>
          </w:tcPr>
          <w:p w14:paraId="3ECF4353" w14:textId="77777777" w:rsidR="00A213C3" w:rsidRPr="00284DE5" w:rsidRDefault="00A213C3" w:rsidP="009429DC">
            <w:pPr>
              <w:spacing w:before="40" w:after="40" w:line="276" w:lineRule="auto"/>
              <w:contextualSpacing/>
              <w:jc w:val="left"/>
              <w:rPr>
                <w:rFonts w:cs="Arial"/>
                <w:szCs w:val="20"/>
              </w:rPr>
            </w:pPr>
          </w:p>
        </w:tc>
      </w:tr>
      <w:tr w:rsidR="00A213C3" w:rsidRPr="00284DE5" w14:paraId="7B0F17C7" w14:textId="77777777" w:rsidTr="00E86D5D">
        <w:trPr>
          <w:cantSplit/>
        </w:trPr>
        <w:tc>
          <w:tcPr>
            <w:tcW w:w="1227" w:type="dxa"/>
          </w:tcPr>
          <w:p w14:paraId="08146ECF" w14:textId="77777777" w:rsidR="00A213C3" w:rsidRPr="00284DE5" w:rsidRDefault="00A213C3" w:rsidP="009429DC">
            <w:pPr>
              <w:spacing w:before="40" w:after="40" w:line="276" w:lineRule="auto"/>
              <w:contextualSpacing/>
              <w:jc w:val="left"/>
              <w:rPr>
                <w:rFonts w:cs="Arial"/>
                <w:szCs w:val="20"/>
              </w:rPr>
            </w:pPr>
            <w:r>
              <w:rPr>
                <w:rFonts w:cs="Arial"/>
                <w:szCs w:val="20"/>
              </w:rPr>
              <w:t>16</w:t>
            </w:r>
          </w:p>
        </w:tc>
        <w:tc>
          <w:tcPr>
            <w:tcW w:w="2002" w:type="dxa"/>
          </w:tcPr>
          <w:p w14:paraId="12EBB220"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GP Continuity of Care</w:t>
            </w:r>
          </w:p>
        </w:tc>
        <w:tc>
          <w:tcPr>
            <w:tcW w:w="4558" w:type="dxa"/>
          </w:tcPr>
          <w:p w14:paraId="771D2E91"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tcPr>
          <w:p w14:paraId="359072AD" w14:textId="77777777" w:rsidR="00A213C3" w:rsidRPr="00284DE5" w:rsidRDefault="00A213C3" w:rsidP="009429DC">
            <w:pPr>
              <w:spacing w:before="40" w:after="40" w:line="276" w:lineRule="auto"/>
              <w:contextualSpacing/>
              <w:jc w:val="left"/>
              <w:rPr>
                <w:rFonts w:cs="Arial"/>
                <w:szCs w:val="20"/>
              </w:rPr>
            </w:pPr>
          </w:p>
        </w:tc>
        <w:tc>
          <w:tcPr>
            <w:tcW w:w="3097" w:type="dxa"/>
          </w:tcPr>
          <w:p w14:paraId="018C3663" w14:textId="77777777" w:rsidR="00A213C3" w:rsidRPr="00284DE5" w:rsidRDefault="00A213C3" w:rsidP="009429DC">
            <w:pPr>
              <w:spacing w:before="40" w:after="40" w:line="276" w:lineRule="auto"/>
              <w:contextualSpacing/>
              <w:jc w:val="left"/>
              <w:rPr>
                <w:rFonts w:cs="Arial"/>
                <w:szCs w:val="20"/>
              </w:rPr>
            </w:pPr>
          </w:p>
        </w:tc>
      </w:tr>
      <w:tr w:rsidR="00A213C3" w:rsidRPr="00284DE5" w14:paraId="11803832" w14:textId="77777777" w:rsidTr="00E86D5D">
        <w:trPr>
          <w:cantSplit/>
        </w:trPr>
        <w:tc>
          <w:tcPr>
            <w:tcW w:w="1227" w:type="dxa"/>
          </w:tcPr>
          <w:p w14:paraId="0D1026C2" w14:textId="77777777" w:rsidR="00A213C3" w:rsidRPr="00284DE5" w:rsidRDefault="00A213C3" w:rsidP="009429DC">
            <w:pPr>
              <w:spacing w:before="40" w:after="40" w:line="276" w:lineRule="auto"/>
              <w:contextualSpacing/>
              <w:jc w:val="left"/>
              <w:rPr>
                <w:rFonts w:cs="Arial"/>
                <w:szCs w:val="20"/>
              </w:rPr>
            </w:pPr>
            <w:r>
              <w:rPr>
                <w:rFonts w:cs="Arial"/>
                <w:szCs w:val="20"/>
              </w:rPr>
              <w:t>17</w:t>
            </w:r>
          </w:p>
        </w:tc>
        <w:tc>
          <w:tcPr>
            <w:tcW w:w="2002" w:type="dxa"/>
          </w:tcPr>
          <w:p w14:paraId="3FAB8A10"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GP Costs</w:t>
            </w:r>
          </w:p>
        </w:tc>
        <w:tc>
          <w:tcPr>
            <w:tcW w:w="4558" w:type="dxa"/>
          </w:tcPr>
          <w:p w14:paraId="32DC5A62"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Modified from Davies AR &amp; Ware JEJ. (1991). </w:t>
            </w:r>
            <w:r w:rsidRPr="00284DE5">
              <w:rPr>
                <w:rFonts w:cs="Arial"/>
                <w:i/>
                <w:szCs w:val="20"/>
              </w:rPr>
              <w:t xml:space="preserve">GHAA’s consumer satisfaction survey and user’s manual </w:t>
            </w:r>
            <w:r w:rsidRPr="00284DE5">
              <w:rPr>
                <w:rFonts w:cs="Arial"/>
                <w:szCs w:val="20"/>
              </w:rPr>
              <w:t>(2</w:t>
            </w:r>
            <w:r w:rsidRPr="00284DE5">
              <w:rPr>
                <w:rFonts w:cs="Arial"/>
                <w:szCs w:val="20"/>
                <w:vertAlign w:val="superscript"/>
              </w:rPr>
              <w:t>nd</w:t>
            </w:r>
            <w:r w:rsidRPr="00284DE5">
              <w:rPr>
                <w:rFonts w:cs="Arial"/>
                <w:szCs w:val="20"/>
              </w:rPr>
              <w:t xml:space="preserve"> </w:t>
            </w:r>
            <w:proofErr w:type="spellStart"/>
            <w:r w:rsidRPr="00284DE5">
              <w:rPr>
                <w:rFonts w:cs="Arial"/>
                <w:szCs w:val="20"/>
              </w:rPr>
              <w:t>Edn</w:t>
            </w:r>
            <w:proofErr w:type="spellEnd"/>
            <w:r w:rsidRPr="00284DE5">
              <w:rPr>
                <w:rFonts w:cs="Arial"/>
                <w:szCs w:val="20"/>
              </w:rPr>
              <w:t>). Washington DC: The Group Health Association of America (GHAA)</w:t>
            </w:r>
          </w:p>
        </w:tc>
        <w:tc>
          <w:tcPr>
            <w:tcW w:w="2976" w:type="dxa"/>
          </w:tcPr>
          <w:p w14:paraId="4A8441E2" w14:textId="77777777" w:rsidR="00A213C3" w:rsidRPr="00284DE5" w:rsidRDefault="00A213C3" w:rsidP="009429DC">
            <w:pPr>
              <w:spacing w:before="40" w:after="40" w:line="276" w:lineRule="auto"/>
              <w:contextualSpacing/>
              <w:jc w:val="left"/>
              <w:rPr>
                <w:rFonts w:cs="Arial"/>
                <w:szCs w:val="20"/>
              </w:rPr>
            </w:pPr>
          </w:p>
        </w:tc>
        <w:tc>
          <w:tcPr>
            <w:tcW w:w="3097" w:type="dxa"/>
          </w:tcPr>
          <w:p w14:paraId="4EE0649A" w14:textId="77777777" w:rsidR="00A213C3" w:rsidRPr="00284DE5" w:rsidRDefault="00A213C3" w:rsidP="009429DC">
            <w:pPr>
              <w:spacing w:before="40" w:after="40" w:line="276" w:lineRule="auto"/>
              <w:contextualSpacing/>
              <w:jc w:val="left"/>
              <w:rPr>
                <w:rFonts w:cs="Arial"/>
                <w:szCs w:val="20"/>
              </w:rPr>
            </w:pPr>
          </w:p>
        </w:tc>
      </w:tr>
      <w:tr w:rsidR="00A213C3" w:rsidRPr="00284DE5" w14:paraId="6926014E" w14:textId="77777777" w:rsidTr="00E86D5D">
        <w:trPr>
          <w:cantSplit/>
        </w:trPr>
        <w:tc>
          <w:tcPr>
            <w:tcW w:w="1227" w:type="dxa"/>
          </w:tcPr>
          <w:p w14:paraId="7EF89E3E" w14:textId="77777777" w:rsidR="00A213C3" w:rsidRDefault="00A213C3" w:rsidP="009429DC">
            <w:pPr>
              <w:spacing w:before="40" w:after="40" w:line="276" w:lineRule="auto"/>
              <w:contextualSpacing/>
              <w:jc w:val="left"/>
              <w:rPr>
                <w:rFonts w:cs="Arial"/>
                <w:szCs w:val="20"/>
              </w:rPr>
            </w:pPr>
            <w:r>
              <w:rPr>
                <w:rFonts w:cs="Arial"/>
                <w:szCs w:val="20"/>
              </w:rPr>
              <w:t>18</w:t>
            </w:r>
          </w:p>
        </w:tc>
        <w:tc>
          <w:tcPr>
            <w:tcW w:w="2002" w:type="dxa"/>
          </w:tcPr>
          <w:p w14:paraId="22DBA6B0"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Private Health Insurance</w:t>
            </w:r>
            <w:r>
              <w:rPr>
                <w:rFonts w:cs="Arial"/>
                <w:szCs w:val="20"/>
              </w:rPr>
              <w:t xml:space="preserve"> (hospital)</w:t>
            </w:r>
          </w:p>
        </w:tc>
        <w:tc>
          <w:tcPr>
            <w:tcW w:w="4558" w:type="dxa"/>
          </w:tcPr>
          <w:p w14:paraId="5F9672A5"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Modified from Australian Bureau of Statistics (1991). </w:t>
            </w:r>
            <w:r w:rsidRPr="00284DE5">
              <w:rPr>
                <w:rFonts w:cs="Arial"/>
                <w:i/>
                <w:szCs w:val="20"/>
              </w:rPr>
              <w:t xml:space="preserve">1989-1990 National Health Survey Users’ Guide. </w:t>
            </w:r>
            <w:r w:rsidRPr="00284DE5">
              <w:rPr>
                <w:rFonts w:cs="Arial"/>
                <w:szCs w:val="20"/>
              </w:rPr>
              <w:t>Canberra: ABS. Cat No. 4363.0</w:t>
            </w:r>
          </w:p>
        </w:tc>
        <w:tc>
          <w:tcPr>
            <w:tcW w:w="2976" w:type="dxa"/>
          </w:tcPr>
          <w:p w14:paraId="29B91370" w14:textId="77777777" w:rsidR="00A213C3" w:rsidRPr="00284DE5" w:rsidRDefault="00A213C3" w:rsidP="009429DC">
            <w:pPr>
              <w:spacing w:before="40" w:after="40" w:line="276" w:lineRule="auto"/>
              <w:contextualSpacing/>
              <w:jc w:val="left"/>
              <w:rPr>
                <w:rFonts w:cs="Arial"/>
                <w:szCs w:val="20"/>
              </w:rPr>
            </w:pPr>
          </w:p>
        </w:tc>
        <w:tc>
          <w:tcPr>
            <w:tcW w:w="3097" w:type="dxa"/>
          </w:tcPr>
          <w:p w14:paraId="3C2B6DF4" w14:textId="77777777" w:rsidR="00A213C3" w:rsidRPr="00284DE5" w:rsidRDefault="00A213C3" w:rsidP="009429DC">
            <w:pPr>
              <w:spacing w:before="40" w:after="40" w:line="276" w:lineRule="auto"/>
              <w:contextualSpacing/>
              <w:jc w:val="left"/>
              <w:rPr>
                <w:rFonts w:cs="Arial"/>
                <w:szCs w:val="20"/>
              </w:rPr>
            </w:pPr>
          </w:p>
        </w:tc>
      </w:tr>
      <w:tr w:rsidR="00A213C3" w:rsidRPr="00284DE5" w14:paraId="2330F4AC" w14:textId="77777777" w:rsidTr="00E86D5D">
        <w:trPr>
          <w:cantSplit/>
        </w:trPr>
        <w:tc>
          <w:tcPr>
            <w:tcW w:w="1227" w:type="dxa"/>
          </w:tcPr>
          <w:p w14:paraId="720CFB1A" w14:textId="77777777" w:rsidR="00A213C3" w:rsidRDefault="00A213C3" w:rsidP="009429DC">
            <w:pPr>
              <w:spacing w:before="40" w:after="40" w:line="276" w:lineRule="auto"/>
              <w:contextualSpacing/>
              <w:jc w:val="left"/>
              <w:rPr>
                <w:rFonts w:cs="Arial"/>
                <w:szCs w:val="20"/>
              </w:rPr>
            </w:pPr>
            <w:r>
              <w:rPr>
                <w:rFonts w:cs="Arial"/>
                <w:szCs w:val="20"/>
              </w:rPr>
              <w:lastRenderedPageBreak/>
              <w:t>19</w:t>
            </w:r>
          </w:p>
        </w:tc>
        <w:tc>
          <w:tcPr>
            <w:tcW w:w="2002" w:type="dxa"/>
          </w:tcPr>
          <w:p w14:paraId="770A189E"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Private Health Insurance</w:t>
            </w:r>
            <w:r>
              <w:rPr>
                <w:rFonts w:cs="Arial"/>
                <w:szCs w:val="20"/>
              </w:rPr>
              <w:t xml:space="preserve"> (ancillary)</w:t>
            </w:r>
          </w:p>
        </w:tc>
        <w:tc>
          <w:tcPr>
            <w:tcW w:w="4558" w:type="dxa"/>
          </w:tcPr>
          <w:p w14:paraId="595F4F1F"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Modified from Australian Bureau of Statistics (1991). </w:t>
            </w:r>
            <w:r w:rsidRPr="00284DE5">
              <w:rPr>
                <w:rFonts w:cs="Arial"/>
                <w:i/>
                <w:szCs w:val="20"/>
              </w:rPr>
              <w:t xml:space="preserve">1989-1990 National Health Survey Users’ Guide. </w:t>
            </w:r>
            <w:r w:rsidRPr="00284DE5">
              <w:rPr>
                <w:rFonts w:cs="Arial"/>
                <w:szCs w:val="20"/>
              </w:rPr>
              <w:t>Canberra: ABS. Cat No. 4363.0</w:t>
            </w:r>
          </w:p>
        </w:tc>
        <w:tc>
          <w:tcPr>
            <w:tcW w:w="2976" w:type="dxa"/>
          </w:tcPr>
          <w:p w14:paraId="386B3D7E" w14:textId="77777777" w:rsidR="00A213C3" w:rsidRPr="00284DE5" w:rsidRDefault="00A213C3" w:rsidP="009429DC">
            <w:pPr>
              <w:spacing w:before="40" w:after="40" w:line="276" w:lineRule="auto"/>
              <w:contextualSpacing/>
              <w:jc w:val="left"/>
              <w:rPr>
                <w:rFonts w:cs="Arial"/>
                <w:szCs w:val="20"/>
              </w:rPr>
            </w:pPr>
          </w:p>
        </w:tc>
        <w:tc>
          <w:tcPr>
            <w:tcW w:w="3097" w:type="dxa"/>
          </w:tcPr>
          <w:p w14:paraId="0522CD77" w14:textId="77777777" w:rsidR="00A213C3" w:rsidRPr="00284DE5" w:rsidRDefault="00A213C3" w:rsidP="009429DC">
            <w:pPr>
              <w:spacing w:before="40" w:after="40" w:line="276" w:lineRule="auto"/>
              <w:contextualSpacing/>
              <w:jc w:val="left"/>
              <w:rPr>
                <w:rFonts w:cs="Arial"/>
                <w:szCs w:val="20"/>
              </w:rPr>
            </w:pPr>
          </w:p>
        </w:tc>
      </w:tr>
      <w:tr w:rsidR="00A213C3" w:rsidRPr="00284DE5" w14:paraId="65AB3400" w14:textId="77777777" w:rsidTr="00E86D5D">
        <w:trPr>
          <w:cantSplit/>
        </w:trPr>
        <w:tc>
          <w:tcPr>
            <w:tcW w:w="1227" w:type="dxa"/>
          </w:tcPr>
          <w:p w14:paraId="282724EE" w14:textId="77777777" w:rsidR="00A213C3" w:rsidRPr="00284DE5" w:rsidRDefault="00A213C3" w:rsidP="009429DC">
            <w:pPr>
              <w:spacing w:before="40" w:after="40" w:line="276" w:lineRule="auto"/>
              <w:contextualSpacing/>
              <w:jc w:val="left"/>
              <w:rPr>
                <w:rFonts w:cs="Arial"/>
                <w:szCs w:val="20"/>
              </w:rPr>
            </w:pPr>
            <w:r>
              <w:rPr>
                <w:rFonts w:cs="Arial"/>
                <w:szCs w:val="20"/>
              </w:rPr>
              <w:t>20</w:t>
            </w:r>
          </w:p>
        </w:tc>
        <w:tc>
          <w:tcPr>
            <w:tcW w:w="2002" w:type="dxa"/>
          </w:tcPr>
          <w:p w14:paraId="00C08C04" w14:textId="77777777" w:rsidR="00A213C3" w:rsidRPr="00284DE5" w:rsidRDefault="00A213C3" w:rsidP="009429DC">
            <w:pPr>
              <w:spacing w:before="40" w:after="40" w:line="276" w:lineRule="auto"/>
              <w:contextualSpacing/>
              <w:jc w:val="left"/>
              <w:rPr>
                <w:rFonts w:cs="Arial"/>
                <w:szCs w:val="20"/>
              </w:rPr>
            </w:pPr>
            <w:r>
              <w:rPr>
                <w:rFonts w:cs="Arial"/>
                <w:szCs w:val="20"/>
              </w:rPr>
              <w:t>Health Cover (including Health Care Card)</w:t>
            </w:r>
          </w:p>
        </w:tc>
        <w:tc>
          <w:tcPr>
            <w:tcW w:w="4558" w:type="dxa"/>
          </w:tcPr>
          <w:p w14:paraId="75C828DA" w14:textId="77777777" w:rsidR="00A213C3" w:rsidRPr="00284DE5" w:rsidRDefault="00A213C3" w:rsidP="009429DC">
            <w:pPr>
              <w:spacing w:before="40" w:after="40" w:line="276" w:lineRule="auto"/>
              <w:contextualSpacing/>
              <w:jc w:val="left"/>
              <w:rPr>
                <w:rFonts w:cs="Arial"/>
                <w:szCs w:val="20"/>
              </w:rPr>
            </w:pPr>
            <w:r>
              <w:rPr>
                <w:rFonts w:cs="Arial"/>
                <w:szCs w:val="20"/>
              </w:rPr>
              <w:t>ALSWH</w:t>
            </w:r>
          </w:p>
        </w:tc>
        <w:tc>
          <w:tcPr>
            <w:tcW w:w="2976" w:type="dxa"/>
          </w:tcPr>
          <w:p w14:paraId="1AD42444" w14:textId="77777777" w:rsidR="00A213C3" w:rsidRPr="00284DE5" w:rsidRDefault="00A213C3" w:rsidP="009429DC">
            <w:pPr>
              <w:spacing w:before="40" w:after="40" w:line="276" w:lineRule="auto"/>
              <w:contextualSpacing/>
              <w:jc w:val="left"/>
              <w:rPr>
                <w:rFonts w:cs="Arial"/>
                <w:szCs w:val="20"/>
              </w:rPr>
            </w:pPr>
          </w:p>
        </w:tc>
        <w:tc>
          <w:tcPr>
            <w:tcW w:w="3097" w:type="dxa"/>
          </w:tcPr>
          <w:p w14:paraId="57800777" w14:textId="77777777" w:rsidR="00A213C3" w:rsidRPr="00284DE5" w:rsidRDefault="00A213C3" w:rsidP="009429DC">
            <w:pPr>
              <w:spacing w:before="40" w:after="40" w:line="276" w:lineRule="auto"/>
              <w:contextualSpacing/>
              <w:jc w:val="left"/>
              <w:rPr>
                <w:rFonts w:cs="Arial"/>
                <w:szCs w:val="20"/>
              </w:rPr>
            </w:pPr>
          </w:p>
        </w:tc>
      </w:tr>
      <w:tr w:rsidR="00A213C3" w:rsidRPr="00284DE5" w14:paraId="4A83877E" w14:textId="77777777" w:rsidTr="00E86D5D">
        <w:trPr>
          <w:cantSplit/>
        </w:trPr>
        <w:tc>
          <w:tcPr>
            <w:tcW w:w="1227" w:type="dxa"/>
            <w:shd w:val="clear" w:color="auto" w:fill="auto"/>
          </w:tcPr>
          <w:p w14:paraId="73F6C0AF" w14:textId="77777777" w:rsidR="00A213C3" w:rsidRPr="006D3DB1" w:rsidRDefault="00A213C3" w:rsidP="009429DC">
            <w:pPr>
              <w:spacing w:before="40" w:after="40" w:line="276" w:lineRule="auto"/>
              <w:contextualSpacing/>
              <w:jc w:val="left"/>
              <w:rPr>
                <w:rFonts w:cs="Arial"/>
                <w:szCs w:val="20"/>
              </w:rPr>
            </w:pPr>
            <w:r>
              <w:rPr>
                <w:rFonts w:cs="Arial"/>
                <w:szCs w:val="20"/>
              </w:rPr>
              <w:t>21</w:t>
            </w:r>
          </w:p>
        </w:tc>
        <w:tc>
          <w:tcPr>
            <w:tcW w:w="2002" w:type="dxa"/>
          </w:tcPr>
          <w:p w14:paraId="5C4AEDDD"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Screening</w:t>
            </w:r>
          </w:p>
        </w:tc>
        <w:tc>
          <w:tcPr>
            <w:tcW w:w="4558" w:type="dxa"/>
          </w:tcPr>
          <w:p w14:paraId="41940D87"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tcPr>
          <w:p w14:paraId="67D7D081" w14:textId="77777777" w:rsidR="00A213C3" w:rsidRPr="00284DE5" w:rsidRDefault="00A213C3" w:rsidP="009429DC">
            <w:pPr>
              <w:spacing w:before="40" w:after="40" w:line="276" w:lineRule="auto"/>
              <w:contextualSpacing/>
              <w:jc w:val="left"/>
              <w:rPr>
                <w:rFonts w:cs="Arial"/>
                <w:szCs w:val="20"/>
              </w:rPr>
            </w:pPr>
          </w:p>
        </w:tc>
        <w:tc>
          <w:tcPr>
            <w:tcW w:w="3097" w:type="dxa"/>
          </w:tcPr>
          <w:p w14:paraId="5D66C43F" w14:textId="77777777" w:rsidR="00A213C3" w:rsidRPr="00284DE5" w:rsidRDefault="00A213C3" w:rsidP="009429DC">
            <w:pPr>
              <w:spacing w:before="40" w:after="40" w:line="276" w:lineRule="auto"/>
              <w:contextualSpacing/>
              <w:jc w:val="left"/>
              <w:rPr>
                <w:rFonts w:cs="Arial"/>
                <w:szCs w:val="20"/>
              </w:rPr>
            </w:pPr>
          </w:p>
        </w:tc>
      </w:tr>
      <w:tr w:rsidR="00A213C3" w:rsidRPr="00284DE5" w14:paraId="1A7896A2" w14:textId="77777777" w:rsidTr="00E86D5D">
        <w:trPr>
          <w:cantSplit/>
        </w:trPr>
        <w:tc>
          <w:tcPr>
            <w:tcW w:w="1227" w:type="dxa"/>
          </w:tcPr>
          <w:p w14:paraId="32F1C81D" w14:textId="77777777" w:rsidR="00A213C3" w:rsidRPr="00284DE5" w:rsidRDefault="00A213C3" w:rsidP="009429DC">
            <w:pPr>
              <w:spacing w:before="40" w:after="40" w:line="276" w:lineRule="auto"/>
              <w:contextualSpacing/>
              <w:jc w:val="left"/>
              <w:rPr>
                <w:rFonts w:cs="Arial"/>
                <w:szCs w:val="20"/>
              </w:rPr>
            </w:pPr>
            <w:r>
              <w:rPr>
                <w:rFonts w:cs="Arial"/>
                <w:szCs w:val="20"/>
              </w:rPr>
              <w:t>22</w:t>
            </w:r>
          </w:p>
        </w:tc>
        <w:tc>
          <w:tcPr>
            <w:tcW w:w="2002" w:type="dxa"/>
          </w:tcPr>
          <w:p w14:paraId="0096C420"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Abnormal pap test / mammogram</w:t>
            </w:r>
          </w:p>
        </w:tc>
        <w:tc>
          <w:tcPr>
            <w:tcW w:w="4558" w:type="dxa"/>
          </w:tcPr>
          <w:p w14:paraId="32EEACF5" w14:textId="77777777" w:rsidR="00A213C3" w:rsidRPr="00284DE5" w:rsidRDefault="00A213C3" w:rsidP="009429DC">
            <w:pPr>
              <w:spacing w:before="40" w:after="40" w:line="276" w:lineRule="auto"/>
              <w:contextualSpacing/>
              <w:jc w:val="left"/>
              <w:rPr>
                <w:rFonts w:cs="Arial"/>
                <w:szCs w:val="20"/>
              </w:rPr>
            </w:pPr>
            <w:r w:rsidRPr="004C56C5">
              <w:rPr>
                <w:rFonts w:cs="Arial"/>
                <w:szCs w:val="20"/>
              </w:rPr>
              <w:t>Modified from Australian Bureau of Statistics (1991) 1989-1990 National health survey users' guide. Canberra: ABS.  Cat No. 4363.0</w:t>
            </w:r>
          </w:p>
        </w:tc>
        <w:tc>
          <w:tcPr>
            <w:tcW w:w="2976" w:type="dxa"/>
          </w:tcPr>
          <w:p w14:paraId="096E08BA" w14:textId="77777777" w:rsidR="00A213C3" w:rsidRPr="00284DE5" w:rsidRDefault="00A213C3" w:rsidP="009429DC">
            <w:pPr>
              <w:spacing w:before="40" w:after="40" w:line="276" w:lineRule="auto"/>
              <w:contextualSpacing/>
              <w:jc w:val="left"/>
              <w:rPr>
                <w:rFonts w:cs="Arial"/>
                <w:szCs w:val="20"/>
              </w:rPr>
            </w:pPr>
          </w:p>
        </w:tc>
        <w:tc>
          <w:tcPr>
            <w:tcW w:w="3097" w:type="dxa"/>
          </w:tcPr>
          <w:p w14:paraId="5D517EC1" w14:textId="77777777" w:rsidR="00A213C3" w:rsidRPr="00284DE5" w:rsidRDefault="00A213C3" w:rsidP="009429DC">
            <w:pPr>
              <w:spacing w:before="40" w:after="40" w:line="276" w:lineRule="auto"/>
              <w:contextualSpacing/>
              <w:jc w:val="left"/>
              <w:rPr>
                <w:rFonts w:cs="Arial"/>
                <w:szCs w:val="20"/>
              </w:rPr>
            </w:pPr>
          </w:p>
        </w:tc>
      </w:tr>
      <w:tr w:rsidR="00A213C3" w:rsidRPr="00284DE5" w14:paraId="37ECC7A2" w14:textId="77777777" w:rsidTr="00E86D5D">
        <w:trPr>
          <w:cantSplit/>
        </w:trPr>
        <w:tc>
          <w:tcPr>
            <w:tcW w:w="1227" w:type="dxa"/>
          </w:tcPr>
          <w:p w14:paraId="1F377ED9" w14:textId="77777777" w:rsidR="00A213C3" w:rsidRPr="00284DE5" w:rsidRDefault="00A213C3" w:rsidP="009429DC">
            <w:pPr>
              <w:spacing w:before="40" w:after="40" w:line="276" w:lineRule="auto"/>
              <w:contextualSpacing/>
              <w:jc w:val="left"/>
              <w:rPr>
                <w:rFonts w:cs="Arial"/>
                <w:szCs w:val="20"/>
              </w:rPr>
            </w:pPr>
            <w:r>
              <w:rPr>
                <w:rFonts w:cs="Arial"/>
                <w:szCs w:val="20"/>
              </w:rPr>
              <w:t>23</w:t>
            </w:r>
          </w:p>
        </w:tc>
        <w:tc>
          <w:tcPr>
            <w:tcW w:w="2002" w:type="dxa"/>
          </w:tcPr>
          <w:p w14:paraId="2F0A14F0"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Screening – breasts, bowels, bones, vaccinations</w:t>
            </w:r>
          </w:p>
        </w:tc>
        <w:tc>
          <w:tcPr>
            <w:tcW w:w="4558" w:type="dxa"/>
          </w:tcPr>
          <w:p w14:paraId="30D20751"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tcPr>
          <w:p w14:paraId="046F76E3" w14:textId="77777777" w:rsidR="00A213C3" w:rsidRPr="00284DE5" w:rsidRDefault="00A213C3" w:rsidP="009429DC">
            <w:pPr>
              <w:spacing w:before="40" w:after="40" w:line="276" w:lineRule="auto"/>
              <w:contextualSpacing/>
              <w:jc w:val="left"/>
              <w:rPr>
                <w:rFonts w:cs="Arial"/>
                <w:szCs w:val="20"/>
              </w:rPr>
            </w:pPr>
          </w:p>
        </w:tc>
        <w:tc>
          <w:tcPr>
            <w:tcW w:w="3097" w:type="dxa"/>
          </w:tcPr>
          <w:p w14:paraId="43308861" w14:textId="77777777" w:rsidR="00A213C3" w:rsidRPr="00284DE5" w:rsidRDefault="00A213C3" w:rsidP="009429DC">
            <w:pPr>
              <w:spacing w:before="40" w:after="40" w:line="276" w:lineRule="auto"/>
              <w:contextualSpacing/>
              <w:jc w:val="left"/>
              <w:rPr>
                <w:rFonts w:cs="Arial"/>
                <w:szCs w:val="20"/>
              </w:rPr>
            </w:pPr>
          </w:p>
        </w:tc>
      </w:tr>
      <w:tr w:rsidR="00A213C3" w:rsidRPr="00284DE5" w14:paraId="5A9C9618" w14:textId="77777777" w:rsidTr="00E86D5D">
        <w:trPr>
          <w:cantSplit/>
        </w:trPr>
        <w:tc>
          <w:tcPr>
            <w:tcW w:w="1227" w:type="dxa"/>
          </w:tcPr>
          <w:p w14:paraId="11B355E4" w14:textId="77777777" w:rsidR="00A213C3" w:rsidRDefault="00A213C3" w:rsidP="009429DC">
            <w:pPr>
              <w:spacing w:before="40" w:after="40" w:line="276" w:lineRule="auto"/>
              <w:contextualSpacing/>
              <w:jc w:val="left"/>
              <w:rPr>
                <w:rFonts w:cs="Arial"/>
                <w:szCs w:val="20"/>
              </w:rPr>
            </w:pPr>
            <w:r>
              <w:rPr>
                <w:rFonts w:cs="Arial"/>
                <w:szCs w:val="20"/>
              </w:rPr>
              <w:t>24</w:t>
            </w:r>
          </w:p>
        </w:tc>
        <w:tc>
          <w:tcPr>
            <w:tcW w:w="2002" w:type="dxa"/>
          </w:tcPr>
          <w:p w14:paraId="27F2BC9C"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Hospital Admissions</w:t>
            </w:r>
          </w:p>
        </w:tc>
        <w:tc>
          <w:tcPr>
            <w:tcW w:w="4558" w:type="dxa"/>
          </w:tcPr>
          <w:p w14:paraId="263A69AA"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Modified from Australian Bureau of Statistics (1991). </w:t>
            </w:r>
            <w:r w:rsidRPr="00284DE5">
              <w:rPr>
                <w:rFonts w:cs="Arial"/>
                <w:i/>
                <w:szCs w:val="20"/>
              </w:rPr>
              <w:t xml:space="preserve">1989-1990 National Health Survey Users’ Guide. </w:t>
            </w:r>
            <w:r w:rsidRPr="00284DE5">
              <w:rPr>
                <w:rFonts w:cs="Arial"/>
                <w:szCs w:val="20"/>
              </w:rPr>
              <w:t>Canberra: ABS. Cat No. 4363.0</w:t>
            </w:r>
          </w:p>
        </w:tc>
        <w:tc>
          <w:tcPr>
            <w:tcW w:w="2976" w:type="dxa"/>
          </w:tcPr>
          <w:p w14:paraId="29F4730E" w14:textId="77777777" w:rsidR="00A213C3" w:rsidRPr="00284DE5" w:rsidRDefault="00A213C3" w:rsidP="009429DC">
            <w:pPr>
              <w:spacing w:before="40" w:after="40" w:line="276" w:lineRule="auto"/>
              <w:contextualSpacing/>
              <w:jc w:val="left"/>
              <w:rPr>
                <w:rFonts w:cs="Arial"/>
                <w:szCs w:val="20"/>
              </w:rPr>
            </w:pPr>
          </w:p>
        </w:tc>
        <w:tc>
          <w:tcPr>
            <w:tcW w:w="3097" w:type="dxa"/>
          </w:tcPr>
          <w:p w14:paraId="21EEA0D3" w14:textId="77777777" w:rsidR="00A213C3" w:rsidRPr="00284DE5" w:rsidRDefault="00A213C3" w:rsidP="009429DC">
            <w:pPr>
              <w:spacing w:before="40" w:after="40" w:line="276" w:lineRule="auto"/>
              <w:contextualSpacing/>
              <w:jc w:val="left"/>
              <w:rPr>
                <w:rFonts w:cs="Arial"/>
                <w:szCs w:val="20"/>
              </w:rPr>
            </w:pPr>
          </w:p>
        </w:tc>
      </w:tr>
      <w:tr w:rsidR="00A213C3" w:rsidRPr="00284DE5" w14:paraId="7FE2479B" w14:textId="77777777" w:rsidTr="00E86D5D">
        <w:trPr>
          <w:cantSplit/>
        </w:trPr>
        <w:tc>
          <w:tcPr>
            <w:tcW w:w="1227" w:type="dxa"/>
          </w:tcPr>
          <w:p w14:paraId="4436EF95" w14:textId="77777777" w:rsidR="00A213C3" w:rsidRDefault="00A213C3" w:rsidP="009429DC">
            <w:pPr>
              <w:spacing w:before="40" w:after="40" w:line="276" w:lineRule="auto"/>
              <w:contextualSpacing/>
              <w:jc w:val="left"/>
              <w:rPr>
                <w:rFonts w:cs="Arial"/>
                <w:szCs w:val="20"/>
              </w:rPr>
            </w:pPr>
            <w:r>
              <w:rPr>
                <w:rFonts w:cs="Arial"/>
                <w:szCs w:val="20"/>
              </w:rPr>
              <w:t>25</w:t>
            </w:r>
          </w:p>
        </w:tc>
        <w:tc>
          <w:tcPr>
            <w:tcW w:w="2002" w:type="dxa"/>
          </w:tcPr>
          <w:p w14:paraId="0A92114E"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Goldberg Anxiety and Depression Scale</w:t>
            </w:r>
          </w:p>
        </w:tc>
        <w:tc>
          <w:tcPr>
            <w:tcW w:w="4558" w:type="dxa"/>
          </w:tcPr>
          <w:p w14:paraId="20AE9F93"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Anxiety and depression scales from:  Goldberg D, Bridges K, Duncan-Jones P &amp; Grayson D. (1988). Detecting anxiety and depression in general medical settings. </w:t>
            </w:r>
            <w:r w:rsidRPr="00DE7DDC">
              <w:rPr>
                <w:rFonts w:cs="Arial"/>
                <w:i/>
                <w:iCs/>
                <w:szCs w:val="20"/>
              </w:rPr>
              <w:t>British Medical Journal</w:t>
            </w:r>
            <w:r w:rsidRPr="00284DE5">
              <w:rPr>
                <w:rFonts w:cs="Arial"/>
                <w:szCs w:val="20"/>
              </w:rPr>
              <w:t>, 297, 897-899.</w:t>
            </w:r>
          </w:p>
        </w:tc>
        <w:tc>
          <w:tcPr>
            <w:tcW w:w="2976" w:type="dxa"/>
          </w:tcPr>
          <w:p w14:paraId="662C93C1" w14:textId="77777777" w:rsidR="00A213C3" w:rsidRPr="00284DE5" w:rsidRDefault="00A213C3" w:rsidP="009429DC">
            <w:pPr>
              <w:spacing w:before="40" w:after="40" w:line="276" w:lineRule="auto"/>
              <w:contextualSpacing/>
              <w:jc w:val="left"/>
              <w:rPr>
                <w:rFonts w:cs="Arial"/>
                <w:szCs w:val="20"/>
              </w:rPr>
            </w:pPr>
          </w:p>
        </w:tc>
        <w:tc>
          <w:tcPr>
            <w:tcW w:w="3097" w:type="dxa"/>
          </w:tcPr>
          <w:p w14:paraId="572D4CA5" w14:textId="77777777" w:rsidR="00A213C3" w:rsidRPr="00284DE5" w:rsidRDefault="00A213C3" w:rsidP="009429DC">
            <w:pPr>
              <w:spacing w:before="40" w:after="40" w:line="276" w:lineRule="auto"/>
              <w:contextualSpacing/>
              <w:jc w:val="left"/>
              <w:rPr>
                <w:rFonts w:cs="Arial"/>
                <w:szCs w:val="20"/>
              </w:rPr>
            </w:pPr>
          </w:p>
        </w:tc>
      </w:tr>
      <w:tr w:rsidR="00A213C3" w:rsidRPr="00284DE5" w14:paraId="066AE3E6" w14:textId="77777777" w:rsidTr="00E86D5D">
        <w:trPr>
          <w:cantSplit/>
        </w:trPr>
        <w:tc>
          <w:tcPr>
            <w:tcW w:w="1227" w:type="dxa"/>
          </w:tcPr>
          <w:p w14:paraId="26E1F434" w14:textId="77777777" w:rsidR="00A213C3" w:rsidRDefault="00A213C3" w:rsidP="009429DC">
            <w:pPr>
              <w:spacing w:before="40" w:after="40" w:line="276" w:lineRule="auto"/>
              <w:contextualSpacing/>
              <w:jc w:val="left"/>
              <w:rPr>
                <w:rFonts w:cs="Arial"/>
                <w:szCs w:val="20"/>
              </w:rPr>
            </w:pPr>
            <w:r>
              <w:rPr>
                <w:rFonts w:cs="Arial"/>
                <w:szCs w:val="20"/>
              </w:rPr>
              <w:t>26</w:t>
            </w:r>
          </w:p>
        </w:tc>
        <w:tc>
          <w:tcPr>
            <w:tcW w:w="2002" w:type="dxa"/>
          </w:tcPr>
          <w:p w14:paraId="45624223"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Life isn’t worth living</w:t>
            </w:r>
          </w:p>
        </w:tc>
        <w:tc>
          <w:tcPr>
            <w:tcW w:w="4558" w:type="dxa"/>
          </w:tcPr>
          <w:p w14:paraId="65900AFC"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Modified from Beck A, Schuyler D &amp; Herman, I. (1974) Development of the Suicide Intent Scale. In AT Beck, HLP Resnick, &amp; DJ </w:t>
            </w:r>
            <w:proofErr w:type="spellStart"/>
            <w:r w:rsidRPr="00284DE5">
              <w:rPr>
                <w:rFonts w:cs="Arial"/>
                <w:szCs w:val="20"/>
              </w:rPr>
              <w:t>Lettieri</w:t>
            </w:r>
            <w:proofErr w:type="spellEnd"/>
            <w:r w:rsidRPr="00284DE5">
              <w:rPr>
                <w:rFonts w:cs="Arial"/>
                <w:szCs w:val="20"/>
              </w:rPr>
              <w:t xml:space="preserve"> (Eds.) </w:t>
            </w:r>
            <w:r w:rsidRPr="00284DE5">
              <w:rPr>
                <w:rFonts w:cs="Arial"/>
                <w:i/>
                <w:szCs w:val="20"/>
              </w:rPr>
              <w:t>The prediction of suicide</w:t>
            </w:r>
            <w:r w:rsidRPr="00284DE5">
              <w:rPr>
                <w:rFonts w:cs="Arial"/>
                <w:szCs w:val="20"/>
              </w:rPr>
              <w:t xml:space="preserve">. </w:t>
            </w:r>
            <w:proofErr w:type="spellStart"/>
            <w:r w:rsidRPr="00284DE5">
              <w:rPr>
                <w:rFonts w:cs="Arial"/>
                <w:szCs w:val="20"/>
              </w:rPr>
              <w:t>Bowier</w:t>
            </w:r>
            <w:proofErr w:type="spellEnd"/>
            <w:r w:rsidRPr="00284DE5">
              <w:rPr>
                <w:rFonts w:cs="Arial"/>
                <w:szCs w:val="20"/>
              </w:rPr>
              <w:t>, MD: Charles Press Publishers</w:t>
            </w:r>
          </w:p>
        </w:tc>
        <w:tc>
          <w:tcPr>
            <w:tcW w:w="2976" w:type="dxa"/>
          </w:tcPr>
          <w:p w14:paraId="62025051" w14:textId="77777777" w:rsidR="00A213C3" w:rsidRPr="00284DE5" w:rsidRDefault="00A213C3" w:rsidP="009429DC">
            <w:pPr>
              <w:spacing w:before="40" w:after="40" w:line="276" w:lineRule="auto"/>
              <w:contextualSpacing/>
              <w:jc w:val="left"/>
              <w:rPr>
                <w:rFonts w:cs="Arial"/>
                <w:szCs w:val="20"/>
              </w:rPr>
            </w:pPr>
          </w:p>
        </w:tc>
        <w:tc>
          <w:tcPr>
            <w:tcW w:w="3097" w:type="dxa"/>
          </w:tcPr>
          <w:p w14:paraId="0DD02D6A" w14:textId="77777777" w:rsidR="00A213C3" w:rsidRPr="00284DE5" w:rsidRDefault="00A213C3" w:rsidP="009429DC">
            <w:pPr>
              <w:spacing w:before="40" w:after="40" w:line="276" w:lineRule="auto"/>
              <w:contextualSpacing/>
              <w:jc w:val="left"/>
              <w:rPr>
                <w:rFonts w:cs="Arial"/>
                <w:szCs w:val="20"/>
              </w:rPr>
            </w:pPr>
          </w:p>
        </w:tc>
      </w:tr>
      <w:tr w:rsidR="00A213C3" w:rsidRPr="00284DE5" w14:paraId="7F5E07FE" w14:textId="77777777" w:rsidTr="00E86D5D">
        <w:trPr>
          <w:cantSplit/>
        </w:trPr>
        <w:tc>
          <w:tcPr>
            <w:tcW w:w="1227" w:type="dxa"/>
          </w:tcPr>
          <w:p w14:paraId="4DB59E5C" w14:textId="77777777" w:rsidR="00A213C3" w:rsidRPr="00284DE5" w:rsidRDefault="00A213C3" w:rsidP="009429DC">
            <w:pPr>
              <w:spacing w:before="40" w:after="40" w:line="276" w:lineRule="auto"/>
              <w:contextualSpacing/>
              <w:jc w:val="left"/>
              <w:rPr>
                <w:rFonts w:cs="Arial"/>
                <w:szCs w:val="20"/>
              </w:rPr>
            </w:pPr>
            <w:r>
              <w:rPr>
                <w:rFonts w:cs="Arial"/>
                <w:szCs w:val="20"/>
              </w:rPr>
              <w:lastRenderedPageBreak/>
              <w:t>27</w:t>
            </w:r>
          </w:p>
        </w:tc>
        <w:tc>
          <w:tcPr>
            <w:tcW w:w="2002" w:type="dxa"/>
          </w:tcPr>
          <w:p w14:paraId="4B8904EA"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HRT/Pill</w:t>
            </w:r>
          </w:p>
        </w:tc>
        <w:tc>
          <w:tcPr>
            <w:tcW w:w="4558" w:type="dxa"/>
          </w:tcPr>
          <w:p w14:paraId="628E6883"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Modified from Australian Bureau of Statistics (1991). </w:t>
            </w:r>
            <w:r w:rsidRPr="00284DE5">
              <w:rPr>
                <w:rFonts w:cs="Arial"/>
                <w:i/>
                <w:szCs w:val="20"/>
              </w:rPr>
              <w:t xml:space="preserve">1989-1990 National Health Survey Users’ Guide. </w:t>
            </w:r>
            <w:r w:rsidRPr="00284DE5">
              <w:rPr>
                <w:rFonts w:cs="Arial"/>
                <w:szCs w:val="20"/>
              </w:rPr>
              <w:t>Canberra: ABS. Cat No. 4363.0</w:t>
            </w:r>
          </w:p>
        </w:tc>
        <w:tc>
          <w:tcPr>
            <w:tcW w:w="2976" w:type="dxa"/>
          </w:tcPr>
          <w:p w14:paraId="0C4C4BD3" w14:textId="77777777" w:rsidR="00A213C3" w:rsidRPr="00284DE5" w:rsidRDefault="00A213C3" w:rsidP="009429DC">
            <w:pPr>
              <w:spacing w:before="40" w:after="40" w:line="276" w:lineRule="auto"/>
              <w:contextualSpacing/>
              <w:jc w:val="left"/>
              <w:rPr>
                <w:rFonts w:cs="Arial"/>
                <w:szCs w:val="20"/>
              </w:rPr>
            </w:pPr>
          </w:p>
        </w:tc>
        <w:tc>
          <w:tcPr>
            <w:tcW w:w="3097" w:type="dxa"/>
          </w:tcPr>
          <w:p w14:paraId="66059625" w14:textId="77777777" w:rsidR="00A213C3" w:rsidRPr="00284DE5" w:rsidRDefault="00A213C3" w:rsidP="009429DC">
            <w:pPr>
              <w:spacing w:before="40" w:after="40" w:line="276" w:lineRule="auto"/>
              <w:contextualSpacing/>
              <w:jc w:val="left"/>
              <w:rPr>
                <w:rFonts w:cs="Arial"/>
                <w:szCs w:val="20"/>
              </w:rPr>
            </w:pPr>
          </w:p>
        </w:tc>
      </w:tr>
      <w:tr w:rsidR="00A213C3" w:rsidRPr="00284DE5" w14:paraId="6EC885F5" w14:textId="77777777" w:rsidTr="00E86D5D">
        <w:trPr>
          <w:cantSplit/>
        </w:trPr>
        <w:tc>
          <w:tcPr>
            <w:tcW w:w="1227" w:type="dxa"/>
          </w:tcPr>
          <w:p w14:paraId="55659375" w14:textId="77777777" w:rsidR="00A213C3" w:rsidRDefault="00A213C3" w:rsidP="009429DC">
            <w:pPr>
              <w:spacing w:before="40" w:after="40" w:line="276" w:lineRule="auto"/>
              <w:contextualSpacing/>
              <w:jc w:val="left"/>
              <w:rPr>
                <w:rFonts w:cs="Arial"/>
                <w:szCs w:val="20"/>
              </w:rPr>
            </w:pPr>
            <w:r>
              <w:rPr>
                <w:rFonts w:cs="Arial"/>
                <w:szCs w:val="20"/>
              </w:rPr>
              <w:t>28</w:t>
            </w:r>
          </w:p>
        </w:tc>
        <w:tc>
          <w:tcPr>
            <w:tcW w:w="2002" w:type="dxa"/>
          </w:tcPr>
          <w:p w14:paraId="34D6D6D5"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Health service utilisation</w:t>
            </w:r>
          </w:p>
        </w:tc>
        <w:tc>
          <w:tcPr>
            <w:tcW w:w="4558" w:type="dxa"/>
          </w:tcPr>
          <w:p w14:paraId="30FC6F5D"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Modified from Davies A</w:t>
            </w:r>
            <w:r>
              <w:rPr>
                <w:rFonts w:cs="Arial"/>
                <w:szCs w:val="20"/>
              </w:rPr>
              <w:t>R</w:t>
            </w:r>
            <w:r w:rsidRPr="00284DE5">
              <w:rPr>
                <w:rFonts w:cs="Arial"/>
                <w:szCs w:val="20"/>
              </w:rPr>
              <w:t xml:space="preserve"> &amp; Ware JEJ. (1991). </w:t>
            </w:r>
            <w:r w:rsidRPr="00284DE5">
              <w:rPr>
                <w:rFonts w:cs="Arial"/>
                <w:i/>
                <w:szCs w:val="20"/>
              </w:rPr>
              <w:t>GHAA's consumer</w:t>
            </w:r>
            <w:r>
              <w:rPr>
                <w:rFonts w:cs="Arial"/>
                <w:i/>
                <w:szCs w:val="20"/>
              </w:rPr>
              <w:t xml:space="preserve"> </w:t>
            </w:r>
            <w:r w:rsidRPr="00284DE5">
              <w:rPr>
                <w:rFonts w:cs="Arial"/>
                <w:i/>
                <w:szCs w:val="20"/>
              </w:rPr>
              <w:t>satisfaction survey and user's manual</w:t>
            </w:r>
            <w:r w:rsidRPr="00284DE5">
              <w:rPr>
                <w:rFonts w:cs="Arial"/>
                <w:szCs w:val="20"/>
              </w:rPr>
              <w:t xml:space="preserve"> (2nd </w:t>
            </w:r>
            <w:proofErr w:type="spellStart"/>
            <w:r w:rsidRPr="00284DE5">
              <w:rPr>
                <w:rFonts w:cs="Arial"/>
                <w:szCs w:val="20"/>
              </w:rPr>
              <w:t>Edn</w:t>
            </w:r>
            <w:proofErr w:type="spellEnd"/>
            <w:r w:rsidRPr="00284DE5">
              <w:rPr>
                <w:rFonts w:cs="Arial"/>
                <w:szCs w:val="20"/>
              </w:rPr>
              <w:t>). Washington DC: The Group Health Association of America (GHAA).</w:t>
            </w:r>
          </w:p>
        </w:tc>
        <w:tc>
          <w:tcPr>
            <w:tcW w:w="2976" w:type="dxa"/>
          </w:tcPr>
          <w:p w14:paraId="5F490F49" w14:textId="77777777" w:rsidR="00A213C3" w:rsidRPr="00284DE5" w:rsidRDefault="00A213C3" w:rsidP="009429DC">
            <w:pPr>
              <w:spacing w:before="40" w:after="40" w:line="276" w:lineRule="auto"/>
              <w:contextualSpacing/>
              <w:jc w:val="left"/>
              <w:rPr>
                <w:rFonts w:cs="Arial"/>
                <w:szCs w:val="20"/>
              </w:rPr>
            </w:pPr>
          </w:p>
        </w:tc>
        <w:tc>
          <w:tcPr>
            <w:tcW w:w="3097" w:type="dxa"/>
          </w:tcPr>
          <w:p w14:paraId="10DC4ED2" w14:textId="77777777" w:rsidR="00A213C3" w:rsidRPr="00284DE5" w:rsidRDefault="00A213C3" w:rsidP="009429DC">
            <w:pPr>
              <w:spacing w:before="40" w:after="40" w:line="276" w:lineRule="auto"/>
              <w:contextualSpacing/>
              <w:jc w:val="left"/>
              <w:rPr>
                <w:rFonts w:cs="Arial"/>
                <w:szCs w:val="20"/>
              </w:rPr>
            </w:pPr>
          </w:p>
        </w:tc>
      </w:tr>
      <w:tr w:rsidR="00A213C3" w:rsidRPr="00284DE5" w14:paraId="7B76C2C4" w14:textId="77777777" w:rsidTr="00E86D5D">
        <w:trPr>
          <w:cantSplit/>
        </w:trPr>
        <w:tc>
          <w:tcPr>
            <w:tcW w:w="1227" w:type="dxa"/>
          </w:tcPr>
          <w:p w14:paraId="1DC806A3" w14:textId="77777777" w:rsidR="00A213C3" w:rsidRPr="00284DE5" w:rsidRDefault="00A213C3" w:rsidP="009429DC">
            <w:pPr>
              <w:spacing w:before="40" w:after="40" w:line="276" w:lineRule="auto"/>
              <w:contextualSpacing/>
              <w:jc w:val="left"/>
              <w:rPr>
                <w:rFonts w:cs="Arial"/>
                <w:szCs w:val="20"/>
              </w:rPr>
            </w:pPr>
            <w:r>
              <w:rPr>
                <w:rFonts w:cs="Arial"/>
                <w:szCs w:val="20"/>
              </w:rPr>
              <w:t>29</w:t>
            </w:r>
          </w:p>
        </w:tc>
        <w:tc>
          <w:tcPr>
            <w:tcW w:w="2002" w:type="dxa"/>
          </w:tcPr>
          <w:p w14:paraId="1DB34DCB" w14:textId="77777777" w:rsidR="00A213C3" w:rsidRPr="00284DE5" w:rsidRDefault="00A213C3" w:rsidP="009429DC">
            <w:pPr>
              <w:spacing w:before="40" w:after="40" w:line="276" w:lineRule="auto"/>
              <w:contextualSpacing/>
              <w:jc w:val="left"/>
              <w:rPr>
                <w:rFonts w:cs="Arial"/>
                <w:szCs w:val="20"/>
              </w:rPr>
            </w:pPr>
            <w:r>
              <w:rPr>
                <w:rFonts w:cs="Arial"/>
                <w:szCs w:val="20"/>
              </w:rPr>
              <w:t>COVID-19 positive test</w:t>
            </w:r>
          </w:p>
        </w:tc>
        <w:tc>
          <w:tcPr>
            <w:tcW w:w="4558" w:type="dxa"/>
            <w:shd w:val="clear" w:color="auto" w:fill="auto"/>
          </w:tcPr>
          <w:p w14:paraId="02BC2F87" w14:textId="77777777" w:rsidR="00A213C3" w:rsidRPr="00284DE5" w:rsidRDefault="00A213C3" w:rsidP="009429DC">
            <w:pPr>
              <w:spacing w:before="40" w:after="40" w:line="276" w:lineRule="auto"/>
              <w:contextualSpacing/>
              <w:jc w:val="left"/>
              <w:rPr>
                <w:rFonts w:cs="Arial"/>
                <w:szCs w:val="20"/>
              </w:rPr>
            </w:pPr>
            <w:r>
              <w:rPr>
                <w:rFonts w:cs="Arial"/>
                <w:szCs w:val="20"/>
              </w:rPr>
              <w:t>ALSWH</w:t>
            </w:r>
          </w:p>
        </w:tc>
        <w:tc>
          <w:tcPr>
            <w:tcW w:w="2976" w:type="dxa"/>
            <w:shd w:val="clear" w:color="auto" w:fill="auto"/>
          </w:tcPr>
          <w:p w14:paraId="08780C2A" w14:textId="77777777" w:rsidR="00A213C3" w:rsidRPr="00284DE5" w:rsidRDefault="00A213C3" w:rsidP="009429DC">
            <w:pPr>
              <w:spacing w:before="40" w:after="40" w:line="276" w:lineRule="auto"/>
              <w:contextualSpacing/>
              <w:jc w:val="left"/>
              <w:rPr>
                <w:rFonts w:cs="Arial"/>
                <w:szCs w:val="20"/>
              </w:rPr>
            </w:pPr>
          </w:p>
        </w:tc>
        <w:tc>
          <w:tcPr>
            <w:tcW w:w="3097" w:type="dxa"/>
          </w:tcPr>
          <w:p w14:paraId="00774AA1" w14:textId="77777777" w:rsidR="00A213C3" w:rsidRPr="00284DE5" w:rsidRDefault="00A213C3" w:rsidP="009429DC">
            <w:pPr>
              <w:spacing w:before="40" w:after="40" w:line="276" w:lineRule="auto"/>
              <w:contextualSpacing/>
              <w:jc w:val="left"/>
              <w:rPr>
                <w:rFonts w:cs="Arial"/>
                <w:szCs w:val="20"/>
              </w:rPr>
            </w:pPr>
          </w:p>
        </w:tc>
      </w:tr>
      <w:tr w:rsidR="00A213C3" w:rsidRPr="00284DE5" w14:paraId="6CB977C5" w14:textId="77777777" w:rsidTr="00E86D5D">
        <w:trPr>
          <w:cantSplit/>
        </w:trPr>
        <w:tc>
          <w:tcPr>
            <w:tcW w:w="1227" w:type="dxa"/>
            <w:shd w:val="clear" w:color="auto" w:fill="auto"/>
          </w:tcPr>
          <w:p w14:paraId="161AC44F" w14:textId="77777777" w:rsidR="00A213C3" w:rsidRPr="00284DE5" w:rsidRDefault="00A213C3" w:rsidP="009429DC">
            <w:pPr>
              <w:spacing w:before="40" w:after="40" w:line="276" w:lineRule="auto"/>
              <w:contextualSpacing/>
              <w:jc w:val="left"/>
              <w:rPr>
                <w:rFonts w:cs="Arial"/>
                <w:szCs w:val="20"/>
              </w:rPr>
            </w:pPr>
            <w:r>
              <w:rPr>
                <w:rFonts w:cs="Arial"/>
                <w:szCs w:val="20"/>
              </w:rPr>
              <w:t>30-32</w:t>
            </w:r>
          </w:p>
        </w:tc>
        <w:tc>
          <w:tcPr>
            <w:tcW w:w="2002" w:type="dxa"/>
            <w:shd w:val="clear" w:color="auto" w:fill="auto"/>
          </w:tcPr>
          <w:p w14:paraId="1BE9C06D" w14:textId="77777777" w:rsidR="00A213C3" w:rsidRPr="00284DE5" w:rsidRDefault="00A213C3" w:rsidP="009429DC">
            <w:pPr>
              <w:spacing w:before="40" w:after="40" w:line="276" w:lineRule="auto"/>
              <w:contextualSpacing/>
              <w:jc w:val="left"/>
              <w:rPr>
                <w:rFonts w:cs="Arial"/>
                <w:szCs w:val="20"/>
              </w:rPr>
            </w:pPr>
            <w:r>
              <w:rPr>
                <w:rFonts w:cs="Arial"/>
                <w:szCs w:val="20"/>
              </w:rPr>
              <w:t>COVID-19 vaccination status</w:t>
            </w:r>
          </w:p>
        </w:tc>
        <w:tc>
          <w:tcPr>
            <w:tcW w:w="4558" w:type="dxa"/>
            <w:shd w:val="clear" w:color="auto" w:fill="auto"/>
          </w:tcPr>
          <w:p w14:paraId="7187D223" w14:textId="77777777" w:rsidR="00A213C3" w:rsidRPr="00284DE5" w:rsidRDefault="00A213C3" w:rsidP="009429DC">
            <w:pPr>
              <w:spacing w:before="40" w:after="40" w:line="276" w:lineRule="auto"/>
              <w:contextualSpacing/>
              <w:jc w:val="left"/>
              <w:rPr>
                <w:rFonts w:cs="Arial"/>
                <w:szCs w:val="20"/>
              </w:rPr>
            </w:pPr>
            <w:r>
              <w:rPr>
                <w:rFonts w:cs="Arial"/>
                <w:szCs w:val="20"/>
              </w:rPr>
              <w:t>ALSWH</w:t>
            </w:r>
          </w:p>
        </w:tc>
        <w:tc>
          <w:tcPr>
            <w:tcW w:w="2976" w:type="dxa"/>
            <w:shd w:val="clear" w:color="auto" w:fill="auto"/>
          </w:tcPr>
          <w:p w14:paraId="02957FEE" w14:textId="77777777" w:rsidR="00A213C3" w:rsidRDefault="00A213C3" w:rsidP="009429DC">
            <w:pPr>
              <w:spacing w:before="40" w:after="40" w:line="276" w:lineRule="auto"/>
              <w:contextualSpacing/>
              <w:jc w:val="left"/>
              <w:rPr>
                <w:rFonts w:cs="Arial"/>
                <w:szCs w:val="20"/>
              </w:rPr>
            </w:pPr>
            <w:r>
              <w:rPr>
                <w:rFonts w:cs="Arial"/>
                <w:szCs w:val="20"/>
              </w:rPr>
              <w:t>Q33- Novavax added as vaccination option to cover currently approved vaccines for Australians</w:t>
            </w:r>
          </w:p>
          <w:p w14:paraId="3C5980A3" w14:textId="77777777" w:rsidR="00A213C3" w:rsidRDefault="00A213C3" w:rsidP="009429DC">
            <w:pPr>
              <w:spacing w:before="40" w:after="40" w:line="276" w:lineRule="auto"/>
              <w:contextualSpacing/>
              <w:jc w:val="left"/>
              <w:rPr>
                <w:rFonts w:cs="Arial"/>
                <w:szCs w:val="20"/>
              </w:rPr>
            </w:pPr>
          </w:p>
          <w:p w14:paraId="50A8C961" w14:textId="77777777" w:rsidR="00A213C3" w:rsidRPr="00284DE5" w:rsidRDefault="00A213C3" w:rsidP="009429DC">
            <w:pPr>
              <w:spacing w:before="40" w:after="40" w:line="276" w:lineRule="auto"/>
              <w:contextualSpacing/>
              <w:jc w:val="left"/>
              <w:rPr>
                <w:rFonts w:cs="Arial"/>
                <w:szCs w:val="20"/>
                <w:highlight w:val="lightGray"/>
              </w:rPr>
            </w:pPr>
            <w:r>
              <w:rPr>
                <w:rFonts w:cs="Arial"/>
                <w:szCs w:val="20"/>
              </w:rPr>
              <w:t>Q32- Number of doses modified, and reference to booster shot removed, to</w:t>
            </w:r>
            <w:r w:rsidRPr="00D433C0">
              <w:rPr>
                <w:rFonts w:cs="Arial"/>
                <w:szCs w:val="20"/>
              </w:rPr>
              <w:t xml:space="preserve"> cover current ATAGI recommendation</w:t>
            </w:r>
            <w:r>
              <w:rPr>
                <w:rFonts w:cs="Arial"/>
                <w:szCs w:val="20"/>
              </w:rPr>
              <w:t>s</w:t>
            </w:r>
            <w:r w:rsidRPr="00D433C0">
              <w:rPr>
                <w:rFonts w:cs="Arial"/>
                <w:szCs w:val="20"/>
              </w:rPr>
              <w:t xml:space="preserve"> for</w:t>
            </w:r>
            <w:r>
              <w:rPr>
                <w:rFonts w:cs="Arial"/>
                <w:szCs w:val="20"/>
              </w:rPr>
              <w:t xml:space="preserve"> COVID-</w:t>
            </w:r>
            <w:proofErr w:type="gramStart"/>
            <w:r>
              <w:rPr>
                <w:rFonts w:cs="Arial"/>
                <w:szCs w:val="20"/>
              </w:rPr>
              <w:t xml:space="preserve">19 </w:t>
            </w:r>
            <w:r w:rsidRPr="00D433C0">
              <w:rPr>
                <w:rFonts w:cs="Arial"/>
                <w:szCs w:val="20"/>
              </w:rPr>
              <w:t xml:space="preserve"> </w:t>
            </w:r>
            <w:r>
              <w:rPr>
                <w:rFonts w:cs="Arial"/>
                <w:szCs w:val="20"/>
              </w:rPr>
              <w:t>vaccination</w:t>
            </w:r>
            <w:proofErr w:type="gramEnd"/>
            <w:r>
              <w:rPr>
                <w:rFonts w:cs="Arial"/>
                <w:szCs w:val="20"/>
              </w:rPr>
              <w:t xml:space="preserve">. </w:t>
            </w:r>
          </w:p>
        </w:tc>
        <w:tc>
          <w:tcPr>
            <w:tcW w:w="3097" w:type="dxa"/>
            <w:shd w:val="clear" w:color="auto" w:fill="auto"/>
          </w:tcPr>
          <w:p w14:paraId="764268C0" w14:textId="77777777" w:rsidR="00A213C3" w:rsidRPr="00284DE5" w:rsidRDefault="00A213C3" w:rsidP="009429DC">
            <w:pPr>
              <w:spacing w:before="40" w:after="40" w:line="276" w:lineRule="auto"/>
              <w:contextualSpacing/>
              <w:jc w:val="left"/>
              <w:rPr>
                <w:rFonts w:cs="Arial"/>
                <w:szCs w:val="20"/>
                <w:highlight w:val="lightGray"/>
              </w:rPr>
            </w:pPr>
          </w:p>
        </w:tc>
      </w:tr>
      <w:tr w:rsidR="00A213C3" w:rsidRPr="00284DE5" w14:paraId="3C17F193" w14:textId="77777777" w:rsidTr="00E86D5D">
        <w:trPr>
          <w:cantSplit/>
        </w:trPr>
        <w:tc>
          <w:tcPr>
            <w:tcW w:w="1227" w:type="dxa"/>
            <w:shd w:val="clear" w:color="auto" w:fill="auto"/>
          </w:tcPr>
          <w:p w14:paraId="2234C1AC" w14:textId="77777777" w:rsidR="00A213C3" w:rsidRDefault="00A213C3" w:rsidP="009429DC">
            <w:pPr>
              <w:spacing w:before="40" w:after="40" w:line="276" w:lineRule="auto"/>
              <w:contextualSpacing/>
              <w:jc w:val="left"/>
              <w:rPr>
                <w:rFonts w:cs="Arial"/>
                <w:szCs w:val="20"/>
              </w:rPr>
            </w:pPr>
            <w:r>
              <w:rPr>
                <w:rFonts w:cs="Arial"/>
                <w:szCs w:val="20"/>
              </w:rPr>
              <w:t>33</w:t>
            </w:r>
          </w:p>
        </w:tc>
        <w:tc>
          <w:tcPr>
            <w:tcW w:w="2002" w:type="dxa"/>
            <w:shd w:val="clear" w:color="auto" w:fill="auto"/>
          </w:tcPr>
          <w:p w14:paraId="5CF695C3" w14:textId="77777777" w:rsidR="00A213C3" w:rsidRDefault="00A213C3" w:rsidP="009429DC">
            <w:pPr>
              <w:spacing w:before="40" w:after="40" w:line="276" w:lineRule="auto"/>
              <w:contextualSpacing/>
              <w:jc w:val="left"/>
              <w:rPr>
                <w:rFonts w:cs="Arial"/>
                <w:szCs w:val="20"/>
              </w:rPr>
            </w:pPr>
            <w:r>
              <w:rPr>
                <w:rFonts w:cs="Arial"/>
                <w:szCs w:val="20"/>
              </w:rPr>
              <w:t>COVID-19 impacts (free text)</w:t>
            </w:r>
          </w:p>
        </w:tc>
        <w:tc>
          <w:tcPr>
            <w:tcW w:w="4558" w:type="dxa"/>
            <w:shd w:val="clear" w:color="auto" w:fill="auto"/>
          </w:tcPr>
          <w:p w14:paraId="7ADC2F1B" w14:textId="77777777" w:rsidR="00A213C3" w:rsidRDefault="00A213C3" w:rsidP="009429DC">
            <w:pPr>
              <w:spacing w:before="40" w:after="40" w:line="276" w:lineRule="auto"/>
              <w:contextualSpacing/>
              <w:jc w:val="left"/>
              <w:rPr>
                <w:rFonts w:cs="Arial"/>
                <w:szCs w:val="20"/>
              </w:rPr>
            </w:pPr>
            <w:r>
              <w:rPr>
                <w:rFonts w:cs="Arial"/>
                <w:szCs w:val="20"/>
              </w:rPr>
              <w:t>ALSWH</w:t>
            </w:r>
          </w:p>
        </w:tc>
        <w:tc>
          <w:tcPr>
            <w:tcW w:w="2976" w:type="dxa"/>
            <w:shd w:val="clear" w:color="auto" w:fill="auto"/>
          </w:tcPr>
          <w:p w14:paraId="6C0813C5" w14:textId="77777777" w:rsidR="00A213C3" w:rsidRDefault="00A213C3" w:rsidP="009429DC">
            <w:pPr>
              <w:spacing w:before="40" w:after="40" w:line="276" w:lineRule="auto"/>
              <w:contextualSpacing/>
              <w:jc w:val="left"/>
              <w:rPr>
                <w:rFonts w:cs="Arial"/>
                <w:szCs w:val="20"/>
              </w:rPr>
            </w:pPr>
          </w:p>
        </w:tc>
        <w:tc>
          <w:tcPr>
            <w:tcW w:w="3097" w:type="dxa"/>
            <w:shd w:val="clear" w:color="auto" w:fill="auto"/>
          </w:tcPr>
          <w:p w14:paraId="0CEB5B3D" w14:textId="77777777" w:rsidR="00A213C3" w:rsidRPr="00284DE5" w:rsidRDefault="00A213C3" w:rsidP="009429DC">
            <w:pPr>
              <w:spacing w:before="40" w:after="40" w:line="276" w:lineRule="auto"/>
              <w:contextualSpacing/>
              <w:jc w:val="left"/>
              <w:rPr>
                <w:rFonts w:cs="Arial"/>
                <w:szCs w:val="20"/>
                <w:highlight w:val="lightGray"/>
              </w:rPr>
            </w:pPr>
            <w:r w:rsidRPr="00820400">
              <w:rPr>
                <w:rFonts w:cs="Arial"/>
                <w:szCs w:val="20"/>
              </w:rPr>
              <w:t>A</w:t>
            </w:r>
            <w:r>
              <w:rPr>
                <w:rFonts w:cs="Arial"/>
                <w:szCs w:val="20"/>
              </w:rPr>
              <w:t xml:space="preserve"> free text item was added based on participant feedback to allow participants a space to </w:t>
            </w:r>
            <w:r>
              <w:t>qualify the impact COVID-19 has had on their health and wellbeing.</w:t>
            </w:r>
          </w:p>
        </w:tc>
      </w:tr>
      <w:tr w:rsidR="00A213C3" w:rsidRPr="00284DE5" w14:paraId="615DE4EB" w14:textId="77777777" w:rsidTr="00E86D5D">
        <w:trPr>
          <w:cantSplit/>
        </w:trPr>
        <w:tc>
          <w:tcPr>
            <w:tcW w:w="1227" w:type="dxa"/>
            <w:shd w:val="clear" w:color="auto" w:fill="auto"/>
          </w:tcPr>
          <w:p w14:paraId="7D9B7A00" w14:textId="77777777" w:rsidR="00A213C3" w:rsidRPr="00284DE5" w:rsidRDefault="00A213C3" w:rsidP="009429DC">
            <w:pPr>
              <w:spacing w:before="40" w:after="40" w:line="276" w:lineRule="auto"/>
              <w:contextualSpacing/>
              <w:jc w:val="left"/>
              <w:rPr>
                <w:rFonts w:cs="Arial"/>
                <w:szCs w:val="20"/>
              </w:rPr>
            </w:pPr>
            <w:r>
              <w:rPr>
                <w:rFonts w:cs="Arial"/>
                <w:szCs w:val="20"/>
              </w:rPr>
              <w:t>34</w:t>
            </w:r>
          </w:p>
        </w:tc>
        <w:tc>
          <w:tcPr>
            <w:tcW w:w="2002" w:type="dxa"/>
            <w:shd w:val="clear" w:color="auto" w:fill="auto"/>
          </w:tcPr>
          <w:p w14:paraId="50A45DE4"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Falls</w:t>
            </w:r>
          </w:p>
        </w:tc>
        <w:tc>
          <w:tcPr>
            <w:tcW w:w="4558" w:type="dxa"/>
            <w:shd w:val="clear" w:color="auto" w:fill="auto"/>
          </w:tcPr>
          <w:p w14:paraId="4CB2D276"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Modified from DVA (Dept of Veterans’ Affairs) trial (1997)</w:t>
            </w:r>
          </w:p>
        </w:tc>
        <w:tc>
          <w:tcPr>
            <w:tcW w:w="2976" w:type="dxa"/>
            <w:shd w:val="clear" w:color="auto" w:fill="auto"/>
          </w:tcPr>
          <w:p w14:paraId="0340E285"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6B3EC023" w14:textId="77777777" w:rsidR="00A213C3" w:rsidRPr="00284DE5" w:rsidRDefault="00A213C3" w:rsidP="009429DC">
            <w:pPr>
              <w:spacing w:before="40" w:after="40" w:line="276" w:lineRule="auto"/>
              <w:contextualSpacing/>
              <w:jc w:val="left"/>
              <w:rPr>
                <w:rFonts w:cs="Arial"/>
                <w:szCs w:val="20"/>
              </w:rPr>
            </w:pPr>
          </w:p>
        </w:tc>
      </w:tr>
      <w:tr w:rsidR="00A213C3" w:rsidRPr="00284DE5" w14:paraId="0AEF9C93" w14:textId="77777777" w:rsidTr="00E86D5D">
        <w:trPr>
          <w:cantSplit/>
        </w:trPr>
        <w:tc>
          <w:tcPr>
            <w:tcW w:w="1227" w:type="dxa"/>
            <w:shd w:val="clear" w:color="auto" w:fill="auto"/>
          </w:tcPr>
          <w:p w14:paraId="6A23F2FF" w14:textId="77777777" w:rsidR="00A213C3" w:rsidRPr="00284DE5" w:rsidRDefault="00A213C3" w:rsidP="009429DC">
            <w:pPr>
              <w:spacing w:before="40" w:after="40" w:line="276" w:lineRule="auto"/>
              <w:contextualSpacing/>
              <w:jc w:val="left"/>
              <w:rPr>
                <w:rFonts w:cs="Arial"/>
                <w:szCs w:val="20"/>
              </w:rPr>
            </w:pPr>
            <w:r>
              <w:rPr>
                <w:rFonts w:cs="Arial"/>
                <w:szCs w:val="20"/>
              </w:rPr>
              <w:lastRenderedPageBreak/>
              <w:t>35-36</w:t>
            </w:r>
          </w:p>
        </w:tc>
        <w:tc>
          <w:tcPr>
            <w:tcW w:w="2002" w:type="dxa"/>
            <w:shd w:val="clear" w:color="auto" w:fill="auto"/>
          </w:tcPr>
          <w:p w14:paraId="002E027F"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Falls</w:t>
            </w:r>
          </w:p>
        </w:tc>
        <w:tc>
          <w:tcPr>
            <w:tcW w:w="4558" w:type="dxa"/>
            <w:shd w:val="clear" w:color="auto" w:fill="auto"/>
          </w:tcPr>
          <w:p w14:paraId="00227E29" w14:textId="77777777" w:rsidR="00A213C3" w:rsidRPr="00450FF6" w:rsidRDefault="00A213C3" w:rsidP="009429DC">
            <w:pPr>
              <w:spacing w:before="40" w:after="40" w:line="276" w:lineRule="auto"/>
              <w:contextualSpacing/>
              <w:jc w:val="left"/>
              <w:rPr>
                <w:rFonts w:cs="Arial"/>
                <w:szCs w:val="20"/>
                <w:shd w:val="clear" w:color="auto" w:fill="FFFFFF"/>
              </w:rPr>
            </w:pPr>
            <w:r w:rsidRPr="00450FF6">
              <w:rPr>
                <w:rFonts w:cs="Arial"/>
                <w:szCs w:val="20"/>
                <w:shd w:val="clear" w:color="auto" w:fill="FFFFFF"/>
              </w:rPr>
              <w:t>Modified from:</w:t>
            </w:r>
          </w:p>
          <w:p w14:paraId="464E8AF7" w14:textId="77777777" w:rsidR="00A213C3" w:rsidRPr="00450FF6" w:rsidRDefault="00A213C3" w:rsidP="009429DC">
            <w:pPr>
              <w:spacing w:before="40" w:after="40" w:line="276" w:lineRule="auto"/>
              <w:contextualSpacing/>
              <w:jc w:val="left"/>
              <w:rPr>
                <w:rFonts w:cs="Arial"/>
                <w:szCs w:val="20"/>
                <w:shd w:val="clear" w:color="auto" w:fill="FFFFFF"/>
              </w:rPr>
            </w:pPr>
            <w:proofErr w:type="spellStart"/>
            <w:r w:rsidRPr="00450FF6">
              <w:rPr>
                <w:rFonts w:cs="Arial"/>
                <w:szCs w:val="20"/>
                <w:shd w:val="clear" w:color="auto" w:fill="FFFFFF"/>
              </w:rPr>
              <w:t>MacKenzie</w:t>
            </w:r>
            <w:proofErr w:type="spellEnd"/>
            <w:r w:rsidRPr="00450FF6">
              <w:rPr>
                <w:rFonts w:cs="Arial"/>
                <w:szCs w:val="20"/>
                <w:shd w:val="clear" w:color="auto" w:fill="FFFFFF"/>
              </w:rPr>
              <w:t xml:space="preserve"> LA. Home hazards and falls prevention in home-based health assessments for older people in the community. PhD Thesis. The University of Newcastle. 2002.</w:t>
            </w:r>
          </w:p>
          <w:p w14:paraId="4E36040D" w14:textId="77777777" w:rsidR="00A213C3" w:rsidRDefault="00A213C3" w:rsidP="009429DC">
            <w:pPr>
              <w:spacing w:before="40" w:after="40" w:line="276" w:lineRule="auto"/>
              <w:contextualSpacing/>
              <w:jc w:val="left"/>
              <w:rPr>
                <w:rFonts w:cs="Arial"/>
                <w:szCs w:val="20"/>
                <w:shd w:val="clear" w:color="auto" w:fill="FFFFFF"/>
              </w:rPr>
            </w:pPr>
            <w:proofErr w:type="spellStart"/>
            <w:r w:rsidRPr="00450FF6">
              <w:rPr>
                <w:rFonts w:cs="Arial"/>
                <w:szCs w:val="20"/>
                <w:shd w:val="clear" w:color="auto" w:fill="FFFFFF"/>
              </w:rPr>
              <w:t>Daejin</w:t>
            </w:r>
            <w:proofErr w:type="spellEnd"/>
            <w:r w:rsidRPr="00450FF6">
              <w:rPr>
                <w:rFonts w:cs="Arial"/>
                <w:szCs w:val="20"/>
                <w:shd w:val="clear" w:color="auto" w:fill="FFFFFF"/>
              </w:rPr>
              <w:t xml:space="preserve"> Kim &amp; Sherry </w:t>
            </w:r>
            <w:proofErr w:type="spellStart"/>
            <w:r w:rsidRPr="00450FF6">
              <w:rPr>
                <w:rFonts w:cs="Arial"/>
                <w:szCs w:val="20"/>
                <w:shd w:val="clear" w:color="auto" w:fill="FFFFFF"/>
              </w:rPr>
              <w:t>Ahrentzen</w:t>
            </w:r>
            <w:proofErr w:type="spellEnd"/>
            <w:r w:rsidRPr="00450FF6">
              <w:rPr>
                <w:rFonts w:cs="Arial"/>
                <w:szCs w:val="20"/>
                <w:shd w:val="clear" w:color="auto" w:fill="FFFFFF"/>
              </w:rPr>
              <w:t xml:space="preserve"> (2017) environmental and </w:t>
            </w:r>
            <w:proofErr w:type="spellStart"/>
            <w:r w:rsidRPr="00450FF6">
              <w:rPr>
                <w:rFonts w:cs="Arial"/>
                <w:szCs w:val="20"/>
                <w:shd w:val="clear" w:color="auto" w:fill="FFFFFF"/>
              </w:rPr>
              <w:t>behavioral</w:t>
            </w:r>
            <w:proofErr w:type="spellEnd"/>
            <w:r w:rsidRPr="00450FF6">
              <w:rPr>
                <w:rFonts w:cs="Arial"/>
                <w:szCs w:val="20"/>
                <w:shd w:val="clear" w:color="auto" w:fill="FFFFFF"/>
              </w:rPr>
              <w:t xml:space="preserve"> circumstances and consequences of falls in a senior living development, </w:t>
            </w:r>
            <w:r w:rsidRPr="00DE7DDC">
              <w:rPr>
                <w:rFonts w:cs="Arial"/>
                <w:i/>
                <w:iCs/>
                <w:szCs w:val="20"/>
                <w:shd w:val="clear" w:color="auto" w:fill="FFFFFF"/>
              </w:rPr>
              <w:t xml:space="preserve">Journal of Housing </w:t>
            </w:r>
            <w:proofErr w:type="gramStart"/>
            <w:r w:rsidRPr="00DE7DDC">
              <w:rPr>
                <w:rFonts w:cs="Arial"/>
                <w:i/>
                <w:iCs/>
                <w:szCs w:val="20"/>
                <w:shd w:val="clear" w:color="auto" w:fill="FFFFFF"/>
              </w:rPr>
              <w:t>For</w:t>
            </w:r>
            <w:proofErr w:type="gramEnd"/>
            <w:r w:rsidRPr="00DE7DDC">
              <w:rPr>
                <w:rFonts w:cs="Arial"/>
                <w:i/>
                <w:iCs/>
                <w:szCs w:val="20"/>
                <w:shd w:val="clear" w:color="auto" w:fill="FFFFFF"/>
              </w:rPr>
              <w:t xml:space="preserve"> the Elderly</w:t>
            </w:r>
            <w:r w:rsidRPr="00450FF6">
              <w:rPr>
                <w:rFonts w:cs="Arial"/>
                <w:szCs w:val="20"/>
                <w:shd w:val="clear" w:color="auto" w:fill="FFFFFF"/>
              </w:rPr>
              <w:t>, 31:3, 286-301</w:t>
            </w:r>
            <w:r>
              <w:rPr>
                <w:rFonts w:cs="Arial"/>
                <w:szCs w:val="20"/>
                <w:shd w:val="clear" w:color="auto" w:fill="FFFFFF"/>
              </w:rPr>
              <w:t>.</w:t>
            </w:r>
            <w:r w:rsidRPr="00450FF6">
              <w:rPr>
                <w:rFonts w:cs="Arial"/>
                <w:szCs w:val="20"/>
                <w:shd w:val="clear" w:color="auto" w:fill="FFFFFF"/>
              </w:rPr>
              <w:t xml:space="preserve"> </w:t>
            </w:r>
          </w:p>
          <w:p w14:paraId="0946553F" w14:textId="77777777" w:rsidR="00A213C3" w:rsidRPr="00450FF6" w:rsidRDefault="00A213C3" w:rsidP="009429DC">
            <w:pPr>
              <w:spacing w:before="40" w:after="40" w:line="276" w:lineRule="auto"/>
              <w:contextualSpacing/>
              <w:jc w:val="left"/>
              <w:rPr>
                <w:rFonts w:cs="Arial"/>
                <w:szCs w:val="20"/>
                <w:shd w:val="clear" w:color="auto" w:fill="FFFFFF"/>
              </w:rPr>
            </w:pPr>
            <w:r w:rsidRPr="00450FF6">
              <w:rPr>
                <w:rFonts w:cs="Arial"/>
                <w:szCs w:val="20"/>
                <w:shd w:val="clear" w:color="auto" w:fill="FFFFFF"/>
              </w:rPr>
              <w:t xml:space="preserve">Stevens, J.A., Mahoney, J.E. &amp; Ehrenreich, H. Inj. Circumstances and outcomes of falls among </w:t>
            </w:r>
            <w:proofErr w:type="gramStart"/>
            <w:r w:rsidRPr="00450FF6">
              <w:rPr>
                <w:rFonts w:cs="Arial"/>
                <w:szCs w:val="20"/>
                <w:shd w:val="clear" w:color="auto" w:fill="FFFFFF"/>
              </w:rPr>
              <w:t>high risk</w:t>
            </w:r>
            <w:proofErr w:type="gramEnd"/>
            <w:r w:rsidRPr="00450FF6">
              <w:rPr>
                <w:rFonts w:cs="Arial"/>
                <w:szCs w:val="20"/>
                <w:shd w:val="clear" w:color="auto" w:fill="FFFFFF"/>
              </w:rPr>
              <w:t xml:space="preserve"> community-dwelling older adults. </w:t>
            </w:r>
            <w:r w:rsidRPr="00DE7DDC">
              <w:rPr>
                <w:rFonts w:cs="Arial"/>
                <w:i/>
                <w:iCs/>
                <w:szCs w:val="20"/>
                <w:shd w:val="clear" w:color="auto" w:fill="FFFFFF"/>
              </w:rPr>
              <w:t>Epidemiology</w:t>
            </w:r>
            <w:r w:rsidRPr="00450FF6">
              <w:rPr>
                <w:rFonts w:cs="Arial"/>
                <w:szCs w:val="20"/>
                <w:shd w:val="clear" w:color="auto" w:fill="FFFFFF"/>
              </w:rPr>
              <w:t xml:space="preserve">. (2014) 1: 5. </w:t>
            </w:r>
          </w:p>
          <w:p w14:paraId="6A41024A" w14:textId="77777777" w:rsidR="00A213C3" w:rsidRPr="00450FF6" w:rsidRDefault="00A213C3" w:rsidP="009429DC">
            <w:pPr>
              <w:spacing w:before="40" w:after="40" w:line="276" w:lineRule="auto"/>
              <w:contextualSpacing/>
              <w:jc w:val="left"/>
              <w:rPr>
                <w:rFonts w:cs="Arial"/>
                <w:szCs w:val="20"/>
                <w:shd w:val="clear" w:color="auto" w:fill="FFFFFF"/>
              </w:rPr>
            </w:pPr>
            <w:proofErr w:type="spellStart"/>
            <w:r w:rsidRPr="00450FF6">
              <w:rPr>
                <w:rFonts w:cs="Arial"/>
                <w:szCs w:val="20"/>
                <w:shd w:val="clear" w:color="auto" w:fill="FFFFFF"/>
              </w:rPr>
              <w:t>Bleijlevens</w:t>
            </w:r>
            <w:proofErr w:type="spellEnd"/>
            <w:r w:rsidRPr="00450FF6">
              <w:rPr>
                <w:rFonts w:cs="Arial"/>
                <w:szCs w:val="20"/>
                <w:shd w:val="clear" w:color="auto" w:fill="FFFFFF"/>
              </w:rPr>
              <w:t xml:space="preserve"> MHC, </w:t>
            </w:r>
            <w:proofErr w:type="spellStart"/>
            <w:r w:rsidRPr="00450FF6">
              <w:rPr>
                <w:rFonts w:cs="Arial"/>
                <w:szCs w:val="20"/>
                <w:shd w:val="clear" w:color="auto" w:fill="FFFFFF"/>
              </w:rPr>
              <w:t>Diederiks</w:t>
            </w:r>
            <w:proofErr w:type="spellEnd"/>
            <w:r w:rsidRPr="00450FF6">
              <w:rPr>
                <w:rFonts w:cs="Arial"/>
                <w:szCs w:val="20"/>
                <w:shd w:val="clear" w:color="auto" w:fill="FFFFFF"/>
              </w:rPr>
              <w:t xml:space="preserve"> JPM, Hendriks MRC, et al. Relationship between location and activity in injurious falls: an exploratory study</w:t>
            </w:r>
            <w:r>
              <w:rPr>
                <w:rFonts w:cs="Arial"/>
                <w:szCs w:val="20"/>
                <w:shd w:val="clear" w:color="auto" w:fill="FFFFFF"/>
              </w:rPr>
              <w:t xml:space="preserve">. </w:t>
            </w:r>
            <w:r w:rsidRPr="00450FF6">
              <w:rPr>
                <w:rFonts w:cs="Arial"/>
                <w:szCs w:val="20"/>
                <w:shd w:val="clear" w:color="auto" w:fill="FFFFFF"/>
              </w:rPr>
              <w:t xml:space="preserve"> </w:t>
            </w:r>
            <w:r w:rsidRPr="00DE7DDC">
              <w:rPr>
                <w:rFonts w:cs="Arial"/>
                <w:i/>
                <w:iCs/>
                <w:szCs w:val="20"/>
                <w:shd w:val="clear" w:color="auto" w:fill="FFFFFF"/>
              </w:rPr>
              <w:t>BMC Geriatrics</w:t>
            </w:r>
            <w:r>
              <w:rPr>
                <w:rFonts w:cs="Arial"/>
                <w:szCs w:val="20"/>
                <w:shd w:val="clear" w:color="auto" w:fill="FFFFFF"/>
              </w:rPr>
              <w:t xml:space="preserve">, </w:t>
            </w:r>
            <w:r w:rsidRPr="00450FF6">
              <w:rPr>
                <w:rFonts w:cs="Arial"/>
                <w:szCs w:val="20"/>
                <w:shd w:val="clear" w:color="auto" w:fill="FFFFFF"/>
              </w:rPr>
              <w:t>2010</w:t>
            </w:r>
            <w:r>
              <w:rPr>
                <w:rFonts w:cs="Arial"/>
                <w:szCs w:val="20"/>
                <w:shd w:val="clear" w:color="auto" w:fill="FFFFFF"/>
              </w:rPr>
              <w:t xml:space="preserve">; </w:t>
            </w:r>
            <w:r w:rsidRPr="00450FF6">
              <w:rPr>
                <w:rFonts w:cs="Arial"/>
                <w:szCs w:val="20"/>
                <w:shd w:val="clear" w:color="auto" w:fill="FFFFFF"/>
              </w:rPr>
              <w:t>10:40</w:t>
            </w:r>
          </w:p>
          <w:p w14:paraId="5B01B7C2" w14:textId="77777777" w:rsidR="00A213C3" w:rsidRPr="00284DE5" w:rsidRDefault="00A213C3" w:rsidP="009429DC">
            <w:pPr>
              <w:spacing w:before="40" w:after="40" w:line="276" w:lineRule="auto"/>
              <w:contextualSpacing/>
              <w:jc w:val="left"/>
              <w:rPr>
                <w:rFonts w:cs="Arial"/>
                <w:szCs w:val="20"/>
                <w:shd w:val="clear" w:color="auto" w:fill="FFFFFF"/>
              </w:rPr>
            </w:pPr>
            <w:r w:rsidRPr="00450FF6">
              <w:rPr>
                <w:rFonts w:cs="Arial"/>
                <w:szCs w:val="20"/>
                <w:shd w:val="clear" w:color="auto" w:fill="FFFFFF"/>
              </w:rPr>
              <w:t xml:space="preserve">Milat AJ, Watson WL, Monger C, Barr M, </w:t>
            </w:r>
            <w:proofErr w:type="spellStart"/>
            <w:r w:rsidRPr="00450FF6">
              <w:rPr>
                <w:rFonts w:cs="Arial"/>
                <w:szCs w:val="20"/>
                <w:shd w:val="clear" w:color="auto" w:fill="FFFFFF"/>
              </w:rPr>
              <w:t>Giffin</w:t>
            </w:r>
            <w:proofErr w:type="spellEnd"/>
            <w:r w:rsidRPr="00450FF6">
              <w:rPr>
                <w:rFonts w:cs="Arial"/>
                <w:szCs w:val="20"/>
                <w:shd w:val="clear" w:color="auto" w:fill="FFFFFF"/>
              </w:rPr>
              <w:t xml:space="preserve"> M, Reid M</w:t>
            </w:r>
            <w:r>
              <w:rPr>
                <w:rFonts w:cs="Arial"/>
                <w:szCs w:val="20"/>
                <w:shd w:val="clear" w:color="auto" w:fill="FFFFFF"/>
              </w:rPr>
              <w:t>.</w:t>
            </w:r>
            <w:r w:rsidRPr="00450FF6">
              <w:rPr>
                <w:rFonts w:cs="Arial"/>
                <w:szCs w:val="20"/>
                <w:shd w:val="clear" w:color="auto" w:fill="FFFFFF"/>
              </w:rPr>
              <w:t xml:space="preserve"> (2011) Prevalence, </w:t>
            </w:r>
            <w:proofErr w:type="gramStart"/>
            <w:r w:rsidRPr="00450FF6">
              <w:rPr>
                <w:rFonts w:cs="Arial"/>
                <w:szCs w:val="20"/>
                <w:shd w:val="clear" w:color="auto" w:fill="FFFFFF"/>
              </w:rPr>
              <w:t>circumstances</w:t>
            </w:r>
            <w:proofErr w:type="gramEnd"/>
            <w:r w:rsidRPr="00450FF6">
              <w:rPr>
                <w:rFonts w:cs="Arial"/>
                <w:szCs w:val="20"/>
                <w:shd w:val="clear" w:color="auto" w:fill="FFFFFF"/>
              </w:rPr>
              <w:t xml:space="preserve"> and consequences of falls among community-dwelling older people: </w:t>
            </w:r>
            <w:r>
              <w:rPr>
                <w:rFonts w:cs="Arial"/>
                <w:szCs w:val="20"/>
                <w:shd w:val="clear" w:color="auto" w:fill="FFFFFF"/>
              </w:rPr>
              <w:t>R</w:t>
            </w:r>
            <w:r w:rsidRPr="00450FF6">
              <w:rPr>
                <w:rFonts w:cs="Arial"/>
                <w:szCs w:val="20"/>
                <w:shd w:val="clear" w:color="auto" w:fill="FFFFFF"/>
              </w:rPr>
              <w:t xml:space="preserve">esults of the 2009 NSW Falls Prevention Baseline Survey. </w:t>
            </w:r>
            <w:r w:rsidRPr="00DE7DDC">
              <w:rPr>
                <w:rFonts w:cs="Arial"/>
                <w:i/>
                <w:iCs/>
                <w:szCs w:val="20"/>
                <w:shd w:val="clear" w:color="auto" w:fill="FFFFFF"/>
              </w:rPr>
              <w:t>NSW Public Health Bulletin</w:t>
            </w:r>
            <w:r>
              <w:rPr>
                <w:rFonts w:cs="Arial"/>
                <w:szCs w:val="20"/>
                <w:shd w:val="clear" w:color="auto" w:fill="FFFFFF"/>
              </w:rPr>
              <w:t xml:space="preserve"> 22, 43-48.</w:t>
            </w:r>
          </w:p>
        </w:tc>
        <w:tc>
          <w:tcPr>
            <w:tcW w:w="2976" w:type="dxa"/>
            <w:shd w:val="clear" w:color="auto" w:fill="auto"/>
          </w:tcPr>
          <w:p w14:paraId="6BF37660"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7611261A" w14:textId="77777777" w:rsidR="00A213C3" w:rsidRPr="00284DE5" w:rsidRDefault="00A213C3" w:rsidP="009429DC">
            <w:pPr>
              <w:spacing w:before="40" w:after="40" w:line="276" w:lineRule="auto"/>
              <w:contextualSpacing/>
              <w:jc w:val="left"/>
              <w:rPr>
                <w:rFonts w:cs="Arial"/>
                <w:szCs w:val="20"/>
              </w:rPr>
            </w:pPr>
          </w:p>
        </w:tc>
      </w:tr>
      <w:tr w:rsidR="00A213C3" w:rsidRPr="00284DE5" w14:paraId="3E25F0AE" w14:textId="77777777" w:rsidTr="00E86D5D">
        <w:trPr>
          <w:cantSplit/>
        </w:trPr>
        <w:tc>
          <w:tcPr>
            <w:tcW w:w="1227" w:type="dxa"/>
            <w:shd w:val="clear" w:color="auto" w:fill="auto"/>
          </w:tcPr>
          <w:p w14:paraId="255660E3" w14:textId="77777777" w:rsidR="00A213C3" w:rsidRPr="00284DE5" w:rsidRDefault="00A213C3" w:rsidP="009429DC">
            <w:pPr>
              <w:spacing w:before="40" w:after="40" w:line="276" w:lineRule="auto"/>
              <w:contextualSpacing/>
              <w:jc w:val="left"/>
              <w:rPr>
                <w:rFonts w:cs="Arial"/>
                <w:szCs w:val="20"/>
              </w:rPr>
            </w:pPr>
            <w:r>
              <w:rPr>
                <w:rFonts w:cs="Arial"/>
                <w:szCs w:val="20"/>
              </w:rPr>
              <w:t>37</w:t>
            </w:r>
          </w:p>
        </w:tc>
        <w:tc>
          <w:tcPr>
            <w:tcW w:w="2002" w:type="dxa"/>
            <w:shd w:val="clear" w:color="auto" w:fill="auto"/>
          </w:tcPr>
          <w:p w14:paraId="7DCFA1C1"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Diagnoses</w:t>
            </w:r>
          </w:p>
        </w:tc>
        <w:tc>
          <w:tcPr>
            <w:tcW w:w="4558" w:type="dxa"/>
            <w:shd w:val="clear" w:color="auto" w:fill="auto"/>
          </w:tcPr>
          <w:p w14:paraId="217D5948"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Modified from Australian Bureau of Statistics (1991). </w:t>
            </w:r>
            <w:r w:rsidRPr="00284DE5">
              <w:rPr>
                <w:rFonts w:cs="Arial"/>
                <w:i/>
                <w:szCs w:val="20"/>
              </w:rPr>
              <w:t xml:space="preserve">1989-1990 National Health Survey Users’ Guide. </w:t>
            </w:r>
            <w:r w:rsidRPr="00284DE5">
              <w:rPr>
                <w:rFonts w:cs="Arial"/>
                <w:szCs w:val="20"/>
              </w:rPr>
              <w:t>Canberra: ABS. Cat No. 4363.0</w:t>
            </w:r>
          </w:p>
        </w:tc>
        <w:tc>
          <w:tcPr>
            <w:tcW w:w="2976" w:type="dxa"/>
            <w:shd w:val="clear" w:color="auto" w:fill="auto"/>
          </w:tcPr>
          <w:p w14:paraId="60D6F5D9"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31A265BE" w14:textId="77777777" w:rsidR="00A213C3" w:rsidRPr="00284DE5" w:rsidRDefault="00A213C3" w:rsidP="009429DC">
            <w:pPr>
              <w:spacing w:before="40" w:after="40" w:line="276" w:lineRule="auto"/>
              <w:contextualSpacing/>
              <w:jc w:val="left"/>
              <w:rPr>
                <w:rFonts w:cs="Arial"/>
                <w:szCs w:val="20"/>
              </w:rPr>
            </w:pPr>
          </w:p>
        </w:tc>
      </w:tr>
      <w:tr w:rsidR="00A213C3" w:rsidRPr="00284DE5" w14:paraId="29C0B129" w14:textId="77777777" w:rsidTr="00E86D5D">
        <w:trPr>
          <w:cantSplit/>
        </w:trPr>
        <w:tc>
          <w:tcPr>
            <w:tcW w:w="1227" w:type="dxa"/>
            <w:shd w:val="clear" w:color="auto" w:fill="auto"/>
          </w:tcPr>
          <w:p w14:paraId="508F2810" w14:textId="77777777" w:rsidR="00A213C3" w:rsidRDefault="00A213C3" w:rsidP="009429DC">
            <w:pPr>
              <w:spacing w:before="40" w:after="40" w:line="276" w:lineRule="auto"/>
              <w:contextualSpacing/>
              <w:jc w:val="left"/>
              <w:rPr>
                <w:rFonts w:cs="Arial"/>
                <w:szCs w:val="20"/>
              </w:rPr>
            </w:pPr>
            <w:r>
              <w:rPr>
                <w:rFonts w:cs="Arial"/>
                <w:szCs w:val="20"/>
              </w:rPr>
              <w:t>38</w:t>
            </w:r>
          </w:p>
        </w:tc>
        <w:tc>
          <w:tcPr>
            <w:tcW w:w="2002" w:type="dxa"/>
            <w:shd w:val="clear" w:color="auto" w:fill="auto"/>
          </w:tcPr>
          <w:p w14:paraId="1F00DA63" w14:textId="77777777" w:rsidR="00A213C3" w:rsidRPr="00284DE5" w:rsidRDefault="00A213C3" w:rsidP="009429DC">
            <w:pPr>
              <w:spacing w:before="40" w:after="40" w:line="276" w:lineRule="auto"/>
              <w:contextualSpacing/>
              <w:jc w:val="left"/>
              <w:rPr>
                <w:rFonts w:cs="Arial"/>
                <w:szCs w:val="20"/>
              </w:rPr>
            </w:pPr>
            <w:r>
              <w:rPr>
                <w:rFonts w:cs="Arial"/>
                <w:szCs w:val="20"/>
              </w:rPr>
              <w:t>Weight</w:t>
            </w:r>
          </w:p>
        </w:tc>
        <w:tc>
          <w:tcPr>
            <w:tcW w:w="4558" w:type="dxa"/>
            <w:shd w:val="clear" w:color="auto" w:fill="auto"/>
          </w:tcPr>
          <w:p w14:paraId="7EC6C301" w14:textId="77777777" w:rsidR="00A213C3" w:rsidRPr="00284DE5" w:rsidRDefault="00A213C3" w:rsidP="009429DC">
            <w:pPr>
              <w:spacing w:before="40" w:after="40" w:line="276" w:lineRule="auto"/>
              <w:contextualSpacing/>
              <w:jc w:val="left"/>
              <w:rPr>
                <w:rFonts w:cs="Arial"/>
                <w:szCs w:val="20"/>
              </w:rPr>
            </w:pPr>
            <w:r>
              <w:rPr>
                <w:rFonts w:cs="Arial"/>
                <w:szCs w:val="20"/>
              </w:rPr>
              <w:t>ALSWH</w:t>
            </w:r>
          </w:p>
        </w:tc>
        <w:tc>
          <w:tcPr>
            <w:tcW w:w="2976" w:type="dxa"/>
            <w:shd w:val="clear" w:color="auto" w:fill="auto"/>
          </w:tcPr>
          <w:p w14:paraId="2A3402AA"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2856ECA1" w14:textId="77777777" w:rsidR="00A213C3" w:rsidRPr="00284DE5" w:rsidRDefault="00A213C3" w:rsidP="009429DC">
            <w:pPr>
              <w:spacing w:before="40" w:after="40" w:line="276" w:lineRule="auto"/>
              <w:contextualSpacing/>
              <w:jc w:val="left"/>
              <w:rPr>
                <w:rFonts w:cs="Arial"/>
                <w:szCs w:val="20"/>
              </w:rPr>
            </w:pPr>
          </w:p>
        </w:tc>
      </w:tr>
      <w:tr w:rsidR="00A213C3" w:rsidRPr="00284DE5" w14:paraId="50D54BCA" w14:textId="77777777" w:rsidTr="00E86D5D">
        <w:trPr>
          <w:cantSplit/>
        </w:trPr>
        <w:tc>
          <w:tcPr>
            <w:tcW w:w="1227" w:type="dxa"/>
            <w:shd w:val="clear" w:color="auto" w:fill="auto"/>
          </w:tcPr>
          <w:p w14:paraId="60592F1C" w14:textId="77777777" w:rsidR="00A213C3" w:rsidRDefault="00A213C3" w:rsidP="009429DC">
            <w:pPr>
              <w:spacing w:before="40" w:after="40" w:line="276" w:lineRule="auto"/>
              <w:contextualSpacing/>
              <w:jc w:val="left"/>
              <w:rPr>
                <w:rFonts w:cs="Arial"/>
                <w:szCs w:val="20"/>
              </w:rPr>
            </w:pPr>
            <w:r>
              <w:rPr>
                <w:rFonts w:cs="Arial"/>
                <w:szCs w:val="20"/>
              </w:rPr>
              <w:lastRenderedPageBreak/>
              <w:t>39</w:t>
            </w:r>
          </w:p>
        </w:tc>
        <w:tc>
          <w:tcPr>
            <w:tcW w:w="2002" w:type="dxa"/>
            <w:shd w:val="clear" w:color="auto" w:fill="auto"/>
          </w:tcPr>
          <w:p w14:paraId="58712E5F" w14:textId="77777777" w:rsidR="00A213C3" w:rsidRPr="00284DE5" w:rsidRDefault="00A213C3" w:rsidP="009429DC">
            <w:pPr>
              <w:spacing w:before="40" w:after="40" w:line="276" w:lineRule="auto"/>
              <w:contextualSpacing/>
              <w:jc w:val="left"/>
              <w:rPr>
                <w:rFonts w:cs="Arial"/>
                <w:szCs w:val="20"/>
              </w:rPr>
            </w:pPr>
            <w:r>
              <w:rPr>
                <w:rFonts w:cs="Arial"/>
                <w:szCs w:val="20"/>
              </w:rPr>
              <w:t>Height</w:t>
            </w:r>
          </w:p>
        </w:tc>
        <w:tc>
          <w:tcPr>
            <w:tcW w:w="4558" w:type="dxa"/>
            <w:shd w:val="clear" w:color="auto" w:fill="auto"/>
          </w:tcPr>
          <w:p w14:paraId="090CCD41" w14:textId="77777777" w:rsidR="00A213C3" w:rsidRPr="00284DE5" w:rsidRDefault="00A213C3" w:rsidP="009429DC">
            <w:pPr>
              <w:spacing w:before="40" w:after="40" w:line="276" w:lineRule="auto"/>
              <w:contextualSpacing/>
              <w:jc w:val="left"/>
              <w:rPr>
                <w:rFonts w:cs="Arial"/>
                <w:szCs w:val="20"/>
              </w:rPr>
            </w:pPr>
            <w:r>
              <w:rPr>
                <w:rFonts w:cs="Arial"/>
                <w:szCs w:val="20"/>
              </w:rPr>
              <w:t>ALSWH</w:t>
            </w:r>
          </w:p>
        </w:tc>
        <w:tc>
          <w:tcPr>
            <w:tcW w:w="2976" w:type="dxa"/>
            <w:shd w:val="clear" w:color="auto" w:fill="auto"/>
          </w:tcPr>
          <w:p w14:paraId="4B2AE8D1"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4832683A" w14:textId="77777777" w:rsidR="00A213C3" w:rsidRPr="00284DE5" w:rsidRDefault="00A213C3" w:rsidP="009429DC">
            <w:pPr>
              <w:spacing w:before="40" w:after="40" w:line="276" w:lineRule="auto"/>
              <w:contextualSpacing/>
              <w:jc w:val="left"/>
              <w:rPr>
                <w:rFonts w:cs="Arial"/>
                <w:szCs w:val="20"/>
              </w:rPr>
            </w:pPr>
          </w:p>
        </w:tc>
      </w:tr>
      <w:tr w:rsidR="00A213C3" w:rsidRPr="00284DE5" w14:paraId="3AB4B5D3" w14:textId="77777777" w:rsidTr="00E86D5D">
        <w:trPr>
          <w:cantSplit/>
        </w:trPr>
        <w:tc>
          <w:tcPr>
            <w:tcW w:w="1227" w:type="dxa"/>
            <w:shd w:val="clear" w:color="auto" w:fill="auto"/>
          </w:tcPr>
          <w:p w14:paraId="21C9729B" w14:textId="77777777" w:rsidR="00A213C3" w:rsidRPr="00284DE5" w:rsidRDefault="00A213C3" w:rsidP="009429DC">
            <w:pPr>
              <w:spacing w:before="40" w:after="40" w:line="276" w:lineRule="auto"/>
              <w:contextualSpacing/>
              <w:jc w:val="left"/>
              <w:rPr>
                <w:rFonts w:cs="Arial"/>
                <w:szCs w:val="20"/>
              </w:rPr>
            </w:pPr>
            <w:r>
              <w:rPr>
                <w:rFonts w:cs="Arial"/>
                <w:szCs w:val="20"/>
              </w:rPr>
              <w:t>40</w:t>
            </w:r>
          </w:p>
        </w:tc>
        <w:tc>
          <w:tcPr>
            <w:tcW w:w="2002" w:type="dxa"/>
            <w:shd w:val="clear" w:color="auto" w:fill="auto"/>
          </w:tcPr>
          <w:p w14:paraId="483E5F34"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Operations/</w:t>
            </w:r>
          </w:p>
          <w:p w14:paraId="1BD71EE4"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procedures</w:t>
            </w:r>
          </w:p>
        </w:tc>
        <w:tc>
          <w:tcPr>
            <w:tcW w:w="4558" w:type="dxa"/>
            <w:shd w:val="clear" w:color="auto" w:fill="auto"/>
          </w:tcPr>
          <w:p w14:paraId="26C8D1DE"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shd w:val="clear" w:color="auto" w:fill="auto"/>
          </w:tcPr>
          <w:p w14:paraId="0127FE9B"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765F2253" w14:textId="77777777" w:rsidR="00A213C3" w:rsidRPr="00284DE5" w:rsidRDefault="00A213C3" w:rsidP="009429DC">
            <w:pPr>
              <w:spacing w:before="40" w:after="40" w:line="276" w:lineRule="auto"/>
              <w:contextualSpacing/>
              <w:jc w:val="left"/>
              <w:rPr>
                <w:rFonts w:cs="Arial"/>
                <w:szCs w:val="20"/>
              </w:rPr>
            </w:pPr>
          </w:p>
        </w:tc>
      </w:tr>
      <w:tr w:rsidR="00A213C3" w:rsidRPr="00284DE5" w14:paraId="0AE09350" w14:textId="77777777" w:rsidTr="00E86D5D">
        <w:trPr>
          <w:cantSplit/>
        </w:trPr>
        <w:tc>
          <w:tcPr>
            <w:tcW w:w="1227" w:type="dxa"/>
            <w:shd w:val="clear" w:color="auto" w:fill="auto"/>
          </w:tcPr>
          <w:p w14:paraId="41B045C8" w14:textId="77777777" w:rsidR="00A213C3" w:rsidRPr="00284DE5" w:rsidRDefault="00A213C3" w:rsidP="009429DC">
            <w:pPr>
              <w:spacing w:before="40" w:after="40" w:line="276" w:lineRule="auto"/>
              <w:contextualSpacing/>
              <w:jc w:val="left"/>
              <w:rPr>
                <w:rFonts w:cs="Arial"/>
                <w:szCs w:val="20"/>
              </w:rPr>
            </w:pPr>
            <w:r>
              <w:rPr>
                <w:rFonts w:cs="Arial"/>
                <w:szCs w:val="20"/>
              </w:rPr>
              <w:t>41</w:t>
            </w:r>
          </w:p>
        </w:tc>
        <w:tc>
          <w:tcPr>
            <w:tcW w:w="2002" w:type="dxa"/>
            <w:shd w:val="clear" w:color="auto" w:fill="auto"/>
          </w:tcPr>
          <w:p w14:paraId="2271D33D"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Hysterectomy</w:t>
            </w:r>
          </w:p>
        </w:tc>
        <w:tc>
          <w:tcPr>
            <w:tcW w:w="4558" w:type="dxa"/>
            <w:shd w:val="clear" w:color="auto" w:fill="auto"/>
          </w:tcPr>
          <w:p w14:paraId="03C18CE0"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shd w:val="clear" w:color="auto" w:fill="auto"/>
          </w:tcPr>
          <w:p w14:paraId="33462C51"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261EE915" w14:textId="77777777" w:rsidR="00A213C3" w:rsidRPr="00284DE5" w:rsidRDefault="00A213C3" w:rsidP="009429DC">
            <w:pPr>
              <w:spacing w:before="40" w:after="40" w:line="276" w:lineRule="auto"/>
              <w:contextualSpacing/>
              <w:jc w:val="left"/>
              <w:rPr>
                <w:rFonts w:cs="Arial"/>
                <w:szCs w:val="20"/>
              </w:rPr>
            </w:pPr>
          </w:p>
        </w:tc>
      </w:tr>
      <w:tr w:rsidR="00A213C3" w:rsidRPr="00284DE5" w14:paraId="3A2CB498" w14:textId="77777777" w:rsidTr="00E86D5D">
        <w:trPr>
          <w:cantSplit/>
        </w:trPr>
        <w:tc>
          <w:tcPr>
            <w:tcW w:w="1227" w:type="dxa"/>
            <w:shd w:val="clear" w:color="auto" w:fill="auto"/>
          </w:tcPr>
          <w:p w14:paraId="64801EE1" w14:textId="77777777" w:rsidR="00A213C3" w:rsidRDefault="00A213C3" w:rsidP="009429DC">
            <w:pPr>
              <w:spacing w:before="40" w:after="40" w:line="276" w:lineRule="auto"/>
              <w:contextualSpacing/>
              <w:jc w:val="left"/>
              <w:rPr>
                <w:rFonts w:cs="Arial"/>
                <w:szCs w:val="20"/>
              </w:rPr>
            </w:pPr>
            <w:r>
              <w:rPr>
                <w:rFonts w:cs="Arial"/>
                <w:szCs w:val="20"/>
              </w:rPr>
              <w:t>42</w:t>
            </w:r>
          </w:p>
        </w:tc>
        <w:tc>
          <w:tcPr>
            <w:tcW w:w="2002" w:type="dxa"/>
            <w:shd w:val="clear" w:color="auto" w:fill="auto"/>
          </w:tcPr>
          <w:p w14:paraId="222D8E22" w14:textId="77777777" w:rsidR="00A213C3" w:rsidRPr="00284DE5" w:rsidRDefault="00A213C3" w:rsidP="009429DC">
            <w:pPr>
              <w:spacing w:before="40" w:after="40" w:line="276" w:lineRule="auto"/>
              <w:contextualSpacing/>
              <w:jc w:val="left"/>
              <w:rPr>
                <w:rFonts w:cs="Arial"/>
                <w:szCs w:val="20"/>
              </w:rPr>
            </w:pPr>
            <w:r>
              <w:rPr>
                <w:rFonts w:cs="Arial"/>
                <w:szCs w:val="20"/>
              </w:rPr>
              <w:t>Diagnosis – endometriosis</w:t>
            </w:r>
          </w:p>
        </w:tc>
        <w:tc>
          <w:tcPr>
            <w:tcW w:w="4558" w:type="dxa"/>
            <w:shd w:val="clear" w:color="auto" w:fill="auto"/>
          </w:tcPr>
          <w:p w14:paraId="48B27383" w14:textId="77777777" w:rsidR="00A213C3" w:rsidRPr="00284DE5" w:rsidRDefault="00A213C3" w:rsidP="009429DC">
            <w:pPr>
              <w:spacing w:before="40" w:after="40" w:line="276" w:lineRule="auto"/>
              <w:contextualSpacing/>
              <w:jc w:val="left"/>
              <w:rPr>
                <w:rFonts w:cs="Arial"/>
                <w:szCs w:val="20"/>
              </w:rPr>
            </w:pPr>
            <w:r>
              <w:rPr>
                <w:rFonts w:cs="Arial"/>
                <w:szCs w:val="20"/>
              </w:rPr>
              <w:t>ALSWH</w:t>
            </w:r>
          </w:p>
        </w:tc>
        <w:tc>
          <w:tcPr>
            <w:tcW w:w="2976" w:type="dxa"/>
            <w:shd w:val="clear" w:color="auto" w:fill="auto"/>
          </w:tcPr>
          <w:p w14:paraId="0106352C"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66327E85" w14:textId="77777777" w:rsidR="00A213C3" w:rsidRPr="00284DE5" w:rsidRDefault="00A213C3" w:rsidP="009429DC">
            <w:pPr>
              <w:spacing w:before="40" w:after="40" w:line="276" w:lineRule="auto"/>
              <w:contextualSpacing/>
              <w:jc w:val="left"/>
              <w:rPr>
                <w:rFonts w:cs="Arial"/>
                <w:szCs w:val="20"/>
              </w:rPr>
            </w:pPr>
            <w:r>
              <w:rPr>
                <w:rFonts w:cs="Arial"/>
                <w:szCs w:val="20"/>
              </w:rPr>
              <w:t>Added as a request from the Department of Health</w:t>
            </w:r>
          </w:p>
        </w:tc>
      </w:tr>
      <w:tr w:rsidR="00A213C3" w:rsidRPr="00284DE5" w14:paraId="32287613" w14:textId="77777777" w:rsidTr="00E86D5D">
        <w:trPr>
          <w:cantSplit/>
        </w:trPr>
        <w:tc>
          <w:tcPr>
            <w:tcW w:w="1227" w:type="dxa"/>
            <w:shd w:val="clear" w:color="auto" w:fill="auto"/>
          </w:tcPr>
          <w:p w14:paraId="60190F52" w14:textId="77777777" w:rsidR="00A213C3" w:rsidRDefault="00A213C3" w:rsidP="009429DC">
            <w:pPr>
              <w:spacing w:before="40" w:after="40" w:line="276" w:lineRule="auto"/>
              <w:contextualSpacing/>
              <w:jc w:val="left"/>
              <w:rPr>
                <w:rFonts w:cs="Arial"/>
                <w:szCs w:val="20"/>
              </w:rPr>
            </w:pPr>
            <w:r>
              <w:rPr>
                <w:rFonts w:cs="Arial"/>
                <w:szCs w:val="20"/>
              </w:rPr>
              <w:t>43</w:t>
            </w:r>
          </w:p>
        </w:tc>
        <w:tc>
          <w:tcPr>
            <w:tcW w:w="2002" w:type="dxa"/>
            <w:shd w:val="clear" w:color="auto" w:fill="auto"/>
          </w:tcPr>
          <w:p w14:paraId="3C6DB067" w14:textId="77777777" w:rsidR="00A213C3" w:rsidRPr="00284DE5" w:rsidRDefault="00A213C3" w:rsidP="009429DC">
            <w:pPr>
              <w:spacing w:before="40" w:after="40" w:line="276" w:lineRule="auto"/>
              <w:contextualSpacing/>
              <w:jc w:val="left"/>
              <w:rPr>
                <w:rFonts w:cs="Arial"/>
                <w:szCs w:val="20"/>
              </w:rPr>
            </w:pPr>
            <w:r>
              <w:rPr>
                <w:rFonts w:cs="Arial"/>
                <w:szCs w:val="20"/>
              </w:rPr>
              <w:t>Waist measurement</w:t>
            </w:r>
          </w:p>
        </w:tc>
        <w:tc>
          <w:tcPr>
            <w:tcW w:w="4558" w:type="dxa"/>
            <w:shd w:val="clear" w:color="auto" w:fill="auto"/>
          </w:tcPr>
          <w:p w14:paraId="571543AC" w14:textId="77777777" w:rsidR="00A213C3" w:rsidRPr="00284DE5" w:rsidRDefault="00A213C3" w:rsidP="009429DC">
            <w:pPr>
              <w:spacing w:before="40" w:after="40" w:line="276" w:lineRule="auto"/>
              <w:contextualSpacing/>
              <w:jc w:val="left"/>
              <w:rPr>
                <w:rFonts w:cs="Arial"/>
                <w:szCs w:val="20"/>
              </w:rPr>
            </w:pPr>
            <w:r>
              <w:rPr>
                <w:rFonts w:cs="Arial"/>
                <w:szCs w:val="20"/>
              </w:rPr>
              <w:t>ALSWH</w:t>
            </w:r>
          </w:p>
        </w:tc>
        <w:tc>
          <w:tcPr>
            <w:tcW w:w="2976" w:type="dxa"/>
            <w:shd w:val="clear" w:color="auto" w:fill="auto"/>
          </w:tcPr>
          <w:p w14:paraId="65D1F8AC"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433DBA7F" w14:textId="77777777" w:rsidR="00A213C3" w:rsidRPr="00284DE5" w:rsidRDefault="00A213C3" w:rsidP="009429DC">
            <w:pPr>
              <w:spacing w:before="40" w:after="40" w:line="276" w:lineRule="auto"/>
              <w:contextualSpacing/>
              <w:jc w:val="left"/>
              <w:rPr>
                <w:rFonts w:cs="Arial"/>
                <w:szCs w:val="20"/>
              </w:rPr>
            </w:pPr>
          </w:p>
        </w:tc>
      </w:tr>
      <w:tr w:rsidR="00A213C3" w:rsidRPr="00284DE5" w14:paraId="5F288022" w14:textId="77777777" w:rsidTr="00E86D5D">
        <w:trPr>
          <w:cantSplit/>
        </w:trPr>
        <w:tc>
          <w:tcPr>
            <w:tcW w:w="1227" w:type="dxa"/>
            <w:shd w:val="clear" w:color="auto" w:fill="auto"/>
          </w:tcPr>
          <w:p w14:paraId="55468BDF" w14:textId="77777777" w:rsidR="00A213C3" w:rsidRDefault="00A213C3" w:rsidP="009429DC">
            <w:pPr>
              <w:spacing w:before="40" w:after="40" w:line="276" w:lineRule="auto"/>
              <w:contextualSpacing/>
              <w:jc w:val="left"/>
              <w:rPr>
                <w:rFonts w:cs="Arial"/>
                <w:szCs w:val="20"/>
              </w:rPr>
            </w:pPr>
            <w:r>
              <w:rPr>
                <w:rFonts w:cs="Arial"/>
                <w:szCs w:val="20"/>
              </w:rPr>
              <w:t>44</w:t>
            </w:r>
          </w:p>
        </w:tc>
        <w:tc>
          <w:tcPr>
            <w:tcW w:w="2002" w:type="dxa"/>
            <w:shd w:val="clear" w:color="auto" w:fill="auto"/>
          </w:tcPr>
          <w:p w14:paraId="0E70C31B"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Medications</w:t>
            </w:r>
          </w:p>
        </w:tc>
        <w:tc>
          <w:tcPr>
            <w:tcW w:w="4558" w:type="dxa"/>
            <w:shd w:val="clear" w:color="auto" w:fill="auto"/>
          </w:tcPr>
          <w:p w14:paraId="16F9952A"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shd w:val="clear" w:color="auto" w:fill="auto"/>
          </w:tcPr>
          <w:p w14:paraId="7FDC2221"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3B163CD5" w14:textId="77777777" w:rsidR="00A213C3" w:rsidRPr="00284DE5" w:rsidRDefault="00A213C3" w:rsidP="009429DC">
            <w:pPr>
              <w:spacing w:before="40" w:after="40" w:line="276" w:lineRule="auto"/>
              <w:contextualSpacing/>
              <w:jc w:val="left"/>
              <w:rPr>
                <w:rFonts w:cs="Arial"/>
                <w:szCs w:val="20"/>
              </w:rPr>
            </w:pPr>
          </w:p>
        </w:tc>
      </w:tr>
      <w:tr w:rsidR="00A213C3" w:rsidRPr="00284DE5" w14:paraId="6063937F" w14:textId="77777777" w:rsidTr="00E86D5D">
        <w:trPr>
          <w:cantSplit/>
        </w:trPr>
        <w:tc>
          <w:tcPr>
            <w:tcW w:w="1227" w:type="dxa"/>
            <w:shd w:val="clear" w:color="auto" w:fill="auto"/>
          </w:tcPr>
          <w:p w14:paraId="2FC88081" w14:textId="77777777" w:rsidR="00A213C3" w:rsidRDefault="00A213C3" w:rsidP="009429DC">
            <w:pPr>
              <w:spacing w:before="40" w:after="40" w:line="276" w:lineRule="auto"/>
              <w:contextualSpacing/>
              <w:jc w:val="left"/>
              <w:rPr>
                <w:rFonts w:cs="Arial"/>
                <w:szCs w:val="20"/>
              </w:rPr>
            </w:pPr>
            <w:r>
              <w:rPr>
                <w:rFonts w:cs="Arial"/>
                <w:szCs w:val="20"/>
              </w:rPr>
              <w:t>45</w:t>
            </w:r>
          </w:p>
        </w:tc>
        <w:tc>
          <w:tcPr>
            <w:tcW w:w="2002" w:type="dxa"/>
            <w:shd w:val="clear" w:color="auto" w:fill="auto"/>
          </w:tcPr>
          <w:p w14:paraId="39F69AC6"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Symptoms</w:t>
            </w:r>
          </w:p>
        </w:tc>
        <w:tc>
          <w:tcPr>
            <w:tcW w:w="4558" w:type="dxa"/>
            <w:shd w:val="clear" w:color="auto" w:fill="auto"/>
          </w:tcPr>
          <w:p w14:paraId="449C6377"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ALSWH </w:t>
            </w:r>
          </w:p>
        </w:tc>
        <w:tc>
          <w:tcPr>
            <w:tcW w:w="2976" w:type="dxa"/>
            <w:shd w:val="clear" w:color="auto" w:fill="auto"/>
          </w:tcPr>
          <w:p w14:paraId="3EA09549"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318BEF2E" w14:textId="77777777" w:rsidR="00A213C3" w:rsidRPr="00284DE5" w:rsidRDefault="00A213C3" w:rsidP="009429DC">
            <w:pPr>
              <w:spacing w:before="40" w:after="40" w:line="276" w:lineRule="auto"/>
              <w:contextualSpacing/>
              <w:jc w:val="left"/>
              <w:rPr>
                <w:rFonts w:cs="Arial"/>
                <w:szCs w:val="20"/>
              </w:rPr>
            </w:pPr>
          </w:p>
        </w:tc>
      </w:tr>
      <w:tr w:rsidR="00A213C3" w:rsidRPr="00284DE5" w14:paraId="762E32E6" w14:textId="77777777" w:rsidTr="00E86D5D">
        <w:trPr>
          <w:cantSplit/>
        </w:trPr>
        <w:tc>
          <w:tcPr>
            <w:tcW w:w="1227" w:type="dxa"/>
            <w:shd w:val="clear" w:color="auto" w:fill="auto"/>
          </w:tcPr>
          <w:p w14:paraId="671E5C88" w14:textId="77777777" w:rsidR="00A213C3" w:rsidRPr="00284DE5" w:rsidRDefault="00A213C3" w:rsidP="009429DC">
            <w:pPr>
              <w:spacing w:before="40" w:after="40" w:line="276" w:lineRule="auto"/>
              <w:contextualSpacing/>
              <w:jc w:val="left"/>
              <w:rPr>
                <w:rFonts w:cs="Arial"/>
                <w:szCs w:val="20"/>
              </w:rPr>
            </w:pPr>
            <w:r>
              <w:rPr>
                <w:rFonts w:cs="Arial"/>
                <w:szCs w:val="20"/>
              </w:rPr>
              <w:t>46</w:t>
            </w:r>
          </w:p>
        </w:tc>
        <w:tc>
          <w:tcPr>
            <w:tcW w:w="2002" w:type="dxa"/>
            <w:shd w:val="clear" w:color="auto" w:fill="auto"/>
          </w:tcPr>
          <w:p w14:paraId="12D0AEBE"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Oral Health</w:t>
            </w:r>
          </w:p>
        </w:tc>
        <w:tc>
          <w:tcPr>
            <w:tcW w:w="4558" w:type="dxa"/>
            <w:shd w:val="clear" w:color="auto" w:fill="auto"/>
          </w:tcPr>
          <w:p w14:paraId="6ACC60A0"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Modified from Carter KD &amp; Stewart JF. (2002). </w:t>
            </w:r>
            <w:r w:rsidRPr="00284DE5">
              <w:rPr>
                <w:rFonts w:cs="Arial"/>
                <w:i/>
                <w:szCs w:val="20"/>
              </w:rPr>
              <w:t>National Dental Telephone Interview Survey 2002.</w:t>
            </w:r>
            <w:r w:rsidRPr="00284DE5">
              <w:rPr>
                <w:rFonts w:cs="Arial"/>
                <w:szCs w:val="20"/>
              </w:rPr>
              <w:t xml:space="preserve"> The AIHW Dental Statistics and Research Unit, University of Adelaide.</w:t>
            </w:r>
          </w:p>
        </w:tc>
        <w:tc>
          <w:tcPr>
            <w:tcW w:w="2976" w:type="dxa"/>
            <w:shd w:val="clear" w:color="auto" w:fill="auto"/>
          </w:tcPr>
          <w:p w14:paraId="3DA3BD68"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4DA60C2F" w14:textId="77777777" w:rsidR="00A213C3" w:rsidRPr="00284DE5" w:rsidRDefault="00A213C3" w:rsidP="009429DC">
            <w:pPr>
              <w:spacing w:before="40" w:after="40" w:line="276" w:lineRule="auto"/>
              <w:contextualSpacing/>
              <w:jc w:val="left"/>
              <w:rPr>
                <w:rFonts w:cs="Arial"/>
                <w:szCs w:val="20"/>
              </w:rPr>
            </w:pPr>
          </w:p>
        </w:tc>
      </w:tr>
      <w:tr w:rsidR="00A213C3" w:rsidRPr="00284DE5" w14:paraId="34B6A8E3" w14:textId="77777777" w:rsidTr="00E86D5D">
        <w:trPr>
          <w:cantSplit/>
        </w:trPr>
        <w:tc>
          <w:tcPr>
            <w:tcW w:w="1227" w:type="dxa"/>
            <w:shd w:val="clear" w:color="auto" w:fill="auto"/>
          </w:tcPr>
          <w:p w14:paraId="65639ADD" w14:textId="77777777" w:rsidR="00A213C3" w:rsidRPr="00284DE5" w:rsidRDefault="00A213C3" w:rsidP="009429DC">
            <w:pPr>
              <w:spacing w:before="40" w:after="40" w:line="276" w:lineRule="auto"/>
              <w:contextualSpacing/>
              <w:jc w:val="left"/>
              <w:rPr>
                <w:rFonts w:cs="Arial"/>
                <w:szCs w:val="20"/>
              </w:rPr>
            </w:pPr>
            <w:r>
              <w:rPr>
                <w:rFonts w:cs="Arial"/>
                <w:szCs w:val="20"/>
              </w:rPr>
              <w:t>47</w:t>
            </w:r>
          </w:p>
        </w:tc>
        <w:tc>
          <w:tcPr>
            <w:tcW w:w="2002" w:type="dxa"/>
            <w:shd w:val="clear" w:color="auto" w:fill="auto"/>
          </w:tcPr>
          <w:p w14:paraId="3938ED1F"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Ageism</w:t>
            </w:r>
          </w:p>
        </w:tc>
        <w:tc>
          <w:tcPr>
            <w:tcW w:w="4558" w:type="dxa"/>
            <w:shd w:val="clear" w:color="auto" w:fill="auto"/>
          </w:tcPr>
          <w:p w14:paraId="57ED9A1F"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Ageism survey developed by Palmore (2001).</w:t>
            </w:r>
          </w:p>
          <w:p w14:paraId="513E8BA0" w14:textId="77777777" w:rsidR="00A213C3" w:rsidRPr="00284DE5" w:rsidRDefault="00A213C3" w:rsidP="009429DC">
            <w:pPr>
              <w:spacing w:before="40" w:after="40" w:line="276" w:lineRule="auto"/>
              <w:contextualSpacing/>
              <w:jc w:val="left"/>
              <w:rPr>
                <w:rFonts w:cs="Arial"/>
                <w:szCs w:val="20"/>
                <w:highlight w:val="yellow"/>
              </w:rPr>
            </w:pPr>
          </w:p>
        </w:tc>
        <w:tc>
          <w:tcPr>
            <w:tcW w:w="2976" w:type="dxa"/>
            <w:shd w:val="clear" w:color="auto" w:fill="auto"/>
          </w:tcPr>
          <w:p w14:paraId="677F5655"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1B1FF996" w14:textId="77777777" w:rsidR="00A213C3" w:rsidRPr="00284DE5" w:rsidRDefault="00A213C3" w:rsidP="009429DC">
            <w:pPr>
              <w:spacing w:before="40" w:after="40" w:line="276" w:lineRule="auto"/>
              <w:contextualSpacing/>
              <w:jc w:val="left"/>
              <w:rPr>
                <w:rFonts w:cs="Arial"/>
                <w:szCs w:val="20"/>
              </w:rPr>
            </w:pPr>
          </w:p>
        </w:tc>
      </w:tr>
      <w:tr w:rsidR="00A213C3" w:rsidRPr="00284DE5" w14:paraId="7C51BEAA" w14:textId="77777777" w:rsidTr="00E86D5D">
        <w:trPr>
          <w:cantSplit/>
        </w:trPr>
        <w:tc>
          <w:tcPr>
            <w:tcW w:w="1227" w:type="dxa"/>
            <w:shd w:val="clear" w:color="auto" w:fill="auto"/>
          </w:tcPr>
          <w:p w14:paraId="5E79EB8C" w14:textId="77777777" w:rsidR="00A213C3" w:rsidRPr="00284DE5" w:rsidRDefault="00A213C3" w:rsidP="009429DC">
            <w:pPr>
              <w:spacing w:before="40" w:after="40" w:line="276" w:lineRule="auto"/>
              <w:contextualSpacing/>
              <w:jc w:val="left"/>
              <w:rPr>
                <w:rFonts w:cs="Arial"/>
                <w:szCs w:val="20"/>
              </w:rPr>
            </w:pPr>
            <w:r>
              <w:rPr>
                <w:rFonts w:cs="Arial"/>
                <w:szCs w:val="20"/>
              </w:rPr>
              <w:t>48</w:t>
            </w:r>
          </w:p>
        </w:tc>
        <w:tc>
          <w:tcPr>
            <w:tcW w:w="2002" w:type="dxa"/>
            <w:shd w:val="clear" w:color="auto" w:fill="auto"/>
          </w:tcPr>
          <w:p w14:paraId="064E46F5" w14:textId="77777777" w:rsidR="00A213C3" w:rsidRPr="00284DE5" w:rsidRDefault="00A213C3" w:rsidP="009429DC">
            <w:pPr>
              <w:spacing w:before="40" w:after="40" w:line="276" w:lineRule="auto"/>
              <w:contextualSpacing/>
              <w:jc w:val="left"/>
              <w:rPr>
                <w:rFonts w:cs="Arial"/>
                <w:szCs w:val="20"/>
              </w:rPr>
            </w:pPr>
            <w:r>
              <w:rPr>
                <w:rFonts w:cs="Arial"/>
                <w:szCs w:val="20"/>
              </w:rPr>
              <w:t>Pelvic Organ Prolapse diagnosed/ treated</w:t>
            </w:r>
          </w:p>
        </w:tc>
        <w:tc>
          <w:tcPr>
            <w:tcW w:w="4558" w:type="dxa"/>
            <w:shd w:val="clear" w:color="auto" w:fill="auto"/>
          </w:tcPr>
          <w:p w14:paraId="0404EA77" w14:textId="77777777" w:rsidR="00A213C3" w:rsidRPr="00284DE5" w:rsidRDefault="00A213C3" w:rsidP="009429DC">
            <w:pPr>
              <w:spacing w:before="40" w:after="40" w:line="276" w:lineRule="auto"/>
              <w:contextualSpacing/>
              <w:jc w:val="left"/>
              <w:rPr>
                <w:rFonts w:cs="Arial"/>
                <w:szCs w:val="20"/>
              </w:rPr>
            </w:pPr>
            <w:r>
              <w:rPr>
                <w:rFonts w:cs="Arial"/>
                <w:szCs w:val="20"/>
              </w:rPr>
              <w:t>ALSWH</w:t>
            </w:r>
          </w:p>
        </w:tc>
        <w:tc>
          <w:tcPr>
            <w:tcW w:w="2976" w:type="dxa"/>
            <w:shd w:val="clear" w:color="auto" w:fill="auto"/>
          </w:tcPr>
          <w:p w14:paraId="4BA39951"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5E3D9A35" w14:textId="77777777" w:rsidR="00A213C3" w:rsidRPr="00284DE5" w:rsidRDefault="00A213C3" w:rsidP="009429DC">
            <w:pPr>
              <w:spacing w:before="40" w:after="40" w:line="276" w:lineRule="auto"/>
              <w:contextualSpacing/>
              <w:jc w:val="left"/>
              <w:rPr>
                <w:rFonts w:cs="Arial"/>
                <w:szCs w:val="20"/>
              </w:rPr>
            </w:pPr>
          </w:p>
        </w:tc>
      </w:tr>
      <w:tr w:rsidR="00A213C3" w:rsidRPr="00284DE5" w14:paraId="363E9A34" w14:textId="77777777" w:rsidTr="00E86D5D">
        <w:trPr>
          <w:cantSplit/>
        </w:trPr>
        <w:tc>
          <w:tcPr>
            <w:tcW w:w="1227" w:type="dxa"/>
            <w:shd w:val="clear" w:color="auto" w:fill="auto"/>
          </w:tcPr>
          <w:p w14:paraId="670C70AC" w14:textId="77777777" w:rsidR="00A213C3" w:rsidRPr="00284DE5" w:rsidRDefault="00A213C3" w:rsidP="009429DC">
            <w:pPr>
              <w:spacing w:before="40" w:after="40" w:line="276" w:lineRule="auto"/>
              <w:contextualSpacing/>
              <w:jc w:val="left"/>
              <w:rPr>
                <w:rFonts w:cs="Arial"/>
                <w:szCs w:val="20"/>
              </w:rPr>
            </w:pPr>
            <w:r>
              <w:rPr>
                <w:rFonts w:cs="Arial"/>
                <w:szCs w:val="20"/>
              </w:rPr>
              <w:t>49</w:t>
            </w:r>
          </w:p>
        </w:tc>
        <w:tc>
          <w:tcPr>
            <w:tcW w:w="2002" w:type="dxa"/>
            <w:shd w:val="clear" w:color="auto" w:fill="auto"/>
          </w:tcPr>
          <w:p w14:paraId="634B6C7F" w14:textId="77777777" w:rsidR="00A213C3" w:rsidRPr="00284DE5" w:rsidRDefault="00A213C3" w:rsidP="009429DC">
            <w:pPr>
              <w:spacing w:before="40" w:after="40" w:line="276" w:lineRule="auto"/>
              <w:contextualSpacing/>
              <w:jc w:val="left"/>
              <w:rPr>
                <w:rFonts w:cs="Arial"/>
                <w:szCs w:val="20"/>
              </w:rPr>
            </w:pPr>
            <w:r>
              <w:rPr>
                <w:rFonts w:cs="Arial"/>
                <w:szCs w:val="20"/>
              </w:rPr>
              <w:t>Pelvic Organ Prolapse Inventory 6 (POPDI-6)</w:t>
            </w:r>
          </w:p>
        </w:tc>
        <w:tc>
          <w:tcPr>
            <w:tcW w:w="4558" w:type="dxa"/>
            <w:shd w:val="clear" w:color="auto" w:fill="auto"/>
          </w:tcPr>
          <w:p w14:paraId="5F8E2132" w14:textId="77777777" w:rsidR="00A213C3" w:rsidRPr="00284DE5" w:rsidRDefault="00A213C3" w:rsidP="009429DC">
            <w:pPr>
              <w:spacing w:before="40" w:after="40" w:line="276" w:lineRule="auto"/>
              <w:contextualSpacing/>
              <w:jc w:val="left"/>
              <w:rPr>
                <w:rFonts w:cs="Arial"/>
                <w:szCs w:val="20"/>
                <w:highlight w:val="yellow"/>
              </w:rPr>
            </w:pPr>
            <w:r>
              <w:t xml:space="preserve">Barber MD, Walters RC, Bump J. Short forms of two condition-specific quality-of-life questionnaires for women with pelvic floor disorders (PFDI-20 and PFIQ-7). American Journal of Obstetrics and </w:t>
            </w:r>
            <w:proofErr w:type="spellStart"/>
            <w:r>
              <w:t>Gynecology</w:t>
            </w:r>
            <w:proofErr w:type="spellEnd"/>
            <w:r>
              <w:t xml:space="preserve"> 193, 103-113 (2021). </w:t>
            </w:r>
          </w:p>
        </w:tc>
        <w:tc>
          <w:tcPr>
            <w:tcW w:w="2976" w:type="dxa"/>
            <w:shd w:val="clear" w:color="auto" w:fill="auto"/>
          </w:tcPr>
          <w:p w14:paraId="6A9C6BEE"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0DE57177" w14:textId="77777777" w:rsidR="00A213C3" w:rsidRPr="00284DE5" w:rsidRDefault="00A213C3" w:rsidP="009429DC">
            <w:pPr>
              <w:spacing w:before="40" w:after="40" w:line="276" w:lineRule="auto"/>
              <w:contextualSpacing/>
              <w:jc w:val="left"/>
              <w:rPr>
                <w:rFonts w:cs="Arial"/>
                <w:szCs w:val="20"/>
              </w:rPr>
            </w:pPr>
          </w:p>
        </w:tc>
      </w:tr>
      <w:tr w:rsidR="00A213C3" w:rsidRPr="00284DE5" w14:paraId="2D7BA010" w14:textId="77777777" w:rsidTr="00E86D5D">
        <w:trPr>
          <w:cantSplit/>
        </w:trPr>
        <w:tc>
          <w:tcPr>
            <w:tcW w:w="1227" w:type="dxa"/>
            <w:shd w:val="clear" w:color="auto" w:fill="auto"/>
          </w:tcPr>
          <w:p w14:paraId="1AAE8AAB" w14:textId="77777777" w:rsidR="00A213C3" w:rsidRDefault="00A213C3" w:rsidP="009429DC">
            <w:pPr>
              <w:spacing w:before="40" w:after="40" w:line="276" w:lineRule="auto"/>
              <w:contextualSpacing/>
              <w:jc w:val="left"/>
              <w:rPr>
                <w:rFonts w:cs="Arial"/>
                <w:szCs w:val="20"/>
              </w:rPr>
            </w:pPr>
            <w:r>
              <w:rPr>
                <w:rFonts w:cs="Arial"/>
                <w:szCs w:val="20"/>
              </w:rPr>
              <w:lastRenderedPageBreak/>
              <w:t>50</w:t>
            </w:r>
          </w:p>
        </w:tc>
        <w:tc>
          <w:tcPr>
            <w:tcW w:w="2002" w:type="dxa"/>
            <w:shd w:val="clear" w:color="auto" w:fill="auto"/>
          </w:tcPr>
          <w:p w14:paraId="350A8A6E" w14:textId="77777777" w:rsidR="00A213C3" w:rsidRDefault="00A213C3" w:rsidP="009429DC">
            <w:pPr>
              <w:spacing w:before="40" w:after="40" w:line="276" w:lineRule="auto"/>
              <w:contextualSpacing/>
              <w:jc w:val="left"/>
              <w:rPr>
                <w:rFonts w:cs="Arial"/>
                <w:szCs w:val="20"/>
              </w:rPr>
            </w:pPr>
            <w:r w:rsidRPr="00284DE5">
              <w:rPr>
                <w:rFonts w:cs="Arial"/>
                <w:szCs w:val="20"/>
              </w:rPr>
              <w:t>Sleeping problems</w:t>
            </w:r>
          </w:p>
        </w:tc>
        <w:tc>
          <w:tcPr>
            <w:tcW w:w="4558" w:type="dxa"/>
            <w:shd w:val="clear" w:color="auto" w:fill="auto"/>
          </w:tcPr>
          <w:p w14:paraId="706D5C4C" w14:textId="77777777" w:rsidR="00A213C3" w:rsidRDefault="00A213C3" w:rsidP="009429DC">
            <w:pPr>
              <w:spacing w:before="40" w:after="40" w:line="276" w:lineRule="auto"/>
              <w:contextualSpacing/>
              <w:jc w:val="left"/>
            </w:pPr>
            <w:r w:rsidRPr="00284DE5">
              <w:rPr>
                <w:rFonts w:cs="Arial"/>
                <w:szCs w:val="20"/>
              </w:rPr>
              <w:t xml:space="preserve">Baum FE &amp; Cooke RD. (1989). Community-health needs assessment: </w:t>
            </w:r>
            <w:r>
              <w:rPr>
                <w:rFonts w:cs="Arial"/>
                <w:szCs w:val="20"/>
              </w:rPr>
              <w:t>U</w:t>
            </w:r>
            <w:r w:rsidRPr="00284DE5">
              <w:rPr>
                <w:rFonts w:cs="Arial"/>
                <w:szCs w:val="20"/>
              </w:rPr>
              <w:t xml:space="preserve">se of the Nottingham health profile in an Australian study. </w:t>
            </w:r>
            <w:r w:rsidRPr="00284DE5">
              <w:rPr>
                <w:rFonts w:cs="Arial"/>
                <w:i/>
                <w:szCs w:val="20"/>
              </w:rPr>
              <w:t>The Medical Journal of Australia</w:t>
            </w:r>
            <w:r w:rsidRPr="00284DE5">
              <w:rPr>
                <w:rFonts w:cs="Arial"/>
                <w:szCs w:val="20"/>
              </w:rPr>
              <w:t>, Vol. 150, pp 581-590.</w:t>
            </w:r>
          </w:p>
        </w:tc>
        <w:tc>
          <w:tcPr>
            <w:tcW w:w="2976" w:type="dxa"/>
            <w:shd w:val="clear" w:color="auto" w:fill="auto"/>
          </w:tcPr>
          <w:p w14:paraId="2E7AD49C"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393B2808" w14:textId="77777777" w:rsidR="00A213C3" w:rsidRPr="00284DE5" w:rsidRDefault="00A213C3" w:rsidP="009429DC">
            <w:pPr>
              <w:spacing w:before="40" w:after="40" w:line="276" w:lineRule="auto"/>
              <w:contextualSpacing/>
              <w:jc w:val="left"/>
              <w:rPr>
                <w:rFonts w:cs="Arial"/>
                <w:szCs w:val="20"/>
              </w:rPr>
            </w:pPr>
          </w:p>
        </w:tc>
      </w:tr>
      <w:tr w:rsidR="00A213C3" w:rsidRPr="00284DE5" w14:paraId="1A381639" w14:textId="77777777" w:rsidTr="00E86D5D">
        <w:trPr>
          <w:cantSplit/>
        </w:trPr>
        <w:tc>
          <w:tcPr>
            <w:tcW w:w="1227" w:type="dxa"/>
            <w:shd w:val="clear" w:color="auto" w:fill="auto"/>
          </w:tcPr>
          <w:p w14:paraId="7AB84187" w14:textId="77777777" w:rsidR="00A213C3" w:rsidRPr="00284DE5" w:rsidRDefault="00A213C3" w:rsidP="009429DC">
            <w:pPr>
              <w:spacing w:before="40" w:after="40" w:line="276" w:lineRule="auto"/>
              <w:contextualSpacing/>
              <w:jc w:val="left"/>
              <w:rPr>
                <w:rFonts w:cs="Arial"/>
                <w:szCs w:val="20"/>
              </w:rPr>
            </w:pPr>
            <w:r>
              <w:rPr>
                <w:rFonts w:cs="Arial"/>
                <w:szCs w:val="20"/>
              </w:rPr>
              <w:t>51-53</w:t>
            </w:r>
          </w:p>
        </w:tc>
        <w:tc>
          <w:tcPr>
            <w:tcW w:w="2002" w:type="dxa"/>
            <w:shd w:val="clear" w:color="auto" w:fill="auto"/>
          </w:tcPr>
          <w:p w14:paraId="09B6CF55"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Urine leakage</w:t>
            </w:r>
          </w:p>
        </w:tc>
        <w:tc>
          <w:tcPr>
            <w:tcW w:w="4558" w:type="dxa"/>
            <w:shd w:val="clear" w:color="auto" w:fill="auto"/>
          </w:tcPr>
          <w:p w14:paraId="453CA9F3" w14:textId="77777777" w:rsidR="00A213C3" w:rsidRPr="009C74C5" w:rsidRDefault="00A213C3" w:rsidP="009429DC">
            <w:pPr>
              <w:spacing w:before="40" w:after="40" w:line="276" w:lineRule="auto"/>
              <w:contextualSpacing/>
              <w:jc w:val="left"/>
              <w:rPr>
                <w:rFonts w:cs="Arial"/>
                <w:szCs w:val="20"/>
              </w:rPr>
            </w:pPr>
            <w:proofErr w:type="spellStart"/>
            <w:r w:rsidRPr="00665083">
              <w:rPr>
                <w:color w:val="000000"/>
                <w:szCs w:val="20"/>
              </w:rPr>
              <w:t>Sansoni</w:t>
            </w:r>
            <w:proofErr w:type="spellEnd"/>
            <w:r w:rsidRPr="00665083">
              <w:rPr>
                <w:color w:val="000000"/>
                <w:szCs w:val="20"/>
              </w:rPr>
              <w:t xml:space="preserve"> J, Hawthorne G, Fleming G, Owen E and </w:t>
            </w:r>
            <w:proofErr w:type="spellStart"/>
            <w:r w:rsidRPr="00665083">
              <w:rPr>
                <w:color w:val="000000"/>
                <w:szCs w:val="20"/>
              </w:rPr>
              <w:t>Marosszeky</w:t>
            </w:r>
            <w:proofErr w:type="spellEnd"/>
            <w:r w:rsidRPr="00665083">
              <w:rPr>
                <w:color w:val="000000"/>
                <w:szCs w:val="20"/>
              </w:rPr>
              <w:t xml:space="preserve"> N (2011), Technical Manual and Instructions: Revised incontinence and Patient Satisfaction Tools. Centre for Health Service Development, Australian Health Services Research Institute, University of Wollongong.</w:t>
            </w:r>
          </w:p>
        </w:tc>
        <w:tc>
          <w:tcPr>
            <w:tcW w:w="2976" w:type="dxa"/>
            <w:shd w:val="clear" w:color="auto" w:fill="auto"/>
          </w:tcPr>
          <w:p w14:paraId="4350A05A"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072464B5" w14:textId="77777777" w:rsidR="00A213C3" w:rsidRPr="00284DE5" w:rsidRDefault="00A213C3" w:rsidP="009429DC">
            <w:pPr>
              <w:spacing w:before="40" w:after="40" w:line="276" w:lineRule="auto"/>
              <w:contextualSpacing/>
              <w:jc w:val="left"/>
              <w:rPr>
                <w:rFonts w:cs="Arial"/>
                <w:szCs w:val="20"/>
              </w:rPr>
            </w:pPr>
          </w:p>
        </w:tc>
      </w:tr>
      <w:tr w:rsidR="00A213C3" w:rsidRPr="00284DE5" w14:paraId="24080A5A" w14:textId="77777777" w:rsidTr="00E86D5D">
        <w:trPr>
          <w:cantSplit/>
        </w:trPr>
        <w:tc>
          <w:tcPr>
            <w:tcW w:w="1227" w:type="dxa"/>
            <w:shd w:val="clear" w:color="auto" w:fill="auto"/>
          </w:tcPr>
          <w:p w14:paraId="74B95176" w14:textId="77777777" w:rsidR="00A213C3" w:rsidRPr="00284DE5" w:rsidRDefault="00A213C3" w:rsidP="009429DC">
            <w:pPr>
              <w:spacing w:before="40" w:after="40" w:line="276" w:lineRule="auto"/>
              <w:contextualSpacing/>
              <w:jc w:val="left"/>
              <w:rPr>
                <w:rFonts w:cs="Arial"/>
                <w:szCs w:val="20"/>
              </w:rPr>
            </w:pPr>
            <w:r>
              <w:rPr>
                <w:rFonts w:cs="Arial"/>
                <w:szCs w:val="20"/>
              </w:rPr>
              <w:t>54</w:t>
            </w:r>
          </w:p>
        </w:tc>
        <w:tc>
          <w:tcPr>
            <w:tcW w:w="2002" w:type="dxa"/>
            <w:shd w:val="clear" w:color="auto" w:fill="auto"/>
          </w:tcPr>
          <w:p w14:paraId="04770406" w14:textId="77777777" w:rsidR="00A213C3" w:rsidRPr="00284DE5" w:rsidRDefault="00A213C3" w:rsidP="009429DC">
            <w:pPr>
              <w:spacing w:before="40" w:after="40" w:line="276" w:lineRule="auto"/>
              <w:contextualSpacing/>
              <w:jc w:val="left"/>
              <w:rPr>
                <w:rFonts w:cs="Arial"/>
                <w:szCs w:val="20"/>
                <w:highlight w:val="magenta"/>
              </w:rPr>
            </w:pPr>
            <w:r w:rsidRPr="00284DE5">
              <w:rPr>
                <w:rFonts w:cs="Arial"/>
                <w:szCs w:val="20"/>
              </w:rPr>
              <w:t>Depression (CESD-10)</w:t>
            </w:r>
          </w:p>
        </w:tc>
        <w:tc>
          <w:tcPr>
            <w:tcW w:w="4558" w:type="dxa"/>
            <w:shd w:val="clear" w:color="auto" w:fill="auto"/>
          </w:tcPr>
          <w:p w14:paraId="64E1F9DF"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Andresen EM, Carter WB, </w:t>
            </w:r>
            <w:proofErr w:type="spellStart"/>
            <w:r w:rsidRPr="00284DE5">
              <w:rPr>
                <w:rFonts w:cs="Arial"/>
                <w:szCs w:val="20"/>
              </w:rPr>
              <w:t>Malmgren</w:t>
            </w:r>
            <w:proofErr w:type="spellEnd"/>
            <w:r w:rsidRPr="00284DE5">
              <w:rPr>
                <w:rFonts w:cs="Arial"/>
                <w:szCs w:val="20"/>
              </w:rPr>
              <w:t xml:space="preserve"> JA &amp; Patrick DL. (1994). Screening for depression in well older adults: Evaluation of a short form of the CES-D. </w:t>
            </w:r>
            <w:r w:rsidRPr="00DE7DDC">
              <w:rPr>
                <w:rFonts w:cs="Arial"/>
                <w:i/>
                <w:iCs/>
                <w:szCs w:val="20"/>
              </w:rPr>
              <w:t>American Journal of Preventive Medicine</w:t>
            </w:r>
            <w:r w:rsidRPr="00284DE5">
              <w:rPr>
                <w:rFonts w:cs="Arial"/>
                <w:szCs w:val="20"/>
              </w:rPr>
              <w:t>, 10(2), 77-82.</w:t>
            </w:r>
          </w:p>
        </w:tc>
        <w:tc>
          <w:tcPr>
            <w:tcW w:w="2976" w:type="dxa"/>
            <w:shd w:val="clear" w:color="auto" w:fill="auto"/>
          </w:tcPr>
          <w:p w14:paraId="4C3BD9D8"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2F211AA5" w14:textId="77777777" w:rsidR="00A213C3" w:rsidRPr="00284DE5" w:rsidRDefault="00A213C3" w:rsidP="009429DC">
            <w:pPr>
              <w:spacing w:before="40" w:after="40" w:line="276" w:lineRule="auto"/>
              <w:contextualSpacing/>
              <w:jc w:val="left"/>
              <w:rPr>
                <w:rFonts w:cs="Arial"/>
                <w:szCs w:val="20"/>
              </w:rPr>
            </w:pPr>
          </w:p>
        </w:tc>
      </w:tr>
      <w:tr w:rsidR="00A213C3" w:rsidRPr="00284DE5" w14:paraId="6A27E232" w14:textId="77777777" w:rsidTr="00E86D5D">
        <w:trPr>
          <w:cantSplit/>
        </w:trPr>
        <w:tc>
          <w:tcPr>
            <w:tcW w:w="1227" w:type="dxa"/>
            <w:shd w:val="clear" w:color="auto" w:fill="auto"/>
          </w:tcPr>
          <w:p w14:paraId="6381F370" w14:textId="77777777" w:rsidR="00A213C3" w:rsidRPr="00284DE5" w:rsidRDefault="00A213C3" w:rsidP="009429DC">
            <w:pPr>
              <w:spacing w:before="40" w:after="40" w:line="276" w:lineRule="auto"/>
              <w:contextualSpacing/>
              <w:jc w:val="left"/>
              <w:rPr>
                <w:rFonts w:cs="Arial"/>
                <w:szCs w:val="20"/>
              </w:rPr>
            </w:pPr>
            <w:r>
              <w:rPr>
                <w:rFonts w:cs="Arial"/>
                <w:szCs w:val="20"/>
              </w:rPr>
              <w:t>55-56</w:t>
            </w:r>
          </w:p>
        </w:tc>
        <w:tc>
          <w:tcPr>
            <w:tcW w:w="2002" w:type="dxa"/>
            <w:shd w:val="clear" w:color="auto" w:fill="auto"/>
          </w:tcPr>
          <w:p w14:paraId="0B64FA3D"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Exercise status (physical activity)</w:t>
            </w:r>
          </w:p>
        </w:tc>
        <w:tc>
          <w:tcPr>
            <w:tcW w:w="4558" w:type="dxa"/>
            <w:shd w:val="clear" w:color="auto" w:fill="auto"/>
          </w:tcPr>
          <w:p w14:paraId="3BE0B4E0"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ALSWH </w:t>
            </w:r>
            <w:proofErr w:type="spellStart"/>
            <w:r w:rsidRPr="00284DE5">
              <w:rPr>
                <w:rFonts w:cs="Arial"/>
                <w:szCs w:val="20"/>
              </w:rPr>
              <w:t>Substudy</w:t>
            </w:r>
            <w:proofErr w:type="spellEnd"/>
            <w:r w:rsidRPr="00284DE5">
              <w:rPr>
                <w:rFonts w:cs="Arial"/>
                <w:szCs w:val="20"/>
              </w:rPr>
              <w:t xml:space="preserve"> on weight gain at mid-life</w:t>
            </w:r>
          </w:p>
        </w:tc>
        <w:tc>
          <w:tcPr>
            <w:tcW w:w="2976" w:type="dxa"/>
            <w:shd w:val="clear" w:color="auto" w:fill="auto"/>
          </w:tcPr>
          <w:p w14:paraId="3687D07D"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13562075" w14:textId="77777777" w:rsidR="00A213C3" w:rsidRPr="00284DE5" w:rsidRDefault="00A213C3" w:rsidP="009429DC">
            <w:pPr>
              <w:spacing w:before="40" w:after="40" w:line="276" w:lineRule="auto"/>
              <w:contextualSpacing/>
              <w:jc w:val="left"/>
              <w:rPr>
                <w:rFonts w:cs="Arial"/>
                <w:szCs w:val="20"/>
              </w:rPr>
            </w:pPr>
          </w:p>
        </w:tc>
      </w:tr>
      <w:tr w:rsidR="00A213C3" w:rsidRPr="00284DE5" w14:paraId="2194C0A8" w14:textId="77777777" w:rsidTr="00E86D5D">
        <w:trPr>
          <w:cantSplit/>
        </w:trPr>
        <w:tc>
          <w:tcPr>
            <w:tcW w:w="1227" w:type="dxa"/>
            <w:shd w:val="clear" w:color="auto" w:fill="auto"/>
          </w:tcPr>
          <w:p w14:paraId="171D9320" w14:textId="77777777" w:rsidR="00A213C3" w:rsidRPr="00284DE5" w:rsidRDefault="00A213C3" w:rsidP="009429DC">
            <w:pPr>
              <w:spacing w:before="40" w:after="40" w:line="276" w:lineRule="auto"/>
              <w:contextualSpacing/>
              <w:jc w:val="left"/>
              <w:rPr>
                <w:rFonts w:cs="Arial"/>
                <w:szCs w:val="20"/>
              </w:rPr>
            </w:pPr>
            <w:r>
              <w:rPr>
                <w:rFonts w:cs="Arial"/>
                <w:szCs w:val="20"/>
              </w:rPr>
              <w:t>57-58</w:t>
            </w:r>
          </w:p>
        </w:tc>
        <w:tc>
          <w:tcPr>
            <w:tcW w:w="2002" w:type="dxa"/>
            <w:shd w:val="clear" w:color="auto" w:fill="auto"/>
          </w:tcPr>
          <w:p w14:paraId="64A1E8DF"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Exercise status (physical activity)</w:t>
            </w:r>
          </w:p>
        </w:tc>
        <w:tc>
          <w:tcPr>
            <w:tcW w:w="4558" w:type="dxa"/>
            <w:shd w:val="clear" w:color="auto" w:fill="auto"/>
          </w:tcPr>
          <w:p w14:paraId="326FA055" w14:textId="77777777" w:rsidR="00A213C3" w:rsidRPr="00284DE5" w:rsidRDefault="00A213C3" w:rsidP="009429DC">
            <w:pPr>
              <w:spacing w:before="40" w:after="40" w:line="276" w:lineRule="auto"/>
              <w:contextualSpacing/>
              <w:jc w:val="left"/>
              <w:rPr>
                <w:rFonts w:cs="Arial"/>
                <w:szCs w:val="20"/>
              </w:rPr>
            </w:pPr>
            <w:r>
              <w:rPr>
                <w:rFonts w:cs="Arial"/>
                <w:szCs w:val="20"/>
              </w:rPr>
              <w:t>ALSWH</w:t>
            </w:r>
          </w:p>
        </w:tc>
        <w:tc>
          <w:tcPr>
            <w:tcW w:w="2976" w:type="dxa"/>
            <w:shd w:val="clear" w:color="auto" w:fill="auto"/>
          </w:tcPr>
          <w:p w14:paraId="7F66B73D"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2290A19D" w14:textId="77777777" w:rsidR="00A213C3" w:rsidRPr="00284DE5" w:rsidRDefault="00A213C3" w:rsidP="009429DC">
            <w:pPr>
              <w:spacing w:before="40" w:after="40" w:line="276" w:lineRule="auto"/>
              <w:contextualSpacing/>
              <w:jc w:val="left"/>
              <w:rPr>
                <w:rFonts w:cs="Arial"/>
                <w:szCs w:val="20"/>
              </w:rPr>
            </w:pPr>
          </w:p>
        </w:tc>
      </w:tr>
      <w:tr w:rsidR="00A213C3" w:rsidRPr="00284DE5" w14:paraId="2B65F6E3" w14:textId="77777777" w:rsidTr="00E86D5D">
        <w:trPr>
          <w:cantSplit/>
        </w:trPr>
        <w:tc>
          <w:tcPr>
            <w:tcW w:w="1227" w:type="dxa"/>
            <w:shd w:val="clear" w:color="auto" w:fill="auto"/>
          </w:tcPr>
          <w:p w14:paraId="62AF9E7B" w14:textId="77777777" w:rsidR="00A213C3" w:rsidRPr="00284DE5" w:rsidRDefault="00A213C3" w:rsidP="009429DC">
            <w:pPr>
              <w:spacing w:before="40" w:after="40" w:line="276" w:lineRule="auto"/>
              <w:contextualSpacing/>
              <w:jc w:val="left"/>
              <w:rPr>
                <w:rFonts w:cs="Arial"/>
                <w:szCs w:val="20"/>
              </w:rPr>
            </w:pPr>
            <w:r>
              <w:rPr>
                <w:rFonts w:cs="Arial"/>
                <w:szCs w:val="20"/>
              </w:rPr>
              <w:t>59</w:t>
            </w:r>
          </w:p>
        </w:tc>
        <w:tc>
          <w:tcPr>
            <w:tcW w:w="2002" w:type="dxa"/>
            <w:shd w:val="clear" w:color="auto" w:fill="auto"/>
          </w:tcPr>
          <w:p w14:paraId="065FD065"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Sitting</w:t>
            </w:r>
          </w:p>
        </w:tc>
        <w:tc>
          <w:tcPr>
            <w:tcW w:w="4558" w:type="dxa"/>
            <w:shd w:val="clear" w:color="auto" w:fill="auto"/>
          </w:tcPr>
          <w:p w14:paraId="24CA61E6"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shd w:val="clear" w:color="auto" w:fill="auto"/>
          </w:tcPr>
          <w:p w14:paraId="031A78AB"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2993EFDF" w14:textId="77777777" w:rsidR="00A213C3" w:rsidRPr="00284DE5" w:rsidRDefault="00A213C3" w:rsidP="009429DC">
            <w:pPr>
              <w:spacing w:before="40" w:after="40" w:line="276" w:lineRule="auto"/>
              <w:contextualSpacing/>
              <w:jc w:val="left"/>
              <w:rPr>
                <w:rFonts w:cs="Arial"/>
                <w:szCs w:val="20"/>
              </w:rPr>
            </w:pPr>
          </w:p>
        </w:tc>
      </w:tr>
      <w:tr w:rsidR="00A213C3" w:rsidRPr="00284DE5" w14:paraId="7DD77148" w14:textId="77777777" w:rsidTr="00E86D5D">
        <w:trPr>
          <w:cantSplit/>
        </w:trPr>
        <w:tc>
          <w:tcPr>
            <w:tcW w:w="1227" w:type="dxa"/>
            <w:shd w:val="clear" w:color="auto" w:fill="auto"/>
          </w:tcPr>
          <w:p w14:paraId="01BD27C7" w14:textId="77777777" w:rsidR="00A213C3" w:rsidRPr="00284DE5" w:rsidRDefault="00A213C3" w:rsidP="009429DC">
            <w:pPr>
              <w:spacing w:before="40" w:after="40" w:line="276" w:lineRule="auto"/>
              <w:contextualSpacing/>
              <w:jc w:val="left"/>
              <w:rPr>
                <w:rFonts w:cs="Arial"/>
                <w:szCs w:val="20"/>
              </w:rPr>
            </w:pPr>
            <w:r>
              <w:rPr>
                <w:rFonts w:cs="Arial"/>
                <w:szCs w:val="20"/>
              </w:rPr>
              <w:t>60</w:t>
            </w:r>
          </w:p>
        </w:tc>
        <w:tc>
          <w:tcPr>
            <w:tcW w:w="2002" w:type="dxa"/>
            <w:shd w:val="clear" w:color="auto" w:fill="auto"/>
          </w:tcPr>
          <w:p w14:paraId="50ABB171"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Stress</w:t>
            </w:r>
          </w:p>
        </w:tc>
        <w:tc>
          <w:tcPr>
            <w:tcW w:w="4558" w:type="dxa"/>
            <w:shd w:val="clear" w:color="auto" w:fill="auto"/>
          </w:tcPr>
          <w:p w14:paraId="65C32613"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shd w:val="clear" w:color="auto" w:fill="auto"/>
          </w:tcPr>
          <w:p w14:paraId="0A989892"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1B21E192" w14:textId="77777777" w:rsidR="00A213C3" w:rsidRPr="00284DE5" w:rsidRDefault="00A213C3" w:rsidP="009429DC">
            <w:pPr>
              <w:spacing w:before="40" w:after="40" w:line="276" w:lineRule="auto"/>
              <w:contextualSpacing/>
              <w:jc w:val="left"/>
              <w:rPr>
                <w:rFonts w:cs="Arial"/>
                <w:szCs w:val="20"/>
              </w:rPr>
            </w:pPr>
          </w:p>
        </w:tc>
      </w:tr>
      <w:tr w:rsidR="00A213C3" w:rsidRPr="00284DE5" w14:paraId="59492E5D" w14:textId="77777777" w:rsidTr="00E86D5D">
        <w:trPr>
          <w:cantSplit/>
        </w:trPr>
        <w:tc>
          <w:tcPr>
            <w:tcW w:w="1227" w:type="dxa"/>
            <w:shd w:val="clear" w:color="auto" w:fill="auto"/>
          </w:tcPr>
          <w:p w14:paraId="4D21CFCA" w14:textId="77777777" w:rsidR="00A213C3" w:rsidRPr="00284DE5" w:rsidRDefault="00A213C3" w:rsidP="009429DC">
            <w:pPr>
              <w:spacing w:before="40" w:after="40" w:line="276" w:lineRule="auto"/>
              <w:contextualSpacing/>
              <w:jc w:val="left"/>
              <w:rPr>
                <w:rFonts w:cs="Arial"/>
                <w:szCs w:val="20"/>
              </w:rPr>
            </w:pPr>
            <w:r>
              <w:rPr>
                <w:rFonts w:cs="Arial"/>
                <w:szCs w:val="20"/>
              </w:rPr>
              <w:t>61</w:t>
            </w:r>
          </w:p>
        </w:tc>
        <w:tc>
          <w:tcPr>
            <w:tcW w:w="2002" w:type="dxa"/>
            <w:shd w:val="clear" w:color="auto" w:fill="auto"/>
          </w:tcPr>
          <w:p w14:paraId="252D634F"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Resilience</w:t>
            </w:r>
          </w:p>
        </w:tc>
        <w:tc>
          <w:tcPr>
            <w:tcW w:w="4558" w:type="dxa"/>
            <w:shd w:val="clear" w:color="auto" w:fill="auto"/>
          </w:tcPr>
          <w:p w14:paraId="594788E4" w14:textId="77777777" w:rsidR="00A213C3" w:rsidRPr="002C48C0" w:rsidRDefault="00A213C3" w:rsidP="009429DC">
            <w:pPr>
              <w:autoSpaceDE w:val="0"/>
              <w:autoSpaceDN w:val="0"/>
              <w:adjustRightInd w:val="0"/>
              <w:spacing w:before="40" w:after="40" w:line="276" w:lineRule="auto"/>
              <w:contextualSpacing/>
              <w:jc w:val="left"/>
              <w:rPr>
                <w:rFonts w:cs="Arial"/>
                <w:szCs w:val="20"/>
                <w:highlight w:val="yellow"/>
              </w:rPr>
            </w:pPr>
            <w:r w:rsidRPr="00284DE5">
              <w:rPr>
                <w:rFonts w:eastAsia="Calibri" w:cs="Arial"/>
                <w:color w:val="1A1A1A"/>
                <w:szCs w:val="20"/>
              </w:rPr>
              <w:t>Smith BW, Dalen J, Wiggins K, Tooley E, Christophe</w:t>
            </w:r>
            <w:r>
              <w:rPr>
                <w:rFonts w:eastAsia="Calibri" w:cs="Arial"/>
                <w:color w:val="1A1A1A"/>
                <w:szCs w:val="20"/>
              </w:rPr>
              <w:t>r</w:t>
            </w:r>
            <w:r w:rsidRPr="00284DE5">
              <w:rPr>
                <w:rFonts w:eastAsia="Calibri" w:cs="Arial"/>
                <w:color w:val="1A1A1A"/>
                <w:szCs w:val="20"/>
              </w:rPr>
              <w:t xml:space="preserve"> P &amp; Bernard J. (2008). The brief resilience scale: assessing the ability to bounce back. </w:t>
            </w:r>
            <w:r w:rsidRPr="00284DE5">
              <w:rPr>
                <w:rFonts w:eastAsia="Calibri" w:cs="Arial"/>
                <w:i/>
                <w:iCs/>
                <w:color w:val="1A1A1A"/>
                <w:szCs w:val="20"/>
              </w:rPr>
              <w:t xml:space="preserve">International journal of </w:t>
            </w:r>
            <w:proofErr w:type="spellStart"/>
            <w:r>
              <w:rPr>
                <w:rFonts w:eastAsia="Calibri" w:cs="Arial"/>
                <w:i/>
                <w:iCs/>
                <w:color w:val="1A1A1A"/>
                <w:szCs w:val="20"/>
              </w:rPr>
              <w:t>B</w:t>
            </w:r>
            <w:r w:rsidRPr="00284DE5">
              <w:rPr>
                <w:rFonts w:eastAsia="Calibri" w:cs="Arial"/>
                <w:i/>
                <w:iCs/>
                <w:color w:val="1A1A1A"/>
                <w:szCs w:val="20"/>
              </w:rPr>
              <w:t>ehavioral</w:t>
            </w:r>
            <w:proofErr w:type="spellEnd"/>
            <w:r w:rsidRPr="00284DE5">
              <w:rPr>
                <w:rFonts w:eastAsia="Calibri" w:cs="Arial"/>
                <w:i/>
                <w:iCs/>
                <w:color w:val="1A1A1A"/>
                <w:szCs w:val="20"/>
              </w:rPr>
              <w:t xml:space="preserve"> </w:t>
            </w:r>
            <w:r>
              <w:rPr>
                <w:rFonts w:eastAsia="Calibri" w:cs="Arial"/>
                <w:i/>
                <w:iCs/>
                <w:color w:val="1A1A1A"/>
                <w:szCs w:val="20"/>
              </w:rPr>
              <w:t>M</w:t>
            </w:r>
            <w:r w:rsidRPr="00284DE5">
              <w:rPr>
                <w:rFonts w:eastAsia="Calibri" w:cs="Arial"/>
                <w:i/>
                <w:iCs/>
                <w:color w:val="1A1A1A"/>
                <w:szCs w:val="20"/>
              </w:rPr>
              <w:t>edicine</w:t>
            </w:r>
            <w:r w:rsidRPr="00284DE5">
              <w:rPr>
                <w:rFonts w:eastAsia="Calibri" w:cs="Arial"/>
                <w:color w:val="1A1A1A"/>
                <w:szCs w:val="20"/>
              </w:rPr>
              <w:t xml:space="preserve">, </w:t>
            </w:r>
            <w:r w:rsidRPr="00284DE5">
              <w:rPr>
                <w:rFonts w:eastAsia="Calibri" w:cs="Arial"/>
                <w:i/>
                <w:iCs/>
                <w:color w:val="1A1A1A"/>
                <w:szCs w:val="20"/>
              </w:rPr>
              <w:t>15</w:t>
            </w:r>
            <w:r w:rsidRPr="00284DE5">
              <w:rPr>
                <w:rFonts w:eastAsia="Calibri" w:cs="Arial"/>
                <w:color w:val="1A1A1A"/>
                <w:szCs w:val="20"/>
              </w:rPr>
              <w:t>(3), 194-200.</w:t>
            </w:r>
          </w:p>
        </w:tc>
        <w:tc>
          <w:tcPr>
            <w:tcW w:w="2976" w:type="dxa"/>
            <w:shd w:val="clear" w:color="auto" w:fill="auto"/>
          </w:tcPr>
          <w:p w14:paraId="285B7FB3" w14:textId="77777777" w:rsidR="00A213C3" w:rsidRPr="00284DE5" w:rsidRDefault="00A213C3" w:rsidP="009429DC">
            <w:pPr>
              <w:spacing w:before="40" w:after="40" w:line="276" w:lineRule="auto"/>
              <w:contextualSpacing/>
              <w:jc w:val="left"/>
              <w:rPr>
                <w:rFonts w:cs="Arial"/>
                <w:szCs w:val="20"/>
              </w:rPr>
            </w:pPr>
            <w:r w:rsidRPr="00D433C0">
              <w:rPr>
                <w:rFonts w:cs="Arial"/>
                <w:szCs w:val="20"/>
              </w:rPr>
              <w:t>Instructions reworded to align with the original instructions recommended for the Brief Resilience Scale</w:t>
            </w:r>
          </w:p>
        </w:tc>
        <w:tc>
          <w:tcPr>
            <w:tcW w:w="3097" w:type="dxa"/>
            <w:shd w:val="clear" w:color="auto" w:fill="auto"/>
          </w:tcPr>
          <w:p w14:paraId="593ECCF1" w14:textId="77777777" w:rsidR="00A213C3" w:rsidRPr="00284DE5" w:rsidRDefault="00A213C3" w:rsidP="009429DC">
            <w:pPr>
              <w:spacing w:before="40" w:after="40" w:line="276" w:lineRule="auto"/>
              <w:contextualSpacing/>
              <w:jc w:val="left"/>
              <w:rPr>
                <w:rFonts w:cs="Arial"/>
                <w:szCs w:val="20"/>
              </w:rPr>
            </w:pPr>
          </w:p>
        </w:tc>
      </w:tr>
      <w:tr w:rsidR="00A213C3" w:rsidRPr="00284DE5" w14:paraId="1BDC447D" w14:textId="77777777" w:rsidTr="00E86D5D">
        <w:trPr>
          <w:cantSplit/>
        </w:trPr>
        <w:tc>
          <w:tcPr>
            <w:tcW w:w="1227" w:type="dxa"/>
            <w:shd w:val="clear" w:color="auto" w:fill="auto"/>
          </w:tcPr>
          <w:p w14:paraId="67848671" w14:textId="77777777" w:rsidR="00A213C3" w:rsidRPr="00284DE5" w:rsidRDefault="00A213C3" w:rsidP="009429DC">
            <w:pPr>
              <w:spacing w:before="40" w:after="40" w:line="276" w:lineRule="auto"/>
              <w:contextualSpacing/>
              <w:jc w:val="left"/>
              <w:rPr>
                <w:rFonts w:cs="Arial"/>
                <w:szCs w:val="20"/>
              </w:rPr>
            </w:pPr>
            <w:r>
              <w:rPr>
                <w:rFonts w:cs="Arial"/>
                <w:szCs w:val="20"/>
              </w:rPr>
              <w:lastRenderedPageBreak/>
              <w:t>62</w:t>
            </w:r>
          </w:p>
        </w:tc>
        <w:tc>
          <w:tcPr>
            <w:tcW w:w="2002" w:type="dxa"/>
            <w:shd w:val="clear" w:color="auto" w:fill="auto"/>
          </w:tcPr>
          <w:p w14:paraId="62268307"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Life Control Scale</w:t>
            </w:r>
          </w:p>
        </w:tc>
        <w:tc>
          <w:tcPr>
            <w:tcW w:w="4558" w:type="dxa"/>
            <w:shd w:val="clear" w:color="auto" w:fill="auto"/>
          </w:tcPr>
          <w:p w14:paraId="7A7D858C" w14:textId="77777777" w:rsidR="00A213C3" w:rsidRPr="00284DE5" w:rsidRDefault="00A213C3" w:rsidP="009429DC">
            <w:pPr>
              <w:spacing w:before="40" w:after="40" w:line="276" w:lineRule="auto"/>
              <w:contextualSpacing/>
              <w:jc w:val="left"/>
              <w:rPr>
                <w:rFonts w:cs="Arial"/>
                <w:szCs w:val="20"/>
              </w:rPr>
            </w:pPr>
            <w:proofErr w:type="spellStart"/>
            <w:r w:rsidRPr="00284DE5">
              <w:rPr>
                <w:rFonts w:cs="Arial"/>
                <w:szCs w:val="20"/>
              </w:rPr>
              <w:t>Bobak</w:t>
            </w:r>
            <w:proofErr w:type="spellEnd"/>
            <w:r w:rsidRPr="00284DE5">
              <w:rPr>
                <w:rFonts w:cs="Arial"/>
                <w:szCs w:val="20"/>
              </w:rPr>
              <w:t xml:space="preserve"> M, </w:t>
            </w:r>
            <w:proofErr w:type="spellStart"/>
            <w:r w:rsidRPr="00284DE5">
              <w:rPr>
                <w:rFonts w:cs="Arial"/>
                <w:szCs w:val="20"/>
              </w:rPr>
              <w:t>Pikhart</w:t>
            </w:r>
            <w:proofErr w:type="spellEnd"/>
            <w:r w:rsidRPr="00284DE5">
              <w:rPr>
                <w:rFonts w:cs="Arial"/>
                <w:szCs w:val="20"/>
              </w:rPr>
              <w:t xml:space="preserve"> H, </w:t>
            </w:r>
            <w:proofErr w:type="spellStart"/>
            <w:r w:rsidRPr="00284DE5">
              <w:rPr>
                <w:rFonts w:cs="Arial"/>
                <w:szCs w:val="20"/>
              </w:rPr>
              <w:t>Hertaman</w:t>
            </w:r>
            <w:proofErr w:type="spellEnd"/>
            <w:r w:rsidRPr="00284DE5">
              <w:rPr>
                <w:rFonts w:cs="Arial"/>
                <w:szCs w:val="20"/>
              </w:rPr>
              <w:t xml:space="preserve"> C, Rose R &amp; Marmot M. (1998) Socioeconomic factors, perceived </w:t>
            </w:r>
            <w:proofErr w:type="gramStart"/>
            <w:r w:rsidRPr="00284DE5">
              <w:rPr>
                <w:rFonts w:cs="Arial"/>
                <w:szCs w:val="20"/>
              </w:rPr>
              <w:t>control</w:t>
            </w:r>
            <w:proofErr w:type="gramEnd"/>
            <w:r w:rsidRPr="00284DE5">
              <w:rPr>
                <w:rFonts w:cs="Arial"/>
                <w:szCs w:val="20"/>
              </w:rPr>
              <w:t xml:space="preserve"> and self-reported health in Russia. A cross-sectional survey. </w:t>
            </w:r>
            <w:r w:rsidRPr="00284DE5">
              <w:rPr>
                <w:rFonts w:cs="Arial"/>
                <w:i/>
                <w:szCs w:val="20"/>
              </w:rPr>
              <w:t>Social Science Medicine,</w:t>
            </w:r>
            <w:r w:rsidRPr="00284DE5">
              <w:rPr>
                <w:rFonts w:cs="Arial"/>
                <w:szCs w:val="20"/>
              </w:rPr>
              <w:t xml:space="preserve"> 47(2), 269-279.</w:t>
            </w:r>
          </w:p>
        </w:tc>
        <w:tc>
          <w:tcPr>
            <w:tcW w:w="2976" w:type="dxa"/>
            <w:shd w:val="clear" w:color="auto" w:fill="auto"/>
          </w:tcPr>
          <w:p w14:paraId="3C793C2D"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12066EFB" w14:textId="77777777" w:rsidR="00A213C3" w:rsidRPr="00284DE5" w:rsidRDefault="00A213C3" w:rsidP="009429DC">
            <w:pPr>
              <w:spacing w:before="40" w:after="40" w:line="276" w:lineRule="auto"/>
              <w:contextualSpacing/>
              <w:jc w:val="left"/>
              <w:rPr>
                <w:rFonts w:cs="Arial"/>
                <w:szCs w:val="20"/>
              </w:rPr>
            </w:pPr>
          </w:p>
        </w:tc>
      </w:tr>
      <w:tr w:rsidR="00A213C3" w:rsidRPr="00284DE5" w14:paraId="4E327A45" w14:textId="77777777" w:rsidTr="00E86D5D">
        <w:trPr>
          <w:cantSplit/>
        </w:trPr>
        <w:tc>
          <w:tcPr>
            <w:tcW w:w="1227" w:type="dxa"/>
            <w:shd w:val="clear" w:color="auto" w:fill="auto"/>
          </w:tcPr>
          <w:p w14:paraId="6C3C36D0" w14:textId="77777777" w:rsidR="00A213C3" w:rsidRPr="00284DE5" w:rsidRDefault="00A213C3" w:rsidP="009429DC">
            <w:pPr>
              <w:spacing w:before="40" w:after="40" w:line="276" w:lineRule="auto"/>
              <w:contextualSpacing/>
              <w:jc w:val="left"/>
              <w:rPr>
                <w:rFonts w:cs="Arial"/>
                <w:szCs w:val="20"/>
              </w:rPr>
            </w:pPr>
            <w:r>
              <w:rPr>
                <w:rFonts w:cs="Arial"/>
                <w:szCs w:val="20"/>
              </w:rPr>
              <w:t>63-65</w:t>
            </w:r>
          </w:p>
        </w:tc>
        <w:tc>
          <w:tcPr>
            <w:tcW w:w="2002" w:type="dxa"/>
            <w:shd w:val="clear" w:color="auto" w:fill="auto"/>
          </w:tcPr>
          <w:p w14:paraId="5D0FCDBC"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Alcohol status</w:t>
            </w:r>
          </w:p>
        </w:tc>
        <w:tc>
          <w:tcPr>
            <w:tcW w:w="4558" w:type="dxa"/>
            <w:shd w:val="clear" w:color="auto" w:fill="auto"/>
          </w:tcPr>
          <w:p w14:paraId="42548F05"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Modified from National Heart Foundation of Australia (1990). Risk factor prevalence study Survey no. 3 1989. National Heart Foundation of Australia and Australian Institute of Health.</w:t>
            </w:r>
          </w:p>
        </w:tc>
        <w:tc>
          <w:tcPr>
            <w:tcW w:w="2976" w:type="dxa"/>
            <w:shd w:val="clear" w:color="auto" w:fill="auto"/>
          </w:tcPr>
          <w:p w14:paraId="40FF97F8" w14:textId="77777777" w:rsidR="00A213C3" w:rsidRPr="00D1426A" w:rsidRDefault="00A213C3" w:rsidP="009429DC">
            <w:pPr>
              <w:spacing w:before="40" w:after="40" w:line="276" w:lineRule="auto"/>
              <w:contextualSpacing/>
              <w:jc w:val="left"/>
              <w:rPr>
                <w:rFonts w:cs="Arial"/>
                <w:szCs w:val="20"/>
              </w:rPr>
            </w:pPr>
          </w:p>
        </w:tc>
        <w:tc>
          <w:tcPr>
            <w:tcW w:w="3097" w:type="dxa"/>
            <w:shd w:val="clear" w:color="auto" w:fill="auto"/>
          </w:tcPr>
          <w:p w14:paraId="2875E72D" w14:textId="77777777" w:rsidR="00A213C3" w:rsidRPr="00284DE5" w:rsidRDefault="00A213C3" w:rsidP="009429DC">
            <w:pPr>
              <w:spacing w:before="40" w:after="40" w:line="276" w:lineRule="auto"/>
              <w:contextualSpacing/>
              <w:jc w:val="left"/>
              <w:rPr>
                <w:rFonts w:cs="Arial"/>
                <w:szCs w:val="20"/>
              </w:rPr>
            </w:pPr>
          </w:p>
        </w:tc>
      </w:tr>
      <w:tr w:rsidR="00A213C3" w:rsidRPr="00284DE5" w14:paraId="29DC03C5" w14:textId="77777777" w:rsidTr="00E86D5D">
        <w:trPr>
          <w:cantSplit/>
        </w:trPr>
        <w:tc>
          <w:tcPr>
            <w:tcW w:w="1227" w:type="dxa"/>
            <w:shd w:val="clear" w:color="auto" w:fill="auto"/>
          </w:tcPr>
          <w:p w14:paraId="01898981" w14:textId="77777777" w:rsidR="00A213C3" w:rsidRPr="00284DE5" w:rsidRDefault="00A213C3" w:rsidP="009429DC">
            <w:pPr>
              <w:spacing w:before="40" w:after="40" w:line="276" w:lineRule="auto"/>
              <w:contextualSpacing/>
              <w:jc w:val="left"/>
              <w:rPr>
                <w:rFonts w:cs="Arial"/>
                <w:szCs w:val="20"/>
              </w:rPr>
            </w:pPr>
            <w:r>
              <w:rPr>
                <w:rFonts w:cs="Arial"/>
                <w:szCs w:val="20"/>
              </w:rPr>
              <w:t>66</w:t>
            </w:r>
          </w:p>
        </w:tc>
        <w:tc>
          <w:tcPr>
            <w:tcW w:w="2002" w:type="dxa"/>
            <w:shd w:val="clear" w:color="auto" w:fill="auto"/>
          </w:tcPr>
          <w:p w14:paraId="146CC493"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Fruit </w:t>
            </w:r>
          </w:p>
        </w:tc>
        <w:tc>
          <w:tcPr>
            <w:tcW w:w="4558" w:type="dxa"/>
            <w:shd w:val="clear" w:color="auto" w:fill="auto"/>
          </w:tcPr>
          <w:p w14:paraId="2BBE0369"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Ireland P, Jolley D, Giles G, O'Dea K et al.  Development of the Melbourne FFQ: </w:t>
            </w:r>
            <w:r>
              <w:rPr>
                <w:rFonts w:cs="Arial"/>
                <w:szCs w:val="20"/>
              </w:rPr>
              <w:t>A</w:t>
            </w:r>
            <w:r w:rsidRPr="00284DE5">
              <w:rPr>
                <w:rFonts w:cs="Arial"/>
                <w:szCs w:val="20"/>
              </w:rPr>
              <w:t xml:space="preserve"> food frequency questionnaire for use in an Australian prospective study involving an ethnically diverse cohort.  </w:t>
            </w:r>
            <w:r w:rsidRPr="00DE7DDC">
              <w:rPr>
                <w:rFonts w:cs="Arial"/>
                <w:i/>
                <w:iCs/>
                <w:szCs w:val="20"/>
              </w:rPr>
              <w:t>Asia Pacific J Clin</w:t>
            </w:r>
            <w:r w:rsidRPr="00284DE5">
              <w:rPr>
                <w:rFonts w:cs="Arial"/>
                <w:szCs w:val="20"/>
              </w:rPr>
              <w:t xml:space="preserve"> </w:t>
            </w:r>
            <w:proofErr w:type="spellStart"/>
            <w:r w:rsidRPr="00284DE5">
              <w:rPr>
                <w:rFonts w:cs="Arial"/>
                <w:szCs w:val="20"/>
              </w:rPr>
              <w:t>Nutr</w:t>
            </w:r>
            <w:proofErr w:type="spellEnd"/>
            <w:r w:rsidRPr="00284DE5">
              <w:rPr>
                <w:rFonts w:cs="Arial"/>
                <w:szCs w:val="20"/>
              </w:rPr>
              <w:t xml:space="preserve"> </w:t>
            </w:r>
            <w:proofErr w:type="gramStart"/>
            <w:r w:rsidRPr="00284DE5">
              <w:rPr>
                <w:rFonts w:cs="Arial"/>
                <w:szCs w:val="20"/>
              </w:rPr>
              <w:t>1994;3:19</w:t>
            </w:r>
            <w:proofErr w:type="gramEnd"/>
            <w:r w:rsidRPr="00284DE5">
              <w:rPr>
                <w:rFonts w:cs="Arial"/>
                <w:szCs w:val="20"/>
              </w:rPr>
              <w:t>-31.</w:t>
            </w:r>
          </w:p>
        </w:tc>
        <w:tc>
          <w:tcPr>
            <w:tcW w:w="2976" w:type="dxa"/>
            <w:shd w:val="clear" w:color="auto" w:fill="auto"/>
          </w:tcPr>
          <w:p w14:paraId="3395A77A"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0F46CABA" w14:textId="77777777" w:rsidR="00A213C3" w:rsidRPr="00284DE5" w:rsidRDefault="00A213C3" w:rsidP="009429DC">
            <w:pPr>
              <w:spacing w:before="40" w:after="40" w:line="276" w:lineRule="auto"/>
              <w:contextualSpacing/>
              <w:jc w:val="left"/>
              <w:rPr>
                <w:rFonts w:cs="Arial"/>
                <w:szCs w:val="20"/>
              </w:rPr>
            </w:pPr>
          </w:p>
        </w:tc>
      </w:tr>
      <w:tr w:rsidR="00A213C3" w:rsidRPr="00284DE5" w14:paraId="13B75CDF" w14:textId="77777777" w:rsidTr="00E86D5D">
        <w:trPr>
          <w:cantSplit/>
        </w:trPr>
        <w:tc>
          <w:tcPr>
            <w:tcW w:w="1227" w:type="dxa"/>
            <w:shd w:val="clear" w:color="auto" w:fill="auto"/>
          </w:tcPr>
          <w:p w14:paraId="7889759E" w14:textId="77777777" w:rsidR="00A213C3" w:rsidRPr="00284DE5" w:rsidRDefault="00A213C3" w:rsidP="009429DC">
            <w:pPr>
              <w:spacing w:before="40" w:after="40" w:line="276" w:lineRule="auto"/>
              <w:contextualSpacing/>
              <w:jc w:val="left"/>
              <w:rPr>
                <w:rFonts w:cs="Arial"/>
                <w:szCs w:val="20"/>
              </w:rPr>
            </w:pPr>
            <w:r>
              <w:rPr>
                <w:rFonts w:cs="Arial"/>
                <w:szCs w:val="20"/>
              </w:rPr>
              <w:t>67</w:t>
            </w:r>
          </w:p>
        </w:tc>
        <w:tc>
          <w:tcPr>
            <w:tcW w:w="2002" w:type="dxa"/>
            <w:shd w:val="clear" w:color="auto" w:fill="auto"/>
          </w:tcPr>
          <w:p w14:paraId="4C7216D0"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Vegetables</w:t>
            </w:r>
          </w:p>
        </w:tc>
        <w:tc>
          <w:tcPr>
            <w:tcW w:w="4558" w:type="dxa"/>
            <w:shd w:val="clear" w:color="auto" w:fill="auto"/>
          </w:tcPr>
          <w:p w14:paraId="4FE1F4B7"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shd w:val="clear" w:color="auto" w:fill="auto"/>
          </w:tcPr>
          <w:p w14:paraId="2A75F170"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09BC312E" w14:textId="77777777" w:rsidR="00A213C3" w:rsidRPr="00284DE5" w:rsidRDefault="00A213C3" w:rsidP="009429DC">
            <w:pPr>
              <w:spacing w:before="40" w:after="40" w:line="276" w:lineRule="auto"/>
              <w:contextualSpacing/>
              <w:jc w:val="left"/>
              <w:rPr>
                <w:rFonts w:cs="Arial"/>
                <w:szCs w:val="20"/>
              </w:rPr>
            </w:pPr>
          </w:p>
        </w:tc>
      </w:tr>
      <w:tr w:rsidR="00A213C3" w:rsidRPr="00284DE5" w14:paraId="59AAFE9E" w14:textId="77777777" w:rsidTr="00E86D5D">
        <w:trPr>
          <w:cantSplit/>
        </w:trPr>
        <w:tc>
          <w:tcPr>
            <w:tcW w:w="1227" w:type="dxa"/>
            <w:shd w:val="clear" w:color="auto" w:fill="auto"/>
          </w:tcPr>
          <w:p w14:paraId="7C72A276" w14:textId="77777777" w:rsidR="00A213C3" w:rsidRPr="00284DE5" w:rsidRDefault="00A213C3" w:rsidP="009429DC">
            <w:pPr>
              <w:spacing w:before="40" w:after="40" w:line="276" w:lineRule="auto"/>
              <w:contextualSpacing/>
              <w:jc w:val="left"/>
              <w:rPr>
                <w:rFonts w:cs="Arial"/>
                <w:szCs w:val="20"/>
              </w:rPr>
            </w:pPr>
            <w:r>
              <w:rPr>
                <w:rFonts w:cs="Arial"/>
                <w:szCs w:val="20"/>
              </w:rPr>
              <w:t>68-71</w:t>
            </w:r>
          </w:p>
        </w:tc>
        <w:tc>
          <w:tcPr>
            <w:tcW w:w="2002" w:type="dxa"/>
            <w:shd w:val="clear" w:color="auto" w:fill="auto"/>
          </w:tcPr>
          <w:p w14:paraId="54CF85B2"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Smoking </w:t>
            </w:r>
          </w:p>
        </w:tc>
        <w:tc>
          <w:tcPr>
            <w:tcW w:w="4558" w:type="dxa"/>
            <w:shd w:val="clear" w:color="auto" w:fill="auto"/>
          </w:tcPr>
          <w:p w14:paraId="3848EF2E"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Modified from National Heart Foundation of Australia (1990). Risk factor prevalence study survey no.3 1989. National Heart Foundation of Australia and Australian Institute of Health.</w:t>
            </w:r>
          </w:p>
          <w:p w14:paraId="610C98AB"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Also: Modified from Australian Institute of Health and Welfare (AIHW) (1997) National Health Data Dictionary, Version 6.0.  Standard questions on the use of tobacco among adults.</w:t>
            </w:r>
          </w:p>
        </w:tc>
        <w:tc>
          <w:tcPr>
            <w:tcW w:w="2976" w:type="dxa"/>
            <w:shd w:val="clear" w:color="auto" w:fill="auto"/>
          </w:tcPr>
          <w:p w14:paraId="3B49B39C"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157C3932" w14:textId="77777777" w:rsidR="00A213C3" w:rsidRPr="00284DE5" w:rsidRDefault="00A213C3" w:rsidP="009429DC">
            <w:pPr>
              <w:spacing w:before="40" w:after="40" w:line="276" w:lineRule="auto"/>
              <w:contextualSpacing/>
              <w:jc w:val="left"/>
              <w:rPr>
                <w:rFonts w:cs="Arial"/>
                <w:szCs w:val="20"/>
              </w:rPr>
            </w:pPr>
          </w:p>
        </w:tc>
      </w:tr>
      <w:tr w:rsidR="00A213C3" w:rsidRPr="00284DE5" w14:paraId="260D16B1" w14:textId="77777777" w:rsidTr="00E86D5D">
        <w:trPr>
          <w:cantSplit/>
        </w:trPr>
        <w:tc>
          <w:tcPr>
            <w:tcW w:w="1227" w:type="dxa"/>
            <w:shd w:val="clear" w:color="auto" w:fill="auto"/>
          </w:tcPr>
          <w:p w14:paraId="0FF6C9DE" w14:textId="77777777" w:rsidR="00A213C3" w:rsidRPr="00284DE5" w:rsidRDefault="00A213C3" w:rsidP="009429DC">
            <w:pPr>
              <w:spacing w:before="40" w:after="40" w:line="276" w:lineRule="auto"/>
              <w:contextualSpacing/>
              <w:jc w:val="left"/>
              <w:rPr>
                <w:rFonts w:cs="Arial"/>
                <w:szCs w:val="20"/>
              </w:rPr>
            </w:pPr>
            <w:r>
              <w:rPr>
                <w:rFonts w:cs="Arial"/>
                <w:szCs w:val="20"/>
              </w:rPr>
              <w:t>72</w:t>
            </w:r>
          </w:p>
        </w:tc>
        <w:tc>
          <w:tcPr>
            <w:tcW w:w="2002" w:type="dxa"/>
            <w:shd w:val="clear" w:color="auto" w:fill="auto"/>
          </w:tcPr>
          <w:p w14:paraId="09AB14A8"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Elder abuse</w:t>
            </w:r>
          </w:p>
        </w:tc>
        <w:tc>
          <w:tcPr>
            <w:tcW w:w="4558" w:type="dxa"/>
            <w:shd w:val="clear" w:color="auto" w:fill="auto"/>
          </w:tcPr>
          <w:p w14:paraId="03441DB1" w14:textId="77777777" w:rsidR="00A213C3" w:rsidRPr="00284DE5" w:rsidRDefault="00A213C3" w:rsidP="009429DC">
            <w:pPr>
              <w:spacing w:before="40" w:after="40" w:line="276" w:lineRule="auto"/>
              <w:contextualSpacing/>
              <w:jc w:val="left"/>
              <w:rPr>
                <w:rFonts w:cs="Arial"/>
                <w:szCs w:val="20"/>
              </w:rPr>
            </w:pPr>
            <w:proofErr w:type="spellStart"/>
            <w:r w:rsidRPr="00284DE5">
              <w:rPr>
                <w:rFonts w:cs="Arial"/>
                <w:szCs w:val="20"/>
              </w:rPr>
              <w:t>Hwalek</w:t>
            </w:r>
            <w:proofErr w:type="spellEnd"/>
            <w:r w:rsidRPr="00284DE5">
              <w:rPr>
                <w:rFonts w:cs="Arial"/>
                <w:szCs w:val="20"/>
              </w:rPr>
              <w:t xml:space="preserve"> MA, &amp; </w:t>
            </w:r>
            <w:proofErr w:type="spellStart"/>
            <w:r w:rsidRPr="00284DE5">
              <w:rPr>
                <w:rFonts w:cs="Arial"/>
                <w:szCs w:val="20"/>
              </w:rPr>
              <w:t>Sengstock</w:t>
            </w:r>
            <w:proofErr w:type="spellEnd"/>
            <w:r w:rsidRPr="00284DE5">
              <w:rPr>
                <w:rFonts w:cs="Arial"/>
                <w:szCs w:val="20"/>
              </w:rPr>
              <w:t xml:space="preserve"> MC. (1986). Assessing the probability of abuse of the elderly: Toward development of a clinical screening instrument. </w:t>
            </w:r>
            <w:r w:rsidRPr="00DE7DDC">
              <w:rPr>
                <w:rFonts w:cs="Arial"/>
                <w:i/>
                <w:iCs/>
                <w:szCs w:val="20"/>
              </w:rPr>
              <w:t>Journal of Applied Gerontology</w:t>
            </w:r>
            <w:r w:rsidRPr="00284DE5">
              <w:rPr>
                <w:rFonts w:cs="Arial"/>
                <w:szCs w:val="20"/>
              </w:rPr>
              <w:t>, 5(2), 153-173.</w:t>
            </w:r>
          </w:p>
        </w:tc>
        <w:tc>
          <w:tcPr>
            <w:tcW w:w="2976" w:type="dxa"/>
            <w:shd w:val="clear" w:color="auto" w:fill="auto"/>
          </w:tcPr>
          <w:p w14:paraId="6733CCAA"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493F8CE5" w14:textId="77777777" w:rsidR="00A213C3" w:rsidRPr="00284DE5" w:rsidRDefault="00A213C3" w:rsidP="009429DC">
            <w:pPr>
              <w:spacing w:before="40" w:after="40" w:line="276" w:lineRule="auto"/>
              <w:contextualSpacing/>
              <w:jc w:val="left"/>
              <w:rPr>
                <w:rFonts w:cs="Arial"/>
                <w:szCs w:val="20"/>
                <w:highlight w:val="lightGray"/>
              </w:rPr>
            </w:pPr>
          </w:p>
        </w:tc>
      </w:tr>
      <w:tr w:rsidR="00A213C3" w:rsidRPr="00284DE5" w14:paraId="7BE81861" w14:textId="77777777" w:rsidTr="00E86D5D">
        <w:trPr>
          <w:cantSplit/>
        </w:trPr>
        <w:tc>
          <w:tcPr>
            <w:tcW w:w="1227" w:type="dxa"/>
            <w:shd w:val="clear" w:color="auto" w:fill="auto"/>
          </w:tcPr>
          <w:p w14:paraId="5F2C548C" w14:textId="77777777" w:rsidR="00A213C3" w:rsidRDefault="00A213C3" w:rsidP="009429DC">
            <w:pPr>
              <w:spacing w:before="40" w:after="40" w:line="276" w:lineRule="auto"/>
              <w:contextualSpacing/>
              <w:jc w:val="left"/>
              <w:rPr>
                <w:rFonts w:cs="Arial"/>
                <w:szCs w:val="20"/>
              </w:rPr>
            </w:pPr>
            <w:r>
              <w:rPr>
                <w:rFonts w:cs="Arial"/>
                <w:szCs w:val="20"/>
              </w:rPr>
              <w:lastRenderedPageBreak/>
              <w:t>73</w:t>
            </w:r>
          </w:p>
        </w:tc>
        <w:tc>
          <w:tcPr>
            <w:tcW w:w="2002" w:type="dxa"/>
            <w:shd w:val="clear" w:color="auto" w:fill="auto"/>
          </w:tcPr>
          <w:p w14:paraId="42B46D4E"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Life events</w:t>
            </w:r>
          </w:p>
        </w:tc>
        <w:tc>
          <w:tcPr>
            <w:tcW w:w="4558" w:type="dxa"/>
            <w:shd w:val="clear" w:color="auto" w:fill="auto"/>
          </w:tcPr>
          <w:p w14:paraId="1ED21923"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Modified from </w:t>
            </w:r>
            <w:proofErr w:type="spellStart"/>
            <w:r w:rsidRPr="00284DE5">
              <w:rPr>
                <w:rFonts w:cs="Arial"/>
                <w:szCs w:val="20"/>
              </w:rPr>
              <w:t>Norbeck</w:t>
            </w:r>
            <w:proofErr w:type="spellEnd"/>
            <w:r w:rsidRPr="00284DE5">
              <w:rPr>
                <w:rFonts w:cs="Arial"/>
                <w:szCs w:val="20"/>
              </w:rPr>
              <w:t xml:space="preserve"> JS. (1984). Modification of live event questionnaires for use with female respondents</w:t>
            </w:r>
            <w:r w:rsidRPr="00DE7DDC">
              <w:rPr>
                <w:rFonts w:cs="Arial"/>
                <w:i/>
                <w:iCs/>
                <w:szCs w:val="20"/>
              </w:rPr>
              <w:t>. Research in Nursing and Health</w:t>
            </w:r>
            <w:r w:rsidRPr="00284DE5">
              <w:rPr>
                <w:rFonts w:cs="Arial"/>
                <w:szCs w:val="20"/>
              </w:rPr>
              <w:t>, 7, 61-71.</w:t>
            </w:r>
          </w:p>
        </w:tc>
        <w:tc>
          <w:tcPr>
            <w:tcW w:w="2976" w:type="dxa"/>
            <w:shd w:val="clear" w:color="auto" w:fill="auto"/>
          </w:tcPr>
          <w:p w14:paraId="7D1B1859" w14:textId="77777777" w:rsidR="00A213C3" w:rsidRPr="00284DE5" w:rsidRDefault="00A213C3" w:rsidP="009429DC">
            <w:pPr>
              <w:spacing w:before="40" w:after="40" w:line="276" w:lineRule="auto"/>
              <w:contextualSpacing/>
              <w:jc w:val="left"/>
              <w:rPr>
                <w:rFonts w:cs="Arial"/>
                <w:szCs w:val="20"/>
              </w:rPr>
            </w:pPr>
          </w:p>
        </w:tc>
        <w:tc>
          <w:tcPr>
            <w:tcW w:w="3097" w:type="dxa"/>
            <w:shd w:val="clear" w:color="auto" w:fill="auto"/>
          </w:tcPr>
          <w:p w14:paraId="1381F6DC" w14:textId="77777777" w:rsidR="00A213C3" w:rsidRPr="00284DE5" w:rsidRDefault="00A213C3" w:rsidP="009429DC">
            <w:pPr>
              <w:spacing w:before="40" w:after="40" w:line="276" w:lineRule="auto"/>
              <w:contextualSpacing/>
              <w:jc w:val="left"/>
              <w:rPr>
                <w:rFonts w:cs="Arial"/>
                <w:szCs w:val="20"/>
                <w:highlight w:val="lightGray"/>
              </w:rPr>
            </w:pPr>
          </w:p>
        </w:tc>
      </w:tr>
      <w:tr w:rsidR="00A213C3" w:rsidRPr="00284DE5" w14:paraId="4019C573" w14:textId="77777777" w:rsidTr="00E86D5D">
        <w:trPr>
          <w:cantSplit/>
        </w:trPr>
        <w:tc>
          <w:tcPr>
            <w:tcW w:w="1227" w:type="dxa"/>
            <w:shd w:val="clear" w:color="auto" w:fill="auto"/>
          </w:tcPr>
          <w:p w14:paraId="11FC45DD" w14:textId="77777777" w:rsidR="00A213C3" w:rsidRPr="00284DE5" w:rsidRDefault="00A213C3" w:rsidP="009429DC">
            <w:pPr>
              <w:spacing w:before="40" w:after="40" w:line="276" w:lineRule="auto"/>
              <w:contextualSpacing/>
              <w:jc w:val="left"/>
              <w:rPr>
                <w:rFonts w:cs="Arial"/>
                <w:szCs w:val="20"/>
              </w:rPr>
            </w:pPr>
            <w:r>
              <w:rPr>
                <w:rFonts w:cs="Arial"/>
                <w:szCs w:val="20"/>
              </w:rPr>
              <w:t>74</w:t>
            </w:r>
          </w:p>
        </w:tc>
        <w:tc>
          <w:tcPr>
            <w:tcW w:w="2002" w:type="dxa"/>
            <w:shd w:val="clear" w:color="auto" w:fill="auto"/>
          </w:tcPr>
          <w:p w14:paraId="1610F63F"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Years when experienced violence</w:t>
            </w:r>
          </w:p>
        </w:tc>
        <w:tc>
          <w:tcPr>
            <w:tcW w:w="4558" w:type="dxa"/>
            <w:shd w:val="clear" w:color="auto" w:fill="auto"/>
          </w:tcPr>
          <w:p w14:paraId="23C382E4"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Modified from Hegarty KL, Sheehan M, </w:t>
            </w:r>
            <w:proofErr w:type="spellStart"/>
            <w:r w:rsidRPr="00284DE5">
              <w:rPr>
                <w:rFonts w:cs="Arial"/>
                <w:szCs w:val="20"/>
              </w:rPr>
              <w:t>Schonfeld</w:t>
            </w:r>
            <w:proofErr w:type="spellEnd"/>
            <w:r w:rsidRPr="00284DE5">
              <w:rPr>
                <w:rFonts w:cs="Arial"/>
                <w:szCs w:val="20"/>
              </w:rPr>
              <w:t xml:space="preserve"> C. (1999) A multidimensional definition of partner abuse: development and preliminary validation of the Composite Abuse Scale. </w:t>
            </w:r>
            <w:r w:rsidRPr="00DE7DDC">
              <w:rPr>
                <w:rFonts w:cs="Arial"/>
                <w:i/>
                <w:iCs/>
                <w:szCs w:val="20"/>
              </w:rPr>
              <w:t>J Fam Violence</w:t>
            </w:r>
            <w:r w:rsidRPr="00284DE5">
              <w:rPr>
                <w:rFonts w:cs="Arial"/>
                <w:szCs w:val="20"/>
              </w:rPr>
              <w:t>, 14, 399-414.</w:t>
            </w:r>
          </w:p>
        </w:tc>
        <w:tc>
          <w:tcPr>
            <w:tcW w:w="2976" w:type="dxa"/>
            <w:shd w:val="clear" w:color="auto" w:fill="auto"/>
          </w:tcPr>
          <w:p w14:paraId="1E811A8E" w14:textId="77777777" w:rsidR="00A213C3" w:rsidRDefault="00A213C3" w:rsidP="009429DC">
            <w:pPr>
              <w:spacing w:before="40" w:after="40" w:line="276" w:lineRule="auto"/>
              <w:contextualSpacing/>
              <w:jc w:val="left"/>
              <w:rPr>
                <w:rFonts w:cs="Arial"/>
                <w:szCs w:val="20"/>
              </w:rPr>
            </w:pPr>
            <w:r>
              <w:rPr>
                <w:rFonts w:cs="Arial"/>
                <w:szCs w:val="20"/>
              </w:rPr>
              <w:t>Timeframes modified after longitudinal audit of the item to make sure it</w:t>
            </w:r>
            <w:r w:rsidRPr="00E03D11">
              <w:rPr>
                <w:rFonts w:cs="Arial"/>
                <w:szCs w:val="20"/>
              </w:rPr>
              <w:t xml:space="preserve"> accurately capture</w:t>
            </w:r>
            <w:r>
              <w:rPr>
                <w:rFonts w:cs="Arial"/>
                <w:szCs w:val="20"/>
              </w:rPr>
              <w:t>d</w:t>
            </w:r>
            <w:r w:rsidRPr="00E03D11">
              <w:rPr>
                <w:rFonts w:cs="Arial"/>
                <w:szCs w:val="20"/>
              </w:rPr>
              <w:t xml:space="preserve"> when violence was experienced</w:t>
            </w:r>
            <w:r>
              <w:rPr>
                <w:rFonts w:cs="Arial"/>
                <w:szCs w:val="20"/>
              </w:rPr>
              <w:t xml:space="preserve"> across the longitudinal study.</w:t>
            </w:r>
          </w:p>
          <w:p w14:paraId="59E47620" w14:textId="77777777" w:rsidR="00A213C3" w:rsidRDefault="00A213C3" w:rsidP="009429DC">
            <w:pPr>
              <w:spacing w:before="40" w:after="40" w:line="276" w:lineRule="auto"/>
              <w:contextualSpacing/>
              <w:jc w:val="left"/>
              <w:rPr>
                <w:rFonts w:cs="Arial"/>
                <w:szCs w:val="20"/>
              </w:rPr>
            </w:pPr>
          </w:p>
          <w:p w14:paraId="2C94A0D6" w14:textId="77777777" w:rsidR="00A213C3" w:rsidRPr="00284DE5" w:rsidRDefault="00A213C3" w:rsidP="009429DC">
            <w:pPr>
              <w:spacing w:before="40" w:after="40" w:line="276" w:lineRule="auto"/>
              <w:contextualSpacing/>
              <w:jc w:val="left"/>
              <w:rPr>
                <w:rFonts w:cs="Arial"/>
                <w:szCs w:val="20"/>
              </w:rPr>
            </w:pPr>
            <w:r>
              <w:rPr>
                <w:rFonts w:cs="Arial"/>
                <w:szCs w:val="20"/>
              </w:rPr>
              <w:t>Slight reduction in wording of the information blurb after the item due to formatting constraints.</w:t>
            </w:r>
          </w:p>
        </w:tc>
        <w:tc>
          <w:tcPr>
            <w:tcW w:w="3097" w:type="dxa"/>
            <w:shd w:val="clear" w:color="auto" w:fill="auto"/>
          </w:tcPr>
          <w:p w14:paraId="5CEB0B35" w14:textId="77777777" w:rsidR="00A213C3" w:rsidRPr="00284DE5" w:rsidRDefault="00A213C3" w:rsidP="009429DC">
            <w:pPr>
              <w:spacing w:before="40" w:after="40" w:line="276" w:lineRule="auto"/>
              <w:contextualSpacing/>
              <w:jc w:val="left"/>
              <w:rPr>
                <w:rFonts w:cs="Arial"/>
                <w:szCs w:val="20"/>
                <w:highlight w:val="lightGray"/>
              </w:rPr>
            </w:pPr>
          </w:p>
        </w:tc>
      </w:tr>
      <w:tr w:rsidR="00A213C3" w:rsidRPr="00284DE5" w14:paraId="31FCBB04" w14:textId="77777777" w:rsidTr="00E86D5D">
        <w:trPr>
          <w:cantSplit/>
        </w:trPr>
        <w:tc>
          <w:tcPr>
            <w:tcW w:w="1227" w:type="dxa"/>
          </w:tcPr>
          <w:p w14:paraId="37B89469" w14:textId="77777777" w:rsidR="00A213C3" w:rsidRDefault="00A213C3" w:rsidP="009429DC">
            <w:pPr>
              <w:spacing w:before="40" w:after="40" w:line="276" w:lineRule="auto"/>
              <w:contextualSpacing/>
              <w:jc w:val="left"/>
              <w:rPr>
                <w:rFonts w:cs="Arial"/>
                <w:szCs w:val="20"/>
              </w:rPr>
            </w:pPr>
            <w:r>
              <w:rPr>
                <w:rFonts w:cs="Arial"/>
                <w:szCs w:val="20"/>
              </w:rPr>
              <w:t>75</w:t>
            </w:r>
          </w:p>
        </w:tc>
        <w:tc>
          <w:tcPr>
            <w:tcW w:w="2002" w:type="dxa"/>
          </w:tcPr>
          <w:p w14:paraId="3F224C7F"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Needs help with daily tasks</w:t>
            </w:r>
          </w:p>
        </w:tc>
        <w:tc>
          <w:tcPr>
            <w:tcW w:w="4558" w:type="dxa"/>
          </w:tcPr>
          <w:p w14:paraId="21DD8180"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Modified from Australian Bureau of Statistics (1993) Disability, Aging and Carers Australia. Canberra: ABS. Cat. No. 4432.0</w:t>
            </w:r>
          </w:p>
        </w:tc>
        <w:tc>
          <w:tcPr>
            <w:tcW w:w="2976" w:type="dxa"/>
          </w:tcPr>
          <w:p w14:paraId="49BDCB6A" w14:textId="77777777" w:rsidR="00A213C3" w:rsidRPr="00284DE5" w:rsidRDefault="00A213C3" w:rsidP="009429DC">
            <w:pPr>
              <w:spacing w:before="40" w:after="40" w:line="276" w:lineRule="auto"/>
              <w:contextualSpacing/>
              <w:jc w:val="left"/>
              <w:rPr>
                <w:rFonts w:cs="Arial"/>
                <w:szCs w:val="20"/>
              </w:rPr>
            </w:pPr>
          </w:p>
        </w:tc>
        <w:tc>
          <w:tcPr>
            <w:tcW w:w="3097" w:type="dxa"/>
          </w:tcPr>
          <w:p w14:paraId="11317907" w14:textId="77777777" w:rsidR="00A213C3" w:rsidRPr="00284DE5" w:rsidRDefault="00A213C3" w:rsidP="009429DC">
            <w:pPr>
              <w:spacing w:before="40" w:after="40" w:line="276" w:lineRule="auto"/>
              <w:contextualSpacing/>
              <w:jc w:val="left"/>
              <w:rPr>
                <w:rFonts w:cs="Arial"/>
                <w:szCs w:val="20"/>
              </w:rPr>
            </w:pPr>
          </w:p>
        </w:tc>
      </w:tr>
      <w:tr w:rsidR="00A213C3" w:rsidRPr="00284DE5" w14:paraId="5EA9D217" w14:textId="77777777" w:rsidTr="00E86D5D">
        <w:trPr>
          <w:cantSplit/>
        </w:trPr>
        <w:tc>
          <w:tcPr>
            <w:tcW w:w="1227" w:type="dxa"/>
          </w:tcPr>
          <w:p w14:paraId="479F4824" w14:textId="77777777" w:rsidR="00A213C3" w:rsidRPr="00284DE5" w:rsidRDefault="00A213C3" w:rsidP="009429DC">
            <w:pPr>
              <w:spacing w:before="40" w:after="40" w:line="276" w:lineRule="auto"/>
              <w:contextualSpacing/>
              <w:jc w:val="left"/>
              <w:rPr>
                <w:rFonts w:cs="Arial"/>
                <w:szCs w:val="20"/>
              </w:rPr>
            </w:pPr>
            <w:r>
              <w:rPr>
                <w:rFonts w:cs="Arial"/>
                <w:szCs w:val="20"/>
              </w:rPr>
              <w:t>76</w:t>
            </w:r>
          </w:p>
        </w:tc>
        <w:tc>
          <w:tcPr>
            <w:tcW w:w="2002" w:type="dxa"/>
          </w:tcPr>
          <w:p w14:paraId="449F760D"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Time use</w:t>
            </w:r>
          </w:p>
        </w:tc>
        <w:tc>
          <w:tcPr>
            <w:tcW w:w="4558" w:type="dxa"/>
          </w:tcPr>
          <w:p w14:paraId="3480BCEC"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Modified from Australian Bureau of Statistics (1993) Time use survey, Australia, 1992: user's guide.  Canberra: ABS. Cat No. 4150.0.</w:t>
            </w:r>
          </w:p>
        </w:tc>
        <w:tc>
          <w:tcPr>
            <w:tcW w:w="2976" w:type="dxa"/>
          </w:tcPr>
          <w:p w14:paraId="49DC684D" w14:textId="77777777" w:rsidR="00A213C3" w:rsidRPr="00284DE5" w:rsidRDefault="00A213C3" w:rsidP="009429DC">
            <w:pPr>
              <w:spacing w:before="40" w:after="40" w:line="276" w:lineRule="auto"/>
              <w:contextualSpacing/>
              <w:jc w:val="left"/>
              <w:rPr>
                <w:rFonts w:cs="Arial"/>
                <w:szCs w:val="20"/>
              </w:rPr>
            </w:pPr>
          </w:p>
        </w:tc>
        <w:tc>
          <w:tcPr>
            <w:tcW w:w="3097" w:type="dxa"/>
          </w:tcPr>
          <w:p w14:paraId="279A1F27" w14:textId="77777777" w:rsidR="00A213C3" w:rsidRPr="00284DE5" w:rsidRDefault="00A213C3" w:rsidP="009429DC">
            <w:pPr>
              <w:spacing w:before="40" w:after="40" w:line="276" w:lineRule="auto"/>
              <w:contextualSpacing/>
              <w:jc w:val="left"/>
              <w:rPr>
                <w:rFonts w:cs="Arial"/>
                <w:szCs w:val="20"/>
              </w:rPr>
            </w:pPr>
          </w:p>
        </w:tc>
      </w:tr>
      <w:tr w:rsidR="00A213C3" w:rsidRPr="00284DE5" w14:paraId="57C4AD55" w14:textId="77777777" w:rsidTr="00E86D5D">
        <w:trPr>
          <w:cantSplit/>
        </w:trPr>
        <w:tc>
          <w:tcPr>
            <w:tcW w:w="1227" w:type="dxa"/>
          </w:tcPr>
          <w:p w14:paraId="33ED9BAA" w14:textId="77777777" w:rsidR="00A213C3" w:rsidRPr="00284DE5" w:rsidRDefault="00A213C3" w:rsidP="009429DC">
            <w:pPr>
              <w:spacing w:before="40" w:after="40" w:line="276" w:lineRule="auto"/>
              <w:contextualSpacing/>
              <w:jc w:val="left"/>
              <w:rPr>
                <w:rFonts w:cs="Arial"/>
                <w:szCs w:val="20"/>
              </w:rPr>
            </w:pPr>
            <w:r>
              <w:rPr>
                <w:rFonts w:cs="Arial"/>
                <w:szCs w:val="20"/>
              </w:rPr>
              <w:t>77</w:t>
            </w:r>
          </w:p>
        </w:tc>
        <w:tc>
          <w:tcPr>
            <w:tcW w:w="2002" w:type="dxa"/>
          </w:tcPr>
          <w:p w14:paraId="3D79A465"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Volunteer work</w:t>
            </w:r>
          </w:p>
        </w:tc>
        <w:tc>
          <w:tcPr>
            <w:tcW w:w="4558" w:type="dxa"/>
          </w:tcPr>
          <w:p w14:paraId="7EA49626" w14:textId="77777777" w:rsidR="00A213C3" w:rsidRPr="00284DE5" w:rsidRDefault="00A213C3" w:rsidP="009429DC">
            <w:pPr>
              <w:spacing w:before="40" w:after="40" w:line="276" w:lineRule="auto"/>
              <w:contextualSpacing/>
              <w:jc w:val="left"/>
              <w:rPr>
                <w:rFonts w:cs="Arial"/>
                <w:szCs w:val="20"/>
              </w:rPr>
            </w:pPr>
            <w:r>
              <w:rPr>
                <w:rFonts w:cs="Arial"/>
                <w:szCs w:val="20"/>
              </w:rPr>
              <w:t>ALSWH</w:t>
            </w:r>
          </w:p>
        </w:tc>
        <w:tc>
          <w:tcPr>
            <w:tcW w:w="2976" w:type="dxa"/>
          </w:tcPr>
          <w:p w14:paraId="0B211962" w14:textId="77777777" w:rsidR="00A213C3" w:rsidRPr="00284DE5" w:rsidRDefault="00A213C3" w:rsidP="009429DC">
            <w:pPr>
              <w:spacing w:before="40" w:after="40" w:line="276" w:lineRule="auto"/>
              <w:contextualSpacing/>
              <w:jc w:val="left"/>
              <w:rPr>
                <w:rFonts w:cs="Arial"/>
                <w:szCs w:val="20"/>
              </w:rPr>
            </w:pPr>
          </w:p>
        </w:tc>
        <w:tc>
          <w:tcPr>
            <w:tcW w:w="3097" w:type="dxa"/>
          </w:tcPr>
          <w:p w14:paraId="0FD77588" w14:textId="77777777" w:rsidR="00A213C3" w:rsidRPr="00284DE5" w:rsidRDefault="00A213C3" w:rsidP="009429DC">
            <w:pPr>
              <w:spacing w:before="40" w:after="40" w:line="276" w:lineRule="auto"/>
              <w:contextualSpacing/>
              <w:jc w:val="left"/>
              <w:rPr>
                <w:rFonts w:cs="Arial"/>
                <w:szCs w:val="20"/>
              </w:rPr>
            </w:pPr>
          </w:p>
        </w:tc>
      </w:tr>
      <w:tr w:rsidR="00A213C3" w:rsidRPr="00284DE5" w14:paraId="23C7F415" w14:textId="77777777" w:rsidTr="00E86D5D">
        <w:trPr>
          <w:cantSplit/>
        </w:trPr>
        <w:tc>
          <w:tcPr>
            <w:tcW w:w="1227" w:type="dxa"/>
          </w:tcPr>
          <w:p w14:paraId="2F3A884C"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lastRenderedPageBreak/>
              <w:t>7</w:t>
            </w:r>
            <w:r>
              <w:rPr>
                <w:rFonts w:cs="Arial"/>
                <w:szCs w:val="20"/>
              </w:rPr>
              <w:t>8-81</w:t>
            </w:r>
          </w:p>
          <w:p w14:paraId="738B8D18" w14:textId="77777777" w:rsidR="00A213C3" w:rsidRPr="00284DE5" w:rsidRDefault="00A213C3" w:rsidP="009429DC">
            <w:pPr>
              <w:spacing w:before="40" w:after="40" w:line="276" w:lineRule="auto"/>
              <w:contextualSpacing/>
              <w:jc w:val="left"/>
              <w:rPr>
                <w:rFonts w:cs="Arial"/>
                <w:szCs w:val="20"/>
              </w:rPr>
            </w:pPr>
          </w:p>
        </w:tc>
        <w:tc>
          <w:tcPr>
            <w:tcW w:w="2002" w:type="dxa"/>
          </w:tcPr>
          <w:p w14:paraId="4BB0C87B"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Care for other people</w:t>
            </w:r>
          </w:p>
        </w:tc>
        <w:tc>
          <w:tcPr>
            <w:tcW w:w="4558" w:type="dxa"/>
          </w:tcPr>
          <w:p w14:paraId="5807ECC6"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Modified from Australian Bureau of Statistics (1993) </w:t>
            </w:r>
            <w:r w:rsidRPr="00284DE5">
              <w:rPr>
                <w:rFonts w:cs="Arial"/>
                <w:i/>
                <w:szCs w:val="20"/>
              </w:rPr>
              <w:t xml:space="preserve">Disability, Aging and Carers Australia.  </w:t>
            </w:r>
            <w:r w:rsidRPr="00284DE5">
              <w:rPr>
                <w:rFonts w:cs="Arial"/>
                <w:szCs w:val="20"/>
              </w:rPr>
              <w:t>Canberra: ABS.  Cat. No. 4432.0</w:t>
            </w:r>
          </w:p>
        </w:tc>
        <w:tc>
          <w:tcPr>
            <w:tcW w:w="2976" w:type="dxa"/>
          </w:tcPr>
          <w:p w14:paraId="43135CD1" w14:textId="77777777" w:rsidR="00A213C3" w:rsidRPr="00284DE5" w:rsidRDefault="00A213C3" w:rsidP="009429DC">
            <w:pPr>
              <w:spacing w:before="40" w:after="40" w:line="276" w:lineRule="auto"/>
              <w:contextualSpacing/>
              <w:jc w:val="left"/>
              <w:rPr>
                <w:rFonts w:cs="Arial"/>
                <w:szCs w:val="20"/>
              </w:rPr>
            </w:pPr>
            <w:r>
              <w:rPr>
                <w:rFonts w:cs="Arial"/>
                <w:szCs w:val="20"/>
              </w:rPr>
              <w:t xml:space="preserve">Q77 wording modified to clarify participants </w:t>
            </w:r>
            <w:r w:rsidRPr="00D433C0">
              <w:rPr>
                <w:rFonts w:cs="Arial"/>
                <w:szCs w:val="20"/>
              </w:rPr>
              <w:t xml:space="preserve">still need to answer both </w:t>
            </w:r>
            <w:r>
              <w:rPr>
                <w:rFonts w:cs="Arial"/>
                <w:szCs w:val="20"/>
              </w:rPr>
              <w:t xml:space="preserve">a and b </w:t>
            </w:r>
            <w:r w:rsidRPr="00D433C0">
              <w:rPr>
                <w:rFonts w:cs="Arial"/>
                <w:szCs w:val="20"/>
              </w:rPr>
              <w:t>before skipping ahead.</w:t>
            </w:r>
            <w:r>
              <w:rPr>
                <w:rFonts w:cs="Arial"/>
                <w:szCs w:val="20"/>
              </w:rPr>
              <w:t xml:space="preserve"> To address higher missing values in paper survey vs online.</w:t>
            </w:r>
          </w:p>
        </w:tc>
        <w:tc>
          <w:tcPr>
            <w:tcW w:w="3097" w:type="dxa"/>
          </w:tcPr>
          <w:p w14:paraId="58DCA58D" w14:textId="77777777" w:rsidR="00A213C3" w:rsidRPr="00284DE5" w:rsidRDefault="00A213C3" w:rsidP="009429DC">
            <w:pPr>
              <w:spacing w:before="40" w:after="40" w:line="276" w:lineRule="auto"/>
              <w:contextualSpacing/>
              <w:jc w:val="left"/>
              <w:rPr>
                <w:rFonts w:cs="Arial"/>
                <w:szCs w:val="20"/>
              </w:rPr>
            </w:pPr>
          </w:p>
        </w:tc>
      </w:tr>
      <w:tr w:rsidR="00A213C3" w:rsidRPr="00284DE5" w14:paraId="70282613" w14:textId="77777777" w:rsidTr="00E86D5D">
        <w:trPr>
          <w:cantSplit/>
        </w:trPr>
        <w:tc>
          <w:tcPr>
            <w:tcW w:w="1227" w:type="dxa"/>
          </w:tcPr>
          <w:p w14:paraId="48EB85A5" w14:textId="77777777" w:rsidR="00A213C3" w:rsidRPr="00284DE5" w:rsidRDefault="00A213C3" w:rsidP="009429DC">
            <w:pPr>
              <w:spacing w:before="40" w:after="40" w:line="276" w:lineRule="auto"/>
              <w:contextualSpacing/>
              <w:jc w:val="left"/>
              <w:rPr>
                <w:rFonts w:cs="Arial"/>
                <w:szCs w:val="20"/>
              </w:rPr>
            </w:pPr>
            <w:r>
              <w:rPr>
                <w:rFonts w:cs="Arial"/>
                <w:szCs w:val="20"/>
              </w:rPr>
              <w:t>82</w:t>
            </w:r>
          </w:p>
        </w:tc>
        <w:tc>
          <w:tcPr>
            <w:tcW w:w="2002" w:type="dxa"/>
          </w:tcPr>
          <w:p w14:paraId="0E72F7BE"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Reason for care</w:t>
            </w:r>
          </w:p>
        </w:tc>
        <w:tc>
          <w:tcPr>
            <w:tcW w:w="4558" w:type="dxa"/>
          </w:tcPr>
          <w:p w14:paraId="6B96DD9B"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2007 ALSWH </w:t>
            </w:r>
            <w:proofErr w:type="spellStart"/>
            <w:r w:rsidRPr="00284DE5">
              <w:rPr>
                <w:rFonts w:cs="Arial"/>
                <w:szCs w:val="20"/>
              </w:rPr>
              <w:t>Substudy</w:t>
            </w:r>
            <w:proofErr w:type="spellEnd"/>
            <w:r w:rsidRPr="00284DE5">
              <w:rPr>
                <w:rFonts w:cs="Arial"/>
                <w:szCs w:val="20"/>
              </w:rPr>
              <w:t xml:space="preserve"> ‘Service utilisation and caregiving among mid-aged women’.</w:t>
            </w:r>
          </w:p>
        </w:tc>
        <w:tc>
          <w:tcPr>
            <w:tcW w:w="2976" w:type="dxa"/>
          </w:tcPr>
          <w:p w14:paraId="15C07C3F" w14:textId="77777777" w:rsidR="00A213C3" w:rsidRPr="00284DE5" w:rsidRDefault="00A213C3" w:rsidP="009429DC">
            <w:pPr>
              <w:spacing w:before="40" w:after="40" w:line="276" w:lineRule="auto"/>
              <w:contextualSpacing/>
              <w:jc w:val="left"/>
              <w:rPr>
                <w:rFonts w:cs="Arial"/>
                <w:szCs w:val="20"/>
              </w:rPr>
            </w:pPr>
          </w:p>
        </w:tc>
        <w:tc>
          <w:tcPr>
            <w:tcW w:w="3097" w:type="dxa"/>
          </w:tcPr>
          <w:p w14:paraId="146B36F6" w14:textId="77777777" w:rsidR="00A213C3" w:rsidRPr="00284DE5" w:rsidRDefault="00A213C3" w:rsidP="009429DC">
            <w:pPr>
              <w:spacing w:before="40" w:after="40" w:line="276" w:lineRule="auto"/>
              <w:contextualSpacing/>
              <w:jc w:val="left"/>
              <w:rPr>
                <w:rFonts w:cs="Arial"/>
                <w:szCs w:val="20"/>
              </w:rPr>
            </w:pPr>
          </w:p>
        </w:tc>
      </w:tr>
      <w:tr w:rsidR="00A213C3" w:rsidRPr="00284DE5" w14:paraId="022C20A4" w14:textId="77777777" w:rsidTr="00E86D5D">
        <w:trPr>
          <w:cantSplit/>
        </w:trPr>
        <w:tc>
          <w:tcPr>
            <w:tcW w:w="1227" w:type="dxa"/>
          </w:tcPr>
          <w:p w14:paraId="4F499545" w14:textId="77777777" w:rsidR="00A213C3" w:rsidRPr="00284DE5" w:rsidRDefault="00A213C3" w:rsidP="009429DC">
            <w:pPr>
              <w:spacing w:before="40" w:after="40" w:line="276" w:lineRule="auto"/>
              <w:contextualSpacing/>
              <w:jc w:val="left"/>
              <w:rPr>
                <w:rFonts w:cs="Arial"/>
                <w:szCs w:val="20"/>
              </w:rPr>
            </w:pPr>
            <w:r>
              <w:rPr>
                <w:rFonts w:cs="Arial"/>
                <w:szCs w:val="20"/>
              </w:rPr>
              <w:t>83</w:t>
            </w:r>
          </w:p>
        </w:tc>
        <w:tc>
          <w:tcPr>
            <w:tcW w:w="2002" w:type="dxa"/>
          </w:tcPr>
          <w:p w14:paraId="54F06755"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Relationship to person you care for</w:t>
            </w:r>
          </w:p>
        </w:tc>
        <w:tc>
          <w:tcPr>
            <w:tcW w:w="4558" w:type="dxa"/>
          </w:tcPr>
          <w:p w14:paraId="25B91DF8"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tcPr>
          <w:p w14:paraId="49BF70C2" w14:textId="77777777" w:rsidR="00A213C3" w:rsidRPr="00284DE5" w:rsidRDefault="00A213C3" w:rsidP="009429DC">
            <w:pPr>
              <w:spacing w:before="40" w:after="40" w:line="276" w:lineRule="auto"/>
              <w:contextualSpacing/>
              <w:jc w:val="left"/>
              <w:rPr>
                <w:rFonts w:cs="Arial"/>
                <w:szCs w:val="20"/>
              </w:rPr>
            </w:pPr>
          </w:p>
        </w:tc>
        <w:tc>
          <w:tcPr>
            <w:tcW w:w="3097" w:type="dxa"/>
          </w:tcPr>
          <w:p w14:paraId="5055AF1F" w14:textId="77777777" w:rsidR="00A213C3" w:rsidRPr="00284DE5" w:rsidRDefault="00A213C3" w:rsidP="009429DC">
            <w:pPr>
              <w:spacing w:before="40" w:after="40" w:line="276" w:lineRule="auto"/>
              <w:contextualSpacing/>
              <w:jc w:val="left"/>
              <w:rPr>
                <w:rFonts w:cs="Arial"/>
                <w:szCs w:val="20"/>
              </w:rPr>
            </w:pPr>
          </w:p>
        </w:tc>
      </w:tr>
      <w:tr w:rsidR="00A213C3" w:rsidRPr="00284DE5" w14:paraId="2360E1BA" w14:textId="77777777" w:rsidTr="00E86D5D">
        <w:trPr>
          <w:cantSplit/>
        </w:trPr>
        <w:tc>
          <w:tcPr>
            <w:tcW w:w="1227" w:type="dxa"/>
          </w:tcPr>
          <w:p w14:paraId="71ECE806" w14:textId="77777777" w:rsidR="00A213C3" w:rsidRPr="00284DE5" w:rsidRDefault="00A213C3" w:rsidP="009429DC">
            <w:pPr>
              <w:spacing w:before="40" w:after="40" w:line="276" w:lineRule="auto"/>
              <w:contextualSpacing/>
              <w:jc w:val="left"/>
              <w:rPr>
                <w:rFonts w:cs="Arial"/>
                <w:szCs w:val="20"/>
              </w:rPr>
            </w:pPr>
            <w:r>
              <w:rPr>
                <w:rFonts w:cs="Arial"/>
                <w:szCs w:val="20"/>
              </w:rPr>
              <w:t>84</w:t>
            </w:r>
          </w:p>
        </w:tc>
        <w:tc>
          <w:tcPr>
            <w:tcW w:w="2002" w:type="dxa"/>
          </w:tcPr>
          <w:p w14:paraId="288E3415"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Retirement status</w:t>
            </w:r>
            <w:r>
              <w:rPr>
                <w:rFonts w:cs="Arial"/>
                <w:szCs w:val="20"/>
              </w:rPr>
              <w:t xml:space="preserve"> (self)</w:t>
            </w:r>
          </w:p>
          <w:p w14:paraId="7270C472" w14:textId="77777777" w:rsidR="00A213C3" w:rsidRPr="00284DE5" w:rsidRDefault="00A213C3" w:rsidP="009429DC">
            <w:pPr>
              <w:spacing w:before="40" w:after="40" w:line="276" w:lineRule="auto"/>
              <w:contextualSpacing/>
              <w:jc w:val="left"/>
              <w:rPr>
                <w:rFonts w:cs="Arial"/>
                <w:szCs w:val="20"/>
              </w:rPr>
            </w:pPr>
          </w:p>
        </w:tc>
        <w:tc>
          <w:tcPr>
            <w:tcW w:w="4558" w:type="dxa"/>
          </w:tcPr>
          <w:p w14:paraId="6B2D39CE"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Modified from the Household, Income and Labour Dynamics in Australia (HILDA) Survey - Continuing Person Questionnaire, Wave 3, question L2a.</w:t>
            </w:r>
          </w:p>
          <w:p w14:paraId="410F7F5C" w14:textId="77777777" w:rsidR="00A213C3" w:rsidRPr="00284DE5" w:rsidRDefault="00A213C3" w:rsidP="009429DC">
            <w:pPr>
              <w:spacing w:before="40" w:after="40" w:line="276" w:lineRule="auto"/>
              <w:contextualSpacing/>
              <w:jc w:val="left"/>
              <w:rPr>
                <w:rFonts w:cs="Arial"/>
                <w:szCs w:val="20"/>
              </w:rPr>
            </w:pPr>
          </w:p>
        </w:tc>
        <w:tc>
          <w:tcPr>
            <w:tcW w:w="2976" w:type="dxa"/>
          </w:tcPr>
          <w:p w14:paraId="0A95B914" w14:textId="77777777" w:rsidR="00A213C3" w:rsidRPr="00284DE5" w:rsidRDefault="00A213C3" w:rsidP="009429DC">
            <w:pPr>
              <w:spacing w:before="40" w:after="40" w:line="276" w:lineRule="auto"/>
              <w:contextualSpacing/>
              <w:jc w:val="left"/>
              <w:rPr>
                <w:rFonts w:cs="Arial"/>
                <w:szCs w:val="20"/>
              </w:rPr>
            </w:pPr>
          </w:p>
        </w:tc>
        <w:tc>
          <w:tcPr>
            <w:tcW w:w="3097" w:type="dxa"/>
          </w:tcPr>
          <w:p w14:paraId="2CE9E0C6" w14:textId="77777777" w:rsidR="00A213C3" w:rsidRPr="00284DE5" w:rsidRDefault="00A213C3" w:rsidP="009429DC">
            <w:pPr>
              <w:spacing w:before="40" w:after="40" w:line="276" w:lineRule="auto"/>
              <w:contextualSpacing/>
              <w:jc w:val="left"/>
              <w:rPr>
                <w:rFonts w:cs="Arial"/>
                <w:szCs w:val="20"/>
              </w:rPr>
            </w:pPr>
          </w:p>
        </w:tc>
      </w:tr>
      <w:tr w:rsidR="00A213C3" w:rsidRPr="00284DE5" w14:paraId="3FF20025" w14:textId="77777777" w:rsidTr="00E86D5D">
        <w:trPr>
          <w:cantSplit/>
        </w:trPr>
        <w:tc>
          <w:tcPr>
            <w:tcW w:w="1227" w:type="dxa"/>
          </w:tcPr>
          <w:p w14:paraId="56C04F39" w14:textId="77777777" w:rsidR="00A213C3" w:rsidRDefault="00A213C3" w:rsidP="009429DC">
            <w:pPr>
              <w:spacing w:before="40" w:after="40" w:line="276" w:lineRule="auto"/>
              <w:contextualSpacing/>
              <w:jc w:val="left"/>
              <w:rPr>
                <w:rFonts w:cs="Arial"/>
                <w:szCs w:val="20"/>
              </w:rPr>
            </w:pPr>
            <w:r>
              <w:rPr>
                <w:rFonts w:cs="Arial"/>
                <w:szCs w:val="20"/>
              </w:rPr>
              <w:t>85</w:t>
            </w:r>
          </w:p>
        </w:tc>
        <w:tc>
          <w:tcPr>
            <w:tcW w:w="2002" w:type="dxa"/>
          </w:tcPr>
          <w:p w14:paraId="2AAC0F75"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Expect to retire</w:t>
            </w:r>
            <w:r>
              <w:rPr>
                <w:rFonts w:cs="Arial"/>
                <w:szCs w:val="20"/>
              </w:rPr>
              <w:t xml:space="preserve"> (self)</w:t>
            </w:r>
          </w:p>
        </w:tc>
        <w:tc>
          <w:tcPr>
            <w:tcW w:w="4558" w:type="dxa"/>
          </w:tcPr>
          <w:p w14:paraId="25D9B580"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Modified from the Household, Income and Labour Dynamics in Australia (HILDA) Survey - Continuing Person Questionnaire, Wave 3, question L17.</w:t>
            </w:r>
          </w:p>
        </w:tc>
        <w:tc>
          <w:tcPr>
            <w:tcW w:w="2976" w:type="dxa"/>
          </w:tcPr>
          <w:p w14:paraId="2C14B99B" w14:textId="77777777" w:rsidR="00A213C3" w:rsidRDefault="00A213C3" w:rsidP="009429DC">
            <w:pPr>
              <w:spacing w:before="40" w:after="40" w:line="276" w:lineRule="auto"/>
              <w:contextualSpacing/>
              <w:jc w:val="left"/>
            </w:pPr>
          </w:p>
        </w:tc>
        <w:tc>
          <w:tcPr>
            <w:tcW w:w="3097" w:type="dxa"/>
          </w:tcPr>
          <w:p w14:paraId="32213B70" w14:textId="77777777" w:rsidR="00A213C3" w:rsidRPr="00284DE5" w:rsidRDefault="00A213C3" w:rsidP="009429DC">
            <w:pPr>
              <w:spacing w:before="40" w:after="40" w:line="276" w:lineRule="auto"/>
              <w:contextualSpacing/>
              <w:jc w:val="left"/>
              <w:rPr>
                <w:rFonts w:cs="Arial"/>
                <w:szCs w:val="20"/>
              </w:rPr>
            </w:pPr>
          </w:p>
        </w:tc>
      </w:tr>
      <w:tr w:rsidR="00A213C3" w:rsidRPr="00284DE5" w14:paraId="3D0C2A77" w14:textId="77777777" w:rsidTr="00E86D5D">
        <w:trPr>
          <w:cantSplit/>
        </w:trPr>
        <w:tc>
          <w:tcPr>
            <w:tcW w:w="1227" w:type="dxa"/>
          </w:tcPr>
          <w:p w14:paraId="41FC57B8" w14:textId="77777777" w:rsidR="00A213C3" w:rsidRPr="00284DE5" w:rsidRDefault="00A213C3" w:rsidP="009429DC">
            <w:pPr>
              <w:spacing w:before="40" w:after="40" w:line="276" w:lineRule="auto"/>
              <w:contextualSpacing/>
              <w:jc w:val="left"/>
              <w:rPr>
                <w:rFonts w:cs="Arial"/>
                <w:szCs w:val="20"/>
              </w:rPr>
            </w:pPr>
            <w:r>
              <w:rPr>
                <w:rFonts w:cs="Arial"/>
                <w:szCs w:val="20"/>
              </w:rPr>
              <w:t>86</w:t>
            </w:r>
          </w:p>
        </w:tc>
        <w:tc>
          <w:tcPr>
            <w:tcW w:w="2002" w:type="dxa"/>
          </w:tcPr>
          <w:p w14:paraId="08BE043D"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Date of retirement</w:t>
            </w:r>
            <w:r>
              <w:rPr>
                <w:rFonts w:cs="Arial"/>
                <w:szCs w:val="20"/>
              </w:rPr>
              <w:t xml:space="preserve"> (self)</w:t>
            </w:r>
          </w:p>
        </w:tc>
        <w:tc>
          <w:tcPr>
            <w:tcW w:w="4558" w:type="dxa"/>
          </w:tcPr>
          <w:p w14:paraId="7CB55C31"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Modified from the Household, Income and Labour Dynamics in Australia (HILDA) Survey - Continuing Person Questionnaire, Wave 3, question L2b.</w:t>
            </w:r>
          </w:p>
        </w:tc>
        <w:tc>
          <w:tcPr>
            <w:tcW w:w="2976" w:type="dxa"/>
          </w:tcPr>
          <w:p w14:paraId="549EC14E" w14:textId="77777777" w:rsidR="00A213C3" w:rsidRDefault="00A213C3" w:rsidP="009429DC">
            <w:pPr>
              <w:spacing w:before="40" w:after="40" w:line="276" w:lineRule="auto"/>
              <w:contextualSpacing/>
              <w:jc w:val="left"/>
            </w:pPr>
          </w:p>
        </w:tc>
        <w:tc>
          <w:tcPr>
            <w:tcW w:w="3097" w:type="dxa"/>
          </w:tcPr>
          <w:p w14:paraId="696AB0C3" w14:textId="77777777" w:rsidR="00A213C3" w:rsidRPr="00284DE5" w:rsidRDefault="00A213C3" w:rsidP="009429DC">
            <w:pPr>
              <w:spacing w:before="40" w:after="40" w:line="276" w:lineRule="auto"/>
              <w:contextualSpacing/>
              <w:jc w:val="left"/>
              <w:rPr>
                <w:rFonts w:cs="Arial"/>
                <w:szCs w:val="20"/>
              </w:rPr>
            </w:pPr>
          </w:p>
        </w:tc>
      </w:tr>
      <w:tr w:rsidR="00A213C3" w:rsidRPr="00284DE5" w14:paraId="3C9D3D41" w14:textId="77777777" w:rsidTr="00E86D5D">
        <w:trPr>
          <w:cantSplit/>
        </w:trPr>
        <w:tc>
          <w:tcPr>
            <w:tcW w:w="1227" w:type="dxa"/>
          </w:tcPr>
          <w:p w14:paraId="16C5FA37" w14:textId="77777777" w:rsidR="00A213C3" w:rsidRPr="00284DE5" w:rsidRDefault="00A213C3" w:rsidP="009429DC">
            <w:pPr>
              <w:spacing w:before="40" w:after="40" w:line="276" w:lineRule="auto"/>
              <w:contextualSpacing/>
              <w:jc w:val="left"/>
              <w:rPr>
                <w:rFonts w:cs="Arial"/>
                <w:szCs w:val="20"/>
              </w:rPr>
            </w:pPr>
            <w:r>
              <w:rPr>
                <w:rFonts w:cs="Arial"/>
                <w:szCs w:val="20"/>
              </w:rPr>
              <w:t>87</w:t>
            </w:r>
          </w:p>
        </w:tc>
        <w:tc>
          <w:tcPr>
            <w:tcW w:w="2002" w:type="dxa"/>
          </w:tcPr>
          <w:p w14:paraId="441CC16F"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Manage on income</w:t>
            </w:r>
          </w:p>
        </w:tc>
        <w:tc>
          <w:tcPr>
            <w:tcW w:w="4558" w:type="dxa"/>
          </w:tcPr>
          <w:p w14:paraId="1E3594AC"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tcPr>
          <w:p w14:paraId="089539B1" w14:textId="77777777" w:rsidR="00A213C3" w:rsidRPr="00284DE5" w:rsidRDefault="00A213C3" w:rsidP="009429DC">
            <w:pPr>
              <w:spacing w:before="40" w:after="40" w:line="276" w:lineRule="auto"/>
              <w:contextualSpacing/>
              <w:jc w:val="left"/>
              <w:rPr>
                <w:rFonts w:cs="Arial"/>
                <w:szCs w:val="20"/>
              </w:rPr>
            </w:pPr>
          </w:p>
        </w:tc>
        <w:tc>
          <w:tcPr>
            <w:tcW w:w="3097" w:type="dxa"/>
          </w:tcPr>
          <w:p w14:paraId="5FD2FF69" w14:textId="77777777" w:rsidR="00A213C3" w:rsidRPr="00284DE5" w:rsidRDefault="00A213C3" w:rsidP="009429DC">
            <w:pPr>
              <w:spacing w:before="40" w:after="40" w:line="276" w:lineRule="auto"/>
              <w:contextualSpacing/>
              <w:jc w:val="left"/>
              <w:rPr>
                <w:rFonts w:cs="Arial"/>
                <w:szCs w:val="20"/>
              </w:rPr>
            </w:pPr>
          </w:p>
        </w:tc>
      </w:tr>
      <w:tr w:rsidR="00A213C3" w:rsidRPr="00284DE5" w14:paraId="1CE42BF5" w14:textId="77777777" w:rsidTr="00E86D5D">
        <w:trPr>
          <w:cantSplit/>
        </w:trPr>
        <w:tc>
          <w:tcPr>
            <w:tcW w:w="1227" w:type="dxa"/>
          </w:tcPr>
          <w:p w14:paraId="7743C5D8" w14:textId="77777777" w:rsidR="00A213C3" w:rsidRPr="00284DE5" w:rsidRDefault="00A213C3" w:rsidP="009429DC">
            <w:pPr>
              <w:spacing w:before="40" w:after="40" w:line="276" w:lineRule="auto"/>
              <w:contextualSpacing/>
              <w:jc w:val="left"/>
              <w:rPr>
                <w:rFonts w:cs="Arial"/>
                <w:szCs w:val="20"/>
              </w:rPr>
            </w:pPr>
            <w:r>
              <w:rPr>
                <w:rFonts w:cs="Arial"/>
                <w:szCs w:val="20"/>
              </w:rPr>
              <w:lastRenderedPageBreak/>
              <w:t>88</w:t>
            </w:r>
          </w:p>
        </w:tc>
        <w:tc>
          <w:tcPr>
            <w:tcW w:w="2002" w:type="dxa"/>
          </w:tcPr>
          <w:p w14:paraId="7E09EA7F"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Financial stress indicators</w:t>
            </w:r>
          </w:p>
        </w:tc>
        <w:tc>
          <w:tcPr>
            <w:tcW w:w="4558" w:type="dxa"/>
          </w:tcPr>
          <w:p w14:paraId="5D76143A"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McColl R, Pietsch L</w:t>
            </w:r>
            <w:r>
              <w:rPr>
                <w:rFonts w:cs="Arial"/>
                <w:szCs w:val="20"/>
              </w:rPr>
              <w:t xml:space="preserve"> &amp;</w:t>
            </w:r>
            <w:r w:rsidRPr="00284DE5">
              <w:rPr>
                <w:rFonts w:cs="Arial"/>
                <w:szCs w:val="20"/>
              </w:rPr>
              <w:t xml:space="preserve"> </w:t>
            </w:r>
            <w:proofErr w:type="spellStart"/>
            <w:r w:rsidRPr="00284DE5">
              <w:rPr>
                <w:rFonts w:cs="Arial"/>
                <w:szCs w:val="20"/>
              </w:rPr>
              <w:t>Gatenby</w:t>
            </w:r>
            <w:proofErr w:type="spellEnd"/>
            <w:r w:rsidRPr="00284DE5">
              <w:rPr>
                <w:rFonts w:cs="Arial"/>
                <w:szCs w:val="20"/>
              </w:rPr>
              <w:t xml:space="preserve"> J. (2001) Household Income, Living Standards and Financial Stress, </w:t>
            </w:r>
            <w:r w:rsidRPr="00284DE5">
              <w:rPr>
                <w:rFonts w:cs="Arial"/>
                <w:i/>
                <w:szCs w:val="20"/>
              </w:rPr>
              <w:t>Australian Economic Indicators</w:t>
            </w:r>
          </w:p>
        </w:tc>
        <w:tc>
          <w:tcPr>
            <w:tcW w:w="2976" w:type="dxa"/>
          </w:tcPr>
          <w:p w14:paraId="15F2EC49" w14:textId="77777777" w:rsidR="00A213C3" w:rsidRPr="00284DE5" w:rsidRDefault="00A213C3" w:rsidP="009429DC">
            <w:pPr>
              <w:spacing w:before="40" w:after="40" w:line="276" w:lineRule="auto"/>
              <w:contextualSpacing/>
              <w:jc w:val="left"/>
              <w:rPr>
                <w:rFonts w:cs="Arial"/>
                <w:szCs w:val="20"/>
              </w:rPr>
            </w:pPr>
          </w:p>
        </w:tc>
        <w:tc>
          <w:tcPr>
            <w:tcW w:w="3097" w:type="dxa"/>
          </w:tcPr>
          <w:p w14:paraId="235F5F9F" w14:textId="77777777" w:rsidR="00A213C3" w:rsidRPr="00284DE5" w:rsidRDefault="00A213C3" w:rsidP="009429DC">
            <w:pPr>
              <w:spacing w:before="40" w:after="40" w:line="276" w:lineRule="auto"/>
              <w:contextualSpacing/>
              <w:jc w:val="left"/>
              <w:rPr>
                <w:rFonts w:cs="Arial"/>
                <w:szCs w:val="20"/>
              </w:rPr>
            </w:pPr>
          </w:p>
        </w:tc>
      </w:tr>
      <w:tr w:rsidR="00A213C3" w:rsidRPr="00284DE5" w14:paraId="11E0ADEA" w14:textId="77777777" w:rsidTr="00E86D5D">
        <w:trPr>
          <w:cantSplit/>
        </w:trPr>
        <w:tc>
          <w:tcPr>
            <w:tcW w:w="1227" w:type="dxa"/>
          </w:tcPr>
          <w:p w14:paraId="78771DA2" w14:textId="77777777" w:rsidR="00A213C3" w:rsidRPr="00284DE5" w:rsidRDefault="00A213C3" w:rsidP="009429DC">
            <w:pPr>
              <w:spacing w:before="40" w:after="40" w:line="276" w:lineRule="auto"/>
              <w:contextualSpacing/>
              <w:jc w:val="left"/>
              <w:rPr>
                <w:rFonts w:cs="Arial"/>
                <w:szCs w:val="20"/>
              </w:rPr>
            </w:pPr>
            <w:r>
              <w:rPr>
                <w:rFonts w:cs="Arial"/>
                <w:szCs w:val="20"/>
              </w:rPr>
              <w:t>89</w:t>
            </w:r>
          </w:p>
        </w:tc>
        <w:tc>
          <w:tcPr>
            <w:tcW w:w="2002" w:type="dxa"/>
          </w:tcPr>
          <w:p w14:paraId="0CB8C292"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Financial stress indicators </w:t>
            </w:r>
          </w:p>
        </w:tc>
        <w:tc>
          <w:tcPr>
            <w:tcW w:w="4558" w:type="dxa"/>
          </w:tcPr>
          <w:p w14:paraId="270D121D"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McColl R, Pietsch L</w:t>
            </w:r>
            <w:r>
              <w:rPr>
                <w:rFonts w:cs="Arial"/>
                <w:szCs w:val="20"/>
              </w:rPr>
              <w:t xml:space="preserve"> &amp;</w:t>
            </w:r>
            <w:r w:rsidRPr="00284DE5">
              <w:rPr>
                <w:rFonts w:cs="Arial"/>
                <w:szCs w:val="20"/>
              </w:rPr>
              <w:t xml:space="preserve"> </w:t>
            </w:r>
            <w:proofErr w:type="spellStart"/>
            <w:r w:rsidRPr="00284DE5">
              <w:rPr>
                <w:rFonts w:cs="Arial"/>
                <w:szCs w:val="20"/>
              </w:rPr>
              <w:t>Gatenby</w:t>
            </w:r>
            <w:proofErr w:type="spellEnd"/>
            <w:r w:rsidRPr="00284DE5">
              <w:rPr>
                <w:rFonts w:cs="Arial"/>
                <w:szCs w:val="20"/>
              </w:rPr>
              <w:t xml:space="preserve"> J. (2001) Household Income, Living Standards and Financial Stress, </w:t>
            </w:r>
            <w:r w:rsidRPr="00284DE5">
              <w:rPr>
                <w:rFonts w:cs="Arial"/>
                <w:i/>
                <w:szCs w:val="20"/>
              </w:rPr>
              <w:t>Australian Economic Indicators</w:t>
            </w:r>
          </w:p>
        </w:tc>
        <w:tc>
          <w:tcPr>
            <w:tcW w:w="2976" w:type="dxa"/>
          </w:tcPr>
          <w:p w14:paraId="3B7CA96B" w14:textId="77777777" w:rsidR="00A213C3" w:rsidRPr="00284DE5" w:rsidRDefault="00A213C3" w:rsidP="009429DC">
            <w:pPr>
              <w:spacing w:before="40" w:after="40" w:line="276" w:lineRule="auto"/>
              <w:contextualSpacing/>
              <w:jc w:val="left"/>
              <w:rPr>
                <w:rFonts w:cs="Arial"/>
                <w:szCs w:val="20"/>
              </w:rPr>
            </w:pPr>
          </w:p>
        </w:tc>
        <w:tc>
          <w:tcPr>
            <w:tcW w:w="3097" w:type="dxa"/>
          </w:tcPr>
          <w:p w14:paraId="387C4144" w14:textId="77777777" w:rsidR="00A213C3" w:rsidRPr="00284DE5" w:rsidRDefault="00A213C3" w:rsidP="009429DC">
            <w:pPr>
              <w:spacing w:before="40" w:after="40" w:line="276" w:lineRule="auto"/>
              <w:contextualSpacing/>
              <w:jc w:val="left"/>
              <w:rPr>
                <w:rFonts w:cs="Arial"/>
                <w:szCs w:val="20"/>
              </w:rPr>
            </w:pPr>
          </w:p>
        </w:tc>
      </w:tr>
      <w:tr w:rsidR="00A213C3" w:rsidRPr="00284DE5" w14:paraId="2697C25B" w14:textId="77777777" w:rsidTr="00E86D5D">
        <w:trPr>
          <w:cantSplit/>
        </w:trPr>
        <w:tc>
          <w:tcPr>
            <w:tcW w:w="1227" w:type="dxa"/>
          </w:tcPr>
          <w:p w14:paraId="737CA62C" w14:textId="77777777" w:rsidR="00A213C3" w:rsidRPr="00284DE5" w:rsidRDefault="00A213C3" w:rsidP="009429DC">
            <w:pPr>
              <w:spacing w:before="40" w:after="40" w:line="276" w:lineRule="auto"/>
              <w:contextualSpacing/>
              <w:jc w:val="left"/>
              <w:rPr>
                <w:rFonts w:cs="Arial"/>
                <w:szCs w:val="20"/>
              </w:rPr>
            </w:pPr>
            <w:r>
              <w:rPr>
                <w:rFonts w:cs="Arial"/>
                <w:szCs w:val="20"/>
              </w:rPr>
              <w:t>90</w:t>
            </w:r>
          </w:p>
        </w:tc>
        <w:tc>
          <w:tcPr>
            <w:tcW w:w="2002" w:type="dxa"/>
          </w:tcPr>
          <w:p w14:paraId="0FFFE0B8"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Current sources of income</w:t>
            </w:r>
          </w:p>
        </w:tc>
        <w:tc>
          <w:tcPr>
            <w:tcW w:w="4558" w:type="dxa"/>
          </w:tcPr>
          <w:p w14:paraId="665CBAB3"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Modified from the Household, Income and Labour Dynamics in Australia (HILDA) Survey - Continuing Person Questionnaire, Wave 3, question L22.</w:t>
            </w:r>
          </w:p>
        </w:tc>
        <w:tc>
          <w:tcPr>
            <w:tcW w:w="2976" w:type="dxa"/>
          </w:tcPr>
          <w:p w14:paraId="0E73464A" w14:textId="77777777" w:rsidR="00A213C3" w:rsidRPr="00284DE5" w:rsidRDefault="00A213C3" w:rsidP="009429DC">
            <w:pPr>
              <w:spacing w:before="40" w:after="40" w:line="276" w:lineRule="auto"/>
              <w:contextualSpacing/>
              <w:jc w:val="left"/>
              <w:rPr>
                <w:rFonts w:cs="Arial"/>
                <w:szCs w:val="20"/>
              </w:rPr>
            </w:pPr>
          </w:p>
        </w:tc>
        <w:tc>
          <w:tcPr>
            <w:tcW w:w="3097" w:type="dxa"/>
          </w:tcPr>
          <w:p w14:paraId="775C2F84" w14:textId="77777777" w:rsidR="00A213C3" w:rsidRPr="00284DE5" w:rsidRDefault="00A213C3" w:rsidP="009429DC">
            <w:pPr>
              <w:spacing w:before="40" w:after="40" w:line="276" w:lineRule="auto"/>
              <w:contextualSpacing/>
              <w:jc w:val="left"/>
              <w:rPr>
                <w:rFonts w:cs="Arial"/>
                <w:szCs w:val="20"/>
              </w:rPr>
            </w:pPr>
          </w:p>
        </w:tc>
      </w:tr>
      <w:tr w:rsidR="00A213C3" w:rsidRPr="00284DE5" w14:paraId="58F4C5C9" w14:textId="77777777" w:rsidTr="00E86D5D">
        <w:trPr>
          <w:cantSplit/>
        </w:trPr>
        <w:tc>
          <w:tcPr>
            <w:tcW w:w="1227" w:type="dxa"/>
          </w:tcPr>
          <w:p w14:paraId="2707EA03" w14:textId="77777777" w:rsidR="00A213C3" w:rsidRPr="00284DE5" w:rsidRDefault="00A213C3" w:rsidP="009429DC">
            <w:pPr>
              <w:spacing w:before="40" w:after="40" w:line="276" w:lineRule="auto"/>
              <w:contextualSpacing/>
              <w:jc w:val="left"/>
              <w:rPr>
                <w:rFonts w:cs="Arial"/>
                <w:szCs w:val="20"/>
              </w:rPr>
            </w:pPr>
            <w:r>
              <w:rPr>
                <w:rFonts w:cs="Arial"/>
                <w:szCs w:val="20"/>
              </w:rPr>
              <w:t>91</w:t>
            </w:r>
          </w:p>
        </w:tc>
        <w:tc>
          <w:tcPr>
            <w:tcW w:w="2002" w:type="dxa"/>
          </w:tcPr>
          <w:p w14:paraId="75A93D78"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Sources of funding for future care</w:t>
            </w:r>
          </w:p>
        </w:tc>
        <w:tc>
          <w:tcPr>
            <w:tcW w:w="4558" w:type="dxa"/>
          </w:tcPr>
          <w:p w14:paraId="78A81043"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tcPr>
          <w:p w14:paraId="6284DB4A" w14:textId="77777777" w:rsidR="00A213C3" w:rsidRPr="00284DE5" w:rsidRDefault="00A213C3" w:rsidP="009429DC">
            <w:pPr>
              <w:spacing w:before="40" w:after="40" w:line="276" w:lineRule="auto"/>
              <w:contextualSpacing/>
              <w:jc w:val="left"/>
              <w:rPr>
                <w:rFonts w:cs="Arial"/>
                <w:szCs w:val="20"/>
              </w:rPr>
            </w:pPr>
          </w:p>
        </w:tc>
        <w:tc>
          <w:tcPr>
            <w:tcW w:w="3097" w:type="dxa"/>
          </w:tcPr>
          <w:p w14:paraId="1DDD96F4" w14:textId="77777777" w:rsidR="00A213C3" w:rsidRPr="00284DE5" w:rsidRDefault="00A213C3" w:rsidP="009429DC">
            <w:pPr>
              <w:spacing w:before="40" w:after="40" w:line="276" w:lineRule="auto"/>
              <w:contextualSpacing/>
              <w:jc w:val="left"/>
              <w:rPr>
                <w:rFonts w:cs="Arial"/>
                <w:szCs w:val="20"/>
              </w:rPr>
            </w:pPr>
          </w:p>
        </w:tc>
      </w:tr>
      <w:tr w:rsidR="00A213C3" w:rsidRPr="00284DE5" w14:paraId="0A0124BF" w14:textId="77777777" w:rsidTr="00E86D5D">
        <w:trPr>
          <w:cantSplit/>
        </w:trPr>
        <w:tc>
          <w:tcPr>
            <w:tcW w:w="1227" w:type="dxa"/>
          </w:tcPr>
          <w:p w14:paraId="4154A43C" w14:textId="77777777" w:rsidR="00A213C3" w:rsidRPr="00284DE5" w:rsidRDefault="00A213C3" w:rsidP="009429DC">
            <w:pPr>
              <w:spacing w:before="40" w:after="40" w:line="276" w:lineRule="auto"/>
              <w:contextualSpacing/>
              <w:jc w:val="left"/>
              <w:rPr>
                <w:rFonts w:cs="Arial"/>
                <w:szCs w:val="20"/>
              </w:rPr>
            </w:pPr>
            <w:r>
              <w:rPr>
                <w:rFonts w:cs="Arial"/>
                <w:szCs w:val="20"/>
              </w:rPr>
              <w:t>92</w:t>
            </w:r>
          </w:p>
        </w:tc>
        <w:tc>
          <w:tcPr>
            <w:tcW w:w="2002" w:type="dxa"/>
          </w:tcPr>
          <w:p w14:paraId="672D6112"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 xml:space="preserve">Financial management </w:t>
            </w:r>
          </w:p>
        </w:tc>
        <w:tc>
          <w:tcPr>
            <w:tcW w:w="4558" w:type="dxa"/>
          </w:tcPr>
          <w:p w14:paraId="52F1D01F" w14:textId="77777777" w:rsidR="00A213C3" w:rsidRPr="00284DE5" w:rsidRDefault="00A213C3" w:rsidP="009429DC">
            <w:pPr>
              <w:spacing w:before="40" w:after="40" w:line="276" w:lineRule="auto"/>
              <w:contextualSpacing/>
              <w:jc w:val="left"/>
              <w:rPr>
                <w:rFonts w:cs="Arial"/>
                <w:szCs w:val="20"/>
              </w:rPr>
            </w:pPr>
            <w:r w:rsidRPr="00284DE5">
              <w:rPr>
                <w:rFonts w:cs="Arial"/>
              </w:rPr>
              <w:t xml:space="preserve">Original source: L23 in “Retirement” section of HILDA Wave 3 questionnaire and used in 2006 baby boomer retirement survey (ALSWH </w:t>
            </w:r>
            <w:proofErr w:type="spellStart"/>
            <w:r w:rsidRPr="00284DE5">
              <w:rPr>
                <w:rFonts w:cs="Arial"/>
              </w:rPr>
              <w:t>substudy</w:t>
            </w:r>
            <w:proofErr w:type="spellEnd"/>
            <w:r w:rsidRPr="00284DE5">
              <w:rPr>
                <w:rFonts w:cs="Arial"/>
              </w:rPr>
              <w:t>).</w:t>
            </w:r>
          </w:p>
        </w:tc>
        <w:tc>
          <w:tcPr>
            <w:tcW w:w="2976" w:type="dxa"/>
          </w:tcPr>
          <w:p w14:paraId="21CA1446" w14:textId="77777777" w:rsidR="00A213C3" w:rsidRPr="00284DE5" w:rsidRDefault="00A213C3" w:rsidP="009429DC">
            <w:pPr>
              <w:spacing w:before="40" w:after="40" w:line="276" w:lineRule="auto"/>
              <w:contextualSpacing/>
              <w:jc w:val="left"/>
              <w:rPr>
                <w:rFonts w:cs="Arial"/>
                <w:szCs w:val="20"/>
              </w:rPr>
            </w:pPr>
          </w:p>
        </w:tc>
        <w:tc>
          <w:tcPr>
            <w:tcW w:w="3097" w:type="dxa"/>
          </w:tcPr>
          <w:p w14:paraId="60788131" w14:textId="77777777" w:rsidR="00A213C3" w:rsidRPr="00284DE5" w:rsidRDefault="00A213C3" w:rsidP="009429DC">
            <w:pPr>
              <w:spacing w:before="40" w:after="40" w:line="276" w:lineRule="auto"/>
              <w:contextualSpacing/>
              <w:jc w:val="left"/>
              <w:rPr>
                <w:rFonts w:cs="Arial"/>
                <w:szCs w:val="20"/>
              </w:rPr>
            </w:pPr>
          </w:p>
        </w:tc>
      </w:tr>
      <w:tr w:rsidR="00A213C3" w:rsidRPr="00284DE5" w14:paraId="21F023D4" w14:textId="77777777" w:rsidTr="00E86D5D">
        <w:trPr>
          <w:cantSplit/>
        </w:trPr>
        <w:tc>
          <w:tcPr>
            <w:tcW w:w="1227" w:type="dxa"/>
          </w:tcPr>
          <w:p w14:paraId="68EB7519" w14:textId="77777777" w:rsidR="00A213C3" w:rsidRPr="00284DE5" w:rsidRDefault="00A213C3" w:rsidP="009429DC">
            <w:pPr>
              <w:spacing w:before="40" w:after="40" w:line="276" w:lineRule="auto"/>
              <w:contextualSpacing/>
              <w:jc w:val="left"/>
              <w:rPr>
                <w:rFonts w:cs="Arial"/>
                <w:szCs w:val="20"/>
              </w:rPr>
            </w:pPr>
            <w:r>
              <w:rPr>
                <w:rFonts w:cs="Arial"/>
                <w:szCs w:val="20"/>
              </w:rPr>
              <w:t>93</w:t>
            </w:r>
          </w:p>
        </w:tc>
        <w:tc>
          <w:tcPr>
            <w:tcW w:w="2002" w:type="dxa"/>
          </w:tcPr>
          <w:p w14:paraId="2BF82563"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Housing</w:t>
            </w:r>
          </w:p>
        </w:tc>
        <w:tc>
          <w:tcPr>
            <w:tcW w:w="4558" w:type="dxa"/>
          </w:tcPr>
          <w:p w14:paraId="69BF109E" w14:textId="77777777" w:rsidR="00A213C3" w:rsidRPr="00FB2C27" w:rsidRDefault="00A213C3" w:rsidP="009429DC">
            <w:pPr>
              <w:spacing w:before="40" w:after="40" w:line="276" w:lineRule="auto"/>
              <w:contextualSpacing/>
              <w:jc w:val="left"/>
              <w:rPr>
                <w:rFonts w:cs="Arial"/>
              </w:rPr>
            </w:pPr>
            <w:r w:rsidRPr="00FB2C27">
              <w:rPr>
                <w:rFonts w:cs="Arial"/>
              </w:rPr>
              <w:t>ALSWH; 45 &amp; Up (SEEF and HAIL); HILDA (wave 15 household questionnaire)</w:t>
            </w:r>
          </w:p>
        </w:tc>
        <w:tc>
          <w:tcPr>
            <w:tcW w:w="2976" w:type="dxa"/>
          </w:tcPr>
          <w:p w14:paraId="61ED6C71" w14:textId="77777777" w:rsidR="00A213C3" w:rsidRPr="00284DE5" w:rsidRDefault="00A213C3" w:rsidP="009429DC">
            <w:pPr>
              <w:spacing w:before="40" w:after="40" w:line="276" w:lineRule="auto"/>
              <w:contextualSpacing/>
              <w:jc w:val="left"/>
              <w:rPr>
                <w:rFonts w:cs="Arial"/>
                <w:szCs w:val="20"/>
              </w:rPr>
            </w:pPr>
          </w:p>
        </w:tc>
        <w:tc>
          <w:tcPr>
            <w:tcW w:w="3097" w:type="dxa"/>
          </w:tcPr>
          <w:p w14:paraId="6C660C3B" w14:textId="77777777" w:rsidR="00A213C3" w:rsidRPr="00284DE5" w:rsidRDefault="00A213C3" w:rsidP="009429DC">
            <w:pPr>
              <w:spacing w:before="40" w:after="40" w:line="276" w:lineRule="auto"/>
              <w:contextualSpacing/>
              <w:jc w:val="left"/>
              <w:rPr>
                <w:rFonts w:cs="Arial"/>
                <w:szCs w:val="20"/>
              </w:rPr>
            </w:pPr>
          </w:p>
        </w:tc>
      </w:tr>
      <w:tr w:rsidR="00A213C3" w:rsidRPr="00284DE5" w14:paraId="6BD12292" w14:textId="77777777" w:rsidTr="00E86D5D">
        <w:trPr>
          <w:cantSplit/>
        </w:trPr>
        <w:tc>
          <w:tcPr>
            <w:tcW w:w="1227" w:type="dxa"/>
          </w:tcPr>
          <w:p w14:paraId="149B412D" w14:textId="77777777" w:rsidR="00A213C3" w:rsidRPr="00284DE5" w:rsidRDefault="00A213C3" w:rsidP="009429DC">
            <w:pPr>
              <w:spacing w:before="40" w:after="40" w:line="276" w:lineRule="auto"/>
              <w:contextualSpacing/>
              <w:jc w:val="left"/>
              <w:rPr>
                <w:rFonts w:cs="Arial"/>
                <w:szCs w:val="20"/>
              </w:rPr>
            </w:pPr>
            <w:r>
              <w:rPr>
                <w:rFonts w:cs="Arial"/>
                <w:szCs w:val="20"/>
              </w:rPr>
              <w:t>94-95</w:t>
            </w:r>
          </w:p>
        </w:tc>
        <w:tc>
          <w:tcPr>
            <w:tcW w:w="2002" w:type="dxa"/>
          </w:tcPr>
          <w:p w14:paraId="232027ED"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Housing</w:t>
            </w:r>
          </w:p>
        </w:tc>
        <w:tc>
          <w:tcPr>
            <w:tcW w:w="4558" w:type="dxa"/>
          </w:tcPr>
          <w:p w14:paraId="23A87B01" w14:textId="77777777" w:rsidR="00A213C3" w:rsidRPr="00284DE5" w:rsidRDefault="00A213C3" w:rsidP="009429DC">
            <w:pPr>
              <w:spacing w:before="40" w:after="40" w:line="276" w:lineRule="auto"/>
              <w:contextualSpacing/>
              <w:jc w:val="left"/>
              <w:rPr>
                <w:rFonts w:cs="Arial"/>
                <w:highlight w:val="yellow"/>
              </w:rPr>
            </w:pPr>
            <w:r>
              <w:rPr>
                <w:rFonts w:cs="Arial"/>
              </w:rPr>
              <w:t xml:space="preserve">Modified from </w:t>
            </w:r>
            <w:r w:rsidRPr="002C48C0">
              <w:rPr>
                <w:rFonts w:cs="Arial"/>
              </w:rPr>
              <w:t>Byles et al. (2011). Housing and Independent Living: Environmental and built factors for maintaining independence in older age.</w:t>
            </w:r>
          </w:p>
        </w:tc>
        <w:tc>
          <w:tcPr>
            <w:tcW w:w="2976" w:type="dxa"/>
          </w:tcPr>
          <w:p w14:paraId="118388EB" w14:textId="77777777" w:rsidR="00A213C3" w:rsidRPr="00284DE5" w:rsidRDefault="00A213C3" w:rsidP="009429DC">
            <w:pPr>
              <w:spacing w:before="40" w:after="40" w:line="276" w:lineRule="auto"/>
              <w:contextualSpacing/>
              <w:jc w:val="left"/>
              <w:rPr>
                <w:rFonts w:cs="Arial"/>
                <w:szCs w:val="20"/>
              </w:rPr>
            </w:pPr>
          </w:p>
        </w:tc>
        <w:tc>
          <w:tcPr>
            <w:tcW w:w="3097" w:type="dxa"/>
          </w:tcPr>
          <w:p w14:paraId="7E2851A5" w14:textId="77777777" w:rsidR="00A213C3" w:rsidRPr="00284DE5" w:rsidRDefault="00A213C3" w:rsidP="009429DC">
            <w:pPr>
              <w:spacing w:before="40" w:after="40" w:line="276" w:lineRule="auto"/>
              <w:contextualSpacing/>
              <w:jc w:val="left"/>
              <w:rPr>
                <w:rFonts w:cs="Arial"/>
                <w:szCs w:val="20"/>
              </w:rPr>
            </w:pPr>
          </w:p>
        </w:tc>
      </w:tr>
      <w:tr w:rsidR="00A213C3" w:rsidRPr="00284DE5" w14:paraId="38C27E9F" w14:textId="77777777" w:rsidTr="00E86D5D">
        <w:trPr>
          <w:cantSplit/>
        </w:trPr>
        <w:tc>
          <w:tcPr>
            <w:tcW w:w="1227" w:type="dxa"/>
          </w:tcPr>
          <w:p w14:paraId="51283027" w14:textId="77777777" w:rsidR="00A213C3" w:rsidRPr="00284DE5" w:rsidRDefault="00A213C3" w:rsidP="009429DC">
            <w:pPr>
              <w:spacing w:before="40" w:after="40" w:line="276" w:lineRule="auto"/>
              <w:contextualSpacing/>
              <w:jc w:val="left"/>
              <w:rPr>
                <w:rFonts w:cs="Arial"/>
                <w:szCs w:val="20"/>
              </w:rPr>
            </w:pPr>
            <w:r>
              <w:rPr>
                <w:rFonts w:cs="Arial"/>
                <w:szCs w:val="20"/>
              </w:rPr>
              <w:t>96</w:t>
            </w:r>
          </w:p>
        </w:tc>
        <w:tc>
          <w:tcPr>
            <w:tcW w:w="2002" w:type="dxa"/>
          </w:tcPr>
          <w:p w14:paraId="0DCC1E6A"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Housing</w:t>
            </w:r>
          </w:p>
        </w:tc>
        <w:tc>
          <w:tcPr>
            <w:tcW w:w="4558" w:type="dxa"/>
          </w:tcPr>
          <w:p w14:paraId="6AB77E9B" w14:textId="77777777" w:rsidR="00A213C3" w:rsidRPr="00FB2C27" w:rsidRDefault="00A213C3" w:rsidP="009429DC">
            <w:pPr>
              <w:spacing w:before="40" w:after="40" w:line="276" w:lineRule="auto"/>
              <w:contextualSpacing/>
              <w:jc w:val="left"/>
              <w:rPr>
                <w:rFonts w:cs="Arial"/>
              </w:rPr>
            </w:pPr>
            <w:r w:rsidRPr="00FB2C27">
              <w:rPr>
                <w:rFonts w:cs="Arial"/>
              </w:rPr>
              <w:t>ALSWH; 45 &amp; Up (SEEF and HAIL); HILDA (wave 15 household questionnaire)</w:t>
            </w:r>
          </w:p>
        </w:tc>
        <w:tc>
          <w:tcPr>
            <w:tcW w:w="2976" w:type="dxa"/>
          </w:tcPr>
          <w:p w14:paraId="1C80DFB2" w14:textId="77777777" w:rsidR="00A213C3" w:rsidRPr="00284DE5" w:rsidRDefault="00A213C3" w:rsidP="009429DC">
            <w:pPr>
              <w:spacing w:before="40" w:after="40" w:line="276" w:lineRule="auto"/>
              <w:contextualSpacing/>
              <w:jc w:val="left"/>
              <w:rPr>
                <w:rFonts w:cs="Arial"/>
                <w:szCs w:val="20"/>
              </w:rPr>
            </w:pPr>
          </w:p>
        </w:tc>
        <w:tc>
          <w:tcPr>
            <w:tcW w:w="3097" w:type="dxa"/>
          </w:tcPr>
          <w:p w14:paraId="17126BE9" w14:textId="77777777" w:rsidR="00A213C3" w:rsidRPr="00284DE5" w:rsidRDefault="00A213C3" w:rsidP="009429DC">
            <w:pPr>
              <w:spacing w:before="40" w:after="40" w:line="276" w:lineRule="auto"/>
              <w:contextualSpacing/>
              <w:jc w:val="left"/>
              <w:rPr>
                <w:rFonts w:cs="Arial"/>
                <w:szCs w:val="20"/>
              </w:rPr>
            </w:pPr>
          </w:p>
        </w:tc>
      </w:tr>
      <w:tr w:rsidR="00A213C3" w:rsidRPr="00284DE5" w14:paraId="0F34735E" w14:textId="77777777" w:rsidTr="00E86D5D">
        <w:trPr>
          <w:cantSplit/>
        </w:trPr>
        <w:tc>
          <w:tcPr>
            <w:tcW w:w="1227" w:type="dxa"/>
          </w:tcPr>
          <w:p w14:paraId="18805D5A" w14:textId="77777777" w:rsidR="00A213C3" w:rsidRPr="00284DE5" w:rsidRDefault="00A213C3" w:rsidP="009429DC">
            <w:pPr>
              <w:spacing w:before="40" w:after="40" w:line="276" w:lineRule="auto"/>
              <w:contextualSpacing/>
              <w:jc w:val="left"/>
              <w:rPr>
                <w:rFonts w:cs="Arial"/>
                <w:szCs w:val="20"/>
              </w:rPr>
            </w:pPr>
            <w:r>
              <w:rPr>
                <w:rFonts w:cs="Arial"/>
                <w:szCs w:val="20"/>
              </w:rPr>
              <w:t>97</w:t>
            </w:r>
          </w:p>
        </w:tc>
        <w:tc>
          <w:tcPr>
            <w:tcW w:w="2002" w:type="dxa"/>
          </w:tcPr>
          <w:p w14:paraId="0F89F308"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Transport</w:t>
            </w:r>
          </w:p>
        </w:tc>
        <w:tc>
          <w:tcPr>
            <w:tcW w:w="4558" w:type="dxa"/>
          </w:tcPr>
          <w:p w14:paraId="3A3D2943" w14:textId="77777777" w:rsidR="00A213C3" w:rsidRPr="00284DE5" w:rsidRDefault="00A213C3" w:rsidP="009429DC">
            <w:pPr>
              <w:spacing w:before="40" w:after="40" w:line="276" w:lineRule="auto"/>
              <w:contextualSpacing/>
              <w:jc w:val="left"/>
              <w:rPr>
                <w:rFonts w:cs="Arial"/>
                <w:szCs w:val="20"/>
              </w:rPr>
            </w:pPr>
            <w:r>
              <w:rPr>
                <w:rFonts w:cs="Arial"/>
                <w:szCs w:val="20"/>
              </w:rPr>
              <w:t>ALSWH</w:t>
            </w:r>
          </w:p>
        </w:tc>
        <w:tc>
          <w:tcPr>
            <w:tcW w:w="2976" w:type="dxa"/>
          </w:tcPr>
          <w:p w14:paraId="5764C163" w14:textId="77777777" w:rsidR="00A213C3" w:rsidRPr="00284DE5" w:rsidRDefault="00A213C3" w:rsidP="009429DC">
            <w:pPr>
              <w:spacing w:before="40" w:after="40" w:line="276" w:lineRule="auto"/>
              <w:contextualSpacing/>
              <w:jc w:val="left"/>
              <w:rPr>
                <w:rFonts w:cs="Arial"/>
                <w:szCs w:val="20"/>
              </w:rPr>
            </w:pPr>
          </w:p>
        </w:tc>
        <w:tc>
          <w:tcPr>
            <w:tcW w:w="3097" w:type="dxa"/>
          </w:tcPr>
          <w:p w14:paraId="4F5BC8D5" w14:textId="77777777" w:rsidR="00A213C3" w:rsidRPr="00284DE5" w:rsidRDefault="00A213C3" w:rsidP="009429DC">
            <w:pPr>
              <w:spacing w:before="40" w:after="40" w:line="276" w:lineRule="auto"/>
              <w:contextualSpacing/>
              <w:jc w:val="left"/>
              <w:rPr>
                <w:rFonts w:cs="Arial"/>
                <w:szCs w:val="20"/>
              </w:rPr>
            </w:pPr>
          </w:p>
        </w:tc>
      </w:tr>
      <w:tr w:rsidR="00A213C3" w:rsidRPr="00284DE5" w14:paraId="0B6CBF62" w14:textId="77777777" w:rsidTr="00E86D5D">
        <w:trPr>
          <w:cantSplit/>
        </w:trPr>
        <w:tc>
          <w:tcPr>
            <w:tcW w:w="1227" w:type="dxa"/>
          </w:tcPr>
          <w:p w14:paraId="6A3A8469" w14:textId="77777777" w:rsidR="00A213C3" w:rsidRDefault="00A213C3" w:rsidP="009429DC">
            <w:pPr>
              <w:spacing w:before="40" w:after="40" w:line="276" w:lineRule="auto"/>
              <w:contextualSpacing/>
              <w:jc w:val="left"/>
              <w:rPr>
                <w:rFonts w:cs="Arial"/>
                <w:szCs w:val="20"/>
              </w:rPr>
            </w:pPr>
            <w:r>
              <w:rPr>
                <w:rFonts w:cs="Arial"/>
                <w:szCs w:val="20"/>
              </w:rPr>
              <w:t>98</w:t>
            </w:r>
          </w:p>
        </w:tc>
        <w:tc>
          <w:tcPr>
            <w:tcW w:w="2002" w:type="dxa"/>
          </w:tcPr>
          <w:p w14:paraId="61F690E0" w14:textId="77777777" w:rsidR="00A213C3" w:rsidRPr="00284DE5" w:rsidRDefault="00A213C3" w:rsidP="009429DC">
            <w:pPr>
              <w:spacing w:before="40" w:after="40" w:line="276" w:lineRule="auto"/>
              <w:contextualSpacing/>
              <w:jc w:val="left"/>
              <w:rPr>
                <w:rFonts w:cs="Arial"/>
                <w:szCs w:val="20"/>
              </w:rPr>
            </w:pPr>
            <w:r>
              <w:rPr>
                <w:rFonts w:cs="Arial"/>
                <w:szCs w:val="20"/>
              </w:rPr>
              <w:t>Adopted status</w:t>
            </w:r>
          </w:p>
        </w:tc>
        <w:tc>
          <w:tcPr>
            <w:tcW w:w="4558" w:type="dxa"/>
          </w:tcPr>
          <w:p w14:paraId="4B20CE52" w14:textId="77777777" w:rsidR="00A213C3" w:rsidRPr="00284DE5" w:rsidRDefault="00A213C3" w:rsidP="009429DC">
            <w:pPr>
              <w:spacing w:before="40" w:after="40" w:line="276" w:lineRule="auto"/>
              <w:contextualSpacing/>
              <w:jc w:val="left"/>
              <w:rPr>
                <w:rFonts w:cs="Arial"/>
                <w:szCs w:val="20"/>
              </w:rPr>
            </w:pPr>
            <w:r>
              <w:rPr>
                <w:rFonts w:cs="Arial"/>
                <w:szCs w:val="20"/>
              </w:rPr>
              <w:t>ALSWH</w:t>
            </w:r>
          </w:p>
        </w:tc>
        <w:tc>
          <w:tcPr>
            <w:tcW w:w="2976" w:type="dxa"/>
          </w:tcPr>
          <w:p w14:paraId="4497FDAD" w14:textId="77777777" w:rsidR="00A213C3" w:rsidRPr="00284DE5" w:rsidRDefault="00A213C3" w:rsidP="009429DC">
            <w:pPr>
              <w:spacing w:before="40" w:after="40" w:line="276" w:lineRule="auto"/>
              <w:contextualSpacing/>
              <w:jc w:val="left"/>
              <w:rPr>
                <w:rFonts w:cs="Arial"/>
                <w:szCs w:val="20"/>
              </w:rPr>
            </w:pPr>
          </w:p>
        </w:tc>
        <w:tc>
          <w:tcPr>
            <w:tcW w:w="3097" w:type="dxa"/>
          </w:tcPr>
          <w:p w14:paraId="15EBA02E" w14:textId="77777777" w:rsidR="00A213C3" w:rsidRPr="00284DE5" w:rsidRDefault="00A213C3" w:rsidP="009429DC">
            <w:pPr>
              <w:spacing w:before="40" w:after="40" w:line="276" w:lineRule="auto"/>
              <w:contextualSpacing/>
              <w:jc w:val="left"/>
              <w:rPr>
                <w:rFonts w:cs="Arial"/>
                <w:szCs w:val="20"/>
              </w:rPr>
            </w:pPr>
          </w:p>
        </w:tc>
      </w:tr>
      <w:tr w:rsidR="00A213C3" w:rsidRPr="00284DE5" w14:paraId="37D013C3" w14:textId="77777777" w:rsidTr="00E86D5D">
        <w:trPr>
          <w:cantSplit/>
        </w:trPr>
        <w:tc>
          <w:tcPr>
            <w:tcW w:w="1227" w:type="dxa"/>
          </w:tcPr>
          <w:p w14:paraId="65F6CEB1" w14:textId="77777777" w:rsidR="00A213C3" w:rsidRPr="00284DE5" w:rsidRDefault="00A213C3" w:rsidP="009429DC">
            <w:pPr>
              <w:spacing w:before="40" w:after="40" w:line="276" w:lineRule="auto"/>
              <w:contextualSpacing/>
              <w:jc w:val="left"/>
              <w:rPr>
                <w:rFonts w:cs="Arial"/>
                <w:szCs w:val="20"/>
              </w:rPr>
            </w:pPr>
            <w:r>
              <w:rPr>
                <w:rFonts w:cs="Arial"/>
                <w:szCs w:val="20"/>
              </w:rPr>
              <w:lastRenderedPageBreak/>
              <w:t>99</w:t>
            </w:r>
          </w:p>
        </w:tc>
        <w:tc>
          <w:tcPr>
            <w:tcW w:w="2002" w:type="dxa"/>
          </w:tcPr>
          <w:p w14:paraId="48645011"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Social support</w:t>
            </w:r>
          </w:p>
        </w:tc>
        <w:tc>
          <w:tcPr>
            <w:tcW w:w="4558" w:type="dxa"/>
          </w:tcPr>
          <w:p w14:paraId="4B606801" w14:textId="77777777" w:rsidR="00A213C3" w:rsidRPr="00284DE5" w:rsidRDefault="00A213C3" w:rsidP="009429DC">
            <w:pPr>
              <w:spacing w:before="40" w:after="40" w:line="276" w:lineRule="auto"/>
              <w:contextualSpacing/>
              <w:jc w:val="left"/>
              <w:rPr>
                <w:rFonts w:cs="Arial"/>
                <w:szCs w:val="20"/>
              </w:rPr>
            </w:pPr>
            <w:proofErr w:type="spellStart"/>
            <w:r w:rsidRPr="00284DE5">
              <w:rPr>
                <w:rFonts w:cs="Arial"/>
                <w:szCs w:val="20"/>
              </w:rPr>
              <w:t>Sherbourne</w:t>
            </w:r>
            <w:proofErr w:type="spellEnd"/>
            <w:r w:rsidRPr="00284DE5">
              <w:rPr>
                <w:rFonts w:cs="Arial"/>
                <w:szCs w:val="20"/>
              </w:rPr>
              <w:t xml:space="preserve"> CD &amp; Stewart AL. (1991). The MOS social support survey. </w:t>
            </w:r>
            <w:r w:rsidRPr="00DE7DDC">
              <w:rPr>
                <w:rFonts w:cs="Arial"/>
                <w:i/>
                <w:iCs/>
                <w:szCs w:val="20"/>
              </w:rPr>
              <w:t>Social Science and Medicine</w:t>
            </w:r>
            <w:r w:rsidRPr="00284DE5">
              <w:rPr>
                <w:rFonts w:cs="Arial"/>
                <w:szCs w:val="20"/>
              </w:rPr>
              <w:t>, 32(6), 705-714</w:t>
            </w:r>
          </w:p>
        </w:tc>
        <w:tc>
          <w:tcPr>
            <w:tcW w:w="2976" w:type="dxa"/>
          </w:tcPr>
          <w:p w14:paraId="4C82C14F" w14:textId="77777777" w:rsidR="00A213C3" w:rsidRPr="00284DE5" w:rsidRDefault="00A213C3" w:rsidP="009429DC">
            <w:pPr>
              <w:spacing w:before="40" w:after="40" w:line="276" w:lineRule="auto"/>
              <w:contextualSpacing/>
              <w:jc w:val="left"/>
              <w:rPr>
                <w:rFonts w:cs="Arial"/>
                <w:szCs w:val="20"/>
              </w:rPr>
            </w:pPr>
          </w:p>
        </w:tc>
        <w:tc>
          <w:tcPr>
            <w:tcW w:w="3097" w:type="dxa"/>
          </w:tcPr>
          <w:p w14:paraId="4F3ED076" w14:textId="77777777" w:rsidR="00A213C3" w:rsidRPr="00284DE5" w:rsidRDefault="00A213C3" w:rsidP="009429DC">
            <w:pPr>
              <w:spacing w:before="40" w:after="40" w:line="276" w:lineRule="auto"/>
              <w:contextualSpacing/>
              <w:jc w:val="left"/>
              <w:rPr>
                <w:rFonts w:cs="Arial"/>
                <w:szCs w:val="20"/>
              </w:rPr>
            </w:pPr>
          </w:p>
        </w:tc>
      </w:tr>
      <w:tr w:rsidR="00A213C3" w:rsidRPr="00284DE5" w14:paraId="09E8055E" w14:textId="77777777" w:rsidTr="00E86D5D">
        <w:trPr>
          <w:cantSplit/>
        </w:trPr>
        <w:tc>
          <w:tcPr>
            <w:tcW w:w="1227" w:type="dxa"/>
          </w:tcPr>
          <w:p w14:paraId="4492F1F6" w14:textId="77777777" w:rsidR="00A213C3" w:rsidRDefault="00A213C3" w:rsidP="009429DC">
            <w:pPr>
              <w:spacing w:before="40" w:after="40" w:line="276" w:lineRule="auto"/>
              <w:contextualSpacing/>
              <w:jc w:val="left"/>
              <w:rPr>
                <w:rFonts w:cs="Arial"/>
                <w:szCs w:val="20"/>
              </w:rPr>
            </w:pPr>
            <w:r>
              <w:rPr>
                <w:rFonts w:cs="Arial"/>
                <w:szCs w:val="20"/>
              </w:rPr>
              <w:t>100</w:t>
            </w:r>
          </w:p>
        </w:tc>
        <w:tc>
          <w:tcPr>
            <w:tcW w:w="2002" w:type="dxa"/>
          </w:tcPr>
          <w:p w14:paraId="54594734"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Caring for children</w:t>
            </w:r>
          </w:p>
        </w:tc>
        <w:tc>
          <w:tcPr>
            <w:tcW w:w="4558" w:type="dxa"/>
          </w:tcPr>
          <w:p w14:paraId="000D71C2" w14:textId="77777777" w:rsidR="00A213C3" w:rsidRPr="009E27CA" w:rsidRDefault="00A213C3" w:rsidP="009429DC">
            <w:pPr>
              <w:spacing w:before="40" w:after="40" w:line="276" w:lineRule="auto"/>
              <w:contextualSpacing/>
              <w:jc w:val="left"/>
              <w:rPr>
                <w:rFonts w:cs="Arial"/>
              </w:rPr>
            </w:pPr>
            <w:r w:rsidRPr="00284DE5">
              <w:rPr>
                <w:rFonts w:cs="Arial"/>
                <w:szCs w:val="20"/>
              </w:rPr>
              <w:t>ALSWH</w:t>
            </w:r>
          </w:p>
        </w:tc>
        <w:tc>
          <w:tcPr>
            <w:tcW w:w="2976" w:type="dxa"/>
          </w:tcPr>
          <w:p w14:paraId="1ED1C71E" w14:textId="77777777" w:rsidR="00A213C3" w:rsidRDefault="00A213C3" w:rsidP="009429DC">
            <w:pPr>
              <w:spacing w:before="40" w:after="40" w:line="276" w:lineRule="auto"/>
              <w:contextualSpacing/>
              <w:jc w:val="left"/>
              <w:rPr>
                <w:rFonts w:cs="Arial"/>
                <w:szCs w:val="20"/>
              </w:rPr>
            </w:pPr>
          </w:p>
        </w:tc>
        <w:tc>
          <w:tcPr>
            <w:tcW w:w="3097" w:type="dxa"/>
          </w:tcPr>
          <w:p w14:paraId="70D080BF" w14:textId="77777777" w:rsidR="00A213C3" w:rsidRPr="00284DE5" w:rsidRDefault="00A213C3" w:rsidP="009429DC">
            <w:pPr>
              <w:spacing w:before="40" w:after="40" w:line="276" w:lineRule="auto"/>
              <w:contextualSpacing/>
              <w:jc w:val="left"/>
              <w:rPr>
                <w:rFonts w:cs="Arial"/>
                <w:szCs w:val="20"/>
              </w:rPr>
            </w:pPr>
          </w:p>
        </w:tc>
      </w:tr>
      <w:tr w:rsidR="00A213C3" w:rsidRPr="00284DE5" w14:paraId="7CA35AE9" w14:textId="77777777" w:rsidTr="00E86D5D">
        <w:trPr>
          <w:cantSplit/>
        </w:trPr>
        <w:tc>
          <w:tcPr>
            <w:tcW w:w="1227" w:type="dxa"/>
          </w:tcPr>
          <w:p w14:paraId="2522A2DE" w14:textId="77777777" w:rsidR="00A213C3" w:rsidRPr="00284DE5" w:rsidRDefault="00A213C3" w:rsidP="009429DC">
            <w:pPr>
              <w:spacing w:before="40" w:after="40" w:line="276" w:lineRule="auto"/>
              <w:contextualSpacing/>
              <w:jc w:val="left"/>
              <w:rPr>
                <w:rFonts w:cs="Arial"/>
                <w:szCs w:val="20"/>
              </w:rPr>
            </w:pPr>
            <w:r>
              <w:rPr>
                <w:rFonts w:cs="Arial"/>
                <w:szCs w:val="20"/>
              </w:rPr>
              <w:t>101</w:t>
            </w:r>
          </w:p>
        </w:tc>
        <w:tc>
          <w:tcPr>
            <w:tcW w:w="2002" w:type="dxa"/>
          </w:tcPr>
          <w:p w14:paraId="3CCEEF92"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Hobbies</w:t>
            </w:r>
          </w:p>
        </w:tc>
        <w:tc>
          <w:tcPr>
            <w:tcW w:w="4558" w:type="dxa"/>
          </w:tcPr>
          <w:p w14:paraId="69C99478" w14:textId="77777777" w:rsidR="00A213C3" w:rsidRPr="00284DE5" w:rsidRDefault="00A213C3" w:rsidP="009429DC">
            <w:pPr>
              <w:spacing w:before="40" w:after="40" w:line="276" w:lineRule="auto"/>
              <w:contextualSpacing/>
              <w:jc w:val="left"/>
              <w:rPr>
                <w:rFonts w:cs="Arial"/>
                <w:highlight w:val="cyan"/>
              </w:rPr>
            </w:pPr>
            <w:r w:rsidRPr="009E27CA">
              <w:rPr>
                <w:rFonts w:cs="Arial"/>
              </w:rPr>
              <w:t xml:space="preserve">Nair B, Byles J, </w:t>
            </w:r>
            <w:r>
              <w:rPr>
                <w:rFonts w:cs="Arial"/>
              </w:rPr>
              <w:t xml:space="preserve">Tavener M and Heinze, R (2000). </w:t>
            </w:r>
            <w:r w:rsidRPr="009E27CA">
              <w:rPr>
                <w:rFonts w:cs="Arial"/>
              </w:rPr>
              <w:t xml:space="preserve">Immunisation rates in older veterans and war widows, </w:t>
            </w:r>
            <w:r w:rsidRPr="00DE7DDC">
              <w:rPr>
                <w:rFonts w:cs="Arial"/>
                <w:i/>
                <w:iCs/>
              </w:rPr>
              <w:t>Australasian Journal on Ageing</w:t>
            </w:r>
            <w:r w:rsidRPr="009E27CA">
              <w:rPr>
                <w:rFonts w:cs="Arial"/>
              </w:rPr>
              <w:t xml:space="preserve">, </w:t>
            </w:r>
            <w:r>
              <w:rPr>
                <w:rFonts w:cs="Arial"/>
              </w:rPr>
              <w:t>1</w:t>
            </w:r>
            <w:r w:rsidRPr="009E27CA">
              <w:rPr>
                <w:rFonts w:cs="Arial"/>
              </w:rPr>
              <w:t>9(3):136-138.</w:t>
            </w:r>
          </w:p>
        </w:tc>
        <w:tc>
          <w:tcPr>
            <w:tcW w:w="2976" w:type="dxa"/>
          </w:tcPr>
          <w:p w14:paraId="7551B707" w14:textId="77777777" w:rsidR="00A213C3" w:rsidRPr="00284DE5" w:rsidRDefault="00A213C3" w:rsidP="009429DC">
            <w:pPr>
              <w:spacing w:before="40" w:after="40" w:line="276" w:lineRule="auto"/>
              <w:contextualSpacing/>
              <w:jc w:val="left"/>
              <w:rPr>
                <w:rFonts w:cs="Arial"/>
                <w:szCs w:val="20"/>
              </w:rPr>
            </w:pPr>
          </w:p>
        </w:tc>
        <w:tc>
          <w:tcPr>
            <w:tcW w:w="3097" w:type="dxa"/>
          </w:tcPr>
          <w:p w14:paraId="5AE775E9" w14:textId="77777777" w:rsidR="00A213C3" w:rsidRPr="00284DE5" w:rsidRDefault="00A213C3" w:rsidP="009429DC">
            <w:pPr>
              <w:spacing w:before="40" w:after="40" w:line="276" w:lineRule="auto"/>
              <w:contextualSpacing/>
              <w:jc w:val="left"/>
              <w:rPr>
                <w:rFonts w:cs="Arial"/>
                <w:szCs w:val="20"/>
              </w:rPr>
            </w:pPr>
          </w:p>
        </w:tc>
      </w:tr>
      <w:tr w:rsidR="00A213C3" w:rsidRPr="00284DE5" w14:paraId="6AD43D87" w14:textId="77777777" w:rsidTr="00E86D5D">
        <w:trPr>
          <w:cantSplit/>
        </w:trPr>
        <w:tc>
          <w:tcPr>
            <w:tcW w:w="1227" w:type="dxa"/>
          </w:tcPr>
          <w:p w14:paraId="21E392BC" w14:textId="77777777" w:rsidR="00A213C3" w:rsidRPr="00284DE5" w:rsidRDefault="00A213C3" w:rsidP="009429DC">
            <w:pPr>
              <w:spacing w:before="40" w:after="40" w:line="276" w:lineRule="auto"/>
              <w:contextualSpacing/>
              <w:jc w:val="left"/>
              <w:rPr>
                <w:rFonts w:cs="Arial"/>
                <w:szCs w:val="20"/>
              </w:rPr>
            </w:pPr>
            <w:r>
              <w:rPr>
                <w:rFonts w:cs="Arial"/>
                <w:szCs w:val="20"/>
              </w:rPr>
              <w:t>102</w:t>
            </w:r>
          </w:p>
        </w:tc>
        <w:tc>
          <w:tcPr>
            <w:tcW w:w="2002" w:type="dxa"/>
          </w:tcPr>
          <w:p w14:paraId="3280F3F7"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Marital status</w:t>
            </w:r>
          </w:p>
        </w:tc>
        <w:tc>
          <w:tcPr>
            <w:tcW w:w="4558" w:type="dxa"/>
          </w:tcPr>
          <w:p w14:paraId="181C1104"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Modified from ABS (1993) 1996 Census of population and housing: Nature and content of the census. Canberra: ABS.  Cat No. 2008.0.</w:t>
            </w:r>
          </w:p>
        </w:tc>
        <w:tc>
          <w:tcPr>
            <w:tcW w:w="2976" w:type="dxa"/>
          </w:tcPr>
          <w:p w14:paraId="07C58878" w14:textId="77777777" w:rsidR="00A213C3" w:rsidRPr="00284DE5" w:rsidRDefault="00A213C3" w:rsidP="009429DC">
            <w:pPr>
              <w:spacing w:before="40" w:after="40" w:line="276" w:lineRule="auto"/>
              <w:contextualSpacing/>
              <w:jc w:val="left"/>
              <w:rPr>
                <w:rFonts w:cs="Arial"/>
                <w:szCs w:val="20"/>
              </w:rPr>
            </w:pPr>
          </w:p>
        </w:tc>
        <w:tc>
          <w:tcPr>
            <w:tcW w:w="3097" w:type="dxa"/>
          </w:tcPr>
          <w:p w14:paraId="4011180B" w14:textId="77777777" w:rsidR="00A213C3" w:rsidRPr="00284DE5" w:rsidRDefault="00A213C3" w:rsidP="009429DC">
            <w:pPr>
              <w:spacing w:before="40" w:after="40" w:line="276" w:lineRule="auto"/>
              <w:contextualSpacing/>
              <w:jc w:val="left"/>
              <w:rPr>
                <w:rFonts w:cs="Arial"/>
                <w:szCs w:val="20"/>
              </w:rPr>
            </w:pPr>
          </w:p>
        </w:tc>
      </w:tr>
      <w:tr w:rsidR="00A213C3" w:rsidRPr="00284DE5" w14:paraId="1B15D0B7" w14:textId="77777777" w:rsidTr="00E86D5D">
        <w:trPr>
          <w:cantSplit/>
        </w:trPr>
        <w:tc>
          <w:tcPr>
            <w:tcW w:w="1227" w:type="dxa"/>
          </w:tcPr>
          <w:p w14:paraId="6B495495" w14:textId="77777777" w:rsidR="00A213C3" w:rsidRPr="00284DE5" w:rsidRDefault="00A213C3" w:rsidP="009429DC">
            <w:pPr>
              <w:spacing w:before="40" w:after="40" w:line="276" w:lineRule="auto"/>
              <w:contextualSpacing/>
              <w:jc w:val="left"/>
              <w:rPr>
                <w:rFonts w:cs="Arial"/>
                <w:szCs w:val="20"/>
              </w:rPr>
            </w:pPr>
            <w:r>
              <w:rPr>
                <w:rFonts w:cs="Arial"/>
                <w:szCs w:val="20"/>
              </w:rPr>
              <w:t>103</w:t>
            </w:r>
          </w:p>
        </w:tc>
        <w:tc>
          <w:tcPr>
            <w:tcW w:w="2002" w:type="dxa"/>
          </w:tcPr>
          <w:p w14:paraId="773ED1BC"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Date of Bereavement</w:t>
            </w:r>
          </w:p>
        </w:tc>
        <w:tc>
          <w:tcPr>
            <w:tcW w:w="4558" w:type="dxa"/>
          </w:tcPr>
          <w:p w14:paraId="40011202"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tcPr>
          <w:p w14:paraId="041CA22F" w14:textId="77777777" w:rsidR="00A213C3" w:rsidRPr="00284DE5" w:rsidRDefault="00A213C3" w:rsidP="009429DC">
            <w:pPr>
              <w:spacing w:before="40" w:after="40" w:line="276" w:lineRule="auto"/>
              <w:contextualSpacing/>
              <w:jc w:val="left"/>
              <w:rPr>
                <w:rFonts w:cs="Arial"/>
                <w:szCs w:val="20"/>
              </w:rPr>
            </w:pPr>
            <w:r>
              <w:rPr>
                <w:rFonts w:cs="Arial"/>
                <w:szCs w:val="20"/>
              </w:rPr>
              <w:t>Due to high level of missing data from the pilot survey, the item was slightly reworded to clarify the question for participants.</w:t>
            </w:r>
          </w:p>
        </w:tc>
        <w:tc>
          <w:tcPr>
            <w:tcW w:w="3097" w:type="dxa"/>
          </w:tcPr>
          <w:p w14:paraId="5986952D" w14:textId="77777777" w:rsidR="00A213C3" w:rsidRPr="00284DE5" w:rsidRDefault="00A213C3" w:rsidP="009429DC">
            <w:pPr>
              <w:spacing w:before="40" w:after="40" w:line="276" w:lineRule="auto"/>
              <w:contextualSpacing/>
              <w:jc w:val="left"/>
              <w:rPr>
                <w:rFonts w:cs="Arial"/>
                <w:szCs w:val="20"/>
              </w:rPr>
            </w:pPr>
          </w:p>
        </w:tc>
      </w:tr>
      <w:tr w:rsidR="00A213C3" w:rsidRPr="00284DE5" w14:paraId="66849AA5" w14:textId="77777777" w:rsidTr="00E86D5D">
        <w:trPr>
          <w:cantSplit/>
        </w:trPr>
        <w:tc>
          <w:tcPr>
            <w:tcW w:w="1227" w:type="dxa"/>
          </w:tcPr>
          <w:p w14:paraId="2EF4CF81" w14:textId="77777777" w:rsidR="00A213C3" w:rsidRPr="00284DE5" w:rsidRDefault="00A213C3" w:rsidP="009429DC">
            <w:pPr>
              <w:spacing w:before="40" w:after="40" w:line="276" w:lineRule="auto"/>
              <w:contextualSpacing/>
              <w:jc w:val="left"/>
              <w:rPr>
                <w:rFonts w:cs="Arial"/>
                <w:szCs w:val="20"/>
              </w:rPr>
            </w:pPr>
            <w:r>
              <w:rPr>
                <w:rFonts w:cs="Arial"/>
                <w:szCs w:val="20"/>
              </w:rPr>
              <w:t>104</w:t>
            </w:r>
          </w:p>
        </w:tc>
        <w:tc>
          <w:tcPr>
            <w:tcW w:w="2002" w:type="dxa"/>
          </w:tcPr>
          <w:p w14:paraId="00C9453C"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Who lives with you</w:t>
            </w:r>
          </w:p>
        </w:tc>
        <w:tc>
          <w:tcPr>
            <w:tcW w:w="4558" w:type="dxa"/>
          </w:tcPr>
          <w:p w14:paraId="4471B935" w14:textId="77777777" w:rsidR="00A213C3" w:rsidRPr="00284DE5" w:rsidRDefault="00A213C3" w:rsidP="009429DC">
            <w:pPr>
              <w:spacing w:before="40" w:after="40" w:line="276" w:lineRule="auto"/>
              <w:contextualSpacing/>
              <w:jc w:val="left"/>
              <w:rPr>
                <w:rFonts w:cs="Arial"/>
                <w:szCs w:val="20"/>
                <w:highlight w:val="magenta"/>
              </w:rPr>
            </w:pPr>
            <w:r w:rsidRPr="00284DE5">
              <w:rPr>
                <w:rFonts w:cs="Arial"/>
                <w:szCs w:val="20"/>
              </w:rPr>
              <w:t>Modified from ABS (1994) Australian Housing Survey: User Guide. Canberra: ABS. Cat No. 4180.0</w:t>
            </w:r>
          </w:p>
        </w:tc>
        <w:tc>
          <w:tcPr>
            <w:tcW w:w="2976" w:type="dxa"/>
          </w:tcPr>
          <w:p w14:paraId="59DAF8C0" w14:textId="77777777" w:rsidR="00A213C3" w:rsidRPr="00284DE5" w:rsidRDefault="00A213C3" w:rsidP="009429DC">
            <w:pPr>
              <w:spacing w:before="40" w:after="40" w:line="276" w:lineRule="auto"/>
              <w:contextualSpacing/>
              <w:jc w:val="left"/>
              <w:rPr>
                <w:rFonts w:cs="Arial"/>
                <w:szCs w:val="20"/>
              </w:rPr>
            </w:pPr>
            <w:r>
              <w:rPr>
                <w:rFonts w:cs="Arial"/>
                <w:szCs w:val="20"/>
              </w:rPr>
              <w:t>Due to high level of missing data from the pilot survey, the item was slightly reformatted with a skip introduced to clarify the question for participants and reduce burden for participants living alone.</w:t>
            </w:r>
          </w:p>
        </w:tc>
        <w:tc>
          <w:tcPr>
            <w:tcW w:w="3097" w:type="dxa"/>
          </w:tcPr>
          <w:p w14:paraId="4085C287" w14:textId="77777777" w:rsidR="00A213C3" w:rsidRPr="00284DE5" w:rsidRDefault="00A213C3" w:rsidP="009429DC">
            <w:pPr>
              <w:spacing w:before="40" w:after="40" w:line="276" w:lineRule="auto"/>
              <w:contextualSpacing/>
              <w:jc w:val="left"/>
              <w:rPr>
                <w:rFonts w:cs="Arial"/>
                <w:szCs w:val="20"/>
              </w:rPr>
            </w:pPr>
          </w:p>
        </w:tc>
      </w:tr>
      <w:tr w:rsidR="00A213C3" w:rsidRPr="00284DE5" w14:paraId="32007491" w14:textId="77777777" w:rsidTr="00E86D5D">
        <w:trPr>
          <w:cantSplit/>
        </w:trPr>
        <w:tc>
          <w:tcPr>
            <w:tcW w:w="1227" w:type="dxa"/>
          </w:tcPr>
          <w:p w14:paraId="082D9179" w14:textId="77777777" w:rsidR="00A213C3" w:rsidRDefault="00A213C3" w:rsidP="009429DC">
            <w:pPr>
              <w:spacing w:before="40" w:after="40" w:line="276" w:lineRule="auto"/>
              <w:contextualSpacing/>
              <w:jc w:val="left"/>
              <w:rPr>
                <w:rFonts w:cs="Arial"/>
                <w:szCs w:val="20"/>
              </w:rPr>
            </w:pPr>
            <w:r>
              <w:rPr>
                <w:rFonts w:cs="Arial"/>
                <w:szCs w:val="20"/>
              </w:rPr>
              <w:t>105</w:t>
            </w:r>
          </w:p>
        </w:tc>
        <w:tc>
          <w:tcPr>
            <w:tcW w:w="2002" w:type="dxa"/>
          </w:tcPr>
          <w:p w14:paraId="57328727"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Achievements</w:t>
            </w:r>
          </w:p>
        </w:tc>
        <w:tc>
          <w:tcPr>
            <w:tcW w:w="4558" w:type="dxa"/>
          </w:tcPr>
          <w:p w14:paraId="4877C5D9"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tcPr>
          <w:p w14:paraId="35EDF824" w14:textId="77777777" w:rsidR="00A213C3" w:rsidRDefault="00A213C3" w:rsidP="009429DC">
            <w:pPr>
              <w:spacing w:before="40" w:after="40" w:line="276" w:lineRule="auto"/>
              <w:contextualSpacing/>
              <w:jc w:val="left"/>
              <w:rPr>
                <w:rFonts w:cs="Arial"/>
                <w:szCs w:val="20"/>
              </w:rPr>
            </w:pPr>
          </w:p>
        </w:tc>
        <w:tc>
          <w:tcPr>
            <w:tcW w:w="3097" w:type="dxa"/>
          </w:tcPr>
          <w:p w14:paraId="05553C8C" w14:textId="77777777" w:rsidR="00A213C3" w:rsidRPr="00284DE5" w:rsidRDefault="00A213C3" w:rsidP="009429DC">
            <w:pPr>
              <w:spacing w:before="40" w:after="40" w:line="276" w:lineRule="auto"/>
              <w:contextualSpacing/>
              <w:jc w:val="left"/>
              <w:rPr>
                <w:rFonts w:cs="Arial"/>
                <w:szCs w:val="20"/>
              </w:rPr>
            </w:pPr>
          </w:p>
        </w:tc>
      </w:tr>
      <w:tr w:rsidR="00A213C3" w:rsidRPr="00284DE5" w14:paraId="02B50EC1" w14:textId="77777777" w:rsidTr="00E86D5D">
        <w:trPr>
          <w:cantSplit/>
        </w:trPr>
        <w:tc>
          <w:tcPr>
            <w:tcW w:w="1227" w:type="dxa"/>
          </w:tcPr>
          <w:p w14:paraId="5684B0DF" w14:textId="77777777" w:rsidR="00A213C3" w:rsidRPr="00284DE5" w:rsidRDefault="00A213C3" w:rsidP="009429DC">
            <w:pPr>
              <w:spacing w:before="40" w:after="40" w:line="276" w:lineRule="auto"/>
              <w:contextualSpacing/>
              <w:jc w:val="left"/>
              <w:rPr>
                <w:rFonts w:cs="Arial"/>
                <w:szCs w:val="20"/>
              </w:rPr>
            </w:pPr>
            <w:r>
              <w:rPr>
                <w:rFonts w:cs="Arial"/>
                <w:szCs w:val="20"/>
              </w:rPr>
              <w:t>106</w:t>
            </w:r>
          </w:p>
        </w:tc>
        <w:tc>
          <w:tcPr>
            <w:tcW w:w="2002" w:type="dxa"/>
          </w:tcPr>
          <w:p w14:paraId="3B823ED1"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Proxy</w:t>
            </w:r>
          </w:p>
        </w:tc>
        <w:tc>
          <w:tcPr>
            <w:tcW w:w="4558" w:type="dxa"/>
          </w:tcPr>
          <w:p w14:paraId="0EB0AFAC"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tcPr>
          <w:p w14:paraId="2B50017F" w14:textId="77777777" w:rsidR="00A213C3" w:rsidRPr="00284DE5" w:rsidRDefault="00A213C3" w:rsidP="009429DC">
            <w:pPr>
              <w:spacing w:before="40" w:after="40" w:line="276" w:lineRule="auto"/>
              <w:contextualSpacing/>
              <w:jc w:val="left"/>
              <w:rPr>
                <w:rFonts w:cs="Arial"/>
                <w:szCs w:val="20"/>
              </w:rPr>
            </w:pPr>
          </w:p>
        </w:tc>
        <w:tc>
          <w:tcPr>
            <w:tcW w:w="3097" w:type="dxa"/>
          </w:tcPr>
          <w:p w14:paraId="37563ED4" w14:textId="77777777" w:rsidR="00A213C3" w:rsidRPr="00284DE5" w:rsidRDefault="00A213C3" w:rsidP="009429DC">
            <w:pPr>
              <w:spacing w:before="40" w:after="40" w:line="276" w:lineRule="auto"/>
              <w:contextualSpacing/>
              <w:jc w:val="left"/>
              <w:rPr>
                <w:rFonts w:cs="Arial"/>
                <w:szCs w:val="20"/>
              </w:rPr>
            </w:pPr>
          </w:p>
        </w:tc>
      </w:tr>
      <w:tr w:rsidR="00A213C3" w:rsidRPr="00284DE5" w14:paraId="6A23A284" w14:textId="77777777" w:rsidTr="00E86D5D">
        <w:trPr>
          <w:cantSplit/>
        </w:trPr>
        <w:tc>
          <w:tcPr>
            <w:tcW w:w="1227" w:type="dxa"/>
          </w:tcPr>
          <w:p w14:paraId="7703BD61" w14:textId="77777777" w:rsidR="00A213C3" w:rsidRPr="00284DE5" w:rsidRDefault="00A213C3" w:rsidP="009429DC">
            <w:pPr>
              <w:spacing w:before="40" w:after="40" w:line="276" w:lineRule="auto"/>
              <w:contextualSpacing/>
              <w:jc w:val="left"/>
              <w:rPr>
                <w:rFonts w:cs="Arial"/>
                <w:szCs w:val="20"/>
              </w:rPr>
            </w:pPr>
            <w:r>
              <w:rPr>
                <w:rFonts w:cs="Arial"/>
                <w:szCs w:val="20"/>
              </w:rPr>
              <w:lastRenderedPageBreak/>
              <w:t>107</w:t>
            </w:r>
          </w:p>
        </w:tc>
        <w:tc>
          <w:tcPr>
            <w:tcW w:w="2002" w:type="dxa"/>
          </w:tcPr>
          <w:p w14:paraId="65852614"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Reason for needing help</w:t>
            </w:r>
          </w:p>
        </w:tc>
        <w:tc>
          <w:tcPr>
            <w:tcW w:w="4558" w:type="dxa"/>
          </w:tcPr>
          <w:p w14:paraId="4012B724"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tcPr>
          <w:p w14:paraId="2908ACCE" w14:textId="77777777" w:rsidR="00A213C3" w:rsidRPr="00284DE5" w:rsidRDefault="00A213C3" w:rsidP="009429DC">
            <w:pPr>
              <w:spacing w:before="40" w:after="40" w:line="276" w:lineRule="auto"/>
              <w:contextualSpacing/>
              <w:jc w:val="left"/>
              <w:rPr>
                <w:rFonts w:cs="Arial"/>
                <w:szCs w:val="20"/>
              </w:rPr>
            </w:pPr>
          </w:p>
        </w:tc>
        <w:tc>
          <w:tcPr>
            <w:tcW w:w="3097" w:type="dxa"/>
          </w:tcPr>
          <w:p w14:paraId="4CDA34AD" w14:textId="77777777" w:rsidR="00A213C3" w:rsidRPr="00284DE5" w:rsidRDefault="00A213C3" w:rsidP="009429DC">
            <w:pPr>
              <w:spacing w:before="40" w:after="40" w:line="276" w:lineRule="auto"/>
              <w:contextualSpacing/>
              <w:jc w:val="left"/>
              <w:rPr>
                <w:rFonts w:cs="Arial"/>
                <w:szCs w:val="20"/>
              </w:rPr>
            </w:pPr>
          </w:p>
        </w:tc>
      </w:tr>
      <w:tr w:rsidR="00A213C3" w:rsidRPr="00284DE5" w14:paraId="0997E2AD" w14:textId="77777777" w:rsidTr="00E86D5D">
        <w:trPr>
          <w:cantSplit/>
        </w:trPr>
        <w:tc>
          <w:tcPr>
            <w:tcW w:w="1227" w:type="dxa"/>
          </w:tcPr>
          <w:p w14:paraId="741EA1B4" w14:textId="77777777" w:rsidR="00A213C3" w:rsidRPr="00284DE5" w:rsidRDefault="00A213C3" w:rsidP="009429DC">
            <w:pPr>
              <w:spacing w:before="40" w:after="40" w:line="276" w:lineRule="auto"/>
              <w:contextualSpacing/>
              <w:jc w:val="left"/>
              <w:rPr>
                <w:rFonts w:cs="Arial"/>
                <w:szCs w:val="20"/>
              </w:rPr>
            </w:pPr>
          </w:p>
        </w:tc>
        <w:tc>
          <w:tcPr>
            <w:tcW w:w="2002" w:type="dxa"/>
          </w:tcPr>
          <w:p w14:paraId="562E6AFA"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Have we missed anything?</w:t>
            </w:r>
          </w:p>
        </w:tc>
        <w:tc>
          <w:tcPr>
            <w:tcW w:w="4558" w:type="dxa"/>
          </w:tcPr>
          <w:p w14:paraId="4DCAEAF0"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tcPr>
          <w:p w14:paraId="7CA3C529" w14:textId="77777777" w:rsidR="00A213C3" w:rsidRPr="00284DE5" w:rsidRDefault="00A213C3" w:rsidP="009429DC">
            <w:pPr>
              <w:spacing w:before="40" w:after="40" w:line="276" w:lineRule="auto"/>
              <w:contextualSpacing/>
              <w:jc w:val="left"/>
              <w:rPr>
                <w:rFonts w:cs="Arial"/>
                <w:szCs w:val="20"/>
              </w:rPr>
            </w:pPr>
          </w:p>
        </w:tc>
        <w:tc>
          <w:tcPr>
            <w:tcW w:w="3097" w:type="dxa"/>
          </w:tcPr>
          <w:p w14:paraId="31CFBD24" w14:textId="77777777" w:rsidR="00A213C3" w:rsidRPr="00284DE5" w:rsidRDefault="00A213C3" w:rsidP="009429DC">
            <w:pPr>
              <w:spacing w:before="40" w:after="40" w:line="276" w:lineRule="auto"/>
              <w:contextualSpacing/>
              <w:jc w:val="left"/>
              <w:rPr>
                <w:rFonts w:cs="Arial"/>
                <w:szCs w:val="20"/>
              </w:rPr>
            </w:pPr>
          </w:p>
        </w:tc>
      </w:tr>
      <w:tr w:rsidR="00A213C3" w:rsidRPr="00284DE5" w14:paraId="7E11C708" w14:textId="77777777" w:rsidTr="00E86D5D">
        <w:trPr>
          <w:cantSplit/>
        </w:trPr>
        <w:tc>
          <w:tcPr>
            <w:tcW w:w="1227" w:type="dxa"/>
          </w:tcPr>
          <w:p w14:paraId="22DFBD19"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Consent Page</w:t>
            </w:r>
          </w:p>
        </w:tc>
        <w:tc>
          <w:tcPr>
            <w:tcW w:w="2002" w:type="dxa"/>
          </w:tcPr>
          <w:p w14:paraId="7C662F09"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Statement</w:t>
            </w:r>
          </w:p>
        </w:tc>
        <w:tc>
          <w:tcPr>
            <w:tcW w:w="4558" w:type="dxa"/>
          </w:tcPr>
          <w:p w14:paraId="77276CFE" w14:textId="77777777" w:rsidR="00A213C3" w:rsidRPr="00284DE5" w:rsidRDefault="00A213C3" w:rsidP="009429DC">
            <w:pPr>
              <w:spacing w:before="40" w:after="40" w:line="276" w:lineRule="auto"/>
              <w:contextualSpacing/>
              <w:jc w:val="left"/>
              <w:rPr>
                <w:rFonts w:cs="Arial"/>
                <w:szCs w:val="20"/>
              </w:rPr>
            </w:pPr>
            <w:r w:rsidRPr="00284DE5">
              <w:rPr>
                <w:rFonts w:cs="Arial"/>
                <w:szCs w:val="20"/>
              </w:rPr>
              <w:t>ALSWH</w:t>
            </w:r>
          </w:p>
        </w:tc>
        <w:tc>
          <w:tcPr>
            <w:tcW w:w="2976" w:type="dxa"/>
          </w:tcPr>
          <w:p w14:paraId="3E8D4EE0" w14:textId="77777777" w:rsidR="00A213C3" w:rsidRPr="00284DE5" w:rsidRDefault="00A213C3" w:rsidP="009429DC">
            <w:pPr>
              <w:spacing w:before="40" w:after="40" w:line="276" w:lineRule="auto"/>
              <w:contextualSpacing/>
              <w:jc w:val="left"/>
              <w:rPr>
                <w:rFonts w:cs="Arial"/>
                <w:szCs w:val="20"/>
              </w:rPr>
            </w:pPr>
          </w:p>
        </w:tc>
        <w:tc>
          <w:tcPr>
            <w:tcW w:w="3097" w:type="dxa"/>
          </w:tcPr>
          <w:p w14:paraId="4E17B1EE" w14:textId="77777777" w:rsidR="00A213C3" w:rsidRPr="00284DE5" w:rsidRDefault="00A213C3" w:rsidP="009429DC">
            <w:pPr>
              <w:spacing w:before="40" w:after="40" w:line="276" w:lineRule="auto"/>
              <w:contextualSpacing/>
              <w:jc w:val="left"/>
              <w:rPr>
                <w:rFonts w:cs="Arial"/>
                <w:szCs w:val="20"/>
              </w:rPr>
            </w:pPr>
          </w:p>
        </w:tc>
      </w:tr>
    </w:tbl>
    <w:p w14:paraId="0B0D7A5E" w14:textId="77777777" w:rsidR="00A213C3" w:rsidRDefault="00A213C3" w:rsidP="00A213C3">
      <w:pPr>
        <w:spacing w:after="0"/>
        <w:rPr>
          <w:rFonts w:cs="Arial"/>
          <w:b/>
          <w:bCs/>
        </w:rPr>
      </w:pPr>
    </w:p>
    <w:p w14:paraId="024E09E3" w14:textId="6F036500" w:rsidR="00B769F5" w:rsidRDefault="00B769F5" w:rsidP="00B769F5"/>
    <w:p w14:paraId="06DDFBD2" w14:textId="5A630726" w:rsidR="00B769F5" w:rsidRDefault="00B769F5" w:rsidP="00B769F5">
      <w:pPr>
        <w:pStyle w:val="Caption"/>
        <w:keepNext/>
      </w:pPr>
      <w:bookmarkStart w:id="34" w:name="_Ref113714635"/>
      <w:r>
        <w:t xml:space="preserve">Table </w:t>
      </w:r>
      <w:fldSimple w:instr=" STYLEREF 1 \s ">
        <w:r w:rsidR="007D19D7">
          <w:rPr>
            <w:noProof/>
          </w:rPr>
          <w:t>3</w:t>
        </w:r>
      </w:fldSimple>
      <w:r w:rsidR="00327D59">
        <w:noBreakHyphen/>
      </w:r>
      <w:fldSimple w:instr=" SEQ Table \* ARABIC \s 1 ">
        <w:r w:rsidR="007D19D7">
          <w:rPr>
            <w:noProof/>
          </w:rPr>
          <w:t>8</w:t>
        </w:r>
      </w:fldSimple>
      <w:bookmarkEnd w:id="34"/>
      <w:r w:rsidRPr="00B769F5" w:rsidDel="00B769F5">
        <w:t xml:space="preserve"> </w:t>
      </w:r>
      <w:r w:rsidR="009429DC">
        <w:t xml:space="preserve">Items deleted from </w:t>
      </w:r>
      <w:r w:rsidRPr="00B769F5">
        <w:t xml:space="preserve">Pilot Survey 10 to Main Survey 10 </w:t>
      </w:r>
      <w:r w:rsidR="009429DC">
        <w:t>of</w:t>
      </w:r>
      <w:r w:rsidR="009429DC" w:rsidRPr="00B769F5">
        <w:t xml:space="preserve"> </w:t>
      </w:r>
      <w:r w:rsidRPr="00B769F5">
        <w:t>the 1946-51 Cohort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1E0" w:firstRow="1" w:lastRow="1" w:firstColumn="1" w:lastColumn="1" w:noHBand="0" w:noVBand="0"/>
      </w:tblPr>
      <w:tblGrid>
        <w:gridCol w:w="1287"/>
        <w:gridCol w:w="2000"/>
        <w:gridCol w:w="3142"/>
        <w:gridCol w:w="7571"/>
      </w:tblGrid>
      <w:tr w:rsidR="00A213C3" w:rsidRPr="00284DE5" w14:paraId="497FD42A" w14:textId="77777777" w:rsidTr="00E86D5D">
        <w:trPr>
          <w:cantSplit/>
          <w:tblHeader/>
        </w:trPr>
        <w:tc>
          <w:tcPr>
            <w:tcW w:w="1287" w:type="dxa"/>
            <w:shd w:val="clear" w:color="auto" w:fill="E5DFEC" w:themeFill="accent4" w:themeFillTint="33"/>
            <w:vAlign w:val="center"/>
          </w:tcPr>
          <w:p w14:paraId="12AD6E33" w14:textId="77777777" w:rsidR="00A213C3" w:rsidRPr="00284DE5" w:rsidRDefault="00A213C3" w:rsidP="009429DC">
            <w:pPr>
              <w:spacing w:before="40" w:after="40" w:line="276" w:lineRule="auto"/>
              <w:jc w:val="center"/>
              <w:rPr>
                <w:rFonts w:cs="Arial"/>
                <w:b/>
                <w:szCs w:val="20"/>
              </w:rPr>
            </w:pPr>
            <w:r>
              <w:rPr>
                <w:rFonts w:cs="Arial"/>
                <w:b/>
                <w:szCs w:val="20"/>
              </w:rPr>
              <w:t>Survey 10 Pilot</w:t>
            </w:r>
            <w:r w:rsidRPr="00284DE5">
              <w:rPr>
                <w:rFonts w:cs="Arial"/>
                <w:b/>
                <w:szCs w:val="20"/>
              </w:rPr>
              <w:t xml:space="preserve"> item number</w:t>
            </w:r>
          </w:p>
        </w:tc>
        <w:tc>
          <w:tcPr>
            <w:tcW w:w="2000" w:type="dxa"/>
            <w:shd w:val="clear" w:color="auto" w:fill="E5DFEC" w:themeFill="accent4" w:themeFillTint="33"/>
            <w:vAlign w:val="center"/>
          </w:tcPr>
          <w:p w14:paraId="226951E7" w14:textId="77777777" w:rsidR="00A213C3" w:rsidRPr="00284DE5" w:rsidRDefault="00A213C3" w:rsidP="009429DC">
            <w:pPr>
              <w:spacing w:before="40" w:after="40" w:line="276" w:lineRule="auto"/>
              <w:jc w:val="center"/>
              <w:rPr>
                <w:rFonts w:cs="Arial"/>
                <w:b/>
                <w:szCs w:val="20"/>
              </w:rPr>
            </w:pPr>
            <w:r w:rsidRPr="00284DE5">
              <w:rPr>
                <w:rFonts w:cs="Arial"/>
                <w:b/>
                <w:szCs w:val="20"/>
              </w:rPr>
              <w:t>Topic</w:t>
            </w:r>
          </w:p>
        </w:tc>
        <w:tc>
          <w:tcPr>
            <w:tcW w:w="3142" w:type="dxa"/>
            <w:shd w:val="clear" w:color="auto" w:fill="E5DFEC" w:themeFill="accent4" w:themeFillTint="33"/>
            <w:vAlign w:val="center"/>
          </w:tcPr>
          <w:p w14:paraId="3D77C750" w14:textId="77777777" w:rsidR="00A213C3" w:rsidRPr="00284DE5" w:rsidRDefault="00A213C3" w:rsidP="009429DC">
            <w:pPr>
              <w:spacing w:before="40" w:after="40" w:line="276" w:lineRule="auto"/>
              <w:jc w:val="center"/>
              <w:rPr>
                <w:rFonts w:cs="Arial"/>
                <w:b/>
                <w:szCs w:val="20"/>
              </w:rPr>
            </w:pPr>
            <w:r w:rsidRPr="00284DE5">
              <w:rPr>
                <w:rFonts w:cs="Arial"/>
                <w:b/>
                <w:szCs w:val="20"/>
              </w:rPr>
              <w:t>Source</w:t>
            </w:r>
          </w:p>
        </w:tc>
        <w:tc>
          <w:tcPr>
            <w:tcW w:w="7571" w:type="dxa"/>
            <w:shd w:val="clear" w:color="auto" w:fill="E5DFEC" w:themeFill="accent4" w:themeFillTint="33"/>
            <w:vAlign w:val="center"/>
          </w:tcPr>
          <w:p w14:paraId="37260AF9" w14:textId="77777777" w:rsidR="00A213C3" w:rsidRPr="00284DE5" w:rsidRDefault="00A213C3" w:rsidP="009429DC">
            <w:pPr>
              <w:spacing w:before="40" w:after="40" w:line="276" w:lineRule="auto"/>
              <w:jc w:val="center"/>
              <w:rPr>
                <w:rFonts w:cs="Arial"/>
                <w:b/>
                <w:szCs w:val="20"/>
              </w:rPr>
            </w:pPr>
            <w:r>
              <w:rPr>
                <w:rFonts w:cs="Arial"/>
                <w:b/>
                <w:szCs w:val="20"/>
              </w:rPr>
              <w:t>Justification of</w:t>
            </w:r>
            <w:r w:rsidRPr="00284DE5">
              <w:rPr>
                <w:rFonts w:cs="Arial"/>
                <w:b/>
                <w:szCs w:val="20"/>
              </w:rPr>
              <w:t xml:space="preserve"> deletion</w:t>
            </w:r>
          </w:p>
        </w:tc>
      </w:tr>
      <w:tr w:rsidR="00A213C3" w:rsidRPr="00284DE5" w14:paraId="1C4D588B" w14:textId="77777777" w:rsidTr="00E86D5D">
        <w:trPr>
          <w:cantSplit/>
        </w:trPr>
        <w:tc>
          <w:tcPr>
            <w:tcW w:w="1287" w:type="dxa"/>
          </w:tcPr>
          <w:p w14:paraId="47FB23B4" w14:textId="77777777" w:rsidR="00A213C3" w:rsidRDefault="00A213C3" w:rsidP="009429DC">
            <w:pPr>
              <w:spacing w:before="40" w:after="40" w:line="276" w:lineRule="auto"/>
              <w:rPr>
                <w:rFonts w:cs="Arial"/>
                <w:szCs w:val="20"/>
              </w:rPr>
            </w:pPr>
            <w:r>
              <w:rPr>
                <w:rFonts w:cs="Arial"/>
                <w:szCs w:val="20"/>
              </w:rPr>
              <w:t>16</w:t>
            </w:r>
          </w:p>
        </w:tc>
        <w:tc>
          <w:tcPr>
            <w:tcW w:w="2000" w:type="dxa"/>
          </w:tcPr>
          <w:p w14:paraId="08957F12" w14:textId="77777777" w:rsidR="00A213C3" w:rsidRPr="00284DE5" w:rsidRDefault="00A213C3" w:rsidP="009429DC">
            <w:pPr>
              <w:spacing w:before="40" w:after="40" w:line="276" w:lineRule="auto"/>
              <w:rPr>
                <w:rFonts w:cs="Arial"/>
                <w:szCs w:val="20"/>
              </w:rPr>
            </w:pPr>
            <w:r w:rsidRPr="00284DE5">
              <w:rPr>
                <w:rFonts w:cs="Arial"/>
                <w:szCs w:val="20"/>
              </w:rPr>
              <w:t xml:space="preserve">Complementary and Alternative Therapies </w:t>
            </w:r>
          </w:p>
        </w:tc>
        <w:tc>
          <w:tcPr>
            <w:tcW w:w="3142" w:type="dxa"/>
          </w:tcPr>
          <w:p w14:paraId="6A387E5F" w14:textId="77777777" w:rsidR="00A213C3" w:rsidRDefault="00A213C3" w:rsidP="009429DC">
            <w:pPr>
              <w:spacing w:before="40" w:after="40" w:line="276" w:lineRule="auto"/>
              <w:rPr>
                <w:rFonts w:cs="Arial"/>
                <w:szCs w:val="20"/>
              </w:rPr>
            </w:pPr>
            <w:r w:rsidRPr="00284DE5">
              <w:rPr>
                <w:rFonts w:cs="Arial"/>
                <w:szCs w:val="20"/>
              </w:rPr>
              <w:t>ALSWH</w:t>
            </w:r>
          </w:p>
        </w:tc>
        <w:tc>
          <w:tcPr>
            <w:tcW w:w="7571" w:type="dxa"/>
          </w:tcPr>
          <w:p w14:paraId="1455027E" w14:textId="77777777" w:rsidR="00A213C3" w:rsidRPr="00284DE5" w:rsidRDefault="00A213C3" w:rsidP="009429DC">
            <w:pPr>
              <w:spacing w:before="40" w:after="40" w:line="276" w:lineRule="auto"/>
              <w:rPr>
                <w:rFonts w:cs="Arial"/>
                <w:szCs w:val="20"/>
              </w:rPr>
            </w:pPr>
            <w:r>
              <w:rPr>
                <w:rFonts w:cs="Arial"/>
                <w:szCs w:val="20"/>
              </w:rPr>
              <w:t>Does not need to be asked at every survey round.</w:t>
            </w:r>
          </w:p>
        </w:tc>
      </w:tr>
      <w:tr w:rsidR="00A213C3" w:rsidRPr="00284DE5" w14:paraId="0629BBA8" w14:textId="77777777" w:rsidTr="00E86D5D">
        <w:trPr>
          <w:cantSplit/>
        </w:trPr>
        <w:tc>
          <w:tcPr>
            <w:tcW w:w="1287" w:type="dxa"/>
          </w:tcPr>
          <w:p w14:paraId="5E4A8BE2" w14:textId="77777777" w:rsidR="00A213C3" w:rsidRDefault="00A213C3" w:rsidP="009429DC">
            <w:pPr>
              <w:spacing w:before="40" w:after="40" w:line="276" w:lineRule="auto"/>
              <w:rPr>
                <w:rFonts w:cs="Arial"/>
                <w:szCs w:val="20"/>
              </w:rPr>
            </w:pPr>
            <w:r>
              <w:rPr>
                <w:rFonts w:cs="Arial"/>
                <w:szCs w:val="20"/>
              </w:rPr>
              <w:t>58</w:t>
            </w:r>
          </w:p>
        </w:tc>
        <w:tc>
          <w:tcPr>
            <w:tcW w:w="2000" w:type="dxa"/>
          </w:tcPr>
          <w:p w14:paraId="6CE55090" w14:textId="77777777" w:rsidR="00A213C3" w:rsidRPr="00284DE5" w:rsidRDefault="00A213C3" w:rsidP="009429DC">
            <w:pPr>
              <w:spacing w:before="40" w:after="40" w:line="276" w:lineRule="auto"/>
              <w:jc w:val="left"/>
              <w:rPr>
                <w:rFonts w:cs="Arial"/>
                <w:szCs w:val="20"/>
              </w:rPr>
            </w:pPr>
            <w:r w:rsidRPr="00284DE5">
              <w:rPr>
                <w:rFonts w:cs="Arial"/>
                <w:szCs w:val="20"/>
              </w:rPr>
              <w:t>Control and autonomy</w:t>
            </w:r>
          </w:p>
        </w:tc>
        <w:tc>
          <w:tcPr>
            <w:tcW w:w="3142" w:type="dxa"/>
          </w:tcPr>
          <w:p w14:paraId="3450A0FF" w14:textId="77777777" w:rsidR="00A213C3" w:rsidRDefault="00A213C3" w:rsidP="009429DC">
            <w:pPr>
              <w:spacing w:before="40" w:after="40" w:line="276" w:lineRule="auto"/>
              <w:rPr>
                <w:rFonts w:cs="Arial"/>
                <w:szCs w:val="20"/>
              </w:rPr>
            </w:pPr>
            <w:r w:rsidRPr="00284DE5">
              <w:rPr>
                <w:rFonts w:cs="Arial"/>
                <w:szCs w:val="20"/>
              </w:rPr>
              <w:t xml:space="preserve">Wiggins RD, </w:t>
            </w:r>
            <w:proofErr w:type="spellStart"/>
            <w:r w:rsidRPr="00284DE5">
              <w:rPr>
                <w:rFonts w:cs="Arial"/>
                <w:szCs w:val="20"/>
              </w:rPr>
              <w:t>Netuveli</w:t>
            </w:r>
            <w:proofErr w:type="spellEnd"/>
            <w:r w:rsidRPr="00284DE5">
              <w:rPr>
                <w:rFonts w:cs="Arial"/>
                <w:szCs w:val="20"/>
              </w:rPr>
              <w:t xml:space="preserve"> G, Hyde M, Higgs P</w:t>
            </w:r>
            <w:r>
              <w:rPr>
                <w:rFonts w:cs="Arial"/>
                <w:szCs w:val="20"/>
              </w:rPr>
              <w:t xml:space="preserve"> &amp;</w:t>
            </w:r>
            <w:r w:rsidRPr="00284DE5">
              <w:rPr>
                <w:rFonts w:cs="Arial"/>
                <w:szCs w:val="20"/>
              </w:rPr>
              <w:t xml:space="preserve"> Blane D</w:t>
            </w:r>
            <w:r>
              <w:rPr>
                <w:rFonts w:cs="Arial"/>
                <w:szCs w:val="20"/>
              </w:rPr>
              <w:t>.</w:t>
            </w:r>
            <w:r w:rsidRPr="00284DE5">
              <w:rPr>
                <w:rFonts w:cs="Arial"/>
                <w:szCs w:val="20"/>
              </w:rPr>
              <w:t xml:space="preserve"> (2008). The evaluation of a self-enumerated scale of quality of life (CASP-19) in the context of research on ageing: A combination of exploratory and confirmatory approaches. </w:t>
            </w:r>
            <w:r w:rsidRPr="00284DE5">
              <w:rPr>
                <w:rFonts w:cs="Arial"/>
                <w:i/>
                <w:szCs w:val="20"/>
              </w:rPr>
              <w:t>Social Indicators Research</w:t>
            </w:r>
            <w:r w:rsidRPr="00284DE5">
              <w:rPr>
                <w:rFonts w:cs="Arial"/>
                <w:szCs w:val="20"/>
              </w:rPr>
              <w:t>, 89(1), 61-77</w:t>
            </w:r>
          </w:p>
        </w:tc>
        <w:tc>
          <w:tcPr>
            <w:tcW w:w="7571" w:type="dxa"/>
          </w:tcPr>
          <w:p w14:paraId="143D13B5" w14:textId="77777777" w:rsidR="00A213C3" w:rsidRPr="00284DE5" w:rsidRDefault="00A213C3" w:rsidP="009429DC">
            <w:pPr>
              <w:spacing w:before="40" w:after="40" w:line="276" w:lineRule="auto"/>
              <w:rPr>
                <w:rFonts w:cs="Arial"/>
                <w:szCs w:val="20"/>
              </w:rPr>
            </w:pPr>
            <w:r w:rsidRPr="00B80AD6">
              <w:rPr>
                <w:rFonts w:cs="Arial"/>
                <w:szCs w:val="20"/>
              </w:rPr>
              <w:t xml:space="preserve">Comparison of the CASP-12 control and autonomy subscale with the Life Control Scale did not result in a high correlation. Therefore, the CASP-12 CA subscale is not considered a suitable replacement for the Life Control Scale as a measure of perceived control. It was agreed that only one of these measures should be kept </w:t>
            </w:r>
            <w:proofErr w:type="gramStart"/>
            <w:r w:rsidRPr="00B80AD6">
              <w:rPr>
                <w:rFonts w:cs="Arial"/>
                <w:szCs w:val="20"/>
              </w:rPr>
              <w:t>to reduce</w:t>
            </w:r>
            <w:proofErr w:type="gramEnd"/>
            <w:r w:rsidRPr="00B80AD6">
              <w:rPr>
                <w:rFonts w:cs="Arial"/>
                <w:szCs w:val="20"/>
              </w:rPr>
              <w:t xml:space="preserve"> participant burden</w:t>
            </w:r>
            <w:r>
              <w:rPr>
                <w:rFonts w:cs="Arial"/>
                <w:szCs w:val="20"/>
              </w:rPr>
              <w:t xml:space="preserve">, so </w:t>
            </w:r>
            <w:r w:rsidRPr="00B80AD6">
              <w:rPr>
                <w:rFonts w:cs="Arial"/>
                <w:szCs w:val="20"/>
              </w:rPr>
              <w:t>the CASP-12 CA subscale</w:t>
            </w:r>
            <w:r>
              <w:rPr>
                <w:rFonts w:cs="Arial"/>
                <w:szCs w:val="20"/>
              </w:rPr>
              <w:t xml:space="preserve"> was deleted</w:t>
            </w:r>
            <w:r w:rsidRPr="00B80AD6">
              <w:rPr>
                <w:rFonts w:cs="Arial"/>
                <w:szCs w:val="20"/>
              </w:rPr>
              <w:t>.</w:t>
            </w:r>
          </w:p>
        </w:tc>
      </w:tr>
    </w:tbl>
    <w:p w14:paraId="0FC6EA9C" w14:textId="77777777" w:rsidR="00A213C3" w:rsidRDefault="00A213C3" w:rsidP="00A213C3">
      <w:pPr>
        <w:spacing w:after="0"/>
        <w:rPr>
          <w:rFonts w:cs="Arial"/>
          <w:b/>
          <w:bCs/>
        </w:rPr>
      </w:pPr>
    </w:p>
    <w:p w14:paraId="5D2311E0" w14:textId="77777777" w:rsidR="00A213C3" w:rsidRDefault="00A213C3" w:rsidP="00A213C3">
      <w:pPr>
        <w:keepNext/>
        <w:spacing w:after="0"/>
        <w:rPr>
          <w:rFonts w:cs="Arial"/>
          <w:b/>
          <w:bCs/>
        </w:rPr>
        <w:sectPr w:rsidR="00A213C3" w:rsidSect="00D076DA">
          <w:pgSz w:w="15840" w:h="12240" w:orient="landscape"/>
          <w:pgMar w:top="1440" w:right="1080" w:bottom="1440" w:left="1080" w:header="709" w:footer="709" w:gutter="0"/>
          <w:cols w:space="720"/>
          <w:docGrid w:linePitch="272"/>
        </w:sectPr>
      </w:pPr>
    </w:p>
    <w:p w14:paraId="2571A8DA" w14:textId="77777777" w:rsidR="00A213C3" w:rsidRPr="008D6473" w:rsidRDefault="00A213C3" w:rsidP="00901558">
      <w:pPr>
        <w:pStyle w:val="Heading4"/>
      </w:pPr>
      <w:r w:rsidRPr="008D6473">
        <w:lastRenderedPageBreak/>
        <w:t>Approvals</w:t>
      </w:r>
    </w:p>
    <w:p w14:paraId="14676AF2" w14:textId="7FF602D2" w:rsidR="00A213C3" w:rsidRDefault="00A213C3" w:rsidP="00A213C3">
      <w:r>
        <w:t xml:space="preserve">Approval of survey materials for Main Survey 10 for the 1946-51 cohort was granted </w:t>
      </w:r>
      <w:r w:rsidR="002B2D8C">
        <w:t xml:space="preserve">by </w:t>
      </w:r>
      <w:r>
        <w:t>the Department of Health</w:t>
      </w:r>
      <w:r w:rsidR="00F0674D">
        <w:t xml:space="preserve"> and Aged Care</w:t>
      </w:r>
      <w:r>
        <w:t xml:space="preserve"> and</w:t>
      </w:r>
      <w:r w:rsidRPr="00F77C67">
        <w:t xml:space="preserve"> from the University of Newcastle Human Research Ethics Committee </w:t>
      </w:r>
      <w:r>
        <w:t xml:space="preserve">(HREC) in </w:t>
      </w:r>
      <w:proofErr w:type="gramStart"/>
      <w:r>
        <w:t xml:space="preserve">May 2022, </w:t>
      </w:r>
      <w:r w:rsidRPr="00F77C67">
        <w:t>and</w:t>
      </w:r>
      <w:proofErr w:type="gramEnd"/>
      <w:r w:rsidRPr="00F77C67">
        <w:t xml:space="preserve"> was ratified </w:t>
      </w:r>
      <w:r>
        <w:t xml:space="preserve">in the same month </w:t>
      </w:r>
      <w:r w:rsidRPr="00F77C67">
        <w:t xml:space="preserve">by the University of Queensland </w:t>
      </w:r>
      <w:r>
        <w:t>HREC.</w:t>
      </w:r>
    </w:p>
    <w:p w14:paraId="5E7E7EC8" w14:textId="77777777" w:rsidR="00A213C3" w:rsidRPr="008D6473" w:rsidRDefault="00A213C3" w:rsidP="00901558">
      <w:pPr>
        <w:pStyle w:val="Heading4"/>
      </w:pPr>
      <w:bookmarkStart w:id="35" w:name="_Hlk118209270"/>
      <w:r w:rsidRPr="008D6473">
        <w:t>Data collection</w:t>
      </w:r>
    </w:p>
    <w:p w14:paraId="35D2B9B0" w14:textId="77777777" w:rsidR="00A213C3" w:rsidRPr="00B66527" w:rsidRDefault="00A213C3" w:rsidP="00A213C3">
      <w:pPr>
        <w:rPr>
          <w:lang w:val="en-US"/>
        </w:rPr>
      </w:pPr>
      <w:r w:rsidRPr="00B66527">
        <w:rPr>
          <w:lang w:val="en-US"/>
        </w:rPr>
        <w:t xml:space="preserve">In </w:t>
      </w:r>
      <w:r>
        <w:rPr>
          <w:lang w:val="en-US"/>
        </w:rPr>
        <w:t>June 2022</w:t>
      </w:r>
      <w:r w:rsidRPr="00B66527">
        <w:rPr>
          <w:lang w:val="en-US"/>
        </w:rPr>
        <w:t xml:space="preserve">, when </w:t>
      </w:r>
      <w:r>
        <w:rPr>
          <w:lang w:val="en-US"/>
        </w:rPr>
        <w:t>they</w:t>
      </w:r>
      <w:r w:rsidRPr="00B66527">
        <w:rPr>
          <w:lang w:val="en-US"/>
        </w:rPr>
        <w:t xml:space="preserve"> were between </w:t>
      </w:r>
      <w:r>
        <w:rPr>
          <w:lang w:val="en-US"/>
        </w:rPr>
        <w:t>71 to 76</w:t>
      </w:r>
      <w:r w:rsidRPr="00B66527">
        <w:rPr>
          <w:lang w:val="en-US"/>
        </w:rPr>
        <w:t xml:space="preserve"> years old, </w:t>
      </w:r>
      <w:r>
        <w:rPr>
          <w:lang w:val="en-US"/>
        </w:rPr>
        <w:t xml:space="preserve">10,021 </w:t>
      </w:r>
      <w:r w:rsidRPr="00B66527">
        <w:rPr>
          <w:lang w:val="en-US"/>
        </w:rPr>
        <w:t xml:space="preserve">women </w:t>
      </w:r>
      <w:r>
        <w:rPr>
          <w:lang w:val="en-US"/>
        </w:rPr>
        <w:t>from</w:t>
      </w:r>
      <w:r w:rsidRPr="00B66527">
        <w:rPr>
          <w:lang w:val="en-US"/>
        </w:rPr>
        <w:t xml:space="preserve"> the </w:t>
      </w:r>
      <w:r>
        <w:rPr>
          <w:lang w:val="en-US"/>
        </w:rPr>
        <w:t>1946-51</w:t>
      </w:r>
      <w:r w:rsidRPr="00B66527">
        <w:rPr>
          <w:lang w:val="en-US"/>
        </w:rPr>
        <w:t xml:space="preserve"> cohort were invited to complete the online survey (Survey </w:t>
      </w:r>
      <w:r>
        <w:rPr>
          <w:lang w:val="en-US"/>
        </w:rPr>
        <w:t>10</w:t>
      </w:r>
      <w:r w:rsidRPr="00B66527">
        <w:rPr>
          <w:lang w:val="en-US"/>
        </w:rPr>
        <w:t xml:space="preserve">). The online survey was programmed using the </w:t>
      </w:r>
      <w:proofErr w:type="spellStart"/>
      <w:r w:rsidRPr="00B66527">
        <w:rPr>
          <w:lang w:val="en-US"/>
        </w:rPr>
        <w:t>REDCap</w:t>
      </w:r>
      <w:proofErr w:type="spellEnd"/>
      <w:r w:rsidRPr="00B66527">
        <w:rPr>
          <w:lang w:val="en-US"/>
        </w:rPr>
        <w:t xml:space="preserve"> survey platform.</w:t>
      </w:r>
    </w:p>
    <w:p w14:paraId="702A7884" w14:textId="37EBA499" w:rsidR="00A213C3" w:rsidRDefault="00A213C3" w:rsidP="00A213C3">
      <w:pPr>
        <w:rPr>
          <w:lang w:val="en-US"/>
        </w:rPr>
      </w:pPr>
      <w:r w:rsidRPr="00475556">
        <w:t xml:space="preserve">The survey </w:t>
      </w:r>
      <w:r w:rsidR="00A5283E">
        <w:t xml:space="preserve">is </w:t>
      </w:r>
      <w:r>
        <w:t>also offered in paper format, with mailed invitations and paper surveys sent out in September</w:t>
      </w:r>
      <w:r w:rsidR="004F4A7A">
        <w:t> </w:t>
      </w:r>
      <w:r>
        <w:t xml:space="preserve">2022 to eligible participants who </w:t>
      </w:r>
      <w:r w:rsidR="00A5283E">
        <w:t xml:space="preserve">had </w:t>
      </w:r>
      <w:r>
        <w:t>not yet completed the survey online</w:t>
      </w:r>
      <w:r w:rsidRPr="00475556">
        <w:t>.</w:t>
      </w:r>
      <w:r>
        <w:t xml:space="preserve"> </w:t>
      </w:r>
      <w:r w:rsidRPr="00B66527">
        <w:rPr>
          <w:lang w:val="en-US"/>
        </w:rPr>
        <w:t>The printing and mailing of the invitations and paper surveys w</w:t>
      </w:r>
      <w:r>
        <w:rPr>
          <w:lang w:val="en-US"/>
        </w:rPr>
        <w:t>as</w:t>
      </w:r>
      <w:r w:rsidRPr="00B66527">
        <w:rPr>
          <w:lang w:val="en-US"/>
        </w:rPr>
        <w:t xml:space="preserve"> contracted to New Data Solutions Pty Ltd who sub-contracted to Dual Print Solutions Pty Ltd trading as Valiant Press. </w:t>
      </w:r>
      <w:r>
        <w:rPr>
          <w:lang w:val="en-US"/>
        </w:rPr>
        <w:t>A</w:t>
      </w:r>
      <w:r w:rsidRPr="00B66527">
        <w:rPr>
          <w:lang w:val="en-US"/>
        </w:rPr>
        <w:t xml:space="preserve"> scanning application</w:t>
      </w:r>
      <w:r>
        <w:rPr>
          <w:lang w:val="en-US"/>
        </w:rPr>
        <w:t xml:space="preserve"> for the paper survey </w:t>
      </w:r>
      <w:r w:rsidR="00BA1C49">
        <w:rPr>
          <w:lang w:val="en-US"/>
        </w:rPr>
        <w:t>has been</w:t>
      </w:r>
      <w:r>
        <w:rPr>
          <w:lang w:val="en-US"/>
        </w:rPr>
        <w:t xml:space="preserve"> </w:t>
      </w:r>
      <w:r w:rsidRPr="00B66527">
        <w:rPr>
          <w:lang w:val="en-US"/>
        </w:rPr>
        <w:t>developed in</w:t>
      </w:r>
      <w:r>
        <w:rPr>
          <w:lang w:val="en-US"/>
        </w:rPr>
        <w:t>-</w:t>
      </w:r>
      <w:r w:rsidRPr="00B66527">
        <w:rPr>
          <w:lang w:val="en-US"/>
        </w:rPr>
        <w:t xml:space="preserve">house by ALSWH staff using the </w:t>
      </w:r>
      <w:proofErr w:type="spellStart"/>
      <w:r w:rsidRPr="00B66527">
        <w:rPr>
          <w:lang w:val="en-US"/>
        </w:rPr>
        <w:t>ScanTools</w:t>
      </w:r>
      <w:proofErr w:type="spellEnd"/>
      <w:r w:rsidRPr="00B66527">
        <w:rPr>
          <w:lang w:val="en-US"/>
        </w:rPr>
        <w:t xml:space="preserve"> Plus program with the Scantron </w:t>
      </w:r>
      <w:proofErr w:type="spellStart"/>
      <w:r w:rsidRPr="00B66527">
        <w:rPr>
          <w:lang w:val="en-US"/>
        </w:rPr>
        <w:t>iNSIGHT</w:t>
      </w:r>
      <w:proofErr w:type="spellEnd"/>
      <w:r w:rsidRPr="00B66527">
        <w:rPr>
          <w:lang w:val="en-US"/>
        </w:rPr>
        <w:t xml:space="preserve"> 4ES OMR scanner. Paper surveys </w:t>
      </w:r>
      <w:r w:rsidR="00A5283E">
        <w:rPr>
          <w:lang w:val="en-US"/>
        </w:rPr>
        <w:t>are</w:t>
      </w:r>
      <w:r w:rsidRPr="00B66527">
        <w:rPr>
          <w:lang w:val="en-US"/>
        </w:rPr>
        <w:t xml:space="preserve"> returned to ALSWH at the University of Newcastle where the</w:t>
      </w:r>
      <w:r>
        <w:rPr>
          <w:lang w:val="en-US"/>
        </w:rPr>
        <w:t xml:space="preserve"> survey questions/answers </w:t>
      </w:r>
      <w:r w:rsidR="00BA1C49">
        <w:rPr>
          <w:lang w:val="en-US"/>
        </w:rPr>
        <w:t>are</w:t>
      </w:r>
      <w:r w:rsidRPr="00B66527">
        <w:rPr>
          <w:lang w:val="en-US"/>
        </w:rPr>
        <w:t xml:space="preserve"> logged, checked, visually </w:t>
      </w:r>
      <w:proofErr w:type="gramStart"/>
      <w:r w:rsidRPr="00B66527">
        <w:rPr>
          <w:lang w:val="en-US"/>
        </w:rPr>
        <w:t>audited</w:t>
      </w:r>
      <w:proofErr w:type="gramEnd"/>
      <w:r>
        <w:rPr>
          <w:lang w:val="en-US"/>
        </w:rPr>
        <w:t xml:space="preserve"> and scanned, while</w:t>
      </w:r>
      <w:r w:rsidRPr="00B66527">
        <w:rPr>
          <w:lang w:val="en-US"/>
        </w:rPr>
        <w:t xml:space="preserve"> the consent page is removed, scanned and securely stored. Hand entered data </w:t>
      </w:r>
      <w:r w:rsidR="00BA1C49">
        <w:rPr>
          <w:lang w:val="en-US"/>
        </w:rPr>
        <w:t>is</w:t>
      </w:r>
      <w:r w:rsidRPr="00B66527">
        <w:rPr>
          <w:lang w:val="en-US"/>
        </w:rPr>
        <w:t xml:space="preserve"> verified when duplicate fields do not match</w:t>
      </w:r>
      <w:r>
        <w:rPr>
          <w:lang w:val="en-US"/>
        </w:rPr>
        <w:t xml:space="preserve">. </w:t>
      </w:r>
    </w:p>
    <w:p w14:paraId="285E4927" w14:textId="77777777" w:rsidR="00A213C3" w:rsidRPr="00B66527" w:rsidRDefault="00A213C3" w:rsidP="00A213C3">
      <w:pPr>
        <w:rPr>
          <w:lang w:val="en-US"/>
        </w:rPr>
      </w:pPr>
      <w:r w:rsidRPr="00CC60BA">
        <w:rPr>
          <w:rFonts w:cs="Arial"/>
        </w:rPr>
        <w:t xml:space="preserve">It is anticipated that </w:t>
      </w:r>
      <w:r>
        <w:rPr>
          <w:rFonts w:cs="Arial"/>
        </w:rPr>
        <w:t>Main Survey 10 for the 1946-51 cohort</w:t>
      </w:r>
      <w:r w:rsidRPr="00CC60BA">
        <w:rPr>
          <w:rFonts w:cs="Arial"/>
        </w:rPr>
        <w:t xml:space="preserve"> will close during the second half of 2023.</w:t>
      </w:r>
    </w:p>
    <w:bookmarkEnd w:id="35"/>
    <w:p w14:paraId="442937E8" w14:textId="77777777" w:rsidR="00A213C3" w:rsidRDefault="00A213C3" w:rsidP="00901558">
      <w:pPr>
        <w:pStyle w:val="Heading4"/>
      </w:pPr>
      <w:r w:rsidRPr="008B1DAF">
        <w:t>Prizes</w:t>
      </w:r>
      <w:r>
        <w:t xml:space="preserve"> </w:t>
      </w:r>
    </w:p>
    <w:p w14:paraId="7C5297D8" w14:textId="64BFA91E" w:rsidR="00A213C3" w:rsidRDefault="00A213C3" w:rsidP="00A213C3">
      <w:pPr>
        <w:spacing w:after="0"/>
        <w:rPr>
          <w:lang w:val="en-US"/>
        </w:rPr>
      </w:pPr>
      <w:r>
        <w:t xml:space="preserve">As with the pilot survey, three prize draws are also offered for Main Survey 10, using </w:t>
      </w:r>
      <w:proofErr w:type="spellStart"/>
      <w:r>
        <w:t>Prezzee</w:t>
      </w:r>
      <w:proofErr w:type="spellEnd"/>
      <w:r>
        <w:t xml:space="preserve"> electronic gift </w:t>
      </w:r>
      <w:r w:rsidRPr="009429DC">
        <w:t>cards (</w:t>
      </w:r>
      <w:r w:rsidR="009429DC" w:rsidRPr="009429DC">
        <w:rPr>
          <w:highlight w:val="cyan"/>
        </w:rPr>
        <w:fldChar w:fldCharType="begin"/>
      </w:r>
      <w:r w:rsidR="009429DC" w:rsidRPr="009429DC">
        <w:rPr>
          <w:highlight w:val="cyan"/>
        </w:rPr>
        <w:instrText xml:space="preserve"> REF _Ref113714901 \h  \* MERGEFORMAT </w:instrText>
      </w:r>
      <w:r w:rsidR="009429DC" w:rsidRPr="009429DC">
        <w:rPr>
          <w:highlight w:val="cyan"/>
        </w:rPr>
      </w:r>
      <w:r w:rsidR="009429DC" w:rsidRPr="009429DC">
        <w:rPr>
          <w:highlight w:val="cyan"/>
        </w:rPr>
        <w:fldChar w:fldCharType="separate"/>
      </w:r>
      <w:r w:rsidR="007D19D7" w:rsidRPr="007D19D7">
        <w:rPr>
          <w:rFonts w:cs="Arial"/>
        </w:rPr>
        <w:t xml:space="preserve">Table </w:t>
      </w:r>
      <w:r w:rsidR="007D19D7" w:rsidRPr="007D19D7">
        <w:rPr>
          <w:rFonts w:cs="Arial"/>
          <w:noProof/>
        </w:rPr>
        <w:t>3</w:t>
      </w:r>
      <w:r w:rsidR="007D19D7" w:rsidRPr="007D19D7">
        <w:rPr>
          <w:rFonts w:cs="Arial"/>
          <w:noProof/>
        </w:rPr>
        <w:noBreakHyphen/>
        <w:t>9</w:t>
      </w:r>
      <w:r w:rsidR="009429DC" w:rsidRPr="009429DC">
        <w:rPr>
          <w:highlight w:val="cyan"/>
        </w:rPr>
        <w:fldChar w:fldCharType="end"/>
      </w:r>
      <w:r w:rsidRPr="009429DC">
        <w:t xml:space="preserve">). </w:t>
      </w:r>
      <w:r w:rsidRPr="009429DC">
        <w:rPr>
          <w:lang w:val="en-US"/>
        </w:rPr>
        <w:t>Prize draws 1 and 2</w:t>
      </w:r>
      <w:r>
        <w:rPr>
          <w:lang w:val="en-US"/>
        </w:rPr>
        <w:t xml:space="preserve"> aim to encourage participants to complete the survey online rather than on paper.</w:t>
      </w:r>
    </w:p>
    <w:p w14:paraId="07982E23" w14:textId="77777777" w:rsidR="00A213C3" w:rsidRDefault="00A213C3" w:rsidP="00A213C3">
      <w:pPr>
        <w:spacing w:after="0"/>
      </w:pPr>
    </w:p>
    <w:p w14:paraId="742EA125" w14:textId="726771C1" w:rsidR="00A213C3" w:rsidRPr="009429DC" w:rsidRDefault="009429DC" w:rsidP="009429DC">
      <w:pPr>
        <w:rPr>
          <w:rFonts w:cs="Arial"/>
          <w:b/>
          <w:bCs/>
        </w:rPr>
      </w:pPr>
      <w:bookmarkStart w:id="36" w:name="_Ref113714901"/>
      <w:r w:rsidRPr="009429DC">
        <w:rPr>
          <w:rFonts w:cs="Arial"/>
          <w:b/>
          <w:bCs/>
        </w:rPr>
        <w:t xml:space="preserve">Table </w:t>
      </w:r>
      <w:r w:rsidR="00327D59">
        <w:rPr>
          <w:rFonts w:cs="Arial"/>
          <w:b/>
          <w:bCs/>
        </w:rPr>
        <w:fldChar w:fldCharType="begin"/>
      </w:r>
      <w:r w:rsidR="00327D59">
        <w:rPr>
          <w:rFonts w:cs="Arial"/>
          <w:b/>
          <w:bCs/>
        </w:rPr>
        <w:instrText xml:space="preserve"> STYLEREF 1 \s </w:instrText>
      </w:r>
      <w:r w:rsidR="00327D59">
        <w:rPr>
          <w:rFonts w:cs="Arial"/>
          <w:b/>
          <w:bCs/>
        </w:rPr>
        <w:fldChar w:fldCharType="separate"/>
      </w:r>
      <w:r w:rsidR="007D19D7">
        <w:rPr>
          <w:rFonts w:cs="Arial"/>
          <w:b/>
          <w:bCs/>
          <w:noProof/>
        </w:rPr>
        <w:t>3</w:t>
      </w:r>
      <w:r w:rsidR="00327D59">
        <w:rPr>
          <w:rFonts w:cs="Arial"/>
          <w:b/>
          <w:bCs/>
        </w:rPr>
        <w:fldChar w:fldCharType="end"/>
      </w:r>
      <w:r w:rsidR="00327D59">
        <w:rPr>
          <w:rFonts w:cs="Arial"/>
          <w:b/>
          <w:bCs/>
        </w:rPr>
        <w:noBreakHyphen/>
      </w:r>
      <w:r w:rsidR="00327D59">
        <w:rPr>
          <w:rFonts w:cs="Arial"/>
          <w:b/>
          <w:bCs/>
        </w:rPr>
        <w:fldChar w:fldCharType="begin"/>
      </w:r>
      <w:r w:rsidR="00327D59">
        <w:rPr>
          <w:rFonts w:cs="Arial"/>
          <w:b/>
          <w:bCs/>
        </w:rPr>
        <w:instrText xml:space="preserve"> SEQ Table \* ARABIC \s 1 </w:instrText>
      </w:r>
      <w:r w:rsidR="00327D59">
        <w:rPr>
          <w:rFonts w:cs="Arial"/>
          <w:b/>
          <w:bCs/>
        </w:rPr>
        <w:fldChar w:fldCharType="separate"/>
      </w:r>
      <w:r w:rsidR="007D19D7">
        <w:rPr>
          <w:rFonts w:cs="Arial"/>
          <w:b/>
          <w:bCs/>
          <w:noProof/>
        </w:rPr>
        <w:t>9</w:t>
      </w:r>
      <w:r w:rsidR="00327D59">
        <w:rPr>
          <w:rFonts w:cs="Arial"/>
          <w:b/>
          <w:bCs/>
        </w:rPr>
        <w:fldChar w:fldCharType="end"/>
      </w:r>
      <w:bookmarkEnd w:id="36"/>
      <w:r w:rsidRPr="009429DC">
        <w:rPr>
          <w:rFonts w:cs="Arial"/>
          <w:b/>
          <w:bCs/>
        </w:rPr>
        <w:t xml:space="preserve"> </w:t>
      </w:r>
      <w:r w:rsidR="00A213C3" w:rsidRPr="009429DC">
        <w:rPr>
          <w:rFonts w:cs="Arial"/>
          <w:b/>
          <w:bCs/>
        </w:rPr>
        <w:t>Prize draws for Main Survey 10 for the 1946-51 Cohort participants</w:t>
      </w:r>
    </w:p>
    <w:tbl>
      <w:tblPr>
        <w:tblStyle w:val="TableGrid"/>
        <w:tblW w:w="935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1386"/>
        <w:gridCol w:w="2158"/>
        <w:gridCol w:w="1937"/>
        <w:gridCol w:w="1937"/>
        <w:gridCol w:w="1938"/>
      </w:tblGrid>
      <w:tr w:rsidR="00A213C3" w14:paraId="07A8412B" w14:textId="77777777" w:rsidTr="00E86D5D">
        <w:tc>
          <w:tcPr>
            <w:tcW w:w="1386" w:type="dxa"/>
            <w:tcBorders>
              <w:bottom w:val="nil"/>
            </w:tcBorders>
          </w:tcPr>
          <w:p w14:paraId="3BE8FDA1" w14:textId="77777777" w:rsidR="00A213C3" w:rsidRDefault="00A213C3" w:rsidP="00E86D5D">
            <w:pPr>
              <w:spacing w:before="60" w:after="60" w:line="240" w:lineRule="auto"/>
              <w:rPr>
                <w:rFonts w:cs="Arial"/>
              </w:rPr>
            </w:pPr>
          </w:p>
        </w:tc>
        <w:tc>
          <w:tcPr>
            <w:tcW w:w="2158" w:type="dxa"/>
            <w:tcBorders>
              <w:top w:val="single" w:sz="8" w:space="0" w:color="auto"/>
              <w:bottom w:val="nil"/>
            </w:tcBorders>
          </w:tcPr>
          <w:p w14:paraId="7456E69F" w14:textId="77777777" w:rsidR="00A213C3" w:rsidRDefault="00A213C3" w:rsidP="00E86D5D">
            <w:pPr>
              <w:spacing w:before="60" w:after="60" w:line="240" w:lineRule="auto"/>
              <w:jc w:val="center"/>
              <w:rPr>
                <w:rFonts w:cs="Arial"/>
                <w:b/>
                <w:bCs/>
              </w:rPr>
            </w:pPr>
          </w:p>
        </w:tc>
        <w:tc>
          <w:tcPr>
            <w:tcW w:w="5812" w:type="dxa"/>
            <w:gridSpan w:val="3"/>
            <w:tcBorders>
              <w:top w:val="single" w:sz="8" w:space="0" w:color="auto"/>
              <w:bottom w:val="single" w:sz="8" w:space="0" w:color="auto"/>
            </w:tcBorders>
          </w:tcPr>
          <w:p w14:paraId="44DA597F" w14:textId="77777777" w:rsidR="00A213C3" w:rsidRPr="003D2F6C" w:rsidRDefault="00A213C3" w:rsidP="00E86D5D">
            <w:pPr>
              <w:spacing w:before="60" w:after="60" w:line="240" w:lineRule="auto"/>
              <w:jc w:val="center"/>
              <w:rPr>
                <w:rFonts w:cs="Arial"/>
                <w:b/>
                <w:bCs/>
              </w:rPr>
            </w:pPr>
            <w:r>
              <w:rPr>
                <w:rFonts w:cs="Arial"/>
                <w:b/>
                <w:bCs/>
              </w:rPr>
              <w:t>Survey to be completed by:</w:t>
            </w:r>
          </w:p>
        </w:tc>
      </w:tr>
      <w:tr w:rsidR="00A213C3" w14:paraId="42D39BAA" w14:textId="77777777" w:rsidTr="00E86D5D">
        <w:tc>
          <w:tcPr>
            <w:tcW w:w="1386" w:type="dxa"/>
            <w:tcBorders>
              <w:top w:val="nil"/>
              <w:bottom w:val="single" w:sz="8" w:space="0" w:color="auto"/>
            </w:tcBorders>
          </w:tcPr>
          <w:p w14:paraId="5CD8D4E7" w14:textId="77777777" w:rsidR="00A213C3" w:rsidRDefault="00A213C3" w:rsidP="00E86D5D">
            <w:pPr>
              <w:spacing w:before="60" w:after="60" w:line="240" w:lineRule="auto"/>
              <w:rPr>
                <w:rFonts w:cs="Arial"/>
              </w:rPr>
            </w:pPr>
          </w:p>
        </w:tc>
        <w:tc>
          <w:tcPr>
            <w:tcW w:w="2158" w:type="dxa"/>
            <w:tcBorders>
              <w:top w:val="nil"/>
              <w:bottom w:val="single" w:sz="8" w:space="0" w:color="auto"/>
            </w:tcBorders>
          </w:tcPr>
          <w:p w14:paraId="056C8A4C" w14:textId="77777777" w:rsidR="00A213C3" w:rsidRPr="003D2F6C" w:rsidRDefault="00A213C3" w:rsidP="00E86D5D">
            <w:pPr>
              <w:spacing w:before="60" w:after="60" w:line="240" w:lineRule="auto"/>
              <w:jc w:val="center"/>
              <w:rPr>
                <w:rFonts w:cs="Arial"/>
                <w:b/>
                <w:bCs/>
              </w:rPr>
            </w:pPr>
            <w:r>
              <w:rPr>
                <w:rFonts w:cs="Arial"/>
                <w:b/>
                <w:bCs/>
              </w:rPr>
              <w:t>Prize</w:t>
            </w:r>
          </w:p>
        </w:tc>
        <w:tc>
          <w:tcPr>
            <w:tcW w:w="1937" w:type="dxa"/>
            <w:tcBorders>
              <w:top w:val="single" w:sz="8" w:space="0" w:color="auto"/>
              <w:bottom w:val="single" w:sz="8" w:space="0" w:color="auto"/>
            </w:tcBorders>
          </w:tcPr>
          <w:p w14:paraId="30023A0F" w14:textId="77777777" w:rsidR="00A213C3" w:rsidRPr="003D2F6C" w:rsidRDefault="00A213C3" w:rsidP="00E86D5D">
            <w:pPr>
              <w:spacing w:before="60" w:after="60" w:line="240" w:lineRule="auto"/>
              <w:jc w:val="center"/>
              <w:rPr>
                <w:rFonts w:cs="Arial"/>
                <w:b/>
                <w:bCs/>
              </w:rPr>
            </w:pPr>
            <w:r w:rsidRPr="003D2F6C">
              <w:rPr>
                <w:rFonts w:cs="Arial"/>
                <w:b/>
                <w:bCs/>
              </w:rPr>
              <w:t xml:space="preserve">5pm, </w:t>
            </w:r>
            <w:r>
              <w:rPr>
                <w:rFonts w:cs="Arial"/>
                <w:b/>
                <w:bCs/>
              </w:rPr>
              <w:t>17 July</w:t>
            </w:r>
            <w:r w:rsidRPr="003D2F6C">
              <w:rPr>
                <w:rFonts w:cs="Arial"/>
                <w:b/>
                <w:bCs/>
              </w:rPr>
              <w:t xml:space="preserve"> 2022</w:t>
            </w:r>
          </w:p>
        </w:tc>
        <w:tc>
          <w:tcPr>
            <w:tcW w:w="1937" w:type="dxa"/>
            <w:tcBorders>
              <w:top w:val="single" w:sz="8" w:space="0" w:color="auto"/>
              <w:bottom w:val="single" w:sz="8" w:space="0" w:color="auto"/>
            </w:tcBorders>
          </w:tcPr>
          <w:p w14:paraId="607A30FB" w14:textId="77777777" w:rsidR="00A213C3" w:rsidRPr="003D2F6C" w:rsidRDefault="00A213C3" w:rsidP="00E86D5D">
            <w:pPr>
              <w:spacing w:before="60" w:after="60" w:line="240" w:lineRule="auto"/>
              <w:jc w:val="center"/>
              <w:rPr>
                <w:rFonts w:cs="Arial"/>
                <w:b/>
                <w:bCs/>
              </w:rPr>
            </w:pPr>
            <w:r w:rsidRPr="003D2F6C">
              <w:rPr>
                <w:rFonts w:cs="Arial"/>
                <w:b/>
                <w:bCs/>
              </w:rPr>
              <w:t xml:space="preserve">5pm, </w:t>
            </w:r>
            <w:r>
              <w:rPr>
                <w:rFonts w:cs="Arial"/>
                <w:b/>
                <w:bCs/>
              </w:rPr>
              <w:t>21 Aug</w:t>
            </w:r>
            <w:r w:rsidRPr="003D2F6C">
              <w:rPr>
                <w:rFonts w:cs="Arial"/>
                <w:b/>
                <w:bCs/>
              </w:rPr>
              <w:t xml:space="preserve"> 2022</w:t>
            </w:r>
          </w:p>
        </w:tc>
        <w:tc>
          <w:tcPr>
            <w:tcW w:w="1938" w:type="dxa"/>
            <w:tcBorders>
              <w:top w:val="single" w:sz="8" w:space="0" w:color="auto"/>
              <w:bottom w:val="single" w:sz="8" w:space="0" w:color="auto"/>
            </w:tcBorders>
          </w:tcPr>
          <w:p w14:paraId="4AB5FDBA" w14:textId="77777777" w:rsidR="00A213C3" w:rsidRPr="003D2F6C" w:rsidRDefault="00A213C3" w:rsidP="00E86D5D">
            <w:pPr>
              <w:spacing w:before="60" w:after="60" w:line="240" w:lineRule="auto"/>
              <w:jc w:val="center"/>
              <w:rPr>
                <w:rFonts w:cs="Arial"/>
                <w:b/>
                <w:bCs/>
              </w:rPr>
            </w:pPr>
            <w:r w:rsidRPr="003D2F6C">
              <w:rPr>
                <w:rFonts w:cs="Arial"/>
                <w:b/>
                <w:bCs/>
              </w:rPr>
              <w:t xml:space="preserve">5pm, 11 </w:t>
            </w:r>
            <w:r>
              <w:rPr>
                <w:rFonts w:cs="Arial"/>
                <w:b/>
                <w:bCs/>
              </w:rPr>
              <w:t>June</w:t>
            </w:r>
            <w:r w:rsidRPr="003D2F6C">
              <w:rPr>
                <w:rFonts w:cs="Arial"/>
                <w:b/>
                <w:bCs/>
              </w:rPr>
              <w:t xml:space="preserve"> 202</w:t>
            </w:r>
            <w:r>
              <w:rPr>
                <w:rFonts w:cs="Arial"/>
                <w:b/>
                <w:bCs/>
              </w:rPr>
              <w:t>3</w:t>
            </w:r>
          </w:p>
        </w:tc>
      </w:tr>
      <w:tr w:rsidR="00A213C3" w14:paraId="659F2A38" w14:textId="77777777" w:rsidTr="00E86D5D">
        <w:tc>
          <w:tcPr>
            <w:tcW w:w="1386" w:type="dxa"/>
            <w:tcBorders>
              <w:top w:val="single" w:sz="8" w:space="0" w:color="auto"/>
            </w:tcBorders>
            <w:vAlign w:val="center"/>
          </w:tcPr>
          <w:p w14:paraId="4B07B375" w14:textId="77777777" w:rsidR="00A213C3" w:rsidRPr="003D2F6C" w:rsidRDefault="00A213C3" w:rsidP="00E86D5D">
            <w:pPr>
              <w:spacing w:before="60" w:after="60" w:line="240" w:lineRule="auto"/>
              <w:jc w:val="left"/>
              <w:rPr>
                <w:rFonts w:cs="Arial"/>
                <w:b/>
                <w:bCs/>
              </w:rPr>
            </w:pPr>
            <w:r w:rsidRPr="003D2F6C">
              <w:rPr>
                <w:rFonts w:cs="Arial"/>
                <w:b/>
                <w:bCs/>
              </w:rPr>
              <w:t>Prize Draw 1</w:t>
            </w:r>
          </w:p>
        </w:tc>
        <w:tc>
          <w:tcPr>
            <w:tcW w:w="2158" w:type="dxa"/>
            <w:tcBorders>
              <w:top w:val="single" w:sz="8" w:space="0" w:color="auto"/>
              <w:bottom w:val="single" w:sz="8" w:space="0" w:color="auto"/>
            </w:tcBorders>
            <w:shd w:val="clear" w:color="auto" w:fill="auto"/>
            <w:vAlign w:val="center"/>
          </w:tcPr>
          <w:p w14:paraId="017C5C29" w14:textId="77777777" w:rsidR="00A213C3" w:rsidRDefault="00A213C3" w:rsidP="00E86D5D">
            <w:pPr>
              <w:spacing w:before="60" w:after="60" w:line="240" w:lineRule="auto"/>
              <w:jc w:val="center"/>
            </w:pPr>
            <w:r>
              <w:t>$100 voucher</w:t>
            </w:r>
          </w:p>
          <w:p w14:paraId="1AE83D68" w14:textId="77777777" w:rsidR="00A213C3" w:rsidRDefault="00A213C3" w:rsidP="00E86D5D">
            <w:pPr>
              <w:spacing w:before="60" w:after="60" w:line="240" w:lineRule="auto"/>
              <w:jc w:val="center"/>
              <w:rPr>
                <w:rFonts w:cs="Arial"/>
              </w:rPr>
            </w:pPr>
            <w:r>
              <w:t>(Five winners)</w:t>
            </w:r>
          </w:p>
        </w:tc>
        <w:tc>
          <w:tcPr>
            <w:tcW w:w="1937" w:type="dxa"/>
            <w:tcBorders>
              <w:top w:val="single" w:sz="8" w:space="0" w:color="auto"/>
              <w:bottom w:val="single" w:sz="8" w:space="0" w:color="auto"/>
            </w:tcBorders>
            <w:shd w:val="clear" w:color="auto" w:fill="E5DFEC" w:themeFill="accent4" w:themeFillTint="33"/>
            <w:vAlign w:val="center"/>
          </w:tcPr>
          <w:p w14:paraId="5A886E36" w14:textId="77777777" w:rsidR="00A213C3" w:rsidRDefault="00A213C3" w:rsidP="00E86D5D">
            <w:pPr>
              <w:spacing w:before="60" w:after="60" w:line="240" w:lineRule="auto"/>
              <w:jc w:val="center"/>
              <w:rPr>
                <w:rFonts w:cs="Arial"/>
              </w:rPr>
            </w:pPr>
            <w:r>
              <w:rPr>
                <w:rFonts w:cs="Arial"/>
              </w:rPr>
              <w:t>Eligible (1 entry)</w:t>
            </w:r>
          </w:p>
        </w:tc>
        <w:tc>
          <w:tcPr>
            <w:tcW w:w="1937" w:type="dxa"/>
            <w:tcBorders>
              <w:top w:val="single" w:sz="8" w:space="0" w:color="auto"/>
              <w:bottom w:val="single" w:sz="8" w:space="0" w:color="auto"/>
            </w:tcBorders>
            <w:vAlign w:val="center"/>
          </w:tcPr>
          <w:p w14:paraId="3EF8F222" w14:textId="77777777" w:rsidR="00A213C3" w:rsidRDefault="00A213C3" w:rsidP="00E86D5D">
            <w:pPr>
              <w:spacing w:before="60" w:after="60" w:line="240" w:lineRule="auto"/>
              <w:jc w:val="center"/>
              <w:rPr>
                <w:rFonts w:cs="Arial"/>
              </w:rPr>
            </w:pPr>
          </w:p>
        </w:tc>
        <w:tc>
          <w:tcPr>
            <w:tcW w:w="1938" w:type="dxa"/>
            <w:tcBorders>
              <w:top w:val="single" w:sz="8" w:space="0" w:color="auto"/>
              <w:bottom w:val="single" w:sz="8" w:space="0" w:color="auto"/>
            </w:tcBorders>
            <w:vAlign w:val="center"/>
          </w:tcPr>
          <w:p w14:paraId="6F6DE2B5" w14:textId="77777777" w:rsidR="00A213C3" w:rsidRDefault="00A213C3" w:rsidP="00E86D5D">
            <w:pPr>
              <w:spacing w:before="60" w:after="60" w:line="240" w:lineRule="auto"/>
              <w:jc w:val="center"/>
              <w:rPr>
                <w:rFonts w:cs="Arial"/>
              </w:rPr>
            </w:pPr>
          </w:p>
        </w:tc>
      </w:tr>
      <w:tr w:rsidR="00A213C3" w14:paraId="729E4FAD" w14:textId="77777777" w:rsidTr="00E86D5D">
        <w:tc>
          <w:tcPr>
            <w:tcW w:w="1386" w:type="dxa"/>
            <w:vAlign w:val="center"/>
          </w:tcPr>
          <w:p w14:paraId="262398E9" w14:textId="77777777" w:rsidR="00A213C3" w:rsidRPr="003D2F6C" w:rsidRDefault="00A213C3" w:rsidP="00E86D5D">
            <w:pPr>
              <w:spacing w:before="60" w:after="60" w:line="240" w:lineRule="auto"/>
              <w:jc w:val="left"/>
              <w:rPr>
                <w:rFonts w:cs="Arial"/>
                <w:b/>
                <w:bCs/>
              </w:rPr>
            </w:pPr>
            <w:r w:rsidRPr="003D2F6C">
              <w:rPr>
                <w:rFonts w:cs="Arial"/>
                <w:b/>
                <w:bCs/>
              </w:rPr>
              <w:t>Prize Draw 2</w:t>
            </w:r>
          </w:p>
        </w:tc>
        <w:tc>
          <w:tcPr>
            <w:tcW w:w="2158" w:type="dxa"/>
            <w:tcBorders>
              <w:top w:val="single" w:sz="8" w:space="0" w:color="auto"/>
              <w:bottom w:val="single" w:sz="8" w:space="0" w:color="auto"/>
            </w:tcBorders>
            <w:vAlign w:val="center"/>
          </w:tcPr>
          <w:p w14:paraId="3EADF212" w14:textId="77777777" w:rsidR="00A213C3" w:rsidRDefault="00A213C3" w:rsidP="00E86D5D">
            <w:pPr>
              <w:spacing w:before="60" w:after="60" w:line="240" w:lineRule="auto"/>
              <w:jc w:val="center"/>
            </w:pPr>
            <w:r>
              <w:t>$100 vouchers</w:t>
            </w:r>
          </w:p>
          <w:p w14:paraId="322C64B2" w14:textId="77777777" w:rsidR="00A213C3" w:rsidRDefault="00A213C3" w:rsidP="00E86D5D">
            <w:pPr>
              <w:spacing w:before="60" w:after="60" w:line="240" w:lineRule="auto"/>
              <w:jc w:val="center"/>
              <w:rPr>
                <w:rFonts w:cs="Arial"/>
              </w:rPr>
            </w:pPr>
            <w:r>
              <w:t>(Five winners)</w:t>
            </w:r>
          </w:p>
        </w:tc>
        <w:tc>
          <w:tcPr>
            <w:tcW w:w="1937" w:type="dxa"/>
            <w:tcBorders>
              <w:top w:val="single" w:sz="8" w:space="0" w:color="auto"/>
              <w:bottom w:val="single" w:sz="8" w:space="0" w:color="auto"/>
            </w:tcBorders>
            <w:vAlign w:val="center"/>
          </w:tcPr>
          <w:p w14:paraId="6C1FD76E" w14:textId="77777777" w:rsidR="00A213C3" w:rsidRDefault="00A213C3" w:rsidP="00E86D5D">
            <w:pPr>
              <w:spacing w:before="60" w:after="60" w:line="240" w:lineRule="auto"/>
              <w:jc w:val="center"/>
              <w:rPr>
                <w:rFonts w:cs="Arial"/>
              </w:rPr>
            </w:pPr>
          </w:p>
        </w:tc>
        <w:tc>
          <w:tcPr>
            <w:tcW w:w="1937" w:type="dxa"/>
            <w:tcBorders>
              <w:top w:val="single" w:sz="8" w:space="0" w:color="auto"/>
              <w:bottom w:val="single" w:sz="8" w:space="0" w:color="auto"/>
            </w:tcBorders>
            <w:shd w:val="clear" w:color="auto" w:fill="E5DFEC" w:themeFill="accent4" w:themeFillTint="33"/>
            <w:vAlign w:val="center"/>
          </w:tcPr>
          <w:p w14:paraId="1C987DD7" w14:textId="77777777" w:rsidR="00A213C3" w:rsidRDefault="00A213C3" w:rsidP="00E86D5D">
            <w:pPr>
              <w:spacing w:before="60" w:after="60" w:line="240" w:lineRule="auto"/>
              <w:jc w:val="center"/>
              <w:rPr>
                <w:rFonts w:cs="Arial"/>
              </w:rPr>
            </w:pPr>
            <w:r>
              <w:rPr>
                <w:rFonts w:cs="Arial"/>
              </w:rPr>
              <w:t>Eligible (1 entry)</w:t>
            </w:r>
          </w:p>
        </w:tc>
        <w:tc>
          <w:tcPr>
            <w:tcW w:w="1938" w:type="dxa"/>
            <w:tcBorders>
              <w:top w:val="single" w:sz="8" w:space="0" w:color="auto"/>
              <w:bottom w:val="single" w:sz="8" w:space="0" w:color="auto"/>
            </w:tcBorders>
            <w:vAlign w:val="center"/>
          </w:tcPr>
          <w:p w14:paraId="212063B8" w14:textId="77777777" w:rsidR="00A213C3" w:rsidRDefault="00A213C3" w:rsidP="00E86D5D">
            <w:pPr>
              <w:spacing w:before="60" w:after="60" w:line="240" w:lineRule="auto"/>
              <w:jc w:val="center"/>
              <w:rPr>
                <w:rFonts w:cs="Arial"/>
              </w:rPr>
            </w:pPr>
          </w:p>
        </w:tc>
      </w:tr>
      <w:tr w:rsidR="00A213C3" w14:paraId="7F3E4445" w14:textId="77777777" w:rsidTr="00E86D5D">
        <w:tc>
          <w:tcPr>
            <w:tcW w:w="1386" w:type="dxa"/>
            <w:vAlign w:val="center"/>
          </w:tcPr>
          <w:p w14:paraId="3E6384C7" w14:textId="77777777" w:rsidR="00A213C3" w:rsidRPr="003D2F6C" w:rsidRDefault="00A213C3" w:rsidP="00E86D5D">
            <w:pPr>
              <w:spacing w:before="60" w:after="60" w:line="240" w:lineRule="auto"/>
              <w:jc w:val="left"/>
              <w:rPr>
                <w:rFonts w:cs="Arial"/>
                <w:b/>
                <w:bCs/>
              </w:rPr>
            </w:pPr>
            <w:r w:rsidRPr="003D2F6C">
              <w:rPr>
                <w:rFonts w:cs="Arial"/>
                <w:b/>
                <w:bCs/>
              </w:rPr>
              <w:t>Prize Draw 3 (Major)</w:t>
            </w:r>
          </w:p>
        </w:tc>
        <w:tc>
          <w:tcPr>
            <w:tcW w:w="2158" w:type="dxa"/>
            <w:tcBorders>
              <w:top w:val="single" w:sz="8" w:space="0" w:color="auto"/>
            </w:tcBorders>
            <w:vAlign w:val="center"/>
          </w:tcPr>
          <w:p w14:paraId="0AE9938C" w14:textId="77777777" w:rsidR="00A213C3" w:rsidRDefault="00A213C3" w:rsidP="00E86D5D">
            <w:pPr>
              <w:spacing w:before="60" w:after="60" w:line="240" w:lineRule="auto"/>
              <w:jc w:val="center"/>
            </w:pPr>
            <w:r>
              <w:t>$1,000 voucher</w:t>
            </w:r>
          </w:p>
          <w:p w14:paraId="3DCE1FC0" w14:textId="77777777" w:rsidR="00A213C3" w:rsidRDefault="00A213C3" w:rsidP="00E86D5D">
            <w:pPr>
              <w:spacing w:before="60" w:after="60" w:line="240" w:lineRule="auto"/>
              <w:jc w:val="center"/>
              <w:rPr>
                <w:rFonts w:cs="Arial"/>
              </w:rPr>
            </w:pPr>
            <w:r>
              <w:t>(One winner)</w:t>
            </w:r>
          </w:p>
        </w:tc>
        <w:tc>
          <w:tcPr>
            <w:tcW w:w="1937" w:type="dxa"/>
            <w:tcBorders>
              <w:top w:val="single" w:sz="8" w:space="0" w:color="auto"/>
            </w:tcBorders>
            <w:vAlign w:val="center"/>
          </w:tcPr>
          <w:p w14:paraId="27A4E3F1" w14:textId="77777777" w:rsidR="00A213C3" w:rsidRDefault="00A213C3" w:rsidP="00E86D5D">
            <w:pPr>
              <w:spacing w:before="60" w:after="60" w:line="240" w:lineRule="auto"/>
              <w:jc w:val="center"/>
              <w:rPr>
                <w:rFonts w:cs="Arial"/>
              </w:rPr>
            </w:pPr>
          </w:p>
        </w:tc>
        <w:tc>
          <w:tcPr>
            <w:tcW w:w="1937" w:type="dxa"/>
            <w:tcBorders>
              <w:top w:val="single" w:sz="8" w:space="0" w:color="auto"/>
            </w:tcBorders>
            <w:vAlign w:val="center"/>
          </w:tcPr>
          <w:p w14:paraId="7BC94A32" w14:textId="77777777" w:rsidR="00A213C3" w:rsidRDefault="00A213C3" w:rsidP="00E86D5D">
            <w:pPr>
              <w:spacing w:before="60" w:after="60" w:line="240" w:lineRule="auto"/>
              <w:jc w:val="center"/>
              <w:rPr>
                <w:rFonts w:cs="Arial"/>
              </w:rPr>
            </w:pPr>
          </w:p>
        </w:tc>
        <w:tc>
          <w:tcPr>
            <w:tcW w:w="1938" w:type="dxa"/>
            <w:tcBorders>
              <w:top w:val="single" w:sz="8" w:space="0" w:color="auto"/>
              <w:bottom w:val="single" w:sz="8" w:space="0" w:color="auto"/>
            </w:tcBorders>
            <w:shd w:val="clear" w:color="auto" w:fill="E5DFEC" w:themeFill="accent4" w:themeFillTint="33"/>
            <w:vAlign w:val="center"/>
          </w:tcPr>
          <w:p w14:paraId="74306276" w14:textId="77777777" w:rsidR="00A213C3" w:rsidRDefault="00A213C3" w:rsidP="00E86D5D">
            <w:pPr>
              <w:spacing w:before="60" w:after="60" w:line="240" w:lineRule="auto"/>
              <w:jc w:val="center"/>
              <w:rPr>
                <w:rFonts w:cs="Arial"/>
              </w:rPr>
            </w:pPr>
            <w:r>
              <w:rPr>
                <w:rFonts w:cs="Arial"/>
              </w:rPr>
              <w:t>Eligible (1 entry)</w:t>
            </w:r>
          </w:p>
        </w:tc>
      </w:tr>
    </w:tbl>
    <w:p w14:paraId="73409862" w14:textId="77777777" w:rsidR="00BA1C49" w:rsidRDefault="00A213C3" w:rsidP="002B2D8C">
      <w:pPr>
        <w:spacing w:after="0"/>
        <w:rPr>
          <w:rFonts w:cs="Arial"/>
        </w:rPr>
      </w:pPr>
      <w:r>
        <w:rPr>
          <w:rFonts w:cs="Arial"/>
        </w:rPr>
        <w:t xml:space="preserve"> </w:t>
      </w:r>
    </w:p>
    <w:p w14:paraId="06849CF4" w14:textId="2497EBDF" w:rsidR="00A213C3" w:rsidRPr="009D2D4F" w:rsidRDefault="00A213C3" w:rsidP="002B2D8C">
      <w:pPr>
        <w:spacing w:after="0"/>
        <w:rPr>
          <w:rFonts w:cs="Arial"/>
          <w:b/>
          <w:bCs/>
          <w:i/>
          <w:iCs/>
        </w:rPr>
      </w:pPr>
      <w:r w:rsidRPr="009D2D4F">
        <w:rPr>
          <w:rFonts w:cs="Arial"/>
          <w:b/>
          <w:bCs/>
          <w:i/>
          <w:iCs/>
        </w:rPr>
        <w:lastRenderedPageBreak/>
        <w:t>Invitation and reminder protocol</w:t>
      </w:r>
    </w:p>
    <w:p w14:paraId="2885F5BD" w14:textId="4A4B32C2" w:rsidR="00A213C3" w:rsidRDefault="00A213C3" w:rsidP="00A213C3">
      <w:pPr>
        <w:spacing w:after="0"/>
        <w:rPr>
          <w:rFonts w:cs="Arial"/>
        </w:rPr>
      </w:pPr>
      <w:r>
        <w:rPr>
          <w:rFonts w:cs="Arial"/>
        </w:rPr>
        <w:t xml:space="preserve">The invitation and reminder protocol is presented in </w:t>
      </w:r>
      <w:r w:rsidR="00621B2D" w:rsidRPr="00621B2D">
        <w:rPr>
          <w:rFonts w:cs="Arial"/>
        </w:rPr>
        <w:fldChar w:fldCharType="begin"/>
      </w:r>
      <w:r w:rsidR="00621B2D" w:rsidRPr="00621B2D">
        <w:rPr>
          <w:rFonts w:cs="Arial"/>
        </w:rPr>
        <w:instrText xml:space="preserve"> REF _Ref113715268 \h </w:instrText>
      </w:r>
      <w:r w:rsidR="00621B2D" w:rsidRPr="0093729E">
        <w:rPr>
          <w:rFonts w:cs="Arial"/>
        </w:rPr>
        <w:instrText xml:space="preserve"> \* MERGEFORMAT </w:instrText>
      </w:r>
      <w:r w:rsidR="00621B2D" w:rsidRPr="00621B2D">
        <w:rPr>
          <w:rFonts w:cs="Arial"/>
        </w:rPr>
      </w:r>
      <w:r w:rsidR="00621B2D" w:rsidRPr="00621B2D">
        <w:rPr>
          <w:rFonts w:cs="Arial"/>
        </w:rPr>
        <w:fldChar w:fldCharType="separate"/>
      </w:r>
      <w:r w:rsidR="007D19D7" w:rsidRPr="007D19D7">
        <w:rPr>
          <w:rFonts w:cs="Arial"/>
        </w:rPr>
        <w:t xml:space="preserve">Figure </w:t>
      </w:r>
      <w:r w:rsidR="007D19D7" w:rsidRPr="007D19D7">
        <w:rPr>
          <w:rFonts w:cs="Arial"/>
          <w:noProof/>
        </w:rPr>
        <w:t>3</w:t>
      </w:r>
      <w:r w:rsidR="007D19D7" w:rsidRPr="007D19D7">
        <w:rPr>
          <w:rFonts w:cs="Arial"/>
          <w:noProof/>
        </w:rPr>
        <w:noBreakHyphen/>
        <w:t>2</w:t>
      </w:r>
      <w:r w:rsidR="00621B2D" w:rsidRPr="00621B2D">
        <w:rPr>
          <w:rFonts w:cs="Arial"/>
        </w:rPr>
        <w:fldChar w:fldCharType="end"/>
      </w:r>
      <w:r w:rsidRPr="00621B2D">
        <w:rPr>
          <w:rFonts w:cs="Arial"/>
        </w:rPr>
        <w:t>, while</w:t>
      </w:r>
      <w:r>
        <w:rPr>
          <w:rFonts w:cs="Arial"/>
        </w:rPr>
        <w:t xml:space="preserve"> the follow-up survey activities are </w:t>
      </w:r>
      <w:r w:rsidRPr="00621B2D">
        <w:rPr>
          <w:rFonts w:cs="Arial"/>
        </w:rPr>
        <w:t>presented in</w:t>
      </w:r>
      <w:r w:rsidR="00621B2D" w:rsidRPr="00621B2D">
        <w:rPr>
          <w:rFonts w:cs="Arial"/>
        </w:rPr>
        <w:t xml:space="preserve"> </w:t>
      </w:r>
      <w:r w:rsidR="00621B2D" w:rsidRPr="00621B2D">
        <w:rPr>
          <w:rFonts w:cs="Arial"/>
          <w:highlight w:val="cyan"/>
        </w:rPr>
        <w:fldChar w:fldCharType="begin"/>
      </w:r>
      <w:r w:rsidR="00621B2D" w:rsidRPr="00621B2D">
        <w:rPr>
          <w:rFonts w:cs="Arial"/>
          <w:highlight w:val="cyan"/>
        </w:rPr>
        <w:instrText xml:space="preserve"> REF _Ref113715288 \h </w:instrText>
      </w:r>
      <w:r w:rsidR="00621B2D" w:rsidRPr="0093729E">
        <w:rPr>
          <w:rFonts w:cs="Arial"/>
          <w:highlight w:val="cyan"/>
        </w:rPr>
        <w:instrText xml:space="preserve"> \* MERGEFORMAT </w:instrText>
      </w:r>
      <w:r w:rsidR="00621B2D" w:rsidRPr="00621B2D">
        <w:rPr>
          <w:rFonts w:cs="Arial"/>
          <w:highlight w:val="cyan"/>
        </w:rPr>
      </w:r>
      <w:r w:rsidR="00621B2D" w:rsidRPr="00621B2D">
        <w:rPr>
          <w:rFonts w:cs="Arial"/>
          <w:highlight w:val="cyan"/>
        </w:rPr>
        <w:fldChar w:fldCharType="separate"/>
      </w:r>
      <w:r w:rsidR="007D19D7" w:rsidRPr="007D19D7">
        <w:t xml:space="preserve">Table </w:t>
      </w:r>
      <w:r w:rsidR="007D19D7" w:rsidRPr="007D19D7">
        <w:rPr>
          <w:noProof/>
        </w:rPr>
        <w:t>3</w:t>
      </w:r>
      <w:r w:rsidR="007D19D7" w:rsidRPr="007D19D7">
        <w:rPr>
          <w:noProof/>
        </w:rPr>
        <w:noBreakHyphen/>
        <w:t>11</w:t>
      </w:r>
      <w:r w:rsidR="00621B2D" w:rsidRPr="00621B2D">
        <w:rPr>
          <w:rFonts w:cs="Arial"/>
          <w:highlight w:val="cyan"/>
        </w:rPr>
        <w:fldChar w:fldCharType="end"/>
      </w:r>
      <w:r w:rsidRPr="00621B2D">
        <w:rPr>
          <w:rFonts w:cs="Arial"/>
        </w:rPr>
        <w:t>.</w:t>
      </w:r>
    </w:p>
    <w:p w14:paraId="363116DF" w14:textId="77777777" w:rsidR="00A213C3" w:rsidRPr="00FF7034" w:rsidRDefault="00A213C3" w:rsidP="00901558">
      <w:pPr>
        <w:pStyle w:val="Heading4"/>
      </w:pPr>
      <w:bookmarkStart w:id="37" w:name="_Hlk118209330"/>
      <w:r>
        <w:t>R</w:t>
      </w:r>
      <w:r w:rsidRPr="00FF7034">
        <w:t>esponse rate</w:t>
      </w:r>
    </w:p>
    <w:p w14:paraId="1447403B" w14:textId="42F7FA6D" w:rsidR="00A213C3" w:rsidRDefault="009429DC" w:rsidP="00A213C3">
      <w:pPr>
        <w:spacing w:after="0"/>
        <w:rPr>
          <w:rFonts w:cs="Arial"/>
        </w:rPr>
      </w:pPr>
      <w:r w:rsidRPr="009429DC">
        <w:fldChar w:fldCharType="begin"/>
      </w:r>
      <w:r w:rsidRPr="009429DC">
        <w:instrText xml:space="preserve"> REF _Ref113714992 \h </w:instrText>
      </w:r>
      <w:r w:rsidRPr="0093729E">
        <w:instrText xml:space="preserve"> \* MERGEFORMAT </w:instrText>
      </w:r>
      <w:r w:rsidRPr="009429DC">
        <w:fldChar w:fldCharType="separate"/>
      </w:r>
      <w:r w:rsidR="007D19D7" w:rsidRPr="007D19D7">
        <w:rPr>
          <w:rFonts w:cs="Arial"/>
        </w:rPr>
        <w:t xml:space="preserve">Table </w:t>
      </w:r>
      <w:r w:rsidR="007D19D7" w:rsidRPr="007D19D7">
        <w:rPr>
          <w:rFonts w:cs="Arial"/>
          <w:noProof/>
        </w:rPr>
        <w:t>3</w:t>
      </w:r>
      <w:r w:rsidR="007D19D7" w:rsidRPr="007D19D7">
        <w:rPr>
          <w:rFonts w:cs="Arial"/>
          <w:noProof/>
        </w:rPr>
        <w:noBreakHyphen/>
        <w:t>10</w:t>
      </w:r>
      <w:r w:rsidRPr="009429DC">
        <w:fldChar w:fldCharType="end"/>
      </w:r>
      <w:r w:rsidRPr="009429DC">
        <w:t xml:space="preserve"> </w:t>
      </w:r>
      <w:r w:rsidR="00A213C3" w:rsidRPr="009429DC">
        <w:t xml:space="preserve">details the response rates for Main Survey 10 for the 1946-51 cohort. </w:t>
      </w:r>
      <w:r w:rsidR="00BA1C49">
        <w:t>By October 2022, completed (online and paper) main surveys have been received from 5,915 women (59% of those invited).  Another 65 women (0.6%) have partially completed their survey online</w:t>
      </w:r>
      <w:r w:rsidR="00A213C3">
        <w:t xml:space="preserve">). </w:t>
      </w:r>
    </w:p>
    <w:p w14:paraId="0C77DB66" w14:textId="2698A1E7" w:rsidR="00A213C3" w:rsidRPr="0093729E" w:rsidRDefault="009429DC" w:rsidP="0093729E">
      <w:pPr>
        <w:spacing w:before="40" w:after="40" w:line="276" w:lineRule="auto"/>
        <w:rPr>
          <w:rFonts w:cs="Arial"/>
          <w:b/>
          <w:bCs/>
        </w:rPr>
      </w:pPr>
      <w:bookmarkStart w:id="38" w:name="_Ref113714992"/>
      <w:r w:rsidRPr="00BA1C49">
        <w:rPr>
          <w:rFonts w:cs="Arial"/>
          <w:b/>
          <w:bCs/>
        </w:rPr>
        <w:t xml:space="preserve">Table </w:t>
      </w:r>
      <w:r w:rsidR="00327D59" w:rsidRPr="00BA1C49">
        <w:rPr>
          <w:rFonts w:cs="Arial"/>
          <w:b/>
          <w:bCs/>
        </w:rPr>
        <w:fldChar w:fldCharType="begin"/>
      </w:r>
      <w:r w:rsidR="00327D59" w:rsidRPr="00BA1C49">
        <w:rPr>
          <w:rFonts w:cs="Arial"/>
          <w:b/>
          <w:bCs/>
        </w:rPr>
        <w:instrText xml:space="preserve"> STYLEREF 1 \s </w:instrText>
      </w:r>
      <w:r w:rsidR="00327D59" w:rsidRPr="00BA1C49">
        <w:rPr>
          <w:rFonts w:cs="Arial"/>
          <w:b/>
          <w:bCs/>
        </w:rPr>
        <w:fldChar w:fldCharType="separate"/>
      </w:r>
      <w:r w:rsidR="007D19D7">
        <w:rPr>
          <w:rFonts w:cs="Arial"/>
          <w:b/>
          <w:bCs/>
          <w:noProof/>
        </w:rPr>
        <w:t>3</w:t>
      </w:r>
      <w:r w:rsidR="00327D59" w:rsidRPr="00BA1C49">
        <w:rPr>
          <w:rFonts w:cs="Arial"/>
          <w:b/>
          <w:bCs/>
        </w:rPr>
        <w:fldChar w:fldCharType="end"/>
      </w:r>
      <w:r w:rsidR="00327D59" w:rsidRPr="00BA1C49">
        <w:rPr>
          <w:rFonts w:cs="Arial"/>
          <w:b/>
          <w:bCs/>
        </w:rPr>
        <w:noBreakHyphen/>
      </w:r>
      <w:r w:rsidR="00327D59" w:rsidRPr="00BA1C49">
        <w:rPr>
          <w:rFonts w:cs="Arial"/>
          <w:b/>
          <w:bCs/>
        </w:rPr>
        <w:fldChar w:fldCharType="begin"/>
      </w:r>
      <w:r w:rsidR="00327D59" w:rsidRPr="00BA1C49">
        <w:rPr>
          <w:rFonts w:cs="Arial"/>
          <w:b/>
          <w:bCs/>
        </w:rPr>
        <w:instrText xml:space="preserve"> SEQ Table \* ARABIC \s 1 </w:instrText>
      </w:r>
      <w:r w:rsidR="00327D59" w:rsidRPr="00BA1C49">
        <w:rPr>
          <w:rFonts w:cs="Arial"/>
          <w:b/>
          <w:bCs/>
        </w:rPr>
        <w:fldChar w:fldCharType="separate"/>
      </w:r>
      <w:r w:rsidR="007D19D7">
        <w:rPr>
          <w:rFonts w:cs="Arial"/>
          <w:b/>
          <w:bCs/>
          <w:noProof/>
        </w:rPr>
        <w:t>10</w:t>
      </w:r>
      <w:r w:rsidR="00327D59" w:rsidRPr="00BA1C49">
        <w:rPr>
          <w:rFonts w:cs="Arial"/>
          <w:b/>
          <w:bCs/>
        </w:rPr>
        <w:fldChar w:fldCharType="end"/>
      </w:r>
      <w:bookmarkEnd w:id="38"/>
      <w:r w:rsidRPr="00BA1C49">
        <w:rPr>
          <w:rFonts w:cs="Arial"/>
          <w:b/>
          <w:bCs/>
        </w:rPr>
        <w:t xml:space="preserve"> </w:t>
      </w:r>
      <w:r w:rsidR="00A213C3" w:rsidRPr="00BA1C49">
        <w:rPr>
          <w:rFonts w:cs="Arial"/>
          <w:b/>
          <w:bCs/>
        </w:rPr>
        <w:t xml:space="preserve">Response rates for Main Survey 10 for the 1946-51 cohort, </w:t>
      </w:r>
      <w:proofErr w:type="gramStart"/>
      <w:r w:rsidR="00A213C3" w:rsidRPr="00BA1C49">
        <w:rPr>
          <w:rFonts w:cs="Arial"/>
          <w:b/>
          <w:bCs/>
        </w:rPr>
        <w:t>at</w:t>
      </w:r>
      <w:proofErr w:type="gramEnd"/>
      <w:r w:rsidR="00A213C3" w:rsidRPr="00BA1C49">
        <w:rPr>
          <w:rFonts w:cs="Arial"/>
          <w:b/>
          <w:bCs/>
        </w:rPr>
        <w:t xml:space="preserve"> </w:t>
      </w:r>
      <w:r w:rsidR="00BA1C49" w:rsidRPr="00BA1C49">
        <w:rPr>
          <w:rFonts w:cs="Arial"/>
          <w:b/>
          <w:bCs/>
        </w:rPr>
        <w:t>31 October 2022</w:t>
      </w:r>
      <w:r w:rsidR="00A213C3" w:rsidRPr="00BA1C49">
        <w:rPr>
          <w:rFonts w:cs="Arial"/>
          <w:b/>
          <w:bCs/>
        </w:rPr>
        <w:t xml:space="preserve"> (N=10,021)</w:t>
      </w:r>
    </w:p>
    <w:tbl>
      <w:tblPr>
        <w:tblW w:w="5000" w:type="pct"/>
        <w:tblBorders>
          <w:top w:val="single" w:sz="4" w:space="0" w:color="auto"/>
          <w:left w:val="single" w:sz="4" w:space="0" w:color="auto"/>
          <w:bottom w:val="single" w:sz="4" w:space="0" w:color="auto"/>
          <w:right w:val="single" w:sz="4" w:space="0" w:color="auto"/>
        </w:tblBorders>
        <w:tblCellMar>
          <w:top w:w="28" w:type="dxa"/>
          <w:left w:w="85" w:type="dxa"/>
          <w:bottom w:w="28" w:type="dxa"/>
          <w:right w:w="85" w:type="dxa"/>
        </w:tblCellMar>
        <w:tblLook w:val="04A0" w:firstRow="1" w:lastRow="0" w:firstColumn="1" w:lastColumn="0" w:noHBand="0" w:noVBand="1"/>
      </w:tblPr>
      <w:tblGrid>
        <w:gridCol w:w="3515"/>
        <w:gridCol w:w="1219"/>
        <w:gridCol w:w="4611"/>
      </w:tblGrid>
      <w:tr w:rsidR="00A213C3" w:rsidRPr="00ED6106" w14:paraId="2AAA26D6" w14:textId="77777777" w:rsidTr="00E86D5D">
        <w:trPr>
          <w:trHeight w:hRule="exact" w:val="510"/>
          <w:tblHeader/>
        </w:trPr>
        <w:tc>
          <w:tcPr>
            <w:tcW w:w="1881" w:type="pct"/>
            <w:tcBorders>
              <w:top w:val="single" w:sz="4" w:space="0" w:color="auto"/>
              <w:left w:val="single" w:sz="4" w:space="0" w:color="auto"/>
              <w:bottom w:val="nil"/>
              <w:right w:val="nil"/>
            </w:tcBorders>
            <w:shd w:val="clear" w:color="auto" w:fill="E5DFEC" w:themeFill="accent4" w:themeFillTint="33"/>
            <w:vAlign w:val="center"/>
          </w:tcPr>
          <w:p w14:paraId="6D2881DD" w14:textId="77777777" w:rsidR="00A213C3" w:rsidRPr="001543A4" w:rsidRDefault="00A213C3" w:rsidP="00E86D5D">
            <w:pPr>
              <w:spacing w:before="0" w:after="0" w:line="240" w:lineRule="auto"/>
              <w:jc w:val="left"/>
              <w:rPr>
                <w:rFonts w:cs="Arial"/>
                <w:b/>
                <w:bCs/>
                <w:szCs w:val="20"/>
              </w:rPr>
            </w:pPr>
          </w:p>
        </w:tc>
        <w:tc>
          <w:tcPr>
            <w:tcW w:w="3119" w:type="pct"/>
            <w:gridSpan w:val="2"/>
            <w:tcBorders>
              <w:top w:val="single" w:sz="4" w:space="0" w:color="auto"/>
              <w:left w:val="nil"/>
              <w:bottom w:val="nil"/>
              <w:right w:val="single" w:sz="8" w:space="0" w:color="auto"/>
            </w:tcBorders>
            <w:shd w:val="clear" w:color="auto" w:fill="E5DFEC" w:themeFill="accent4" w:themeFillTint="33"/>
            <w:vAlign w:val="center"/>
          </w:tcPr>
          <w:p w14:paraId="460AE2C3" w14:textId="77777777" w:rsidR="00A213C3" w:rsidRPr="001543A4" w:rsidRDefault="00A213C3" w:rsidP="00E86D5D">
            <w:pPr>
              <w:spacing w:before="0" w:after="0" w:line="240" w:lineRule="auto"/>
              <w:jc w:val="right"/>
              <w:rPr>
                <w:rFonts w:cs="Arial"/>
                <w:b/>
                <w:bCs/>
                <w:szCs w:val="20"/>
              </w:rPr>
            </w:pPr>
            <w:r>
              <w:rPr>
                <w:rFonts w:cs="Arial"/>
                <w:b/>
                <w:bCs/>
                <w:szCs w:val="20"/>
              </w:rPr>
              <w:t xml:space="preserve">Main </w:t>
            </w:r>
            <w:r w:rsidRPr="001543A4">
              <w:rPr>
                <w:rFonts w:cs="Arial"/>
                <w:b/>
                <w:bCs/>
                <w:szCs w:val="20"/>
              </w:rPr>
              <w:t>Survey</w:t>
            </w:r>
          </w:p>
        </w:tc>
      </w:tr>
      <w:tr w:rsidR="00A213C3" w:rsidRPr="00ED6106" w14:paraId="52D2B763" w14:textId="77777777" w:rsidTr="00E86D5D">
        <w:trPr>
          <w:trHeight w:hRule="exact" w:val="510"/>
          <w:tblHeader/>
        </w:trPr>
        <w:tc>
          <w:tcPr>
            <w:tcW w:w="1881" w:type="pct"/>
            <w:tcBorders>
              <w:top w:val="nil"/>
              <w:left w:val="single" w:sz="4" w:space="0" w:color="auto"/>
              <w:bottom w:val="single" w:sz="4" w:space="0" w:color="auto"/>
              <w:right w:val="nil"/>
            </w:tcBorders>
            <w:shd w:val="clear" w:color="auto" w:fill="E5DFEC" w:themeFill="accent4" w:themeFillTint="33"/>
            <w:vAlign w:val="center"/>
          </w:tcPr>
          <w:p w14:paraId="5CA0AAF8" w14:textId="77777777" w:rsidR="00A213C3" w:rsidRPr="001543A4" w:rsidRDefault="00A213C3" w:rsidP="00E86D5D">
            <w:pPr>
              <w:spacing w:before="0" w:after="0" w:line="240" w:lineRule="auto"/>
              <w:jc w:val="left"/>
              <w:rPr>
                <w:rFonts w:cs="Arial"/>
                <w:b/>
                <w:bCs/>
                <w:szCs w:val="20"/>
              </w:rPr>
            </w:pPr>
          </w:p>
        </w:tc>
        <w:tc>
          <w:tcPr>
            <w:tcW w:w="652" w:type="pct"/>
            <w:tcBorders>
              <w:top w:val="nil"/>
              <w:left w:val="nil"/>
              <w:bottom w:val="single" w:sz="4" w:space="0" w:color="auto"/>
              <w:right w:val="nil"/>
            </w:tcBorders>
            <w:shd w:val="clear" w:color="auto" w:fill="E5DFEC" w:themeFill="accent4" w:themeFillTint="33"/>
            <w:vAlign w:val="center"/>
            <w:hideMark/>
          </w:tcPr>
          <w:p w14:paraId="1ACBD406" w14:textId="77777777" w:rsidR="00A213C3" w:rsidRPr="001543A4" w:rsidRDefault="00A213C3" w:rsidP="00E86D5D">
            <w:pPr>
              <w:spacing w:before="0" w:after="0" w:line="240" w:lineRule="auto"/>
              <w:jc w:val="right"/>
              <w:rPr>
                <w:rFonts w:cs="Arial"/>
                <w:b/>
                <w:bCs/>
                <w:szCs w:val="20"/>
              </w:rPr>
            </w:pPr>
            <w:r w:rsidRPr="001543A4">
              <w:rPr>
                <w:rFonts w:cs="Arial"/>
                <w:b/>
                <w:bCs/>
                <w:szCs w:val="20"/>
              </w:rPr>
              <w:t>N</w:t>
            </w:r>
          </w:p>
          <w:p w14:paraId="18919B2F" w14:textId="77777777" w:rsidR="00A213C3" w:rsidRPr="001543A4" w:rsidRDefault="00A213C3" w:rsidP="00E86D5D">
            <w:pPr>
              <w:spacing w:before="0" w:after="0" w:line="240" w:lineRule="auto"/>
              <w:jc w:val="right"/>
              <w:rPr>
                <w:rFonts w:cs="Arial"/>
                <w:b/>
                <w:bCs/>
                <w:szCs w:val="20"/>
              </w:rPr>
            </w:pPr>
          </w:p>
        </w:tc>
        <w:tc>
          <w:tcPr>
            <w:tcW w:w="2467" w:type="pct"/>
            <w:tcBorders>
              <w:top w:val="nil"/>
              <w:left w:val="nil"/>
              <w:bottom w:val="single" w:sz="4" w:space="0" w:color="auto"/>
              <w:right w:val="single" w:sz="8" w:space="0" w:color="auto"/>
            </w:tcBorders>
            <w:shd w:val="clear" w:color="auto" w:fill="E5DFEC" w:themeFill="accent4" w:themeFillTint="33"/>
            <w:vAlign w:val="center"/>
            <w:hideMark/>
          </w:tcPr>
          <w:p w14:paraId="24FB2BF9" w14:textId="77777777" w:rsidR="00A213C3" w:rsidRPr="001543A4" w:rsidRDefault="00A213C3" w:rsidP="00E86D5D">
            <w:pPr>
              <w:spacing w:before="0" w:after="0" w:line="240" w:lineRule="auto"/>
              <w:jc w:val="right"/>
              <w:rPr>
                <w:rFonts w:cs="Arial"/>
                <w:b/>
                <w:bCs/>
                <w:szCs w:val="20"/>
              </w:rPr>
            </w:pPr>
            <w:r w:rsidRPr="001543A4">
              <w:rPr>
                <w:rFonts w:cs="Arial"/>
                <w:b/>
                <w:bCs/>
                <w:szCs w:val="20"/>
              </w:rPr>
              <w:t>%</w:t>
            </w:r>
          </w:p>
        </w:tc>
      </w:tr>
      <w:tr w:rsidR="00A213C3" w:rsidRPr="00475556" w14:paraId="4CC4E84C" w14:textId="77777777" w:rsidTr="00E86D5D">
        <w:trPr>
          <w:trHeight w:hRule="exact" w:val="340"/>
        </w:trPr>
        <w:tc>
          <w:tcPr>
            <w:tcW w:w="1881" w:type="pct"/>
            <w:tcBorders>
              <w:top w:val="single" w:sz="4" w:space="0" w:color="auto"/>
              <w:left w:val="single" w:sz="4" w:space="0" w:color="auto"/>
              <w:bottom w:val="nil"/>
              <w:right w:val="nil"/>
            </w:tcBorders>
            <w:vAlign w:val="center"/>
            <w:hideMark/>
          </w:tcPr>
          <w:p w14:paraId="78D23930" w14:textId="77777777" w:rsidR="00A213C3" w:rsidRPr="001543A4" w:rsidRDefault="00A213C3" w:rsidP="00E86D5D">
            <w:pPr>
              <w:spacing w:before="0" w:after="0" w:line="240" w:lineRule="auto"/>
              <w:jc w:val="left"/>
              <w:rPr>
                <w:rFonts w:cs="Arial"/>
                <w:szCs w:val="20"/>
              </w:rPr>
            </w:pPr>
            <w:r w:rsidRPr="001543A4">
              <w:rPr>
                <w:rFonts w:cs="Arial"/>
                <w:szCs w:val="20"/>
              </w:rPr>
              <w:t>Completed online survey</w:t>
            </w:r>
          </w:p>
        </w:tc>
        <w:tc>
          <w:tcPr>
            <w:tcW w:w="652" w:type="pct"/>
            <w:tcBorders>
              <w:top w:val="single" w:sz="4" w:space="0" w:color="auto"/>
              <w:left w:val="nil"/>
              <w:bottom w:val="nil"/>
              <w:right w:val="nil"/>
            </w:tcBorders>
            <w:vAlign w:val="center"/>
          </w:tcPr>
          <w:p w14:paraId="33E8D9AE" w14:textId="01FBA3E7" w:rsidR="00A213C3" w:rsidRPr="001543A4" w:rsidRDefault="00A213C3" w:rsidP="00E86D5D">
            <w:pPr>
              <w:spacing w:before="0" w:after="0" w:line="240" w:lineRule="auto"/>
              <w:jc w:val="right"/>
              <w:rPr>
                <w:rFonts w:cs="Arial"/>
                <w:szCs w:val="20"/>
              </w:rPr>
            </w:pPr>
            <w:r>
              <w:rPr>
                <w:rFonts w:cs="Arial"/>
                <w:szCs w:val="20"/>
              </w:rPr>
              <w:t>3,</w:t>
            </w:r>
            <w:r w:rsidR="00BA1C49">
              <w:rPr>
                <w:rFonts w:cs="Arial"/>
                <w:szCs w:val="20"/>
              </w:rPr>
              <w:t>793</w:t>
            </w:r>
          </w:p>
        </w:tc>
        <w:tc>
          <w:tcPr>
            <w:tcW w:w="2467" w:type="pct"/>
            <w:tcBorders>
              <w:top w:val="single" w:sz="4" w:space="0" w:color="auto"/>
              <w:left w:val="nil"/>
              <w:bottom w:val="nil"/>
              <w:right w:val="single" w:sz="8" w:space="0" w:color="auto"/>
            </w:tcBorders>
            <w:vAlign w:val="center"/>
          </w:tcPr>
          <w:p w14:paraId="06F3A9C7" w14:textId="77777777" w:rsidR="00A213C3" w:rsidRPr="001543A4" w:rsidRDefault="00A213C3" w:rsidP="00E86D5D">
            <w:pPr>
              <w:spacing w:before="0" w:after="0" w:line="240" w:lineRule="auto"/>
              <w:jc w:val="right"/>
              <w:rPr>
                <w:rFonts w:cs="Arial"/>
                <w:szCs w:val="20"/>
              </w:rPr>
            </w:pPr>
            <w:r>
              <w:rPr>
                <w:rFonts w:cs="Arial"/>
                <w:szCs w:val="20"/>
              </w:rPr>
              <w:t>36.8</w:t>
            </w:r>
          </w:p>
        </w:tc>
      </w:tr>
      <w:tr w:rsidR="00BA1C49" w:rsidRPr="00475556" w14:paraId="24E1D4CC" w14:textId="77777777" w:rsidTr="00BA1C49">
        <w:trPr>
          <w:trHeight w:hRule="exact" w:val="340"/>
        </w:trPr>
        <w:tc>
          <w:tcPr>
            <w:tcW w:w="1881" w:type="pct"/>
            <w:tcBorders>
              <w:top w:val="single" w:sz="4" w:space="0" w:color="auto"/>
              <w:left w:val="single" w:sz="4" w:space="0" w:color="auto"/>
              <w:bottom w:val="nil"/>
              <w:right w:val="nil"/>
            </w:tcBorders>
            <w:vAlign w:val="center"/>
            <w:hideMark/>
          </w:tcPr>
          <w:p w14:paraId="730E719F" w14:textId="77777777" w:rsidR="00BA1C49" w:rsidRPr="001543A4" w:rsidRDefault="00BA1C49" w:rsidP="00906CC5">
            <w:pPr>
              <w:spacing w:before="0" w:after="0" w:line="240" w:lineRule="auto"/>
              <w:jc w:val="left"/>
              <w:rPr>
                <w:rFonts w:cs="Arial"/>
                <w:szCs w:val="20"/>
              </w:rPr>
            </w:pPr>
            <w:r w:rsidRPr="001543A4">
              <w:rPr>
                <w:rFonts w:cs="Arial"/>
                <w:szCs w:val="20"/>
              </w:rPr>
              <w:t>Completed paper survey</w:t>
            </w:r>
          </w:p>
        </w:tc>
        <w:tc>
          <w:tcPr>
            <w:tcW w:w="652" w:type="pct"/>
            <w:tcBorders>
              <w:top w:val="single" w:sz="4" w:space="0" w:color="auto"/>
              <w:left w:val="nil"/>
              <w:bottom w:val="nil"/>
              <w:right w:val="nil"/>
            </w:tcBorders>
            <w:vAlign w:val="center"/>
          </w:tcPr>
          <w:p w14:paraId="0C29CE63" w14:textId="2DCB7A9C" w:rsidR="00BA1C49" w:rsidRPr="001543A4" w:rsidRDefault="00BA1C49" w:rsidP="00906CC5">
            <w:pPr>
              <w:spacing w:before="0" w:after="0" w:line="240" w:lineRule="auto"/>
              <w:jc w:val="right"/>
              <w:rPr>
                <w:rFonts w:cs="Arial"/>
                <w:szCs w:val="20"/>
              </w:rPr>
            </w:pPr>
            <w:r>
              <w:rPr>
                <w:rFonts w:cs="Arial"/>
                <w:szCs w:val="20"/>
              </w:rPr>
              <w:t>2,122</w:t>
            </w:r>
          </w:p>
        </w:tc>
        <w:tc>
          <w:tcPr>
            <w:tcW w:w="2467" w:type="pct"/>
            <w:tcBorders>
              <w:top w:val="single" w:sz="4" w:space="0" w:color="auto"/>
              <w:left w:val="nil"/>
              <w:bottom w:val="nil"/>
              <w:right w:val="single" w:sz="8" w:space="0" w:color="auto"/>
            </w:tcBorders>
            <w:vAlign w:val="center"/>
          </w:tcPr>
          <w:p w14:paraId="3ADF558D" w14:textId="722B7429" w:rsidR="00BA1C49" w:rsidRPr="001543A4" w:rsidRDefault="00BA1C49" w:rsidP="00906CC5">
            <w:pPr>
              <w:spacing w:before="0" w:after="0" w:line="240" w:lineRule="auto"/>
              <w:jc w:val="right"/>
              <w:rPr>
                <w:rFonts w:cs="Arial"/>
                <w:szCs w:val="20"/>
              </w:rPr>
            </w:pPr>
            <w:r>
              <w:rPr>
                <w:rFonts w:cs="Arial"/>
                <w:szCs w:val="20"/>
              </w:rPr>
              <w:t>21.2</w:t>
            </w:r>
          </w:p>
        </w:tc>
      </w:tr>
      <w:tr w:rsidR="00A213C3" w:rsidRPr="00475556" w14:paraId="5FF1795A" w14:textId="77777777" w:rsidTr="00E86D5D">
        <w:trPr>
          <w:trHeight w:hRule="exact" w:val="340"/>
        </w:trPr>
        <w:tc>
          <w:tcPr>
            <w:tcW w:w="1881" w:type="pct"/>
            <w:tcBorders>
              <w:top w:val="nil"/>
              <w:left w:val="single" w:sz="4" w:space="0" w:color="auto"/>
              <w:bottom w:val="nil"/>
              <w:right w:val="nil"/>
            </w:tcBorders>
            <w:vAlign w:val="center"/>
            <w:hideMark/>
          </w:tcPr>
          <w:p w14:paraId="39107D82" w14:textId="77777777" w:rsidR="00A213C3" w:rsidRPr="001543A4" w:rsidRDefault="00A213C3" w:rsidP="00E86D5D">
            <w:pPr>
              <w:spacing w:before="0" w:after="0" w:line="240" w:lineRule="auto"/>
              <w:jc w:val="left"/>
              <w:rPr>
                <w:rFonts w:cs="Arial"/>
                <w:szCs w:val="20"/>
              </w:rPr>
            </w:pPr>
            <w:r w:rsidRPr="001543A4">
              <w:rPr>
                <w:rFonts w:cs="Arial"/>
                <w:szCs w:val="20"/>
              </w:rPr>
              <w:t>Partially completed online surve</w:t>
            </w:r>
            <w:r>
              <w:rPr>
                <w:rFonts w:cs="Arial"/>
                <w:szCs w:val="20"/>
              </w:rPr>
              <w:t>y</w:t>
            </w:r>
          </w:p>
        </w:tc>
        <w:tc>
          <w:tcPr>
            <w:tcW w:w="652" w:type="pct"/>
            <w:tcBorders>
              <w:top w:val="nil"/>
              <w:left w:val="nil"/>
              <w:bottom w:val="nil"/>
              <w:right w:val="nil"/>
            </w:tcBorders>
            <w:vAlign w:val="center"/>
          </w:tcPr>
          <w:p w14:paraId="48ABAC28" w14:textId="0814304D" w:rsidR="00A213C3" w:rsidRPr="001543A4" w:rsidRDefault="00BA1C49" w:rsidP="00E86D5D">
            <w:pPr>
              <w:spacing w:before="0" w:after="0" w:line="240" w:lineRule="auto"/>
              <w:jc w:val="right"/>
              <w:rPr>
                <w:rFonts w:cs="Arial"/>
                <w:szCs w:val="20"/>
              </w:rPr>
            </w:pPr>
            <w:r>
              <w:rPr>
                <w:rFonts w:cs="Arial"/>
                <w:szCs w:val="20"/>
              </w:rPr>
              <w:t>65</w:t>
            </w:r>
          </w:p>
        </w:tc>
        <w:tc>
          <w:tcPr>
            <w:tcW w:w="2467" w:type="pct"/>
            <w:tcBorders>
              <w:top w:val="nil"/>
              <w:left w:val="nil"/>
              <w:bottom w:val="nil"/>
              <w:right w:val="single" w:sz="8" w:space="0" w:color="auto"/>
            </w:tcBorders>
            <w:vAlign w:val="center"/>
          </w:tcPr>
          <w:p w14:paraId="7CF862C1" w14:textId="098DA090" w:rsidR="00A213C3" w:rsidRPr="001543A4" w:rsidRDefault="00A213C3" w:rsidP="00E86D5D">
            <w:pPr>
              <w:spacing w:before="0" w:after="0" w:line="240" w:lineRule="auto"/>
              <w:jc w:val="right"/>
              <w:rPr>
                <w:rFonts w:cs="Arial"/>
                <w:szCs w:val="20"/>
              </w:rPr>
            </w:pPr>
            <w:r>
              <w:rPr>
                <w:rFonts w:cs="Arial"/>
                <w:szCs w:val="20"/>
              </w:rPr>
              <w:t>0.</w:t>
            </w:r>
            <w:r w:rsidR="00BA1C49">
              <w:rPr>
                <w:rFonts w:cs="Arial"/>
                <w:szCs w:val="20"/>
              </w:rPr>
              <w:t>6</w:t>
            </w:r>
          </w:p>
        </w:tc>
      </w:tr>
      <w:tr w:rsidR="00A213C3" w:rsidRPr="00475556" w14:paraId="2EC5A444" w14:textId="77777777" w:rsidTr="00E86D5D">
        <w:trPr>
          <w:trHeight w:hRule="exact" w:val="340"/>
        </w:trPr>
        <w:tc>
          <w:tcPr>
            <w:tcW w:w="1881" w:type="pct"/>
            <w:tcBorders>
              <w:top w:val="nil"/>
              <w:left w:val="single" w:sz="4" w:space="0" w:color="auto"/>
              <w:bottom w:val="nil"/>
              <w:right w:val="nil"/>
            </w:tcBorders>
            <w:vAlign w:val="center"/>
          </w:tcPr>
          <w:p w14:paraId="0ACD41EC" w14:textId="77777777" w:rsidR="00A213C3" w:rsidRPr="001543A4" w:rsidRDefault="00A213C3" w:rsidP="00E86D5D">
            <w:pPr>
              <w:spacing w:before="0" w:after="0" w:line="240" w:lineRule="auto"/>
              <w:jc w:val="left"/>
              <w:rPr>
                <w:rFonts w:cs="Arial"/>
                <w:szCs w:val="20"/>
              </w:rPr>
            </w:pPr>
            <w:r w:rsidRPr="001543A4">
              <w:rPr>
                <w:rFonts w:cs="Arial"/>
                <w:szCs w:val="20"/>
              </w:rPr>
              <w:t>Deceased</w:t>
            </w:r>
          </w:p>
        </w:tc>
        <w:tc>
          <w:tcPr>
            <w:tcW w:w="652" w:type="pct"/>
            <w:tcBorders>
              <w:top w:val="nil"/>
              <w:left w:val="nil"/>
              <w:bottom w:val="nil"/>
              <w:right w:val="nil"/>
            </w:tcBorders>
            <w:vAlign w:val="center"/>
          </w:tcPr>
          <w:p w14:paraId="7F66A13E" w14:textId="29977B1E" w:rsidR="00A213C3" w:rsidRPr="001543A4" w:rsidRDefault="00BA1C49" w:rsidP="00E86D5D">
            <w:pPr>
              <w:spacing w:before="0" w:after="0" w:line="240" w:lineRule="auto"/>
              <w:jc w:val="right"/>
              <w:rPr>
                <w:rFonts w:cs="Arial"/>
                <w:szCs w:val="20"/>
              </w:rPr>
            </w:pPr>
            <w:r>
              <w:rPr>
                <w:rFonts w:cs="Arial"/>
                <w:szCs w:val="20"/>
              </w:rPr>
              <w:t>107</w:t>
            </w:r>
          </w:p>
        </w:tc>
        <w:tc>
          <w:tcPr>
            <w:tcW w:w="2467" w:type="pct"/>
            <w:tcBorders>
              <w:top w:val="nil"/>
              <w:left w:val="nil"/>
              <w:bottom w:val="nil"/>
              <w:right w:val="single" w:sz="8" w:space="0" w:color="auto"/>
            </w:tcBorders>
            <w:vAlign w:val="center"/>
          </w:tcPr>
          <w:p w14:paraId="1F44D5AA" w14:textId="335B0890" w:rsidR="00A213C3" w:rsidRPr="001543A4" w:rsidRDefault="00BA1C49" w:rsidP="00E86D5D">
            <w:pPr>
              <w:spacing w:before="0" w:after="0" w:line="240" w:lineRule="auto"/>
              <w:jc w:val="right"/>
              <w:rPr>
                <w:rFonts w:cs="Arial"/>
                <w:szCs w:val="20"/>
              </w:rPr>
            </w:pPr>
            <w:r>
              <w:rPr>
                <w:rFonts w:cs="Arial"/>
                <w:szCs w:val="20"/>
              </w:rPr>
              <w:t>1.0</w:t>
            </w:r>
          </w:p>
        </w:tc>
      </w:tr>
      <w:tr w:rsidR="00A213C3" w:rsidRPr="00475556" w14:paraId="6E11C809" w14:textId="77777777" w:rsidTr="00E86D5D">
        <w:trPr>
          <w:trHeight w:hRule="exact" w:val="340"/>
        </w:trPr>
        <w:tc>
          <w:tcPr>
            <w:tcW w:w="1881" w:type="pct"/>
            <w:tcBorders>
              <w:top w:val="nil"/>
              <w:left w:val="single" w:sz="4" w:space="0" w:color="auto"/>
              <w:bottom w:val="nil"/>
              <w:right w:val="nil"/>
            </w:tcBorders>
            <w:vAlign w:val="center"/>
            <w:hideMark/>
          </w:tcPr>
          <w:p w14:paraId="6F3B7F72" w14:textId="77777777" w:rsidR="00A213C3" w:rsidRPr="001543A4" w:rsidRDefault="00A213C3" w:rsidP="00E86D5D">
            <w:pPr>
              <w:spacing w:before="0" w:after="0" w:line="240" w:lineRule="auto"/>
              <w:jc w:val="left"/>
              <w:rPr>
                <w:rFonts w:cs="Arial"/>
                <w:szCs w:val="20"/>
              </w:rPr>
            </w:pPr>
            <w:r w:rsidRPr="001543A4">
              <w:rPr>
                <w:rFonts w:cs="Arial"/>
                <w:szCs w:val="20"/>
              </w:rPr>
              <w:t>Withdrawn</w:t>
            </w:r>
          </w:p>
        </w:tc>
        <w:tc>
          <w:tcPr>
            <w:tcW w:w="652" w:type="pct"/>
            <w:tcBorders>
              <w:top w:val="nil"/>
              <w:left w:val="nil"/>
              <w:bottom w:val="nil"/>
              <w:right w:val="nil"/>
            </w:tcBorders>
            <w:vAlign w:val="center"/>
          </w:tcPr>
          <w:p w14:paraId="589521D6" w14:textId="46644DE9" w:rsidR="00A213C3" w:rsidRPr="001543A4" w:rsidRDefault="00BA1C49" w:rsidP="00E86D5D">
            <w:pPr>
              <w:spacing w:before="0" w:after="0" w:line="240" w:lineRule="auto"/>
              <w:jc w:val="right"/>
              <w:rPr>
                <w:rFonts w:cs="Arial"/>
                <w:szCs w:val="20"/>
              </w:rPr>
            </w:pPr>
            <w:r>
              <w:rPr>
                <w:rFonts w:cs="Arial"/>
                <w:szCs w:val="20"/>
              </w:rPr>
              <w:t>61</w:t>
            </w:r>
          </w:p>
        </w:tc>
        <w:tc>
          <w:tcPr>
            <w:tcW w:w="2467" w:type="pct"/>
            <w:tcBorders>
              <w:top w:val="nil"/>
              <w:left w:val="nil"/>
              <w:bottom w:val="nil"/>
              <w:right w:val="single" w:sz="8" w:space="0" w:color="auto"/>
            </w:tcBorders>
            <w:vAlign w:val="center"/>
          </w:tcPr>
          <w:p w14:paraId="6C3FFE75" w14:textId="110DB612" w:rsidR="00A213C3" w:rsidRPr="001543A4" w:rsidRDefault="00BA1C49" w:rsidP="00E86D5D">
            <w:pPr>
              <w:spacing w:before="0" w:after="0" w:line="240" w:lineRule="auto"/>
              <w:jc w:val="right"/>
              <w:rPr>
                <w:rFonts w:cs="Arial"/>
                <w:szCs w:val="20"/>
              </w:rPr>
            </w:pPr>
            <w:r>
              <w:rPr>
                <w:rFonts w:cs="Arial"/>
                <w:szCs w:val="20"/>
              </w:rPr>
              <w:t>0.6</w:t>
            </w:r>
          </w:p>
        </w:tc>
      </w:tr>
      <w:tr w:rsidR="00A213C3" w:rsidRPr="00475556" w14:paraId="771D0DEB" w14:textId="77777777" w:rsidTr="00E86D5D">
        <w:trPr>
          <w:trHeight w:hRule="exact" w:val="340"/>
        </w:trPr>
        <w:tc>
          <w:tcPr>
            <w:tcW w:w="1881" w:type="pct"/>
            <w:tcBorders>
              <w:top w:val="nil"/>
              <w:left w:val="single" w:sz="4" w:space="0" w:color="auto"/>
              <w:bottom w:val="nil"/>
              <w:right w:val="nil"/>
            </w:tcBorders>
            <w:vAlign w:val="center"/>
            <w:hideMark/>
          </w:tcPr>
          <w:p w14:paraId="3B33F316" w14:textId="77777777" w:rsidR="00A213C3" w:rsidRPr="001543A4" w:rsidRDefault="00A213C3" w:rsidP="00E86D5D">
            <w:pPr>
              <w:spacing w:before="0" w:after="0" w:line="240" w:lineRule="auto"/>
              <w:jc w:val="left"/>
              <w:rPr>
                <w:rFonts w:cs="Arial"/>
                <w:szCs w:val="20"/>
              </w:rPr>
            </w:pPr>
            <w:r w:rsidRPr="001543A4">
              <w:rPr>
                <w:rFonts w:cs="Arial"/>
                <w:szCs w:val="20"/>
              </w:rPr>
              <w:t>Not this time</w:t>
            </w:r>
          </w:p>
        </w:tc>
        <w:tc>
          <w:tcPr>
            <w:tcW w:w="652" w:type="pct"/>
            <w:tcBorders>
              <w:top w:val="nil"/>
              <w:left w:val="nil"/>
              <w:bottom w:val="nil"/>
              <w:right w:val="nil"/>
            </w:tcBorders>
            <w:vAlign w:val="center"/>
          </w:tcPr>
          <w:p w14:paraId="53016989" w14:textId="560E7C85" w:rsidR="00A213C3" w:rsidRPr="001543A4" w:rsidRDefault="00BA1C49" w:rsidP="00E86D5D">
            <w:pPr>
              <w:spacing w:before="0" w:after="0" w:line="240" w:lineRule="auto"/>
              <w:jc w:val="right"/>
              <w:rPr>
                <w:rFonts w:cs="Arial"/>
                <w:szCs w:val="20"/>
              </w:rPr>
            </w:pPr>
            <w:r>
              <w:rPr>
                <w:rFonts w:cs="Arial"/>
                <w:szCs w:val="20"/>
              </w:rPr>
              <w:t>19</w:t>
            </w:r>
          </w:p>
        </w:tc>
        <w:tc>
          <w:tcPr>
            <w:tcW w:w="2467" w:type="pct"/>
            <w:tcBorders>
              <w:top w:val="nil"/>
              <w:left w:val="nil"/>
              <w:bottom w:val="nil"/>
              <w:right w:val="single" w:sz="8" w:space="0" w:color="auto"/>
            </w:tcBorders>
            <w:vAlign w:val="center"/>
          </w:tcPr>
          <w:p w14:paraId="783A7EBD" w14:textId="04CBEC10" w:rsidR="00A213C3" w:rsidRPr="001543A4" w:rsidRDefault="00BA1C49" w:rsidP="00E86D5D">
            <w:pPr>
              <w:spacing w:before="0" w:after="0" w:line="240" w:lineRule="auto"/>
              <w:jc w:val="right"/>
              <w:rPr>
                <w:rFonts w:cs="Arial"/>
                <w:szCs w:val="20"/>
              </w:rPr>
            </w:pPr>
            <w:r>
              <w:rPr>
                <w:rFonts w:cs="Arial"/>
                <w:szCs w:val="20"/>
              </w:rPr>
              <w:t>0.2</w:t>
            </w:r>
          </w:p>
        </w:tc>
      </w:tr>
      <w:tr w:rsidR="00A213C3" w:rsidRPr="00475556" w14:paraId="000E6C59" w14:textId="77777777" w:rsidTr="00E86D5D">
        <w:trPr>
          <w:trHeight w:hRule="exact" w:val="340"/>
        </w:trPr>
        <w:tc>
          <w:tcPr>
            <w:tcW w:w="1881" w:type="pct"/>
            <w:tcBorders>
              <w:top w:val="nil"/>
              <w:left w:val="single" w:sz="4" w:space="0" w:color="auto"/>
              <w:bottom w:val="single" w:sz="4" w:space="0" w:color="auto"/>
              <w:right w:val="nil"/>
            </w:tcBorders>
            <w:vAlign w:val="center"/>
          </w:tcPr>
          <w:p w14:paraId="30ABFAEA" w14:textId="77777777" w:rsidR="00A213C3" w:rsidRPr="001543A4" w:rsidRDefault="00A213C3" w:rsidP="00E86D5D">
            <w:pPr>
              <w:spacing w:before="0" w:after="0" w:line="240" w:lineRule="auto"/>
              <w:jc w:val="left"/>
              <w:rPr>
                <w:rFonts w:cs="Arial"/>
                <w:szCs w:val="20"/>
              </w:rPr>
            </w:pPr>
            <w:r w:rsidRPr="001543A4">
              <w:rPr>
                <w:rFonts w:cs="Arial"/>
                <w:szCs w:val="20"/>
              </w:rPr>
              <w:t>No response</w:t>
            </w:r>
          </w:p>
        </w:tc>
        <w:tc>
          <w:tcPr>
            <w:tcW w:w="652" w:type="pct"/>
            <w:tcBorders>
              <w:top w:val="nil"/>
              <w:left w:val="nil"/>
              <w:bottom w:val="single" w:sz="4" w:space="0" w:color="auto"/>
              <w:right w:val="nil"/>
            </w:tcBorders>
            <w:vAlign w:val="center"/>
          </w:tcPr>
          <w:p w14:paraId="50C5B74D" w14:textId="1E2BCAF3" w:rsidR="00A213C3" w:rsidRPr="001543A4" w:rsidRDefault="00BA1C49" w:rsidP="00E86D5D">
            <w:pPr>
              <w:spacing w:before="0" w:after="0" w:line="240" w:lineRule="auto"/>
              <w:jc w:val="right"/>
              <w:rPr>
                <w:rFonts w:cs="Arial"/>
                <w:szCs w:val="20"/>
              </w:rPr>
            </w:pPr>
            <w:r>
              <w:rPr>
                <w:rFonts w:cs="Arial"/>
                <w:szCs w:val="20"/>
              </w:rPr>
              <w:t>3,854</w:t>
            </w:r>
          </w:p>
        </w:tc>
        <w:tc>
          <w:tcPr>
            <w:tcW w:w="2467" w:type="pct"/>
            <w:tcBorders>
              <w:top w:val="nil"/>
              <w:left w:val="nil"/>
              <w:bottom w:val="single" w:sz="4" w:space="0" w:color="auto"/>
              <w:right w:val="single" w:sz="8" w:space="0" w:color="auto"/>
            </w:tcBorders>
            <w:vAlign w:val="center"/>
          </w:tcPr>
          <w:p w14:paraId="4C15EC13" w14:textId="11159B68" w:rsidR="00A213C3" w:rsidRPr="001543A4" w:rsidRDefault="00BA1C49" w:rsidP="00E86D5D">
            <w:pPr>
              <w:spacing w:before="0" w:after="0" w:line="240" w:lineRule="auto"/>
              <w:jc w:val="right"/>
              <w:rPr>
                <w:rFonts w:cs="Arial"/>
                <w:szCs w:val="20"/>
              </w:rPr>
            </w:pPr>
            <w:r>
              <w:rPr>
                <w:rFonts w:cs="Arial"/>
                <w:szCs w:val="20"/>
              </w:rPr>
              <w:t>38.5</w:t>
            </w:r>
          </w:p>
        </w:tc>
      </w:tr>
      <w:tr w:rsidR="00A213C3" w:rsidRPr="00ED6106" w14:paraId="2F5B6679" w14:textId="77777777" w:rsidTr="00E86D5D">
        <w:trPr>
          <w:trHeight w:hRule="exact" w:val="465"/>
        </w:trPr>
        <w:tc>
          <w:tcPr>
            <w:tcW w:w="1881" w:type="pct"/>
            <w:tcBorders>
              <w:top w:val="single" w:sz="4" w:space="0" w:color="auto"/>
              <w:left w:val="single" w:sz="4" w:space="0" w:color="auto"/>
              <w:bottom w:val="single" w:sz="4" w:space="0" w:color="auto"/>
              <w:right w:val="nil"/>
            </w:tcBorders>
            <w:vAlign w:val="center"/>
            <w:hideMark/>
          </w:tcPr>
          <w:p w14:paraId="445F44D5" w14:textId="77777777" w:rsidR="00A213C3" w:rsidRPr="001543A4" w:rsidRDefault="00A213C3" w:rsidP="00E86D5D">
            <w:pPr>
              <w:spacing w:before="0" w:after="0" w:line="240" w:lineRule="auto"/>
              <w:jc w:val="left"/>
              <w:rPr>
                <w:rFonts w:cs="Arial"/>
                <w:b/>
                <w:bCs/>
                <w:szCs w:val="20"/>
              </w:rPr>
            </w:pPr>
            <w:r w:rsidRPr="001543A4">
              <w:rPr>
                <w:rFonts w:cs="Arial"/>
                <w:b/>
                <w:bCs/>
                <w:szCs w:val="20"/>
              </w:rPr>
              <w:t xml:space="preserve">Total </w:t>
            </w:r>
          </w:p>
        </w:tc>
        <w:tc>
          <w:tcPr>
            <w:tcW w:w="652" w:type="pct"/>
            <w:tcBorders>
              <w:top w:val="single" w:sz="4" w:space="0" w:color="auto"/>
              <w:left w:val="nil"/>
              <w:bottom w:val="single" w:sz="4" w:space="0" w:color="auto"/>
              <w:right w:val="nil"/>
            </w:tcBorders>
            <w:vAlign w:val="center"/>
          </w:tcPr>
          <w:p w14:paraId="15E0898E" w14:textId="77777777" w:rsidR="00A213C3" w:rsidRPr="001543A4" w:rsidRDefault="00A213C3" w:rsidP="00E86D5D">
            <w:pPr>
              <w:spacing w:before="0" w:after="0" w:line="240" w:lineRule="auto"/>
              <w:jc w:val="right"/>
              <w:rPr>
                <w:rFonts w:cs="Arial"/>
                <w:b/>
                <w:bCs/>
                <w:szCs w:val="20"/>
              </w:rPr>
            </w:pPr>
            <w:r>
              <w:rPr>
                <w:rFonts w:cs="Arial"/>
                <w:b/>
                <w:bCs/>
                <w:szCs w:val="20"/>
              </w:rPr>
              <w:t>10,021</w:t>
            </w:r>
          </w:p>
        </w:tc>
        <w:tc>
          <w:tcPr>
            <w:tcW w:w="2467" w:type="pct"/>
            <w:tcBorders>
              <w:top w:val="single" w:sz="4" w:space="0" w:color="auto"/>
              <w:left w:val="nil"/>
              <w:bottom w:val="single" w:sz="4" w:space="0" w:color="auto"/>
              <w:right w:val="single" w:sz="8" w:space="0" w:color="auto"/>
            </w:tcBorders>
            <w:vAlign w:val="center"/>
          </w:tcPr>
          <w:p w14:paraId="6209DC75" w14:textId="77777777" w:rsidR="00A213C3" w:rsidRPr="001543A4" w:rsidRDefault="00A213C3" w:rsidP="00E86D5D">
            <w:pPr>
              <w:spacing w:before="0" w:after="0" w:line="240" w:lineRule="auto"/>
              <w:jc w:val="right"/>
              <w:rPr>
                <w:rFonts w:cs="Arial"/>
                <w:b/>
                <w:bCs/>
                <w:szCs w:val="20"/>
              </w:rPr>
            </w:pPr>
            <w:r>
              <w:rPr>
                <w:rFonts w:cs="Arial"/>
                <w:b/>
                <w:bCs/>
                <w:szCs w:val="20"/>
              </w:rPr>
              <w:t>100</w:t>
            </w:r>
          </w:p>
        </w:tc>
      </w:tr>
    </w:tbl>
    <w:p w14:paraId="6076EDFF" w14:textId="77777777" w:rsidR="00A213C3" w:rsidRPr="00FF7034" w:rsidRDefault="00A213C3" w:rsidP="00A213C3">
      <w:pPr>
        <w:spacing w:after="0"/>
        <w:rPr>
          <w:rFonts w:cs="Arial"/>
        </w:rPr>
      </w:pPr>
    </w:p>
    <w:bookmarkEnd w:id="37"/>
    <w:p w14:paraId="4D9538C3" w14:textId="73E27128" w:rsidR="00327D59" w:rsidRDefault="00327D59">
      <w:pPr>
        <w:spacing w:before="0" w:after="0" w:line="240" w:lineRule="auto"/>
        <w:jc w:val="left"/>
        <w:rPr>
          <w:rFonts w:cs="Arial"/>
        </w:rPr>
      </w:pPr>
      <w:r>
        <w:rPr>
          <w:rFonts w:cs="Arial"/>
        </w:rPr>
        <w:br w:type="page"/>
      </w:r>
    </w:p>
    <w:p w14:paraId="70AF649B" w14:textId="2E1753F6" w:rsidR="00A213C3" w:rsidRPr="0093729E" w:rsidRDefault="00A213C3" w:rsidP="0000266C">
      <w:pPr>
        <w:rPr>
          <w:rFonts w:cs="Arial"/>
          <w:b/>
          <w:bCs/>
        </w:rPr>
      </w:pPr>
      <w:bookmarkStart w:id="39" w:name="_Ref113501813"/>
      <w:bookmarkStart w:id="40" w:name="_Ref113715268"/>
      <w:r w:rsidRPr="0093729E">
        <w:rPr>
          <w:rFonts w:cs="Arial"/>
          <w:b/>
          <w:bCs/>
        </w:rPr>
        <w:lastRenderedPageBreak/>
        <w:t xml:space="preserve">Figure </w:t>
      </w:r>
      <w:r w:rsidR="00621B2D">
        <w:rPr>
          <w:rFonts w:cs="Arial"/>
          <w:b/>
          <w:bCs/>
        </w:rPr>
        <w:fldChar w:fldCharType="begin"/>
      </w:r>
      <w:r w:rsidR="00621B2D">
        <w:rPr>
          <w:rFonts w:cs="Arial"/>
          <w:b/>
          <w:bCs/>
        </w:rPr>
        <w:instrText xml:space="preserve"> STYLEREF 1 \s </w:instrText>
      </w:r>
      <w:r w:rsidR="00621B2D">
        <w:rPr>
          <w:rFonts w:cs="Arial"/>
          <w:b/>
          <w:bCs/>
        </w:rPr>
        <w:fldChar w:fldCharType="separate"/>
      </w:r>
      <w:r w:rsidR="007D19D7">
        <w:rPr>
          <w:rFonts w:cs="Arial"/>
          <w:b/>
          <w:bCs/>
          <w:noProof/>
        </w:rPr>
        <w:t>3</w:t>
      </w:r>
      <w:r w:rsidR="00621B2D">
        <w:rPr>
          <w:rFonts w:cs="Arial"/>
          <w:b/>
          <w:bCs/>
        </w:rPr>
        <w:fldChar w:fldCharType="end"/>
      </w:r>
      <w:r w:rsidR="00621B2D">
        <w:rPr>
          <w:rFonts w:cs="Arial"/>
          <w:b/>
          <w:bCs/>
        </w:rPr>
        <w:noBreakHyphen/>
      </w:r>
      <w:r w:rsidR="00621B2D">
        <w:rPr>
          <w:rFonts w:cs="Arial"/>
          <w:b/>
          <w:bCs/>
        </w:rPr>
        <w:fldChar w:fldCharType="begin"/>
      </w:r>
      <w:r w:rsidR="00621B2D">
        <w:rPr>
          <w:rFonts w:cs="Arial"/>
          <w:b/>
          <w:bCs/>
        </w:rPr>
        <w:instrText xml:space="preserve"> SEQ Figure \* ARABIC \s 1 </w:instrText>
      </w:r>
      <w:r w:rsidR="00621B2D">
        <w:rPr>
          <w:rFonts w:cs="Arial"/>
          <w:b/>
          <w:bCs/>
        </w:rPr>
        <w:fldChar w:fldCharType="separate"/>
      </w:r>
      <w:r w:rsidR="007D19D7">
        <w:rPr>
          <w:rFonts w:cs="Arial"/>
          <w:b/>
          <w:bCs/>
          <w:noProof/>
        </w:rPr>
        <w:t>2</w:t>
      </w:r>
      <w:r w:rsidR="00621B2D">
        <w:rPr>
          <w:rFonts w:cs="Arial"/>
          <w:b/>
          <w:bCs/>
        </w:rPr>
        <w:fldChar w:fldCharType="end"/>
      </w:r>
      <w:bookmarkEnd w:id="39"/>
      <w:bookmarkEnd w:id="40"/>
      <w:r w:rsidRPr="0093729E">
        <w:rPr>
          <w:rFonts w:cs="Arial"/>
          <w:b/>
          <w:bCs/>
        </w:rPr>
        <w:t xml:space="preserve"> Invitation and reminder protocol for Main Survey 10 for the 1946-51 Cohort</w:t>
      </w:r>
      <w:r w:rsidR="00E8397D">
        <w:rPr>
          <w:rFonts w:cs="Arial"/>
          <w:b/>
          <w:bCs/>
        </w:rPr>
        <w:t>.</w:t>
      </w:r>
    </w:p>
    <w:p w14:paraId="13B3915C" w14:textId="77777777" w:rsidR="00A213C3" w:rsidRDefault="00A213C3" w:rsidP="00A213C3">
      <w:pPr>
        <w:spacing w:after="0"/>
        <w:jc w:val="center"/>
        <w:rPr>
          <w:rFonts w:cs="Arial"/>
          <w:b/>
          <w:bCs/>
        </w:rPr>
      </w:pPr>
      <w:r>
        <w:rPr>
          <w:noProof/>
        </w:rPr>
        <w:drawing>
          <wp:inline distT="0" distB="0" distL="0" distR="0" wp14:anchorId="0A57315A" wp14:editId="4E0CF168">
            <wp:extent cx="5015230" cy="7573089"/>
            <wp:effectExtent l="0" t="0" r="0" b="889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6"/>
                    <a:stretch>
                      <a:fillRect/>
                    </a:stretch>
                  </pic:blipFill>
                  <pic:spPr>
                    <a:xfrm>
                      <a:off x="0" y="0"/>
                      <a:ext cx="5020309" cy="7580759"/>
                    </a:xfrm>
                    <a:prstGeom prst="rect">
                      <a:avLst/>
                    </a:prstGeom>
                  </pic:spPr>
                </pic:pic>
              </a:graphicData>
            </a:graphic>
          </wp:inline>
        </w:drawing>
      </w:r>
    </w:p>
    <w:p w14:paraId="1F39C073" w14:textId="24B4A191" w:rsidR="00A213C3" w:rsidRPr="0093729E" w:rsidRDefault="00621B2D" w:rsidP="0093729E">
      <w:pPr>
        <w:spacing w:before="40" w:after="40" w:line="276" w:lineRule="auto"/>
        <w:rPr>
          <w:b/>
          <w:bCs/>
        </w:rPr>
      </w:pPr>
      <w:bookmarkStart w:id="41" w:name="_Ref113715288"/>
      <w:r w:rsidRPr="0093729E">
        <w:rPr>
          <w:b/>
          <w:bCs/>
        </w:rPr>
        <w:lastRenderedPageBreak/>
        <w:t xml:space="preserve">Table </w:t>
      </w:r>
      <w:r w:rsidR="00327D59">
        <w:rPr>
          <w:b/>
          <w:bCs/>
        </w:rPr>
        <w:fldChar w:fldCharType="begin"/>
      </w:r>
      <w:r w:rsidR="00327D59">
        <w:rPr>
          <w:b/>
          <w:bCs/>
        </w:rPr>
        <w:instrText xml:space="preserve"> STYLEREF 1 \s </w:instrText>
      </w:r>
      <w:r w:rsidR="00327D59">
        <w:rPr>
          <w:b/>
          <w:bCs/>
        </w:rPr>
        <w:fldChar w:fldCharType="separate"/>
      </w:r>
      <w:r w:rsidR="007D19D7">
        <w:rPr>
          <w:b/>
          <w:bCs/>
          <w:noProof/>
        </w:rPr>
        <w:t>3</w:t>
      </w:r>
      <w:r w:rsidR="00327D59">
        <w:rPr>
          <w:b/>
          <w:bCs/>
        </w:rPr>
        <w:fldChar w:fldCharType="end"/>
      </w:r>
      <w:r w:rsidR="00327D59">
        <w:rPr>
          <w:b/>
          <w:bCs/>
        </w:rPr>
        <w:noBreakHyphen/>
      </w:r>
      <w:r w:rsidR="00327D59">
        <w:rPr>
          <w:b/>
          <w:bCs/>
        </w:rPr>
        <w:fldChar w:fldCharType="begin"/>
      </w:r>
      <w:r w:rsidR="00327D59">
        <w:rPr>
          <w:b/>
          <w:bCs/>
        </w:rPr>
        <w:instrText xml:space="preserve"> SEQ Table \* ARABIC \s 1 </w:instrText>
      </w:r>
      <w:r w:rsidR="00327D59">
        <w:rPr>
          <w:b/>
          <w:bCs/>
        </w:rPr>
        <w:fldChar w:fldCharType="separate"/>
      </w:r>
      <w:r w:rsidR="007D19D7">
        <w:rPr>
          <w:b/>
          <w:bCs/>
          <w:noProof/>
        </w:rPr>
        <w:t>11</w:t>
      </w:r>
      <w:r w:rsidR="00327D59">
        <w:rPr>
          <w:b/>
          <w:bCs/>
        </w:rPr>
        <w:fldChar w:fldCharType="end"/>
      </w:r>
      <w:bookmarkEnd w:id="41"/>
      <w:r w:rsidRPr="0093729E">
        <w:rPr>
          <w:b/>
          <w:bCs/>
        </w:rPr>
        <w:t xml:space="preserve"> </w:t>
      </w:r>
      <w:r w:rsidR="00A213C3" w:rsidRPr="0093729E">
        <w:rPr>
          <w:b/>
          <w:bCs/>
        </w:rPr>
        <w:t>Survey follow-up activity for 1946-51 Main Cohort Survey 10</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69"/>
        <w:gridCol w:w="1466"/>
        <w:gridCol w:w="1135"/>
        <w:gridCol w:w="5380"/>
      </w:tblGrid>
      <w:tr w:rsidR="00A213C3" w:rsidRPr="00324BC7" w14:paraId="3C8DB663" w14:textId="77777777" w:rsidTr="00E86D5D">
        <w:trPr>
          <w:cantSplit/>
        </w:trPr>
        <w:tc>
          <w:tcPr>
            <w:tcW w:w="732" w:type="pct"/>
            <w:tcBorders>
              <w:bottom w:val="single" w:sz="4" w:space="0" w:color="auto"/>
            </w:tcBorders>
            <w:shd w:val="clear" w:color="auto" w:fill="E5DFEC" w:themeFill="accent4" w:themeFillTint="33"/>
            <w:hideMark/>
          </w:tcPr>
          <w:p w14:paraId="0598ADC2" w14:textId="77777777" w:rsidR="00A213C3" w:rsidRPr="00324BC7" w:rsidRDefault="00A213C3" w:rsidP="00E86D5D">
            <w:pPr>
              <w:spacing w:before="60" w:after="60" w:line="240" w:lineRule="auto"/>
              <w:jc w:val="left"/>
              <w:rPr>
                <w:b/>
                <w:bCs/>
              </w:rPr>
            </w:pPr>
            <w:r w:rsidRPr="00324BC7">
              <w:rPr>
                <w:b/>
                <w:bCs/>
              </w:rPr>
              <w:t xml:space="preserve">Date </w:t>
            </w:r>
          </w:p>
        </w:tc>
        <w:tc>
          <w:tcPr>
            <w:tcW w:w="784" w:type="pct"/>
            <w:tcBorders>
              <w:bottom w:val="single" w:sz="4" w:space="0" w:color="auto"/>
            </w:tcBorders>
            <w:shd w:val="clear" w:color="auto" w:fill="E5DFEC" w:themeFill="accent4" w:themeFillTint="33"/>
            <w:hideMark/>
          </w:tcPr>
          <w:p w14:paraId="4D4EA4DF" w14:textId="77777777" w:rsidR="00A213C3" w:rsidRPr="00324BC7" w:rsidRDefault="00A213C3" w:rsidP="00E86D5D">
            <w:pPr>
              <w:spacing w:before="60" w:after="60" w:line="240" w:lineRule="auto"/>
              <w:jc w:val="left"/>
              <w:rPr>
                <w:b/>
                <w:bCs/>
              </w:rPr>
            </w:pPr>
            <w:r w:rsidRPr="00324BC7">
              <w:rPr>
                <w:b/>
                <w:bCs/>
              </w:rPr>
              <w:t>Activity</w:t>
            </w:r>
          </w:p>
        </w:tc>
        <w:tc>
          <w:tcPr>
            <w:tcW w:w="607" w:type="pct"/>
            <w:tcBorders>
              <w:bottom w:val="single" w:sz="4" w:space="0" w:color="auto"/>
            </w:tcBorders>
            <w:shd w:val="clear" w:color="auto" w:fill="E5DFEC" w:themeFill="accent4" w:themeFillTint="33"/>
            <w:hideMark/>
          </w:tcPr>
          <w:p w14:paraId="5D17DE18" w14:textId="77777777" w:rsidR="00A213C3" w:rsidRPr="00324BC7" w:rsidRDefault="00A213C3" w:rsidP="00E86D5D">
            <w:pPr>
              <w:spacing w:before="60" w:after="60" w:line="240" w:lineRule="auto"/>
              <w:jc w:val="left"/>
              <w:rPr>
                <w:b/>
                <w:bCs/>
              </w:rPr>
            </w:pPr>
            <w:r w:rsidRPr="00324BC7">
              <w:rPr>
                <w:b/>
                <w:bCs/>
              </w:rPr>
              <w:t>Step No.</w:t>
            </w:r>
          </w:p>
        </w:tc>
        <w:tc>
          <w:tcPr>
            <w:tcW w:w="2877" w:type="pct"/>
            <w:tcBorders>
              <w:bottom w:val="single" w:sz="4" w:space="0" w:color="auto"/>
            </w:tcBorders>
            <w:shd w:val="clear" w:color="auto" w:fill="E5DFEC" w:themeFill="accent4" w:themeFillTint="33"/>
            <w:hideMark/>
          </w:tcPr>
          <w:p w14:paraId="77B02BD0" w14:textId="77777777" w:rsidR="00A213C3" w:rsidRPr="00324BC7" w:rsidRDefault="00A213C3" w:rsidP="00E86D5D">
            <w:pPr>
              <w:spacing w:before="60" w:after="60" w:line="240" w:lineRule="auto"/>
              <w:jc w:val="left"/>
              <w:rPr>
                <w:b/>
                <w:bCs/>
              </w:rPr>
            </w:pPr>
            <w:r w:rsidRPr="00324BC7">
              <w:rPr>
                <w:b/>
                <w:bCs/>
              </w:rPr>
              <w:t>Items</w:t>
            </w:r>
          </w:p>
        </w:tc>
      </w:tr>
      <w:tr w:rsidR="00A213C3" w:rsidRPr="00475556" w14:paraId="3CBA68C7" w14:textId="77777777" w:rsidTr="00E86D5D">
        <w:trPr>
          <w:cantSplit/>
        </w:trPr>
        <w:tc>
          <w:tcPr>
            <w:tcW w:w="732" w:type="pct"/>
            <w:tcBorders>
              <w:bottom w:val="single" w:sz="8" w:space="0" w:color="auto"/>
              <w:right w:val="single" w:sz="8" w:space="0" w:color="auto"/>
            </w:tcBorders>
            <w:hideMark/>
          </w:tcPr>
          <w:p w14:paraId="239AB621" w14:textId="77777777" w:rsidR="00A213C3" w:rsidRPr="00475556" w:rsidRDefault="00A213C3" w:rsidP="00E86D5D">
            <w:pPr>
              <w:spacing w:before="60" w:after="60" w:line="240" w:lineRule="auto"/>
              <w:jc w:val="left"/>
            </w:pPr>
            <w:r>
              <w:t>June 2022</w:t>
            </w:r>
          </w:p>
        </w:tc>
        <w:tc>
          <w:tcPr>
            <w:tcW w:w="784" w:type="pct"/>
            <w:tcBorders>
              <w:left w:val="single" w:sz="8" w:space="0" w:color="auto"/>
              <w:bottom w:val="single" w:sz="8" w:space="0" w:color="auto"/>
              <w:right w:val="single" w:sz="8" w:space="0" w:color="auto"/>
            </w:tcBorders>
          </w:tcPr>
          <w:p w14:paraId="0149D261" w14:textId="77777777" w:rsidR="00A213C3" w:rsidRPr="00475556" w:rsidRDefault="00A213C3" w:rsidP="00E86D5D">
            <w:pPr>
              <w:spacing w:before="60" w:after="60" w:line="240" w:lineRule="auto"/>
              <w:jc w:val="left"/>
            </w:pPr>
            <w:r>
              <w:t>Email</w:t>
            </w:r>
          </w:p>
        </w:tc>
        <w:tc>
          <w:tcPr>
            <w:tcW w:w="607" w:type="pct"/>
            <w:tcBorders>
              <w:left w:val="single" w:sz="8" w:space="0" w:color="auto"/>
              <w:bottom w:val="single" w:sz="8" w:space="0" w:color="auto"/>
              <w:right w:val="single" w:sz="8" w:space="0" w:color="auto"/>
            </w:tcBorders>
          </w:tcPr>
          <w:p w14:paraId="0818842C" w14:textId="77777777" w:rsidR="00A213C3" w:rsidRPr="00475556" w:rsidRDefault="00A213C3" w:rsidP="00E86D5D">
            <w:pPr>
              <w:spacing w:before="60" w:after="60" w:line="240" w:lineRule="auto"/>
              <w:jc w:val="left"/>
            </w:pPr>
            <w:r w:rsidRPr="00475556">
              <w:t>A</w:t>
            </w:r>
            <w:r>
              <w:t>2</w:t>
            </w:r>
          </w:p>
        </w:tc>
        <w:tc>
          <w:tcPr>
            <w:tcW w:w="2877" w:type="pct"/>
            <w:tcBorders>
              <w:left w:val="single" w:sz="8" w:space="0" w:color="auto"/>
              <w:bottom w:val="single" w:sz="8" w:space="0" w:color="auto"/>
            </w:tcBorders>
          </w:tcPr>
          <w:p w14:paraId="2F93308D" w14:textId="77777777" w:rsidR="00A213C3" w:rsidRPr="00475556" w:rsidRDefault="00A213C3" w:rsidP="00E86D5D">
            <w:pPr>
              <w:spacing w:before="60" w:after="60" w:line="240" w:lineRule="auto"/>
              <w:jc w:val="left"/>
            </w:pPr>
            <w:r>
              <w:t>Em</w:t>
            </w:r>
            <w:r w:rsidRPr="00475556">
              <w:t>ail invitation to do online survey</w:t>
            </w:r>
          </w:p>
        </w:tc>
      </w:tr>
      <w:tr w:rsidR="00A213C3" w:rsidRPr="00475556" w14:paraId="6F9BB212" w14:textId="77777777" w:rsidTr="00E86D5D">
        <w:trPr>
          <w:cantSplit/>
        </w:trPr>
        <w:tc>
          <w:tcPr>
            <w:tcW w:w="732" w:type="pct"/>
            <w:tcBorders>
              <w:top w:val="single" w:sz="8" w:space="0" w:color="auto"/>
              <w:bottom w:val="nil"/>
              <w:right w:val="single" w:sz="8" w:space="0" w:color="auto"/>
            </w:tcBorders>
          </w:tcPr>
          <w:p w14:paraId="56526A6E" w14:textId="77777777" w:rsidR="00A213C3" w:rsidRPr="00475556" w:rsidRDefault="00A213C3" w:rsidP="00E86D5D">
            <w:pPr>
              <w:spacing w:before="60" w:after="60" w:line="240" w:lineRule="auto"/>
              <w:jc w:val="left"/>
            </w:pPr>
            <w:r>
              <w:t>July 2022</w:t>
            </w:r>
          </w:p>
        </w:tc>
        <w:tc>
          <w:tcPr>
            <w:tcW w:w="784" w:type="pct"/>
            <w:tcBorders>
              <w:top w:val="single" w:sz="8" w:space="0" w:color="auto"/>
              <w:left w:val="single" w:sz="8" w:space="0" w:color="auto"/>
              <w:bottom w:val="nil"/>
              <w:right w:val="single" w:sz="8" w:space="0" w:color="auto"/>
            </w:tcBorders>
          </w:tcPr>
          <w:p w14:paraId="32C9CEBC" w14:textId="77777777" w:rsidR="00A213C3" w:rsidRDefault="00A213C3" w:rsidP="00E86D5D">
            <w:pPr>
              <w:spacing w:before="60" w:after="60" w:line="240" w:lineRule="auto"/>
              <w:jc w:val="left"/>
            </w:pPr>
            <w:r w:rsidRPr="00475556">
              <w:t>Mailout</w:t>
            </w:r>
          </w:p>
        </w:tc>
        <w:tc>
          <w:tcPr>
            <w:tcW w:w="607" w:type="pct"/>
            <w:tcBorders>
              <w:top w:val="single" w:sz="8" w:space="0" w:color="auto"/>
              <w:left w:val="single" w:sz="8" w:space="0" w:color="auto"/>
              <w:bottom w:val="nil"/>
              <w:right w:val="single" w:sz="8" w:space="0" w:color="auto"/>
            </w:tcBorders>
          </w:tcPr>
          <w:p w14:paraId="030CD4CC" w14:textId="77777777" w:rsidR="00A213C3" w:rsidRPr="00475556" w:rsidRDefault="00A213C3" w:rsidP="00E86D5D">
            <w:pPr>
              <w:spacing w:before="60" w:after="60" w:line="240" w:lineRule="auto"/>
              <w:jc w:val="left"/>
            </w:pPr>
            <w:r w:rsidRPr="00475556">
              <w:t>A</w:t>
            </w:r>
            <w:r>
              <w:t>1</w:t>
            </w:r>
          </w:p>
        </w:tc>
        <w:tc>
          <w:tcPr>
            <w:tcW w:w="2877" w:type="pct"/>
            <w:tcBorders>
              <w:top w:val="single" w:sz="8" w:space="0" w:color="auto"/>
              <w:left w:val="single" w:sz="8" w:space="0" w:color="auto"/>
              <w:bottom w:val="nil"/>
            </w:tcBorders>
          </w:tcPr>
          <w:p w14:paraId="1E4C4910" w14:textId="77777777" w:rsidR="00A213C3" w:rsidRDefault="00A213C3" w:rsidP="00E86D5D">
            <w:pPr>
              <w:spacing w:before="60" w:after="60" w:line="240" w:lineRule="auto"/>
              <w:jc w:val="left"/>
            </w:pPr>
            <w:r>
              <w:t>M</w:t>
            </w:r>
            <w:r w:rsidRPr="00475556">
              <w:t>ail invitation to do online survey</w:t>
            </w:r>
            <w:r>
              <w:t xml:space="preserve"> (when no valid email address is available)</w:t>
            </w:r>
          </w:p>
        </w:tc>
      </w:tr>
      <w:tr w:rsidR="00A213C3" w:rsidRPr="00475556" w14:paraId="789B6D4B" w14:textId="77777777" w:rsidTr="00E86D5D">
        <w:trPr>
          <w:cantSplit/>
        </w:trPr>
        <w:tc>
          <w:tcPr>
            <w:tcW w:w="732" w:type="pct"/>
            <w:tcBorders>
              <w:top w:val="nil"/>
              <w:bottom w:val="nil"/>
              <w:right w:val="single" w:sz="8" w:space="0" w:color="auto"/>
            </w:tcBorders>
          </w:tcPr>
          <w:p w14:paraId="430B436A" w14:textId="77777777" w:rsidR="00A213C3" w:rsidRPr="00475556" w:rsidRDefault="00A213C3" w:rsidP="00E86D5D">
            <w:pPr>
              <w:spacing w:before="60" w:after="60" w:line="240" w:lineRule="auto"/>
              <w:jc w:val="left"/>
            </w:pPr>
          </w:p>
        </w:tc>
        <w:tc>
          <w:tcPr>
            <w:tcW w:w="784" w:type="pct"/>
            <w:tcBorders>
              <w:top w:val="nil"/>
              <w:left w:val="single" w:sz="8" w:space="0" w:color="auto"/>
              <w:bottom w:val="nil"/>
              <w:right w:val="single" w:sz="8" w:space="0" w:color="auto"/>
            </w:tcBorders>
          </w:tcPr>
          <w:p w14:paraId="2226227C" w14:textId="77777777" w:rsidR="00A213C3" w:rsidRDefault="00A213C3" w:rsidP="00E86D5D">
            <w:pPr>
              <w:spacing w:before="60" w:after="60" w:line="240" w:lineRule="auto"/>
              <w:jc w:val="left"/>
            </w:pPr>
            <w:r>
              <w:t>SMS</w:t>
            </w:r>
          </w:p>
        </w:tc>
        <w:tc>
          <w:tcPr>
            <w:tcW w:w="607" w:type="pct"/>
            <w:tcBorders>
              <w:top w:val="nil"/>
              <w:left w:val="single" w:sz="8" w:space="0" w:color="auto"/>
              <w:bottom w:val="nil"/>
              <w:right w:val="single" w:sz="8" w:space="0" w:color="auto"/>
            </w:tcBorders>
          </w:tcPr>
          <w:p w14:paraId="2C05B4E2" w14:textId="77777777" w:rsidR="00A213C3" w:rsidRPr="00475556" w:rsidRDefault="00A213C3" w:rsidP="00E86D5D">
            <w:pPr>
              <w:spacing w:before="60" w:after="60" w:line="240" w:lineRule="auto"/>
              <w:jc w:val="left"/>
            </w:pPr>
            <w:r>
              <w:t>A3</w:t>
            </w:r>
          </w:p>
        </w:tc>
        <w:tc>
          <w:tcPr>
            <w:tcW w:w="2877" w:type="pct"/>
            <w:tcBorders>
              <w:top w:val="nil"/>
              <w:left w:val="single" w:sz="8" w:space="0" w:color="auto"/>
              <w:bottom w:val="nil"/>
            </w:tcBorders>
          </w:tcPr>
          <w:p w14:paraId="71F900AA" w14:textId="77777777" w:rsidR="00A213C3" w:rsidRDefault="00A213C3" w:rsidP="00E86D5D">
            <w:pPr>
              <w:spacing w:before="60" w:after="60" w:line="240" w:lineRule="auto"/>
              <w:jc w:val="left"/>
            </w:pPr>
            <w:r>
              <w:t>SMS</w:t>
            </w:r>
            <w:r w:rsidRPr="00475556">
              <w:t xml:space="preserve"> invitation to do online survey</w:t>
            </w:r>
            <w:r>
              <w:t xml:space="preserve"> (if email bounces)</w:t>
            </w:r>
          </w:p>
        </w:tc>
      </w:tr>
      <w:tr w:rsidR="00A213C3" w:rsidRPr="00475556" w14:paraId="4162C364" w14:textId="77777777" w:rsidTr="00E86D5D">
        <w:trPr>
          <w:cantSplit/>
        </w:trPr>
        <w:tc>
          <w:tcPr>
            <w:tcW w:w="732" w:type="pct"/>
            <w:tcBorders>
              <w:top w:val="nil"/>
              <w:bottom w:val="nil"/>
              <w:right w:val="single" w:sz="8" w:space="0" w:color="auto"/>
            </w:tcBorders>
          </w:tcPr>
          <w:p w14:paraId="7DBCDA0B" w14:textId="77777777" w:rsidR="00A213C3" w:rsidRPr="00475556" w:rsidRDefault="00A213C3" w:rsidP="00E86D5D">
            <w:pPr>
              <w:spacing w:before="60" w:after="60" w:line="240" w:lineRule="auto"/>
              <w:jc w:val="left"/>
            </w:pPr>
          </w:p>
        </w:tc>
        <w:tc>
          <w:tcPr>
            <w:tcW w:w="784" w:type="pct"/>
            <w:tcBorders>
              <w:top w:val="nil"/>
              <w:left w:val="single" w:sz="8" w:space="0" w:color="auto"/>
              <w:bottom w:val="nil"/>
              <w:right w:val="single" w:sz="8" w:space="0" w:color="auto"/>
            </w:tcBorders>
          </w:tcPr>
          <w:p w14:paraId="5105C551" w14:textId="77777777" w:rsidR="00A213C3" w:rsidRPr="00475556" w:rsidRDefault="00A213C3" w:rsidP="00E86D5D">
            <w:pPr>
              <w:spacing w:before="60" w:after="60" w:line="240" w:lineRule="auto"/>
              <w:jc w:val="left"/>
            </w:pPr>
            <w:r>
              <w:t>Prize Draw 1</w:t>
            </w:r>
          </w:p>
        </w:tc>
        <w:tc>
          <w:tcPr>
            <w:tcW w:w="607" w:type="pct"/>
            <w:tcBorders>
              <w:top w:val="nil"/>
              <w:left w:val="single" w:sz="8" w:space="0" w:color="auto"/>
              <w:bottom w:val="nil"/>
              <w:right w:val="single" w:sz="8" w:space="0" w:color="auto"/>
            </w:tcBorders>
          </w:tcPr>
          <w:p w14:paraId="656F8EDD" w14:textId="77777777" w:rsidR="00A213C3" w:rsidRPr="00475556" w:rsidRDefault="00A213C3" w:rsidP="00E86D5D">
            <w:pPr>
              <w:spacing w:before="60" w:after="60" w:line="240" w:lineRule="auto"/>
              <w:jc w:val="left"/>
            </w:pPr>
          </w:p>
        </w:tc>
        <w:tc>
          <w:tcPr>
            <w:tcW w:w="2877" w:type="pct"/>
            <w:tcBorders>
              <w:top w:val="nil"/>
              <w:left w:val="single" w:sz="8" w:space="0" w:color="auto"/>
              <w:bottom w:val="nil"/>
            </w:tcBorders>
          </w:tcPr>
          <w:p w14:paraId="03C89758" w14:textId="77777777" w:rsidR="00A213C3" w:rsidRPr="00475556" w:rsidRDefault="00A213C3" w:rsidP="00E86D5D">
            <w:pPr>
              <w:spacing w:before="60" w:after="60" w:line="240" w:lineRule="auto"/>
              <w:jc w:val="left"/>
            </w:pPr>
          </w:p>
        </w:tc>
      </w:tr>
      <w:tr w:rsidR="00A213C3" w:rsidRPr="00475556" w14:paraId="777B3C71" w14:textId="77777777" w:rsidTr="00E86D5D">
        <w:trPr>
          <w:cantSplit/>
        </w:trPr>
        <w:tc>
          <w:tcPr>
            <w:tcW w:w="732" w:type="pct"/>
            <w:tcBorders>
              <w:top w:val="nil"/>
              <w:bottom w:val="single" w:sz="8" w:space="0" w:color="auto"/>
            </w:tcBorders>
          </w:tcPr>
          <w:p w14:paraId="04EEA48E" w14:textId="77777777" w:rsidR="00A213C3" w:rsidRPr="00475556" w:rsidRDefault="00A213C3" w:rsidP="00E86D5D">
            <w:pPr>
              <w:spacing w:before="60" w:after="60" w:line="240" w:lineRule="auto"/>
              <w:jc w:val="left"/>
            </w:pPr>
          </w:p>
        </w:tc>
        <w:tc>
          <w:tcPr>
            <w:tcW w:w="784" w:type="pct"/>
            <w:tcBorders>
              <w:top w:val="nil"/>
              <w:bottom w:val="single" w:sz="8" w:space="0" w:color="auto"/>
            </w:tcBorders>
          </w:tcPr>
          <w:p w14:paraId="522B8B2A" w14:textId="77777777" w:rsidR="00A213C3" w:rsidRPr="00475556" w:rsidRDefault="00A213C3" w:rsidP="00E86D5D">
            <w:pPr>
              <w:spacing w:before="60" w:after="60" w:line="240" w:lineRule="auto"/>
              <w:jc w:val="left"/>
            </w:pPr>
            <w:r>
              <w:t>Email</w:t>
            </w:r>
          </w:p>
        </w:tc>
        <w:tc>
          <w:tcPr>
            <w:tcW w:w="607" w:type="pct"/>
            <w:tcBorders>
              <w:top w:val="nil"/>
              <w:bottom w:val="single" w:sz="8" w:space="0" w:color="auto"/>
            </w:tcBorders>
          </w:tcPr>
          <w:p w14:paraId="6B86B135" w14:textId="77777777" w:rsidR="00A213C3" w:rsidRPr="00475556" w:rsidRDefault="00A213C3" w:rsidP="00E86D5D">
            <w:pPr>
              <w:spacing w:before="60" w:after="60" w:line="240" w:lineRule="auto"/>
              <w:jc w:val="left"/>
            </w:pPr>
            <w:r w:rsidRPr="00475556">
              <w:t>A</w:t>
            </w:r>
            <w:r>
              <w:t>4</w:t>
            </w:r>
          </w:p>
        </w:tc>
        <w:tc>
          <w:tcPr>
            <w:tcW w:w="2877" w:type="pct"/>
            <w:tcBorders>
              <w:top w:val="nil"/>
              <w:bottom w:val="single" w:sz="8" w:space="0" w:color="auto"/>
            </w:tcBorders>
          </w:tcPr>
          <w:p w14:paraId="29492E20" w14:textId="77777777" w:rsidR="00A213C3" w:rsidRPr="00475556" w:rsidRDefault="00A213C3" w:rsidP="00E86D5D">
            <w:pPr>
              <w:spacing w:before="60" w:after="60" w:line="240" w:lineRule="auto"/>
              <w:jc w:val="left"/>
            </w:pPr>
            <w:r>
              <w:t>Email</w:t>
            </w:r>
            <w:r w:rsidRPr="00475556">
              <w:t xml:space="preserve"> reminder to do online survey</w:t>
            </w:r>
          </w:p>
        </w:tc>
      </w:tr>
      <w:tr w:rsidR="00A213C3" w:rsidRPr="00475556" w14:paraId="5E4292A5" w14:textId="77777777" w:rsidTr="00E86D5D">
        <w:trPr>
          <w:cantSplit/>
        </w:trPr>
        <w:tc>
          <w:tcPr>
            <w:tcW w:w="732" w:type="pct"/>
            <w:tcBorders>
              <w:top w:val="single" w:sz="8" w:space="0" w:color="auto"/>
              <w:bottom w:val="nil"/>
            </w:tcBorders>
          </w:tcPr>
          <w:p w14:paraId="4DCAAB71" w14:textId="77777777" w:rsidR="00A213C3" w:rsidRPr="00475556" w:rsidRDefault="00A213C3" w:rsidP="00E86D5D">
            <w:pPr>
              <w:spacing w:before="60" w:after="60" w:line="240" w:lineRule="auto"/>
              <w:jc w:val="left"/>
            </w:pPr>
            <w:r>
              <w:t>Aug 2022</w:t>
            </w:r>
          </w:p>
        </w:tc>
        <w:tc>
          <w:tcPr>
            <w:tcW w:w="784" w:type="pct"/>
            <w:tcBorders>
              <w:top w:val="single" w:sz="8" w:space="0" w:color="auto"/>
              <w:bottom w:val="nil"/>
            </w:tcBorders>
          </w:tcPr>
          <w:p w14:paraId="731FF992" w14:textId="77777777" w:rsidR="00A213C3" w:rsidRPr="00475556" w:rsidRDefault="00A213C3" w:rsidP="00E86D5D">
            <w:pPr>
              <w:spacing w:before="60" w:after="60" w:line="240" w:lineRule="auto"/>
              <w:jc w:val="left"/>
            </w:pPr>
            <w:r w:rsidRPr="00475556">
              <w:t>SMS</w:t>
            </w:r>
          </w:p>
        </w:tc>
        <w:tc>
          <w:tcPr>
            <w:tcW w:w="607" w:type="pct"/>
            <w:tcBorders>
              <w:top w:val="single" w:sz="8" w:space="0" w:color="auto"/>
              <w:bottom w:val="nil"/>
            </w:tcBorders>
          </w:tcPr>
          <w:p w14:paraId="2CB648FB" w14:textId="77777777" w:rsidR="00A213C3" w:rsidRPr="00475556" w:rsidRDefault="00A213C3" w:rsidP="00E86D5D">
            <w:pPr>
              <w:spacing w:before="60" w:after="60" w:line="240" w:lineRule="auto"/>
              <w:jc w:val="left"/>
            </w:pPr>
            <w:r w:rsidRPr="00475556">
              <w:t>A</w:t>
            </w:r>
            <w:r>
              <w:t>5</w:t>
            </w:r>
          </w:p>
        </w:tc>
        <w:tc>
          <w:tcPr>
            <w:tcW w:w="2877" w:type="pct"/>
            <w:tcBorders>
              <w:top w:val="single" w:sz="8" w:space="0" w:color="auto"/>
              <w:bottom w:val="nil"/>
            </w:tcBorders>
          </w:tcPr>
          <w:p w14:paraId="681A913C" w14:textId="77777777" w:rsidR="00A213C3" w:rsidRPr="00475556" w:rsidRDefault="00A213C3" w:rsidP="00E86D5D">
            <w:pPr>
              <w:spacing w:before="60" w:after="60" w:line="240" w:lineRule="auto"/>
              <w:jc w:val="left"/>
            </w:pPr>
            <w:r w:rsidRPr="00475556">
              <w:t>SMS reminders to do survey</w:t>
            </w:r>
          </w:p>
        </w:tc>
      </w:tr>
      <w:tr w:rsidR="00A213C3" w:rsidRPr="00475556" w14:paraId="66D55369" w14:textId="77777777" w:rsidTr="00E86D5D">
        <w:trPr>
          <w:cantSplit/>
        </w:trPr>
        <w:tc>
          <w:tcPr>
            <w:tcW w:w="732" w:type="pct"/>
            <w:tcBorders>
              <w:top w:val="nil"/>
              <w:bottom w:val="single" w:sz="8" w:space="0" w:color="auto"/>
            </w:tcBorders>
          </w:tcPr>
          <w:p w14:paraId="3B00BAB4" w14:textId="77777777" w:rsidR="00A213C3" w:rsidRDefault="00A213C3" w:rsidP="00E86D5D">
            <w:pPr>
              <w:spacing w:before="60" w:after="60" w:line="240" w:lineRule="auto"/>
              <w:jc w:val="left"/>
            </w:pPr>
          </w:p>
        </w:tc>
        <w:tc>
          <w:tcPr>
            <w:tcW w:w="784" w:type="pct"/>
            <w:tcBorders>
              <w:top w:val="nil"/>
              <w:bottom w:val="single" w:sz="8" w:space="0" w:color="auto"/>
            </w:tcBorders>
          </w:tcPr>
          <w:p w14:paraId="26076169" w14:textId="77777777" w:rsidR="00A213C3" w:rsidRPr="00475556" w:rsidRDefault="00A213C3" w:rsidP="00E86D5D">
            <w:pPr>
              <w:spacing w:before="60" w:after="60" w:line="240" w:lineRule="auto"/>
              <w:jc w:val="left"/>
            </w:pPr>
            <w:r>
              <w:t>Prize Draw 2</w:t>
            </w:r>
          </w:p>
        </w:tc>
        <w:tc>
          <w:tcPr>
            <w:tcW w:w="607" w:type="pct"/>
            <w:tcBorders>
              <w:top w:val="nil"/>
              <w:bottom w:val="single" w:sz="8" w:space="0" w:color="auto"/>
            </w:tcBorders>
          </w:tcPr>
          <w:p w14:paraId="0430C0B4" w14:textId="77777777" w:rsidR="00A213C3" w:rsidRPr="00475556" w:rsidRDefault="00A213C3" w:rsidP="00E86D5D">
            <w:pPr>
              <w:spacing w:before="60" w:after="60" w:line="240" w:lineRule="auto"/>
              <w:jc w:val="left"/>
            </w:pPr>
          </w:p>
        </w:tc>
        <w:tc>
          <w:tcPr>
            <w:tcW w:w="2877" w:type="pct"/>
            <w:tcBorders>
              <w:top w:val="nil"/>
              <w:bottom w:val="single" w:sz="8" w:space="0" w:color="auto"/>
            </w:tcBorders>
          </w:tcPr>
          <w:p w14:paraId="5D5D7EC6" w14:textId="77777777" w:rsidR="00A213C3" w:rsidRPr="00475556" w:rsidRDefault="00A213C3" w:rsidP="00E86D5D">
            <w:pPr>
              <w:spacing w:before="60" w:after="60" w:line="240" w:lineRule="auto"/>
              <w:jc w:val="left"/>
            </w:pPr>
          </w:p>
        </w:tc>
      </w:tr>
      <w:tr w:rsidR="00A213C3" w:rsidRPr="00475556" w14:paraId="121C6EEB" w14:textId="77777777" w:rsidTr="00E86D5D">
        <w:trPr>
          <w:cantSplit/>
        </w:trPr>
        <w:tc>
          <w:tcPr>
            <w:tcW w:w="732" w:type="pct"/>
            <w:tcBorders>
              <w:top w:val="single" w:sz="8" w:space="0" w:color="auto"/>
              <w:bottom w:val="nil"/>
            </w:tcBorders>
          </w:tcPr>
          <w:p w14:paraId="20EDC90D" w14:textId="77777777" w:rsidR="00A213C3" w:rsidRDefault="00A213C3" w:rsidP="00E86D5D">
            <w:pPr>
              <w:spacing w:before="60" w:after="60" w:line="240" w:lineRule="auto"/>
              <w:jc w:val="left"/>
            </w:pPr>
            <w:r>
              <w:t>Sept 2022</w:t>
            </w:r>
          </w:p>
        </w:tc>
        <w:tc>
          <w:tcPr>
            <w:tcW w:w="784" w:type="pct"/>
            <w:tcBorders>
              <w:top w:val="single" w:sz="8" w:space="0" w:color="auto"/>
              <w:bottom w:val="nil"/>
            </w:tcBorders>
          </w:tcPr>
          <w:p w14:paraId="5D46AC65" w14:textId="77777777" w:rsidR="00A213C3" w:rsidRPr="00475556" w:rsidRDefault="00A213C3" w:rsidP="00E86D5D">
            <w:pPr>
              <w:spacing w:before="60" w:after="60" w:line="240" w:lineRule="auto"/>
              <w:jc w:val="left"/>
            </w:pPr>
            <w:r w:rsidRPr="00475556">
              <w:t>Mailout</w:t>
            </w:r>
          </w:p>
        </w:tc>
        <w:tc>
          <w:tcPr>
            <w:tcW w:w="607" w:type="pct"/>
            <w:tcBorders>
              <w:top w:val="single" w:sz="8" w:space="0" w:color="auto"/>
              <w:bottom w:val="nil"/>
            </w:tcBorders>
          </w:tcPr>
          <w:p w14:paraId="7B509320" w14:textId="77777777" w:rsidR="00A213C3" w:rsidRPr="00475556" w:rsidRDefault="00A213C3" w:rsidP="00E86D5D">
            <w:pPr>
              <w:spacing w:before="60" w:after="60" w:line="240" w:lineRule="auto"/>
              <w:jc w:val="left"/>
            </w:pPr>
            <w:r w:rsidRPr="00475556">
              <w:t>A</w:t>
            </w:r>
            <w:r>
              <w:t>6</w:t>
            </w:r>
          </w:p>
        </w:tc>
        <w:tc>
          <w:tcPr>
            <w:tcW w:w="2877" w:type="pct"/>
            <w:tcBorders>
              <w:top w:val="single" w:sz="8" w:space="0" w:color="auto"/>
              <w:bottom w:val="nil"/>
            </w:tcBorders>
          </w:tcPr>
          <w:p w14:paraId="5D293D2A" w14:textId="77777777" w:rsidR="00A213C3" w:rsidRPr="00475556" w:rsidRDefault="00A213C3" w:rsidP="00E86D5D">
            <w:pPr>
              <w:spacing w:before="60" w:after="60" w:line="240" w:lineRule="auto"/>
              <w:jc w:val="left"/>
            </w:pPr>
            <w:r w:rsidRPr="00475556">
              <w:t xml:space="preserve">Mailed package (letter with online survey link, paper survey, change of details card, reply-paid envelope </w:t>
            </w:r>
          </w:p>
        </w:tc>
      </w:tr>
      <w:tr w:rsidR="00A213C3" w:rsidRPr="00475556" w14:paraId="37DF173F" w14:textId="77777777" w:rsidTr="00E86D5D">
        <w:trPr>
          <w:cantSplit/>
        </w:trPr>
        <w:tc>
          <w:tcPr>
            <w:tcW w:w="732" w:type="pct"/>
            <w:tcBorders>
              <w:top w:val="nil"/>
              <w:bottom w:val="nil"/>
            </w:tcBorders>
          </w:tcPr>
          <w:p w14:paraId="67D7EE1B" w14:textId="77777777" w:rsidR="00A213C3" w:rsidRDefault="00A213C3" w:rsidP="00E86D5D">
            <w:pPr>
              <w:spacing w:before="60" w:after="60" w:line="240" w:lineRule="auto"/>
              <w:jc w:val="left"/>
            </w:pPr>
          </w:p>
        </w:tc>
        <w:tc>
          <w:tcPr>
            <w:tcW w:w="784" w:type="pct"/>
            <w:tcBorders>
              <w:top w:val="nil"/>
              <w:bottom w:val="nil"/>
            </w:tcBorders>
          </w:tcPr>
          <w:p w14:paraId="61D67F9D" w14:textId="77777777" w:rsidR="00A213C3" w:rsidRPr="00475556" w:rsidRDefault="00A213C3" w:rsidP="00E86D5D">
            <w:pPr>
              <w:spacing w:before="60" w:after="60" w:line="240" w:lineRule="auto"/>
              <w:jc w:val="left"/>
            </w:pPr>
            <w:r w:rsidRPr="00475556">
              <w:t>Phone call</w:t>
            </w:r>
          </w:p>
        </w:tc>
        <w:tc>
          <w:tcPr>
            <w:tcW w:w="607" w:type="pct"/>
            <w:tcBorders>
              <w:top w:val="nil"/>
              <w:bottom w:val="nil"/>
            </w:tcBorders>
          </w:tcPr>
          <w:p w14:paraId="7CEA82E6" w14:textId="77777777" w:rsidR="00A213C3" w:rsidRPr="00475556" w:rsidRDefault="00A213C3" w:rsidP="00E86D5D">
            <w:pPr>
              <w:spacing w:before="60" w:after="60" w:line="240" w:lineRule="auto"/>
              <w:jc w:val="left"/>
            </w:pPr>
            <w:r w:rsidRPr="00475556">
              <w:t>A</w:t>
            </w:r>
            <w:r>
              <w:t>7</w:t>
            </w:r>
          </w:p>
        </w:tc>
        <w:tc>
          <w:tcPr>
            <w:tcW w:w="2877" w:type="pct"/>
            <w:tcBorders>
              <w:top w:val="nil"/>
              <w:bottom w:val="nil"/>
            </w:tcBorders>
          </w:tcPr>
          <w:p w14:paraId="4BAC9BBA" w14:textId="77777777" w:rsidR="00A213C3" w:rsidRPr="00475556" w:rsidRDefault="00A213C3" w:rsidP="00E86D5D">
            <w:pPr>
              <w:spacing w:before="60" w:after="60" w:line="240" w:lineRule="auto"/>
              <w:jc w:val="left"/>
            </w:pPr>
            <w:r w:rsidRPr="00475556">
              <w:t>Phone call reminder</w:t>
            </w:r>
            <w:r>
              <w:t>s</w:t>
            </w:r>
            <w:r w:rsidRPr="00475556">
              <w:t xml:space="preserve"> to do survey</w:t>
            </w:r>
          </w:p>
        </w:tc>
      </w:tr>
      <w:tr w:rsidR="00A213C3" w:rsidRPr="00475556" w14:paraId="407F596E" w14:textId="77777777" w:rsidTr="00E86D5D">
        <w:trPr>
          <w:cantSplit/>
        </w:trPr>
        <w:tc>
          <w:tcPr>
            <w:tcW w:w="732" w:type="pct"/>
            <w:tcBorders>
              <w:top w:val="nil"/>
              <w:bottom w:val="single" w:sz="4" w:space="0" w:color="auto"/>
            </w:tcBorders>
          </w:tcPr>
          <w:p w14:paraId="048B9C37" w14:textId="77777777" w:rsidR="00A213C3" w:rsidRPr="00475556" w:rsidRDefault="00A213C3" w:rsidP="00E86D5D">
            <w:pPr>
              <w:spacing w:before="60" w:after="60" w:line="240" w:lineRule="auto"/>
              <w:jc w:val="left"/>
            </w:pPr>
          </w:p>
        </w:tc>
        <w:tc>
          <w:tcPr>
            <w:tcW w:w="784" w:type="pct"/>
            <w:tcBorders>
              <w:top w:val="nil"/>
              <w:bottom w:val="single" w:sz="4" w:space="0" w:color="auto"/>
            </w:tcBorders>
          </w:tcPr>
          <w:p w14:paraId="7AF492AA" w14:textId="77777777" w:rsidR="00A213C3" w:rsidRPr="00475556" w:rsidRDefault="00A213C3" w:rsidP="00E86D5D">
            <w:pPr>
              <w:spacing w:before="60" w:after="60" w:line="240" w:lineRule="auto"/>
              <w:jc w:val="left"/>
            </w:pPr>
            <w:r w:rsidRPr="00475556">
              <w:t>Email</w:t>
            </w:r>
          </w:p>
        </w:tc>
        <w:tc>
          <w:tcPr>
            <w:tcW w:w="607" w:type="pct"/>
            <w:tcBorders>
              <w:top w:val="nil"/>
              <w:bottom w:val="single" w:sz="4" w:space="0" w:color="auto"/>
            </w:tcBorders>
          </w:tcPr>
          <w:p w14:paraId="13AB75CD" w14:textId="77777777" w:rsidR="00A213C3" w:rsidRPr="00475556" w:rsidRDefault="00A213C3" w:rsidP="00E86D5D">
            <w:pPr>
              <w:spacing w:before="60" w:after="60" w:line="240" w:lineRule="auto"/>
              <w:jc w:val="left"/>
            </w:pPr>
            <w:r w:rsidRPr="00475556">
              <w:t>A</w:t>
            </w:r>
            <w:r>
              <w:t>9</w:t>
            </w:r>
          </w:p>
        </w:tc>
        <w:tc>
          <w:tcPr>
            <w:tcW w:w="2877" w:type="pct"/>
            <w:tcBorders>
              <w:top w:val="nil"/>
              <w:bottom w:val="single" w:sz="4" w:space="0" w:color="auto"/>
            </w:tcBorders>
          </w:tcPr>
          <w:p w14:paraId="33D2FEA2" w14:textId="77777777" w:rsidR="00A213C3" w:rsidRPr="00475556" w:rsidRDefault="00A213C3" w:rsidP="00E86D5D">
            <w:pPr>
              <w:spacing w:before="60" w:after="60" w:line="240" w:lineRule="auto"/>
              <w:jc w:val="left"/>
            </w:pPr>
            <w:r w:rsidRPr="00475556">
              <w:t>Email survey link following request during phone call</w:t>
            </w:r>
          </w:p>
        </w:tc>
      </w:tr>
      <w:tr w:rsidR="00A213C3" w:rsidRPr="00475556" w14:paraId="5151C06D" w14:textId="77777777" w:rsidTr="00E86D5D">
        <w:trPr>
          <w:cantSplit/>
        </w:trPr>
        <w:tc>
          <w:tcPr>
            <w:tcW w:w="732" w:type="pct"/>
            <w:tcBorders>
              <w:top w:val="single" w:sz="4" w:space="0" w:color="auto"/>
              <w:bottom w:val="nil"/>
            </w:tcBorders>
          </w:tcPr>
          <w:p w14:paraId="70969CDC" w14:textId="77777777" w:rsidR="00A213C3" w:rsidRPr="00475556" w:rsidRDefault="00A213C3" w:rsidP="00E86D5D">
            <w:pPr>
              <w:spacing w:before="60" w:after="60" w:line="240" w:lineRule="auto"/>
              <w:jc w:val="left"/>
            </w:pPr>
            <w:r>
              <w:t>June 2023</w:t>
            </w:r>
          </w:p>
        </w:tc>
        <w:tc>
          <w:tcPr>
            <w:tcW w:w="784" w:type="pct"/>
            <w:tcBorders>
              <w:top w:val="single" w:sz="4" w:space="0" w:color="auto"/>
              <w:bottom w:val="nil"/>
            </w:tcBorders>
          </w:tcPr>
          <w:p w14:paraId="5D0CA433" w14:textId="77777777" w:rsidR="00A213C3" w:rsidRPr="00475556" w:rsidRDefault="00A213C3" w:rsidP="00E86D5D">
            <w:pPr>
              <w:spacing w:before="60" w:after="60" w:line="240" w:lineRule="auto"/>
              <w:jc w:val="left"/>
            </w:pPr>
            <w:r w:rsidRPr="00475556">
              <w:t>Email</w:t>
            </w:r>
          </w:p>
        </w:tc>
        <w:tc>
          <w:tcPr>
            <w:tcW w:w="607" w:type="pct"/>
            <w:tcBorders>
              <w:top w:val="single" w:sz="4" w:space="0" w:color="auto"/>
              <w:bottom w:val="nil"/>
            </w:tcBorders>
          </w:tcPr>
          <w:p w14:paraId="4904112B" w14:textId="77777777" w:rsidR="00A213C3" w:rsidRPr="00475556" w:rsidRDefault="00A213C3" w:rsidP="00E86D5D">
            <w:pPr>
              <w:spacing w:before="60" w:after="60" w:line="240" w:lineRule="auto"/>
              <w:jc w:val="left"/>
            </w:pPr>
            <w:r w:rsidRPr="00475556">
              <w:t>A</w:t>
            </w:r>
            <w:r>
              <w:t>8</w:t>
            </w:r>
          </w:p>
        </w:tc>
        <w:tc>
          <w:tcPr>
            <w:tcW w:w="2877" w:type="pct"/>
            <w:tcBorders>
              <w:top w:val="single" w:sz="4" w:space="0" w:color="auto"/>
              <w:bottom w:val="nil"/>
            </w:tcBorders>
          </w:tcPr>
          <w:p w14:paraId="3C1373E4" w14:textId="77777777" w:rsidR="00A213C3" w:rsidRPr="00475556" w:rsidRDefault="00A213C3" w:rsidP="00E86D5D">
            <w:pPr>
              <w:spacing w:before="60" w:after="60" w:line="240" w:lineRule="auto"/>
              <w:jc w:val="left"/>
            </w:pPr>
            <w:r w:rsidRPr="00475556">
              <w:t xml:space="preserve">Email reminder </w:t>
            </w:r>
            <w:r>
              <w:t>about completing</w:t>
            </w:r>
            <w:r w:rsidRPr="00475556">
              <w:t xml:space="preserve"> survey</w:t>
            </w:r>
            <w:r>
              <w:t xml:space="preserve"> &amp; prize draw 3 </w:t>
            </w:r>
          </w:p>
        </w:tc>
      </w:tr>
      <w:tr w:rsidR="00A213C3" w:rsidRPr="00475556" w14:paraId="24F5E259" w14:textId="77777777" w:rsidTr="00E86D5D">
        <w:trPr>
          <w:cantSplit/>
        </w:trPr>
        <w:tc>
          <w:tcPr>
            <w:tcW w:w="732" w:type="pct"/>
            <w:tcBorders>
              <w:top w:val="nil"/>
              <w:bottom w:val="nil"/>
            </w:tcBorders>
          </w:tcPr>
          <w:p w14:paraId="48500431" w14:textId="77777777" w:rsidR="00A213C3" w:rsidRPr="00475556" w:rsidRDefault="00A213C3" w:rsidP="00E86D5D">
            <w:pPr>
              <w:spacing w:before="60" w:after="60" w:line="240" w:lineRule="auto"/>
              <w:jc w:val="left"/>
            </w:pPr>
          </w:p>
        </w:tc>
        <w:tc>
          <w:tcPr>
            <w:tcW w:w="784" w:type="pct"/>
            <w:tcBorders>
              <w:top w:val="nil"/>
              <w:bottom w:val="nil"/>
            </w:tcBorders>
          </w:tcPr>
          <w:p w14:paraId="40BDA989" w14:textId="77777777" w:rsidR="00A213C3" w:rsidRPr="00475556" w:rsidRDefault="00A213C3" w:rsidP="00E86D5D">
            <w:pPr>
              <w:spacing w:before="60" w:after="60" w:line="240" w:lineRule="auto"/>
              <w:jc w:val="left"/>
            </w:pPr>
            <w:r>
              <w:t>SMS</w:t>
            </w:r>
          </w:p>
        </w:tc>
        <w:tc>
          <w:tcPr>
            <w:tcW w:w="607" w:type="pct"/>
            <w:tcBorders>
              <w:top w:val="nil"/>
              <w:bottom w:val="nil"/>
            </w:tcBorders>
          </w:tcPr>
          <w:p w14:paraId="471DCF86" w14:textId="77777777" w:rsidR="00A213C3" w:rsidRPr="00475556" w:rsidRDefault="00A213C3" w:rsidP="00E86D5D">
            <w:pPr>
              <w:spacing w:before="60" w:after="60" w:line="240" w:lineRule="auto"/>
              <w:jc w:val="left"/>
            </w:pPr>
            <w:r w:rsidRPr="00475556">
              <w:t>A</w:t>
            </w:r>
            <w:r>
              <w:t>10</w:t>
            </w:r>
          </w:p>
        </w:tc>
        <w:tc>
          <w:tcPr>
            <w:tcW w:w="2877" w:type="pct"/>
            <w:tcBorders>
              <w:top w:val="nil"/>
              <w:bottom w:val="nil"/>
            </w:tcBorders>
          </w:tcPr>
          <w:p w14:paraId="5DAF30F4" w14:textId="77777777" w:rsidR="00A213C3" w:rsidRPr="00475556" w:rsidRDefault="00A213C3" w:rsidP="00E86D5D">
            <w:pPr>
              <w:spacing w:before="60" w:after="60" w:line="240" w:lineRule="auto"/>
              <w:jc w:val="left"/>
            </w:pPr>
            <w:r>
              <w:t>SMS</w:t>
            </w:r>
            <w:r w:rsidRPr="00475556">
              <w:t xml:space="preserve"> reminder </w:t>
            </w:r>
            <w:r>
              <w:t>about completing</w:t>
            </w:r>
            <w:r w:rsidRPr="00475556">
              <w:t xml:space="preserve"> survey</w:t>
            </w:r>
            <w:r>
              <w:t xml:space="preserve"> &amp; final prize draw </w:t>
            </w:r>
          </w:p>
        </w:tc>
      </w:tr>
      <w:tr w:rsidR="00A213C3" w:rsidRPr="00475556" w14:paraId="0DF50985" w14:textId="77777777" w:rsidTr="00E86D5D">
        <w:trPr>
          <w:cantSplit/>
        </w:trPr>
        <w:tc>
          <w:tcPr>
            <w:tcW w:w="732" w:type="pct"/>
            <w:tcBorders>
              <w:top w:val="nil"/>
              <w:bottom w:val="single" w:sz="8" w:space="0" w:color="auto"/>
            </w:tcBorders>
          </w:tcPr>
          <w:p w14:paraId="07F944C8" w14:textId="77777777" w:rsidR="00A213C3" w:rsidRDefault="00A213C3" w:rsidP="00E86D5D">
            <w:pPr>
              <w:spacing w:before="60" w:after="60" w:line="240" w:lineRule="auto"/>
              <w:jc w:val="left"/>
            </w:pPr>
          </w:p>
        </w:tc>
        <w:tc>
          <w:tcPr>
            <w:tcW w:w="784" w:type="pct"/>
            <w:tcBorders>
              <w:top w:val="nil"/>
              <w:bottom w:val="single" w:sz="8" w:space="0" w:color="auto"/>
            </w:tcBorders>
          </w:tcPr>
          <w:p w14:paraId="00D054F9" w14:textId="77777777" w:rsidR="00A213C3" w:rsidRPr="00475556" w:rsidRDefault="00A213C3" w:rsidP="00E86D5D">
            <w:pPr>
              <w:spacing w:before="60" w:after="60" w:line="240" w:lineRule="auto"/>
              <w:jc w:val="left"/>
            </w:pPr>
            <w:r>
              <w:t>Prize Draw 3</w:t>
            </w:r>
          </w:p>
        </w:tc>
        <w:tc>
          <w:tcPr>
            <w:tcW w:w="607" w:type="pct"/>
            <w:tcBorders>
              <w:top w:val="nil"/>
              <w:bottom w:val="single" w:sz="8" w:space="0" w:color="auto"/>
            </w:tcBorders>
          </w:tcPr>
          <w:p w14:paraId="53587D4B" w14:textId="77777777" w:rsidR="00A213C3" w:rsidRDefault="00A213C3" w:rsidP="00E86D5D">
            <w:pPr>
              <w:spacing w:before="60" w:after="60" w:line="240" w:lineRule="auto"/>
              <w:jc w:val="left"/>
            </w:pPr>
          </w:p>
        </w:tc>
        <w:tc>
          <w:tcPr>
            <w:tcW w:w="2877" w:type="pct"/>
            <w:tcBorders>
              <w:top w:val="nil"/>
              <w:bottom w:val="single" w:sz="8" w:space="0" w:color="auto"/>
            </w:tcBorders>
          </w:tcPr>
          <w:p w14:paraId="04CB7FDE" w14:textId="77777777" w:rsidR="00A213C3" w:rsidRDefault="00A213C3" w:rsidP="00E86D5D">
            <w:pPr>
              <w:spacing w:before="60" w:after="60" w:line="240" w:lineRule="auto"/>
              <w:jc w:val="left"/>
            </w:pPr>
          </w:p>
        </w:tc>
      </w:tr>
      <w:tr w:rsidR="00A213C3" w:rsidRPr="00475556" w14:paraId="6312269D" w14:textId="77777777" w:rsidTr="00E86D5D">
        <w:trPr>
          <w:cantSplit/>
        </w:trPr>
        <w:tc>
          <w:tcPr>
            <w:tcW w:w="732" w:type="pct"/>
            <w:tcBorders>
              <w:top w:val="single" w:sz="8" w:space="0" w:color="auto"/>
              <w:bottom w:val="nil"/>
            </w:tcBorders>
          </w:tcPr>
          <w:p w14:paraId="0C7AEAB1" w14:textId="77777777" w:rsidR="00A213C3" w:rsidRDefault="00A213C3" w:rsidP="00E86D5D">
            <w:pPr>
              <w:spacing w:before="60" w:after="60" w:line="240" w:lineRule="auto"/>
              <w:jc w:val="left"/>
            </w:pPr>
            <w:r>
              <w:t>July 2023</w:t>
            </w:r>
          </w:p>
        </w:tc>
        <w:tc>
          <w:tcPr>
            <w:tcW w:w="784" w:type="pct"/>
            <w:tcBorders>
              <w:top w:val="single" w:sz="8" w:space="0" w:color="auto"/>
              <w:bottom w:val="nil"/>
            </w:tcBorders>
          </w:tcPr>
          <w:p w14:paraId="628A44B1" w14:textId="77777777" w:rsidR="00A213C3" w:rsidRPr="00475556" w:rsidRDefault="00A213C3" w:rsidP="00E86D5D">
            <w:pPr>
              <w:spacing w:before="60" w:after="60" w:line="240" w:lineRule="auto"/>
              <w:jc w:val="left"/>
            </w:pPr>
            <w:r w:rsidRPr="00475556">
              <w:t>Email</w:t>
            </w:r>
          </w:p>
        </w:tc>
        <w:tc>
          <w:tcPr>
            <w:tcW w:w="607" w:type="pct"/>
            <w:tcBorders>
              <w:top w:val="single" w:sz="8" w:space="0" w:color="auto"/>
              <w:bottom w:val="nil"/>
            </w:tcBorders>
          </w:tcPr>
          <w:p w14:paraId="6D7A2393" w14:textId="77777777" w:rsidR="00A213C3" w:rsidRPr="00475556" w:rsidRDefault="00A213C3" w:rsidP="00E86D5D">
            <w:pPr>
              <w:spacing w:before="60" w:after="60" w:line="240" w:lineRule="auto"/>
              <w:jc w:val="left"/>
            </w:pPr>
            <w:r>
              <w:t>A11</w:t>
            </w:r>
          </w:p>
        </w:tc>
        <w:tc>
          <w:tcPr>
            <w:tcW w:w="2877" w:type="pct"/>
            <w:tcBorders>
              <w:top w:val="single" w:sz="8" w:space="0" w:color="auto"/>
              <w:bottom w:val="nil"/>
            </w:tcBorders>
          </w:tcPr>
          <w:p w14:paraId="01B3A01D" w14:textId="77777777" w:rsidR="00A213C3" w:rsidRPr="00475556" w:rsidRDefault="00A213C3" w:rsidP="00E86D5D">
            <w:pPr>
              <w:spacing w:before="60" w:after="60" w:line="240" w:lineRule="auto"/>
              <w:jc w:val="left"/>
            </w:pPr>
            <w:r>
              <w:t>Final e</w:t>
            </w:r>
            <w:r w:rsidRPr="00475556">
              <w:t xml:space="preserve">mail reminder </w:t>
            </w:r>
            <w:r>
              <w:t>to complete</w:t>
            </w:r>
            <w:r w:rsidRPr="00475556">
              <w:t xml:space="preserve"> survey</w:t>
            </w:r>
          </w:p>
        </w:tc>
      </w:tr>
      <w:tr w:rsidR="00A213C3" w:rsidRPr="00475556" w14:paraId="324F24B7" w14:textId="77777777" w:rsidTr="00E86D5D">
        <w:trPr>
          <w:cantSplit/>
        </w:trPr>
        <w:tc>
          <w:tcPr>
            <w:tcW w:w="732" w:type="pct"/>
            <w:tcBorders>
              <w:top w:val="nil"/>
            </w:tcBorders>
          </w:tcPr>
          <w:p w14:paraId="4A604A13" w14:textId="77777777" w:rsidR="00A213C3" w:rsidRDefault="00A213C3" w:rsidP="00E86D5D">
            <w:pPr>
              <w:spacing w:before="60" w:after="60" w:line="240" w:lineRule="auto"/>
              <w:jc w:val="left"/>
            </w:pPr>
          </w:p>
        </w:tc>
        <w:tc>
          <w:tcPr>
            <w:tcW w:w="784" w:type="pct"/>
            <w:tcBorders>
              <w:top w:val="nil"/>
            </w:tcBorders>
          </w:tcPr>
          <w:p w14:paraId="6B06A11A" w14:textId="77777777" w:rsidR="00A213C3" w:rsidRPr="00475556" w:rsidRDefault="00A213C3" w:rsidP="00E86D5D">
            <w:pPr>
              <w:spacing w:before="60" w:after="60" w:line="240" w:lineRule="auto"/>
              <w:jc w:val="left"/>
            </w:pPr>
            <w:r w:rsidRPr="00475556">
              <w:t>SMS</w:t>
            </w:r>
          </w:p>
        </w:tc>
        <w:tc>
          <w:tcPr>
            <w:tcW w:w="607" w:type="pct"/>
            <w:tcBorders>
              <w:top w:val="nil"/>
            </w:tcBorders>
          </w:tcPr>
          <w:p w14:paraId="785F595A" w14:textId="77777777" w:rsidR="00A213C3" w:rsidRPr="00475556" w:rsidRDefault="00A213C3" w:rsidP="00E86D5D">
            <w:pPr>
              <w:spacing w:before="60" w:after="60" w:line="240" w:lineRule="auto"/>
              <w:jc w:val="left"/>
            </w:pPr>
            <w:r w:rsidRPr="00475556">
              <w:t>A</w:t>
            </w:r>
            <w:r>
              <w:t>12</w:t>
            </w:r>
          </w:p>
        </w:tc>
        <w:tc>
          <w:tcPr>
            <w:tcW w:w="2877" w:type="pct"/>
            <w:tcBorders>
              <w:top w:val="nil"/>
            </w:tcBorders>
          </w:tcPr>
          <w:p w14:paraId="7CF3DC16" w14:textId="77777777" w:rsidR="00A213C3" w:rsidRPr="00475556" w:rsidRDefault="00A213C3" w:rsidP="00E86D5D">
            <w:pPr>
              <w:spacing w:before="60" w:after="60" w:line="240" w:lineRule="auto"/>
              <w:jc w:val="left"/>
            </w:pPr>
            <w:r w:rsidRPr="00475556">
              <w:t xml:space="preserve">Final SMS reminder to </w:t>
            </w:r>
            <w:r>
              <w:t>complete</w:t>
            </w:r>
            <w:r w:rsidRPr="00475556">
              <w:t xml:space="preserve"> survey</w:t>
            </w:r>
          </w:p>
        </w:tc>
      </w:tr>
      <w:tr w:rsidR="00A213C3" w:rsidRPr="00475556" w14:paraId="3A51EA6E" w14:textId="77777777" w:rsidTr="00E86D5D">
        <w:trPr>
          <w:cantSplit/>
        </w:trPr>
        <w:tc>
          <w:tcPr>
            <w:tcW w:w="5000" w:type="pct"/>
            <w:gridSpan w:val="4"/>
            <w:tcBorders>
              <w:bottom w:val="single" w:sz="4" w:space="0" w:color="auto"/>
            </w:tcBorders>
          </w:tcPr>
          <w:p w14:paraId="2140498A" w14:textId="77777777" w:rsidR="00A213C3" w:rsidRPr="00520353" w:rsidRDefault="00A213C3" w:rsidP="00E86D5D">
            <w:pPr>
              <w:spacing w:before="60" w:after="60" w:line="240" w:lineRule="auto"/>
              <w:jc w:val="left"/>
              <w:rPr>
                <w:b/>
                <w:bCs/>
                <w:i/>
                <w:iCs/>
              </w:rPr>
            </w:pPr>
            <w:r w:rsidRPr="00520353">
              <w:rPr>
                <w:b/>
                <w:bCs/>
                <w:i/>
                <w:iCs/>
              </w:rPr>
              <w:t>PARTIALLY COMPLETED ONLINE SURVEYS (</w:t>
            </w:r>
            <w:r>
              <w:rPr>
                <w:b/>
                <w:bCs/>
                <w:i/>
                <w:iCs/>
              </w:rPr>
              <w:t>triggered</w:t>
            </w:r>
            <w:r w:rsidRPr="00520353">
              <w:rPr>
                <w:b/>
                <w:bCs/>
                <w:i/>
                <w:iCs/>
              </w:rPr>
              <w:t xml:space="preserve"> from first incomplete survey attempt)</w:t>
            </w:r>
          </w:p>
        </w:tc>
      </w:tr>
      <w:tr w:rsidR="00A213C3" w:rsidRPr="00475556" w14:paraId="46F057A8" w14:textId="77777777" w:rsidTr="00E86D5D">
        <w:trPr>
          <w:cantSplit/>
        </w:trPr>
        <w:tc>
          <w:tcPr>
            <w:tcW w:w="732" w:type="pct"/>
            <w:tcBorders>
              <w:bottom w:val="nil"/>
            </w:tcBorders>
          </w:tcPr>
          <w:p w14:paraId="739B59BF" w14:textId="77777777" w:rsidR="00A213C3" w:rsidRPr="00475556" w:rsidRDefault="00A213C3" w:rsidP="00E86D5D">
            <w:pPr>
              <w:spacing w:before="60" w:after="60" w:line="240" w:lineRule="auto"/>
              <w:jc w:val="left"/>
            </w:pPr>
            <w:r>
              <w:t>June 2022 onwards</w:t>
            </w:r>
          </w:p>
        </w:tc>
        <w:tc>
          <w:tcPr>
            <w:tcW w:w="784" w:type="pct"/>
            <w:tcBorders>
              <w:bottom w:val="nil"/>
            </w:tcBorders>
          </w:tcPr>
          <w:p w14:paraId="29CEE1C9" w14:textId="77777777" w:rsidR="00A213C3" w:rsidRPr="00475556" w:rsidRDefault="00A213C3" w:rsidP="00E86D5D">
            <w:pPr>
              <w:spacing w:before="60" w:after="60" w:line="240" w:lineRule="auto"/>
              <w:jc w:val="left"/>
            </w:pPr>
            <w:r w:rsidRPr="00475556">
              <w:t>Email</w:t>
            </w:r>
          </w:p>
        </w:tc>
        <w:tc>
          <w:tcPr>
            <w:tcW w:w="607" w:type="pct"/>
            <w:tcBorders>
              <w:bottom w:val="nil"/>
            </w:tcBorders>
          </w:tcPr>
          <w:p w14:paraId="00B896FE" w14:textId="77777777" w:rsidR="00A213C3" w:rsidRPr="00475556" w:rsidRDefault="00A213C3" w:rsidP="00E86D5D">
            <w:pPr>
              <w:spacing w:before="60" w:after="60" w:line="240" w:lineRule="auto"/>
              <w:jc w:val="left"/>
            </w:pPr>
            <w:r>
              <w:t>A13</w:t>
            </w:r>
          </w:p>
        </w:tc>
        <w:tc>
          <w:tcPr>
            <w:tcW w:w="2877" w:type="pct"/>
            <w:tcBorders>
              <w:bottom w:val="nil"/>
            </w:tcBorders>
          </w:tcPr>
          <w:p w14:paraId="44853FE0" w14:textId="77777777" w:rsidR="00A213C3" w:rsidRPr="00475556" w:rsidRDefault="00A213C3" w:rsidP="00E86D5D">
            <w:pPr>
              <w:spacing w:before="60" w:after="60" w:line="240" w:lineRule="auto"/>
              <w:jc w:val="left"/>
            </w:pPr>
            <w:r w:rsidRPr="00475556">
              <w:t>Automated email reminder to complete online survey</w:t>
            </w:r>
            <w:r>
              <w:t xml:space="preserve"> (3 reminders)</w:t>
            </w:r>
          </w:p>
        </w:tc>
      </w:tr>
      <w:tr w:rsidR="00A213C3" w:rsidRPr="00475556" w14:paraId="3C1C6797" w14:textId="77777777" w:rsidTr="00E86D5D">
        <w:trPr>
          <w:cantSplit/>
        </w:trPr>
        <w:tc>
          <w:tcPr>
            <w:tcW w:w="732" w:type="pct"/>
            <w:tcBorders>
              <w:top w:val="nil"/>
              <w:bottom w:val="nil"/>
            </w:tcBorders>
          </w:tcPr>
          <w:p w14:paraId="0D5FA0D3" w14:textId="77777777" w:rsidR="00A213C3" w:rsidRPr="00475556" w:rsidRDefault="00A213C3" w:rsidP="00E86D5D">
            <w:pPr>
              <w:spacing w:before="60" w:after="60" w:line="240" w:lineRule="auto"/>
              <w:jc w:val="left"/>
            </w:pPr>
          </w:p>
        </w:tc>
        <w:tc>
          <w:tcPr>
            <w:tcW w:w="784" w:type="pct"/>
            <w:tcBorders>
              <w:top w:val="nil"/>
              <w:bottom w:val="nil"/>
            </w:tcBorders>
          </w:tcPr>
          <w:p w14:paraId="28A97B7F" w14:textId="77777777" w:rsidR="00A213C3" w:rsidRPr="00475556" w:rsidRDefault="00A213C3" w:rsidP="00E86D5D">
            <w:pPr>
              <w:spacing w:before="60" w:after="60" w:line="240" w:lineRule="auto"/>
              <w:jc w:val="left"/>
            </w:pPr>
            <w:r w:rsidRPr="00475556">
              <w:t>SMS</w:t>
            </w:r>
          </w:p>
        </w:tc>
        <w:tc>
          <w:tcPr>
            <w:tcW w:w="607" w:type="pct"/>
            <w:tcBorders>
              <w:top w:val="nil"/>
              <w:bottom w:val="nil"/>
            </w:tcBorders>
          </w:tcPr>
          <w:p w14:paraId="08F37D80" w14:textId="77777777" w:rsidR="00A213C3" w:rsidRPr="00475556" w:rsidRDefault="00A213C3" w:rsidP="00E86D5D">
            <w:pPr>
              <w:spacing w:before="60" w:after="60" w:line="240" w:lineRule="auto"/>
              <w:jc w:val="left"/>
            </w:pPr>
            <w:r>
              <w:t>A14</w:t>
            </w:r>
          </w:p>
        </w:tc>
        <w:tc>
          <w:tcPr>
            <w:tcW w:w="2877" w:type="pct"/>
            <w:tcBorders>
              <w:top w:val="nil"/>
              <w:bottom w:val="nil"/>
            </w:tcBorders>
          </w:tcPr>
          <w:p w14:paraId="00223A1F" w14:textId="77777777" w:rsidR="00A213C3" w:rsidRPr="00475556" w:rsidRDefault="00A213C3" w:rsidP="00E86D5D">
            <w:pPr>
              <w:spacing w:before="60" w:after="60" w:line="240" w:lineRule="auto"/>
              <w:jc w:val="left"/>
            </w:pPr>
            <w:r w:rsidRPr="00475556">
              <w:t>Automated SMS reminder to complete online survey</w:t>
            </w:r>
          </w:p>
        </w:tc>
      </w:tr>
      <w:tr w:rsidR="00A213C3" w:rsidRPr="00475556" w14:paraId="03F8BED8" w14:textId="77777777" w:rsidTr="00E86D5D">
        <w:trPr>
          <w:cantSplit/>
        </w:trPr>
        <w:tc>
          <w:tcPr>
            <w:tcW w:w="732" w:type="pct"/>
            <w:tcBorders>
              <w:top w:val="nil"/>
              <w:bottom w:val="nil"/>
            </w:tcBorders>
          </w:tcPr>
          <w:p w14:paraId="28BEEBC4" w14:textId="77777777" w:rsidR="00A213C3" w:rsidRPr="00475556" w:rsidRDefault="00A213C3" w:rsidP="00E86D5D">
            <w:pPr>
              <w:spacing w:before="60" w:after="60" w:line="240" w:lineRule="auto"/>
              <w:jc w:val="left"/>
            </w:pPr>
          </w:p>
        </w:tc>
        <w:tc>
          <w:tcPr>
            <w:tcW w:w="784" w:type="pct"/>
            <w:tcBorders>
              <w:top w:val="nil"/>
              <w:bottom w:val="nil"/>
            </w:tcBorders>
          </w:tcPr>
          <w:p w14:paraId="3F67933F" w14:textId="77777777" w:rsidR="00A213C3" w:rsidRPr="00475556" w:rsidRDefault="00A213C3" w:rsidP="00E86D5D">
            <w:pPr>
              <w:spacing w:before="60" w:after="60" w:line="240" w:lineRule="auto"/>
              <w:jc w:val="left"/>
            </w:pPr>
            <w:r w:rsidRPr="00475556">
              <w:t>Phone call</w:t>
            </w:r>
          </w:p>
        </w:tc>
        <w:tc>
          <w:tcPr>
            <w:tcW w:w="607" w:type="pct"/>
            <w:tcBorders>
              <w:top w:val="nil"/>
              <w:bottom w:val="nil"/>
            </w:tcBorders>
          </w:tcPr>
          <w:p w14:paraId="0388B7F3" w14:textId="77777777" w:rsidR="00A213C3" w:rsidRPr="00475556" w:rsidRDefault="00A213C3" w:rsidP="00E86D5D">
            <w:pPr>
              <w:spacing w:before="60" w:after="60" w:line="240" w:lineRule="auto"/>
              <w:jc w:val="left"/>
            </w:pPr>
            <w:r>
              <w:t>A15</w:t>
            </w:r>
          </w:p>
        </w:tc>
        <w:tc>
          <w:tcPr>
            <w:tcW w:w="2877" w:type="pct"/>
            <w:tcBorders>
              <w:top w:val="nil"/>
              <w:bottom w:val="nil"/>
            </w:tcBorders>
          </w:tcPr>
          <w:p w14:paraId="2F059382" w14:textId="77777777" w:rsidR="00A213C3" w:rsidRPr="00475556" w:rsidRDefault="00A213C3" w:rsidP="00E86D5D">
            <w:pPr>
              <w:spacing w:before="60" w:after="60" w:line="240" w:lineRule="auto"/>
              <w:jc w:val="left"/>
            </w:pPr>
            <w:r w:rsidRPr="00475556">
              <w:t>Phone call reminder to complete online survey</w:t>
            </w:r>
          </w:p>
        </w:tc>
      </w:tr>
      <w:tr w:rsidR="00A213C3" w:rsidRPr="00475556" w14:paraId="2CA10C10" w14:textId="77777777" w:rsidTr="00E86D5D">
        <w:trPr>
          <w:cantSplit/>
        </w:trPr>
        <w:tc>
          <w:tcPr>
            <w:tcW w:w="732" w:type="pct"/>
            <w:tcBorders>
              <w:top w:val="nil"/>
              <w:bottom w:val="nil"/>
            </w:tcBorders>
          </w:tcPr>
          <w:p w14:paraId="78BE050F" w14:textId="77777777" w:rsidR="00A213C3" w:rsidRDefault="00A213C3" w:rsidP="00E86D5D">
            <w:pPr>
              <w:spacing w:before="60" w:after="60" w:line="240" w:lineRule="auto"/>
              <w:jc w:val="left"/>
            </w:pPr>
          </w:p>
        </w:tc>
        <w:tc>
          <w:tcPr>
            <w:tcW w:w="784" w:type="pct"/>
            <w:tcBorders>
              <w:top w:val="nil"/>
              <w:bottom w:val="nil"/>
            </w:tcBorders>
          </w:tcPr>
          <w:p w14:paraId="2CD5112D" w14:textId="77777777" w:rsidR="00A213C3" w:rsidRPr="00475556" w:rsidRDefault="00A213C3" w:rsidP="00E86D5D">
            <w:pPr>
              <w:spacing w:before="60" w:after="60" w:line="240" w:lineRule="auto"/>
              <w:jc w:val="left"/>
            </w:pPr>
            <w:r>
              <w:t>SMS</w:t>
            </w:r>
          </w:p>
        </w:tc>
        <w:tc>
          <w:tcPr>
            <w:tcW w:w="607" w:type="pct"/>
            <w:tcBorders>
              <w:top w:val="nil"/>
              <w:bottom w:val="nil"/>
            </w:tcBorders>
          </w:tcPr>
          <w:p w14:paraId="0500C797" w14:textId="77777777" w:rsidR="00A213C3" w:rsidRDefault="00A213C3" w:rsidP="00E86D5D">
            <w:pPr>
              <w:spacing w:before="60" w:after="60" w:line="240" w:lineRule="auto"/>
              <w:jc w:val="left"/>
            </w:pPr>
            <w:r>
              <w:t>A16</w:t>
            </w:r>
          </w:p>
        </w:tc>
        <w:tc>
          <w:tcPr>
            <w:tcW w:w="2877" w:type="pct"/>
            <w:tcBorders>
              <w:top w:val="nil"/>
              <w:bottom w:val="nil"/>
            </w:tcBorders>
          </w:tcPr>
          <w:p w14:paraId="09F58FF9" w14:textId="77777777" w:rsidR="00A213C3" w:rsidRPr="00475556" w:rsidRDefault="00A213C3" w:rsidP="00E86D5D">
            <w:pPr>
              <w:spacing w:before="60" w:after="60" w:line="240" w:lineRule="auto"/>
              <w:jc w:val="left"/>
            </w:pPr>
            <w:r>
              <w:t xml:space="preserve">Final </w:t>
            </w:r>
            <w:r w:rsidRPr="00475556">
              <w:t>SMS reminder to complete online survey</w:t>
            </w:r>
          </w:p>
        </w:tc>
      </w:tr>
      <w:tr w:rsidR="00A213C3" w:rsidRPr="00475556" w14:paraId="29CFC7E2" w14:textId="77777777" w:rsidTr="00E86D5D">
        <w:trPr>
          <w:cantSplit/>
        </w:trPr>
        <w:tc>
          <w:tcPr>
            <w:tcW w:w="732" w:type="pct"/>
            <w:tcBorders>
              <w:top w:val="nil"/>
            </w:tcBorders>
          </w:tcPr>
          <w:p w14:paraId="39589C07" w14:textId="77777777" w:rsidR="00A213C3" w:rsidRDefault="00A213C3" w:rsidP="00E86D5D">
            <w:pPr>
              <w:spacing w:before="60" w:after="60" w:line="240" w:lineRule="auto"/>
              <w:jc w:val="left"/>
            </w:pPr>
          </w:p>
        </w:tc>
        <w:tc>
          <w:tcPr>
            <w:tcW w:w="784" w:type="pct"/>
            <w:tcBorders>
              <w:top w:val="nil"/>
            </w:tcBorders>
          </w:tcPr>
          <w:p w14:paraId="176686B2" w14:textId="77777777" w:rsidR="00A213C3" w:rsidRPr="00475556" w:rsidRDefault="00A213C3" w:rsidP="00E86D5D">
            <w:pPr>
              <w:spacing w:before="60" w:after="60" w:line="240" w:lineRule="auto"/>
              <w:jc w:val="left"/>
            </w:pPr>
            <w:r>
              <w:t>Email</w:t>
            </w:r>
          </w:p>
        </w:tc>
        <w:tc>
          <w:tcPr>
            <w:tcW w:w="607" w:type="pct"/>
            <w:tcBorders>
              <w:top w:val="nil"/>
            </w:tcBorders>
          </w:tcPr>
          <w:p w14:paraId="534A1F73" w14:textId="77777777" w:rsidR="00A213C3" w:rsidRDefault="00A213C3" w:rsidP="00E86D5D">
            <w:pPr>
              <w:spacing w:before="60" w:after="60" w:line="240" w:lineRule="auto"/>
              <w:jc w:val="left"/>
            </w:pPr>
            <w:r>
              <w:t>A17</w:t>
            </w:r>
          </w:p>
        </w:tc>
        <w:tc>
          <w:tcPr>
            <w:tcW w:w="2877" w:type="pct"/>
            <w:tcBorders>
              <w:top w:val="nil"/>
            </w:tcBorders>
          </w:tcPr>
          <w:p w14:paraId="5DA54EE0" w14:textId="77777777" w:rsidR="00A213C3" w:rsidRPr="00475556" w:rsidRDefault="00A213C3" w:rsidP="00E86D5D">
            <w:pPr>
              <w:spacing w:before="60" w:after="60" w:line="240" w:lineRule="auto"/>
              <w:jc w:val="left"/>
            </w:pPr>
            <w:r>
              <w:t>Final email</w:t>
            </w:r>
            <w:r w:rsidRPr="00475556">
              <w:t xml:space="preserve"> reminder to complete online survey</w:t>
            </w:r>
          </w:p>
        </w:tc>
      </w:tr>
    </w:tbl>
    <w:p w14:paraId="23340125" w14:textId="77777777" w:rsidR="00A213C3" w:rsidRDefault="00A213C3" w:rsidP="00A213C3">
      <w:pPr>
        <w:spacing w:after="0"/>
        <w:rPr>
          <w:rFonts w:cs="Arial"/>
          <w:b/>
          <w:bCs/>
        </w:rPr>
      </w:pPr>
    </w:p>
    <w:p w14:paraId="1D1CAC54" w14:textId="77777777" w:rsidR="00A213C3" w:rsidRDefault="00A213C3" w:rsidP="00A213C3">
      <w:pPr>
        <w:spacing w:after="0"/>
        <w:rPr>
          <w:rFonts w:cs="Arial"/>
          <w:b/>
          <w:bCs/>
        </w:rPr>
      </w:pPr>
    </w:p>
    <w:p w14:paraId="700BDBB8" w14:textId="77777777" w:rsidR="00A213C3" w:rsidRPr="006B02B6" w:rsidRDefault="00A213C3" w:rsidP="00A213C3">
      <w:pPr>
        <w:pStyle w:val="Heading2"/>
        <w:spacing w:line="240" w:lineRule="auto"/>
        <w:ind w:left="576" w:hanging="576"/>
        <w:jc w:val="left"/>
      </w:pPr>
      <w:bookmarkStart w:id="42" w:name="_Ref520978327"/>
      <w:bookmarkStart w:id="43" w:name="_Toc524019412"/>
      <w:bookmarkStart w:id="44" w:name="_Toc87012439"/>
      <w:bookmarkStart w:id="45" w:name="_Toc124762765"/>
      <w:r w:rsidRPr="007023F8">
        <w:lastRenderedPageBreak/>
        <w:t>1921-26 cohort</w:t>
      </w:r>
      <w:bookmarkEnd w:id="42"/>
      <w:bookmarkEnd w:id="43"/>
      <w:bookmarkEnd w:id="44"/>
      <w:bookmarkEnd w:id="45"/>
    </w:p>
    <w:p w14:paraId="11F90D72" w14:textId="77ED0B58" w:rsidR="00A213C3" w:rsidRPr="007023F8" w:rsidRDefault="00A213C3" w:rsidP="00A213C3">
      <w:pPr>
        <w:pStyle w:val="Heading3"/>
      </w:pPr>
      <w:bookmarkStart w:id="46" w:name="_Toc433032177"/>
      <w:bookmarkStart w:id="47" w:name="_Ref488660831"/>
      <w:bookmarkStart w:id="48" w:name="_Toc491786552"/>
      <w:bookmarkStart w:id="49" w:name="_Toc498091958"/>
      <w:bookmarkStart w:id="50" w:name="_Toc524019413"/>
      <w:bookmarkStart w:id="51" w:name="_Toc87012440"/>
      <w:bookmarkStart w:id="52" w:name="_Toc124762766"/>
      <w:r w:rsidRPr="007023F8">
        <w:t>Six</w:t>
      </w:r>
      <w:r w:rsidR="0093729E">
        <w:t>-</w:t>
      </w:r>
      <w:r w:rsidRPr="007023F8">
        <w:t xml:space="preserve">Month </w:t>
      </w:r>
      <w:bookmarkEnd w:id="46"/>
      <w:bookmarkEnd w:id="47"/>
      <w:bookmarkEnd w:id="48"/>
      <w:bookmarkEnd w:id="49"/>
      <w:bookmarkEnd w:id="50"/>
      <w:bookmarkEnd w:id="51"/>
      <w:r w:rsidR="0093729E">
        <w:t xml:space="preserve">Follow-Up </w:t>
      </w:r>
      <w:r>
        <w:t>Surveys</w:t>
      </w:r>
      <w:bookmarkEnd w:id="52"/>
    </w:p>
    <w:p w14:paraId="1A857B99" w14:textId="5E5D5C31" w:rsidR="00A213C3" w:rsidRPr="007023F8" w:rsidRDefault="00A213C3" w:rsidP="00A213C3">
      <w:r>
        <w:t xml:space="preserve">Since the last Technical Report, the six-month follow-up </w:t>
      </w:r>
      <w:r w:rsidR="0093729E">
        <w:t xml:space="preserve">(6MF) </w:t>
      </w:r>
      <w:r>
        <w:t xml:space="preserve">surveys have continued for eligible participants from the 1921-26 cohort - specifically Survey 21 and Survey 22. </w:t>
      </w:r>
      <w:r w:rsidRPr="007023F8">
        <w:t xml:space="preserve">The survey content is the same as that for previous waves of the </w:t>
      </w:r>
      <w:r>
        <w:t>s</w:t>
      </w:r>
      <w:r w:rsidRPr="007023F8">
        <w:t>ix</w:t>
      </w:r>
      <w:r>
        <w:t>-m</w:t>
      </w:r>
      <w:r w:rsidRPr="007023F8">
        <w:t xml:space="preserve">onthly </w:t>
      </w:r>
      <w:r>
        <w:t>s</w:t>
      </w:r>
      <w:r w:rsidRPr="007023F8">
        <w:t>urvey.</w:t>
      </w:r>
    </w:p>
    <w:p w14:paraId="0DE3645E" w14:textId="77777777" w:rsidR="00A213C3" w:rsidRPr="007023F8" w:rsidRDefault="00A213C3" w:rsidP="00A213C3">
      <w:r w:rsidRPr="007023F8">
        <w:t xml:space="preserve">Surveys were mailed to participants who had: </w:t>
      </w:r>
    </w:p>
    <w:p w14:paraId="678E1E12" w14:textId="77777777" w:rsidR="00A213C3" w:rsidRPr="007023F8" w:rsidRDefault="00A213C3" w:rsidP="00A213C3">
      <w:pPr>
        <w:numPr>
          <w:ilvl w:val="0"/>
          <w:numId w:val="40"/>
        </w:numPr>
        <w:spacing w:before="0" w:after="40"/>
      </w:pPr>
      <w:r w:rsidRPr="007023F8">
        <w:t xml:space="preserve">Completed a survey between </w:t>
      </w:r>
      <w:r>
        <w:t>five and six</w:t>
      </w:r>
      <w:r w:rsidRPr="007023F8">
        <w:t xml:space="preserve"> months ago</w:t>
      </w:r>
    </w:p>
    <w:p w14:paraId="52249405" w14:textId="77777777" w:rsidR="00A213C3" w:rsidRPr="007023F8" w:rsidRDefault="00A213C3" w:rsidP="00A213C3">
      <w:pPr>
        <w:numPr>
          <w:ilvl w:val="0"/>
          <w:numId w:val="40"/>
        </w:numPr>
        <w:spacing w:before="0" w:after="40"/>
      </w:pPr>
      <w:r w:rsidRPr="007023F8">
        <w:t xml:space="preserve">Asked for a new survey to be sent </w:t>
      </w:r>
    </w:p>
    <w:p w14:paraId="604F6AD7" w14:textId="77777777" w:rsidR="00A213C3" w:rsidRPr="007023F8" w:rsidRDefault="00A213C3" w:rsidP="00A213C3">
      <w:pPr>
        <w:numPr>
          <w:ilvl w:val="0"/>
          <w:numId w:val="40"/>
        </w:numPr>
        <w:spacing w:before="0" w:after="40"/>
      </w:pPr>
      <w:r w:rsidRPr="007023F8">
        <w:t xml:space="preserve">Not done the last survey and it had been mailed to them between </w:t>
      </w:r>
      <w:r>
        <w:t xml:space="preserve">five </w:t>
      </w:r>
      <w:r w:rsidRPr="007023F8">
        <w:t xml:space="preserve">and </w:t>
      </w:r>
      <w:r>
        <w:t>six</w:t>
      </w:r>
      <w:r w:rsidRPr="007023F8">
        <w:t xml:space="preserve"> months ago </w:t>
      </w:r>
    </w:p>
    <w:p w14:paraId="61C2B0F1" w14:textId="77777777" w:rsidR="00A213C3" w:rsidRPr="007023F8" w:rsidRDefault="00A213C3" w:rsidP="00A213C3">
      <w:pPr>
        <w:numPr>
          <w:ilvl w:val="0"/>
          <w:numId w:val="40"/>
        </w:numPr>
        <w:spacing w:before="0" w:after="40"/>
      </w:pPr>
      <w:r w:rsidRPr="007023F8">
        <w:t xml:space="preserve">Selected ‘Not this time’ when sent the previous survey, between </w:t>
      </w:r>
      <w:r>
        <w:t>five</w:t>
      </w:r>
      <w:r w:rsidRPr="007023F8">
        <w:t xml:space="preserve"> and </w:t>
      </w:r>
      <w:r>
        <w:t>six</w:t>
      </w:r>
      <w:r w:rsidRPr="007023F8">
        <w:t xml:space="preserve"> months ago.</w:t>
      </w:r>
    </w:p>
    <w:p w14:paraId="050AEA8A" w14:textId="77777777" w:rsidR="00A213C3" w:rsidRDefault="00A213C3" w:rsidP="00A213C3">
      <w:r w:rsidRPr="007023F8">
        <w:t xml:space="preserve">This process was repeated each month for another </w:t>
      </w:r>
      <w:r>
        <w:t>five</w:t>
      </w:r>
      <w:r w:rsidRPr="007023F8">
        <w:t xml:space="preserve"> months. The surveys were scanned in-house using the Scantron </w:t>
      </w:r>
      <w:proofErr w:type="spellStart"/>
      <w:r w:rsidRPr="007023F8">
        <w:t>iNSIGHT</w:t>
      </w:r>
      <w:proofErr w:type="spellEnd"/>
      <w:r w:rsidRPr="007023F8">
        <w:t xml:space="preserve"> 4ES OMR scanner.</w:t>
      </w:r>
    </w:p>
    <w:p w14:paraId="0ED47392" w14:textId="77777777" w:rsidR="00A213C3" w:rsidRDefault="00A213C3" w:rsidP="00A213C3">
      <w:r>
        <w:t>Survey 21 was first sent to eligible participants on 2 November 2021, while Survey 22 was first sent to eligible participants on 2 June 2022. Eligible p</w:t>
      </w:r>
      <w:r w:rsidRPr="007023F8">
        <w:t xml:space="preserve">articipants who </w:t>
      </w:r>
      <w:r>
        <w:t>have indicated that they are</w:t>
      </w:r>
      <w:r w:rsidRPr="007023F8">
        <w:t xml:space="preserve"> unable to complete a paper survey</w:t>
      </w:r>
      <w:r>
        <w:t xml:space="preserve"> (</w:t>
      </w:r>
      <w:r w:rsidRPr="007023F8">
        <w:t>either by themselves or with the assistance of someone else</w:t>
      </w:r>
      <w:proofErr w:type="gramStart"/>
      <w:r>
        <w:t>), but</w:t>
      </w:r>
      <w:proofErr w:type="gramEnd"/>
      <w:r>
        <w:t xml:space="preserve"> have indicated they would still like to participate are phoned</w:t>
      </w:r>
      <w:r w:rsidRPr="007023F8">
        <w:t xml:space="preserve"> and the survey </w:t>
      </w:r>
      <w:r>
        <w:t>is</w:t>
      </w:r>
      <w:r w:rsidRPr="007023F8">
        <w:t xml:space="preserve"> administered over the phone</w:t>
      </w:r>
      <w:r>
        <w:t xml:space="preserve"> by ALSWH staff</w:t>
      </w:r>
      <w:r w:rsidRPr="007023F8">
        <w:t>.</w:t>
      </w:r>
    </w:p>
    <w:p w14:paraId="07626DCD" w14:textId="77777777" w:rsidR="00A213C3" w:rsidRPr="00B24021" w:rsidRDefault="00A213C3" w:rsidP="00901558">
      <w:pPr>
        <w:pStyle w:val="Heading4"/>
      </w:pPr>
      <w:bookmarkStart w:id="53" w:name="_Hlk118209432"/>
      <w:r w:rsidRPr="00B24021">
        <w:t>Response rates</w:t>
      </w:r>
    </w:p>
    <w:p w14:paraId="661B0911" w14:textId="43F93B82" w:rsidR="00A213C3" w:rsidRDefault="00A213C3" w:rsidP="00A213C3">
      <w:pPr>
        <w:pStyle w:val="2012TechReportBodytext"/>
        <w:spacing w:before="120" w:after="120"/>
      </w:pPr>
      <w:r>
        <w:t>Of the participants who have been sent the 21</w:t>
      </w:r>
      <w:r w:rsidRPr="004E3665">
        <w:rPr>
          <w:vertAlign w:val="superscript"/>
        </w:rPr>
        <w:t>st</w:t>
      </w:r>
      <w:r>
        <w:t xml:space="preserve"> 6MF survey, </w:t>
      </w:r>
      <w:r w:rsidR="00BA1C49">
        <w:t>62</w:t>
      </w:r>
      <w:r>
        <w:t>% have responded to date (</w:t>
      </w:r>
      <w:r w:rsidR="00BA1C49">
        <w:t>111</w:t>
      </w:r>
      <w:r>
        <w:t>/</w:t>
      </w:r>
      <w:r w:rsidR="00BA1C49">
        <w:t>180</w:t>
      </w:r>
      <w:r>
        <w:t>,</w:t>
      </w:r>
      <w:r w:rsidR="00621B2D" w:rsidRPr="00621B2D">
        <w:rPr>
          <w:highlight w:val="cyan"/>
        </w:rPr>
        <w:fldChar w:fldCharType="begin"/>
      </w:r>
      <w:r w:rsidR="00621B2D" w:rsidRPr="00621B2D">
        <w:rPr>
          <w:highlight w:val="cyan"/>
        </w:rPr>
        <w:instrText xml:space="preserve"> REF _Ref113715324 \h </w:instrText>
      </w:r>
      <w:r w:rsidR="00621B2D" w:rsidRPr="0093729E">
        <w:rPr>
          <w:highlight w:val="cyan"/>
        </w:rPr>
        <w:instrText xml:space="preserve"> \* MERGEFORMAT </w:instrText>
      </w:r>
      <w:r w:rsidR="00621B2D" w:rsidRPr="00621B2D">
        <w:rPr>
          <w:highlight w:val="cyan"/>
        </w:rPr>
      </w:r>
      <w:r w:rsidR="00621B2D" w:rsidRPr="00621B2D">
        <w:rPr>
          <w:highlight w:val="cyan"/>
        </w:rPr>
        <w:fldChar w:fldCharType="separate"/>
      </w:r>
      <w:r w:rsidR="007D19D7" w:rsidRPr="007D19D7">
        <w:t>Table 3</w:t>
      </w:r>
      <w:r w:rsidR="007D19D7" w:rsidRPr="007D19D7">
        <w:noBreakHyphen/>
        <w:t>12</w:t>
      </w:r>
      <w:r w:rsidR="00621B2D" w:rsidRPr="00621B2D">
        <w:rPr>
          <w:highlight w:val="cyan"/>
        </w:rPr>
        <w:fldChar w:fldCharType="end"/>
      </w:r>
      <w:r>
        <w:t>). Of the participants who have been sent the 22</w:t>
      </w:r>
      <w:r w:rsidRPr="005C0191">
        <w:rPr>
          <w:vertAlign w:val="superscript"/>
        </w:rPr>
        <w:t>nd</w:t>
      </w:r>
      <w:r>
        <w:t xml:space="preserve"> 6MF survey, </w:t>
      </w:r>
      <w:r w:rsidR="00BA1C49">
        <w:t>43</w:t>
      </w:r>
      <w:r>
        <w:t>% have responded to date (</w:t>
      </w:r>
      <w:r w:rsidR="00BA1C49">
        <w:t>48</w:t>
      </w:r>
      <w:r>
        <w:t>/1</w:t>
      </w:r>
      <w:r w:rsidR="00BA1C49">
        <w:t>13</w:t>
      </w:r>
      <w:r>
        <w:t xml:space="preserve">). </w:t>
      </w:r>
    </w:p>
    <w:p w14:paraId="3637C8D6" w14:textId="1B7EE74A" w:rsidR="00A213C3" w:rsidRDefault="00A213C3" w:rsidP="00A213C3">
      <w:pPr>
        <w:pStyle w:val="2012TechReportBodytext"/>
        <w:spacing w:before="120" w:after="120"/>
      </w:pPr>
      <w:r>
        <w:t xml:space="preserve">The number of survey completions across all 6MF surveys for the 1921-26 cohort is presented </w:t>
      </w:r>
      <w:r w:rsidRPr="0093729E">
        <w:t>in</w:t>
      </w:r>
      <w:r w:rsidR="0093729E" w:rsidRPr="0093729E">
        <w:t xml:space="preserve"> </w:t>
      </w:r>
      <w:r w:rsidR="0093729E" w:rsidRPr="0093729E">
        <w:rPr>
          <w:highlight w:val="cyan"/>
        </w:rPr>
        <w:fldChar w:fldCharType="begin"/>
      </w:r>
      <w:r w:rsidR="0093729E" w:rsidRPr="0093729E">
        <w:rPr>
          <w:highlight w:val="cyan"/>
        </w:rPr>
        <w:instrText xml:space="preserve"> REF _Ref113715493 \h  \* MERGEFORMAT </w:instrText>
      </w:r>
      <w:r w:rsidR="0093729E" w:rsidRPr="0093729E">
        <w:rPr>
          <w:highlight w:val="cyan"/>
        </w:rPr>
      </w:r>
      <w:r w:rsidR="0093729E" w:rsidRPr="0093729E">
        <w:rPr>
          <w:highlight w:val="cyan"/>
        </w:rPr>
        <w:fldChar w:fldCharType="separate"/>
      </w:r>
      <w:r w:rsidR="007D19D7" w:rsidRPr="007D19D7">
        <w:t>Figure 3</w:t>
      </w:r>
      <w:r w:rsidR="007D19D7" w:rsidRPr="007D19D7">
        <w:noBreakHyphen/>
        <w:t>3</w:t>
      </w:r>
      <w:r w:rsidR="0093729E" w:rsidRPr="0093729E">
        <w:rPr>
          <w:highlight w:val="cyan"/>
        </w:rPr>
        <w:fldChar w:fldCharType="end"/>
      </w:r>
      <w:r w:rsidRPr="0093729E">
        <w:t>, illustrating when the surveys have been returned. For example, the first survey (6MF Survey 1)</w:t>
      </w:r>
      <w:r>
        <w:t xml:space="preserve"> began in November </w:t>
      </w:r>
      <w:proofErr w:type="gramStart"/>
      <w:r>
        <w:t>2011</w:t>
      </w:r>
      <w:proofErr w:type="gramEnd"/>
      <w:r>
        <w:t xml:space="preserve"> and some were still being returned in 2018, the second survey (6MF Survey 2) began in May 2012 and similarly, some were still being returned in 2020, and so on.  For this reason, analysis of data from these surveys tends to be based on the date of return rather than the survey sequence</w:t>
      </w:r>
    </w:p>
    <w:p w14:paraId="152096A8" w14:textId="77777777" w:rsidR="00A213C3" w:rsidRDefault="00A213C3" w:rsidP="00A213C3"/>
    <w:p w14:paraId="1E406780" w14:textId="5E5F067E" w:rsidR="0093729E" w:rsidRDefault="0093729E">
      <w:pPr>
        <w:spacing w:before="0" w:after="0" w:line="240" w:lineRule="auto"/>
        <w:jc w:val="left"/>
      </w:pPr>
      <w:r>
        <w:br w:type="page"/>
      </w:r>
    </w:p>
    <w:p w14:paraId="27CF6362" w14:textId="5A18B98B" w:rsidR="00A213C3" w:rsidRPr="0093729E" w:rsidRDefault="00621B2D" w:rsidP="0093729E">
      <w:pPr>
        <w:rPr>
          <w:b/>
          <w:bCs/>
        </w:rPr>
      </w:pPr>
      <w:bookmarkStart w:id="54" w:name="_Ref113715324"/>
      <w:bookmarkStart w:id="55" w:name="_Ref113529074"/>
      <w:r w:rsidRPr="0093729E">
        <w:rPr>
          <w:b/>
          <w:bCs/>
        </w:rPr>
        <w:lastRenderedPageBreak/>
        <w:t xml:space="preserve">Table </w:t>
      </w:r>
      <w:r w:rsidR="00327D59">
        <w:rPr>
          <w:b/>
          <w:bCs/>
        </w:rPr>
        <w:fldChar w:fldCharType="begin"/>
      </w:r>
      <w:r w:rsidR="00327D59">
        <w:rPr>
          <w:b/>
          <w:bCs/>
        </w:rPr>
        <w:instrText xml:space="preserve"> STYLEREF 1 \s </w:instrText>
      </w:r>
      <w:r w:rsidR="00327D59">
        <w:rPr>
          <w:b/>
          <w:bCs/>
        </w:rPr>
        <w:fldChar w:fldCharType="separate"/>
      </w:r>
      <w:r w:rsidR="007D19D7">
        <w:rPr>
          <w:b/>
          <w:bCs/>
          <w:noProof/>
        </w:rPr>
        <w:t>3</w:t>
      </w:r>
      <w:r w:rsidR="00327D59">
        <w:rPr>
          <w:b/>
          <w:bCs/>
        </w:rPr>
        <w:fldChar w:fldCharType="end"/>
      </w:r>
      <w:r w:rsidR="00327D59">
        <w:rPr>
          <w:b/>
          <w:bCs/>
        </w:rPr>
        <w:noBreakHyphen/>
      </w:r>
      <w:r w:rsidR="00327D59">
        <w:rPr>
          <w:b/>
          <w:bCs/>
        </w:rPr>
        <w:fldChar w:fldCharType="begin"/>
      </w:r>
      <w:r w:rsidR="00327D59">
        <w:rPr>
          <w:b/>
          <w:bCs/>
        </w:rPr>
        <w:instrText xml:space="preserve"> SEQ Table \* ARABIC \s 1 </w:instrText>
      </w:r>
      <w:r w:rsidR="00327D59">
        <w:rPr>
          <w:b/>
          <w:bCs/>
        </w:rPr>
        <w:fldChar w:fldCharType="separate"/>
      </w:r>
      <w:r w:rsidR="007D19D7">
        <w:rPr>
          <w:b/>
          <w:bCs/>
          <w:noProof/>
        </w:rPr>
        <w:t>12</w:t>
      </w:r>
      <w:r w:rsidR="00327D59">
        <w:rPr>
          <w:b/>
          <w:bCs/>
        </w:rPr>
        <w:fldChar w:fldCharType="end"/>
      </w:r>
      <w:bookmarkEnd w:id="54"/>
      <w:r w:rsidRPr="0093729E">
        <w:rPr>
          <w:b/>
          <w:bCs/>
        </w:rPr>
        <w:t xml:space="preserve"> Table Response rates for 6MF </w:t>
      </w:r>
      <w:r w:rsidR="0093729E">
        <w:rPr>
          <w:b/>
          <w:bCs/>
        </w:rPr>
        <w:t>S</w:t>
      </w:r>
      <w:r w:rsidRPr="0093729E">
        <w:rPr>
          <w:b/>
          <w:bCs/>
        </w:rPr>
        <w:t xml:space="preserve">urveys 21 and </w:t>
      </w:r>
      <w:r w:rsidRPr="00BA1C49">
        <w:rPr>
          <w:b/>
          <w:bCs/>
        </w:rPr>
        <w:t>21 (</w:t>
      </w:r>
      <w:proofErr w:type="gramStart"/>
      <w:r w:rsidRPr="00901558">
        <w:rPr>
          <w:b/>
          <w:bCs/>
        </w:rPr>
        <w:t>at</w:t>
      </w:r>
      <w:proofErr w:type="gramEnd"/>
      <w:r w:rsidRPr="00901558">
        <w:rPr>
          <w:b/>
          <w:bCs/>
        </w:rPr>
        <w:t xml:space="preserve"> </w:t>
      </w:r>
      <w:r w:rsidR="00BA1C49" w:rsidRPr="00901558">
        <w:rPr>
          <w:b/>
          <w:bCs/>
        </w:rPr>
        <w:t>31 October</w:t>
      </w:r>
      <w:r w:rsidRPr="00901558">
        <w:rPr>
          <w:b/>
          <w:bCs/>
        </w:rPr>
        <w:t xml:space="preserve"> 2022)</w:t>
      </w:r>
      <w:bookmarkEnd w:id="55"/>
    </w:p>
    <w:tbl>
      <w:tblPr>
        <w:tblW w:w="5061" w:type="pct"/>
        <w:tblBorders>
          <w:top w:val="single" w:sz="4" w:space="0" w:color="auto"/>
          <w:left w:val="single" w:sz="4" w:space="0" w:color="auto"/>
          <w:bottom w:val="single" w:sz="4" w:space="0" w:color="auto"/>
          <w:right w:val="single" w:sz="4" w:space="0" w:color="auto"/>
        </w:tblBorders>
        <w:tblCellMar>
          <w:top w:w="28" w:type="dxa"/>
          <w:left w:w="85" w:type="dxa"/>
          <w:bottom w:w="28" w:type="dxa"/>
          <w:right w:w="85" w:type="dxa"/>
        </w:tblCellMar>
        <w:tblLook w:val="04A0" w:firstRow="1" w:lastRow="0" w:firstColumn="1" w:lastColumn="0" w:noHBand="0" w:noVBand="1"/>
      </w:tblPr>
      <w:tblGrid>
        <w:gridCol w:w="3681"/>
        <w:gridCol w:w="1276"/>
        <w:gridCol w:w="1503"/>
        <w:gridCol w:w="1503"/>
        <w:gridCol w:w="1495"/>
        <w:gridCol w:w="6"/>
      </w:tblGrid>
      <w:tr w:rsidR="00A213C3" w:rsidRPr="00ED6106" w14:paraId="52A64821" w14:textId="77777777" w:rsidTr="00E86D5D">
        <w:trPr>
          <w:trHeight w:hRule="exact" w:val="510"/>
          <w:tblHeader/>
        </w:trPr>
        <w:tc>
          <w:tcPr>
            <w:tcW w:w="1945" w:type="pct"/>
            <w:tcBorders>
              <w:top w:val="single" w:sz="4" w:space="0" w:color="auto"/>
              <w:left w:val="single" w:sz="4" w:space="0" w:color="auto"/>
              <w:bottom w:val="nil"/>
              <w:right w:val="nil"/>
            </w:tcBorders>
            <w:shd w:val="clear" w:color="auto" w:fill="E5DFEC" w:themeFill="accent4" w:themeFillTint="33"/>
            <w:vAlign w:val="center"/>
          </w:tcPr>
          <w:p w14:paraId="5A245DD3" w14:textId="77777777" w:rsidR="00A213C3" w:rsidRPr="001543A4" w:rsidRDefault="00A213C3" w:rsidP="00E86D5D">
            <w:pPr>
              <w:keepNext/>
              <w:spacing w:before="0" w:after="0" w:line="240" w:lineRule="auto"/>
              <w:jc w:val="left"/>
              <w:rPr>
                <w:rFonts w:cs="Arial"/>
                <w:b/>
                <w:bCs/>
                <w:szCs w:val="20"/>
              </w:rPr>
            </w:pPr>
          </w:p>
        </w:tc>
        <w:tc>
          <w:tcPr>
            <w:tcW w:w="1468" w:type="pct"/>
            <w:gridSpan w:val="2"/>
            <w:tcBorders>
              <w:top w:val="single" w:sz="4" w:space="0" w:color="auto"/>
              <w:left w:val="nil"/>
              <w:bottom w:val="nil"/>
              <w:right w:val="nil"/>
            </w:tcBorders>
            <w:shd w:val="clear" w:color="auto" w:fill="E5DFEC" w:themeFill="accent4" w:themeFillTint="33"/>
            <w:vAlign w:val="center"/>
          </w:tcPr>
          <w:p w14:paraId="40303C79" w14:textId="77777777" w:rsidR="00A213C3" w:rsidRPr="001543A4" w:rsidRDefault="00A213C3" w:rsidP="00E86D5D">
            <w:pPr>
              <w:keepNext/>
              <w:spacing w:before="0" w:after="0" w:line="240" w:lineRule="auto"/>
              <w:jc w:val="right"/>
              <w:rPr>
                <w:rFonts w:cs="Arial"/>
                <w:b/>
                <w:bCs/>
                <w:szCs w:val="20"/>
              </w:rPr>
            </w:pPr>
            <w:r>
              <w:rPr>
                <w:rFonts w:cs="Arial"/>
                <w:b/>
                <w:bCs/>
                <w:szCs w:val="20"/>
              </w:rPr>
              <w:t>6MF Survey 21</w:t>
            </w:r>
            <w:r w:rsidRPr="00B24021">
              <w:rPr>
                <w:rFonts w:cs="Arial"/>
                <w:b/>
                <w:bCs/>
                <w:szCs w:val="20"/>
                <w:vertAlign w:val="superscript"/>
              </w:rPr>
              <w:t>a</w:t>
            </w:r>
          </w:p>
        </w:tc>
        <w:tc>
          <w:tcPr>
            <w:tcW w:w="1587" w:type="pct"/>
            <w:gridSpan w:val="3"/>
            <w:tcBorders>
              <w:top w:val="single" w:sz="4" w:space="0" w:color="auto"/>
              <w:left w:val="nil"/>
              <w:bottom w:val="nil"/>
              <w:right w:val="single" w:sz="4" w:space="0" w:color="auto"/>
            </w:tcBorders>
            <w:shd w:val="clear" w:color="auto" w:fill="E5DFEC" w:themeFill="accent4" w:themeFillTint="33"/>
            <w:vAlign w:val="center"/>
          </w:tcPr>
          <w:p w14:paraId="158CB91D" w14:textId="77777777" w:rsidR="00A213C3" w:rsidRPr="001543A4" w:rsidRDefault="00A213C3" w:rsidP="00E86D5D">
            <w:pPr>
              <w:keepNext/>
              <w:spacing w:before="0" w:after="0" w:line="240" w:lineRule="auto"/>
              <w:jc w:val="right"/>
              <w:rPr>
                <w:rFonts w:cs="Arial"/>
                <w:b/>
                <w:bCs/>
                <w:szCs w:val="20"/>
              </w:rPr>
            </w:pPr>
            <w:r>
              <w:rPr>
                <w:rFonts w:cs="Arial"/>
                <w:b/>
                <w:bCs/>
                <w:szCs w:val="20"/>
              </w:rPr>
              <w:t>6MF Survey 22</w:t>
            </w:r>
            <w:r w:rsidRPr="00B24021">
              <w:rPr>
                <w:rFonts w:cs="Arial"/>
                <w:b/>
                <w:bCs/>
                <w:szCs w:val="20"/>
                <w:vertAlign w:val="superscript"/>
              </w:rPr>
              <w:t>b</w:t>
            </w:r>
          </w:p>
        </w:tc>
      </w:tr>
      <w:tr w:rsidR="00A213C3" w:rsidRPr="00ED6106" w14:paraId="4A40EB8D" w14:textId="77777777" w:rsidTr="00E86D5D">
        <w:trPr>
          <w:gridAfter w:val="1"/>
          <w:wAfter w:w="3" w:type="pct"/>
          <w:trHeight w:hRule="exact" w:val="510"/>
          <w:tblHeader/>
        </w:trPr>
        <w:tc>
          <w:tcPr>
            <w:tcW w:w="1945" w:type="pct"/>
            <w:tcBorders>
              <w:top w:val="nil"/>
              <w:left w:val="single" w:sz="4" w:space="0" w:color="auto"/>
              <w:bottom w:val="single" w:sz="4" w:space="0" w:color="auto"/>
              <w:right w:val="nil"/>
            </w:tcBorders>
            <w:shd w:val="clear" w:color="auto" w:fill="E5DFEC" w:themeFill="accent4" w:themeFillTint="33"/>
            <w:vAlign w:val="center"/>
          </w:tcPr>
          <w:p w14:paraId="5029F57A" w14:textId="77777777" w:rsidR="00A213C3" w:rsidRPr="001543A4" w:rsidRDefault="00A213C3" w:rsidP="00E86D5D">
            <w:pPr>
              <w:keepNext/>
              <w:spacing w:before="0" w:after="0" w:line="240" w:lineRule="auto"/>
              <w:jc w:val="left"/>
              <w:rPr>
                <w:rFonts w:cs="Arial"/>
                <w:b/>
                <w:bCs/>
                <w:szCs w:val="20"/>
              </w:rPr>
            </w:pPr>
          </w:p>
        </w:tc>
        <w:tc>
          <w:tcPr>
            <w:tcW w:w="674" w:type="pct"/>
            <w:tcBorders>
              <w:top w:val="nil"/>
              <w:left w:val="nil"/>
              <w:bottom w:val="single" w:sz="4" w:space="0" w:color="auto"/>
              <w:right w:val="nil"/>
            </w:tcBorders>
            <w:shd w:val="clear" w:color="auto" w:fill="E5DFEC" w:themeFill="accent4" w:themeFillTint="33"/>
            <w:vAlign w:val="center"/>
            <w:hideMark/>
          </w:tcPr>
          <w:p w14:paraId="74BB1AD7" w14:textId="77777777" w:rsidR="00A213C3" w:rsidRPr="001543A4" w:rsidRDefault="00A213C3" w:rsidP="00E86D5D">
            <w:pPr>
              <w:keepNext/>
              <w:spacing w:before="0" w:after="0" w:line="240" w:lineRule="auto"/>
              <w:jc w:val="right"/>
              <w:rPr>
                <w:rFonts w:cs="Arial"/>
                <w:b/>
                <w:bCs/>
                <w:szCs w:val="20"/>
              </w:rPr>
            </w:pPr>
            <w:r w:rsidRPr="001543A4">
              <w:rPr>
                <w:rFonts w:cs="Arial"/>
                <w:b/>
                <w:bCs/>
                <w:szCs w:val="20"/>
              </w:rPr>
              <w:t>N</w:t>
            </w:r>
          </w:p>
          <w:p w14:paraId="49019BEC" w14:textId="77777777" w:rsidR="00A213C3" w:rsidRPr="001543A4" w:rsidRDefault="00A213C3" w:rsidP="00E86D5D">
            <w:pPr>
              <w:keepNext/>
              <w:spacing w:before="0" w:after="0" w:line="240" w:lineRule="auto"/>
              <w:jc w:val="right"/>
              <w:rPr>
                <w:rFonts w:cs="Arial"/>
                <w:b/>
                <w:bCs/>
                <w:szCs w:val="20"/>
              </w:rPr>
            </w:pPr>
          </w:p>
        </w:tc>
        <w:tc>
          <w:tcPr>
            <w:tcW w:w="794" w:type="pct"/>
            <w:tcBorders>
              <w:top w:val="nil"/>
              <w:left w:val="nil"/>
              <w:bottom w:val="single" w:sz="4" w:space="0" w:color="auto"/>
              <w:right w:val="nil"/>
            </w:tcBorders>
            <w:shd w:val="clear" w:color="auto" w:fill="E5DFEC" w:themeFill="accent4" w:themeFillTint="33"/>
            <w:vAlign w:val="center"/>
            <w:hideMark/>
          </w:tcPr>
          <w:p w14:paraId="5DC78346" w14:textId="77777777" w:rsidR="00A213C3" w:rsidRPr="001543A4" w:rsidRDefault="00A213C3" w:rsidP="00E86D5D">
            <w:pPr>
              <w:keepNext/>
              <w:spacing w:before="0" w:after="0" w:line="240" w:lineRule="auto"/>
              <w:jc w:val="right"/>
              <w:rPr>
                <w:rFonts w:cs="Arial"/>
                <w:b/>
                <w:bCs/>
                <w:szCs w:val="20"/>
              </w:rPr>
            </w:pPr>
            <w:r w:rsidRPr="001543A4">
              <w:rPr>
                <w:rFonts w:cs="Arial"/>
                <w:b/>
                <w:bCs/>
                <w:szCs w:val="20"/>
              </w:rPr>
              <w:t>%</w:t>
            </w:r>
          </w:p>
        </w:tc>
        <w:tc>
          <w:tcPr>
            <w:tcW w:w="794" w:type="pct"/>
            <w:tcBorders>
              <w:top w:val="nil"/>
              <w:left w:val="nil"/>
              <w:bottom w:val="single" w:sz="4" w:space="0" w:color="auto"/>
              <w:right w:val="nil"/>
            </w:tcBorders>
            <w:shd w:val="clear" w:color="auto" w:fill="E5DFEC" w:themeFill="accent4" w:themeFillTint="33"/>
            <w:vAlign w:val="center"/>
          </w:tcPr>
          <w:p w14:paraId="4A040CC4" w14:textId="77777777" w:rsidR="00A213C3" w:rsidRPr="001543A4" w:rsidRDefault="00A213C3" w:rsidP="00E86D5D">
            <w:pPr>
              <w:keepNext/>
              <w:spacing w:before="0" w:after="0" w:line="240" w:lineRule="auto"/>
              <w:jc w:val="right"/>
              <w:rPr>
                <w:rFonts w:cs="Arial"/>
                <w:b/>
                <w:bCs/>
                <w:szCs w:val="20"/>
              </w:rPr>
            </w:pPr>
            <w:r w:rsidRPr="001543A4">
              <w:rPr>
                <w:rFonts w:cs="Arial"/>
                <w:b/>
                <w:bCs/>
                <w:szCs w:val="20"/>
              </w:rPr>
              <w:t>N</w:t>
            </w:r>
          </w:p>
        </w:tc>
        <w:tc>
          <w:tcPr>
            <w:tcW w:w="790" w:type="pct"/>
            <w:tcBorders>
              <w:top w:val="nil"/>
              <w:left w:val="nil"/>
              <w:bottom w:val="single" w:sz="4" w:space="0" w:color="auto"/>
              <w:right w:val="single" w:sz="4" w:space="0" w:color="auto"/>
            </w:tcBorders>
            <w:shd w:val="clear" w:color="auto" w:fill="E5DFEC" w:themeFill="accent4" w:themeFillTint="33"/>
            <w:vAlign w:val="center"/>
          </w:tcPr>
          <w:p w14:paraId="186A8A1B" w14:textId="77777777" w:rsidR="00A213C3" w:rsidRPr="001543A4" w:rsidRDefault="00A213C3" w:rsidP="00E86D5D">
            <w:pPr>
              <w:keepNext/>
              <w:spacing w:before="0" w:after="0" w:line="240" w:lineRule="auto"/>
              <w:jc w:val="right"/>
              <w:rPr>
                <w:rFonts w:cs="Arial"/>
                <w:b/>
                <w:bCs/>
                <w:szCs w:val="20"/>
              </w:rPr>
            </w:pPr>
            <w:r w:rsidRPr="001543A4">
              <w:rPr>
                <w:rFonts w:cs="Arial"/>
                <w:b/>
                <w:bCs/>
                <w:szCs w:val="20"/>
              </w:rPr>
              <w:t>%</w:t>
            </w:r>
          </w:p>
        </w:tc>
      </w:tr>
      <w:tr w:rsidR="00A213C3" w:rsidRPr="00475556" w14:paraId="383C2D89" w14:textId="77777777" w:rsidTr="00E86D5D">
        <w:trPr>
          <w:gridAfter w:val="1"/>
          <w:wAfter w:w="3" w:type="pct"/>
          <w:trHeight w:hRule="exact" w:val="340"/>
        </w:trPr>
        <w:tc>
          <w:tcPr>
            <w:tcW w:w="1945" w:type="pct"/>
            <w:tcBorders>
              <w:top w:val="nil"/>
              <w:left w:val="single" w:sz="4" w:space="0" w:color="auto"/>
              <w:bottom w:val="nil"/>
              <w:right w:val="nil"/>
            </w:tcBorders>
            <w:vAlign w:val="center"/>
            <w:hideMark/>
          </w:tcPr>
          <w:p w14:paraId="37994D79" w14:textId="77777777" w:rsidR="00A213C3" w:rsidRPr="001543A4" w:rsidRDefault="00A213C3" w:rsidP="00E86D5D">
            <w:pPr>
              <w:keepNext/>
              <w:spacing w:before="0" w:after="0" w:line="240" w:lineRule="auto"/>
              <w:jc w:val="left"/>
              <w:rPr>
                <w:rFonts w:cs="Arial"/>
                <w:szCs w:val="20"/>
              </w:rPr>
            </w:pPr>
            <w:r w:rsidRPr="001543A4">
              <w:rPr>
                <w:rFonts w:cs="Arial"/>
                <w:szCs w:val="20"/>
              </w:rPr>
              <w:t>Completed paper survey</w:t>
            </w:r>
          </w:p>
        </w:tc>
        <w:tc>
          <w:tcPr>
            <w:tcW w:w="674" w:type="pct"/>
            <w:tcBorders>
              <w:top w:val="nil"/>
              <w:left w:val="nil"/>
              <w:bottom w:val="nil"/>
              <w:right w:val="nil"/>
            </w:tcBorders>
            <w:vAlign w:val="center"/>
          </w:tcPr>
          <w:p w14:paraId="0F3DFF37" w14:textId="0D799266" w:rsidR="00A213C3" w:rsidRPr="001543A4" w:rsidRDefault="00BA1C49" w:rsidP="00E86D5D">
            <w:pPr>
              <w:keepNext/>
              <w:spacing w:before="0" w:after="0" w:line="240" w:lineRule="auto"/>
              <w:jc w:val="right"/>
              <w:rPr>
                <w:rFonts w:cs="Arial"/>
                <w:szCs w:val="20"/>
              </w:rPr>
            </w:pPr>
            <w:r>
              <w:rPr>
                <w:rFonts w:cs="Arial"/>
                <w:szCs w:val="20"/>
              </w:rPr>
              <w:t>111</w:t>
            </w:r>
          </w:p>
        </w:tc>
        <w:tc>
          <w:tcPr>
            <w:tcW w:w="794" w:type="pct"/>
            <w:tcBorders>
              <w:top w:val="nil"/>
              <w:left w:val="nil"/>
              <w:bottom w:val="nil"/>
              <w:right w:val="nil"/>
            </w:tcBorders>
            <w:vAlign w:val="center"/>
          </w:tcPr>
          <w:p w14:paraId="587495CE" w14:textId="0BF2172B" w:rsidR="00A213C3" w:rsidRPr="001543A4" w:rsidRDefault="00BA1C49" w:rsidP="00E86D5D">
            <w:pPr>
              <w:keepNext/>
              <w:spacing w:before="0" w:after="0" w:line="240" w:lineRule="auto"/>
              <w:jc w:val="right"/>
              <w:rPr>
                <w:rFonts w:cs="Arial"/>
                <w:szCs w:val="20"/>
              </w:rPr>
            </w:pPr>
            <w:r>
              <w:rPr>
                <w:rFonts w:cs="Arial"/>
                <w:szCs w:val="20"/>
              </w:rPr>
              <w:t>62</w:t>
            </w:r>
          </w:p>
        </w:tc>
        <w:tc>
          <w:tcPr>
            <w:tcW w:w="794" w:type="pct"/>
            <w:tcBorders>
              <w:top w:val="nil"/>
              <w:left w:val="nil"/>
              <w:bottom w:val="nil"/>
              <w:right w:val="nil"/>
            </w:tcBorders>
            <w:vAlign w:val="center"/>
          </w:tcPr>
          <w:p w14:paraId="0BA3DBDA" w14:textId="616F845E" w:rsidR="00A213C3" w:rsidRPr="001543A4" w:rsidRDefault="00BA1C49" w:rsidP="00E86D5D">
            <w:pPr>
              <w:keepNext/>
              <w:spacing w:before="0" w:after="0" w:line="240" w:lineRule="auto"/>
              <w:jc w:val="right"/>
              <w:rPr>
                <w:rFonts w:cs="Arial"/>
                <w:szCs w:val="20"/>
              </w:rPr>
            </w:pPr>
            <w:r>
              <w:rPr>
                <w:rFonts w:cs="Arial"/>
                <w:szCs w:val="20"/>
              </w:rPr>
              <w:t>48</w:t>
            </w:r>
          </w:p>
        </w:tc>
        <w:tc>
          <w:tcPr>
            <w:tcW w:w="790" w:type="pct"/>
            <w:tcBorders>
              <w:top w:val="nil"/>
              <w:left w:val="nil"/>
              <w:bottom w:val="nil"/>
              <w:right w:val="single" w:sz="4" w:space="0" w:color="auto"/>
            </w:tcBorders>
            <w:vAlign w:val="center"/>
          </w:tcPr>
          <w:p w14:paraId="2835EFC5" w14:textId="0E35E963" w:rsidR="00A213C3" w:rsidRPr="001543A4" w:rsidRDefault="00BA1C49" w:rsidP="00E86D5D">
            <w:pPr>
              <w:keepNext/>
              <w:spacing w:before="0" w:after="0" w:line="240" w:lineRule="auto"/>
              <w:jc w:val="right"/>
              <w:rPr>
                <w:rFonts w:cs="Arial"/>
                <w:szCs w:val="20"/>
              </w:rPr>
            </w:pPr>
            <w:r>
              <w:rPr>
                <w:rFonts w:cs="Arial"/>
                <w:szCs w:val="20"/>
              </w:rPr>
              <w:t>43</w:t>
            </w:r>
          </w:p>
        </w:tc>
      </w:tr>
      <w:tr w:rsidR="00A213C3" w:rsidRPr="00475556" w14:paraId="626BAA5C" w14:textId="77777777" w:rsidTr="00E86D5D">
        <w:trPr>
          <w:gridAfter w:val="1"/>
          <w:wAfter w:w="3" w:type="pct"/>
          <w:trHeight w:hRule="exact" w:val="340"/>
        </w:trPr>
        <w:tc>
          <w:tcPr>
            <w:tcW w:w="1945" w:type="pct"/>
            <w:tcBorders>
              <w:top w:val="nil"/>
              <w:left w:val="single" w:sz="4" w:space="0" w:color="auto"/>
              <w:bottom w:val="nil"/>
              <w:right w:val="nil"/>
            </w:tcBorders>
            <w:vAlign w:val="center"/>
          </w:tcPr>
          <w:p w14:paraId="77ABB9DB" w14:textId="77777777" w:rsidR="00A213C3" w:rsidRPr="001543A4" w:rsidRDefault="00A213C3" w:rsidP="00E86D5D">
            <w:pPr>
              <w:keepNext/>
              <w:spacing w:before="0" w:after="0" w:line="240" w:lineRule="auto"/>
              <w:jc w:val="left"/>
              <w:rPr>
                <w:rFonts w:cs="Arial"/>
                <w:szCs w:val="20"/>
              </w:rPr>
            </w:pPr>
            <w:r>
              <w:rPr>
                <w:rFonts w:cs="Arial"/>
                <w:szCs w:val="20"/>
              </w:rPr>
              <w:t>Completed phone survey</w:t>
            </w:r>
          </w:p>
        </w:tc>
        <w:tc>
          <w:tcPr>
            <w:tcW w:w="674" w:type="pct"/>
            <w:tcBorders>
              <w:top w:val="nil"/>
              <w:left w:val="nil"/>
              <w:bottom w:val="nil"/>
              <w:right w:val="nil"/>
            </w:tcBorders>
            <w:vAlign w:val="center"/>
          </w:tcPr>
          <w:p w14:paraId="120605A4" w14:textId="77777777" w:rsidR="00A213C3" w:rsidRDefault="00A213C3" w:rsidP="00E86D5D">
            <w:pPr>
              <w:keepNext/>
              <w:spacing w:before="0" w:after="0" w:line="240" w:lineRule="auto"/>
              <w:jc w:val="right"/>
              <w:rPr>
                <w:rFonts w:cs="Arial"/>
                <w:szCs w:val="20"/>
              </w:rPr>
            </w:pPr>
            <w:r>
              <w:rPr>
                <w:rFonts w:cs="Arial"/>
                <w:szCs w:val="20"/>
              </w:rPr>
              <w:t>4</w:t>
            </w:r>
          </w:p>
        </w:tc>
        <w:tc>
          <w:tcPr>
            <w:tcW w:w="794" w:type="pct"/>
            <w:tcBorders>
              <w:top w:val="nil"/>
              <w:left w:val="nil"/>
              <w:bottom w:val="nil"/>
              <w:right w:val="nil"/>
            </w:tcBorders>
            <w:vAlign w:val="center"/>
          </w:tcPr>
          <w:p w14:paraId="0C131A74" w14:textId="77777777" w:rsidR="00A213C3" w:rsidRDefault="00A213C3" w:rsidP="00E86D5D">
            <w:pPr>
              <w:keepNext/>
              <w:spacing w:before="0" w:after="0" w:line="240" w:lineRule="auto"/>
              <w:jc w:val="right"/>
              <w:rPr>
                <w:rFonts w:cs="Arial"/>
                <w:szCs w:val="20"/>
              </w:rPr>
            </w:pPr>
            <w:r>
              <w:rPr>
                <w:rFonts w:cs="Arial"/>
                <w:szCs w:val="20"/>
              </w:rPr>
              <w:t>2</w:t>
            </w:r>
          </w:p>
        </w:tc>
        <w:tc>
          <w:tcPr>
            <w:tcW w:w="794" w:type="pct"/>
            <w:tcBorders>
              <w:top w:val="nil"/>
              <w:left w:val="nil"/>
              <w:bottom w:val="nil"/>
              <w:right w:val="nil"/>
            </w:tcBorders>
            <w:vAlign w:val="center"/>
          </w:tcPr>
          <w:p w14:paraId="53EA9E9E" w14:textId="77777777" w:rsidR="00A213C3" w:rsidRDefault="00A213C3" w:rsidP="00E86D5D">
            <w:pPr>
              <w:keepNext/>
              <w:spacing w:before="0" w:after="0" w:line="240" w:lineRule="auto"/>
              <w:jc w:val="right"/>
              <w:rPr>
                <w:rFonts w:cs="Arial"/>
                <w:szCs w:val="20"/>
              </w:rPr>
            </w:pPr>
            <w:r>
              <w:rPr>
                <w:rFonts w:cs="Arial"/>
                <w:szCs w:val="20"/>
              </w:rPr>
              <w:t>3</w:t>
            </w:r>
          </w:p>
        </w:tc>
        <w:tc>
          <w:tcPr>
            <w:tcW w:w="790" w:type="pct"/>
            <w:tcBorders>
              <w:top w:val="nil"/>
              <w:left w:val="nil"/>
              <w:bottom w:val="nil"/>
              <w:right w:val="single" w:sz="4" w:space="0" w:color="auto"/>
            </w:tcBorders>
            <w:vAlign w:val="center"/>
          </w:tcPr>
          <w:p w14:paraId="6AD4025D" w14:textId="77777777" w:rsidR="00A213C3" w:rsidRDefault="00A213C3" w:rsidP="00E86D5D">
            <w:pPr>
              <w:keepNext/>
              <w:spacing w:before="0" w:after="0" w:line="240" w:lineRule="auto"/>
              <w:jc w:val="right"/>
              <w:rPr>
                <w:rFonts w:cs="Arial"/>
                <w:szCs w:val="20"/>
              </w:rPr>
            </w:pPr>
            <w:r>
              <w:rPr>
                <w:rFonts w:cs="Arial"/>
                <w:szCs w:val="20"/>
              </w:rPr>
              <w:t>3</w:t>
            </w:r>
          </w:p>
        </w:tc>
      </w:tr>
      <w:tr w:rsidR="00A213C3" w:rsidRPr="00475556" w14:paraId="164CF2BA" w14:textId="77777777" w:rsidTr="00E86D5D">
        <w:trPr>
          <w:gridAfter w:val="1"/>
          <w:wAfter w:w="3" w:type="pct"/>
          <w:trHeight w:hRule="exact" w:val="340"/>
        </w:trPr>
        <w:tc>
          <w:tcPr>
            <w:tcW w:w="1945" w:type="pct"/>
            <w:tcBorders>
              <w:top w:val="nil"/>
              <w:left w:val="single" w:sz="4" w:space="0" w:color="auto"/>
              <w:bottom w:val="nil"/>
              <w:right w:val="nil"/>
            </w:tcBorders>
            <w:vAlign w:val="center"/>
          </w:tcPr>
          <w:p w14:paraId="57737FEF" w14:textId="77777777" w:rsidR="00A213C3" w:rsidRPr="001543A4" w:rsidRDefault="00A213C3" w:rsidP="00E86D5D">
            <w:pPr>
              <w:keepNext/>
              <w:spacing w:before="0" w:after="0" w:line="240" w:lineRule="auto"/>
              <w:jc w:val="left"/>
              <w:rPr>
                <w:rFonts w:cs="Arial"/>
                <w:szCs w:val="20"/>
              </w:rPr>
            </w:pPr>
            <w:r w:rsidRPr="001543A4">
              <w:rPr>
                <w:rFonts w:cs="Arial"/>
                <w:szCs w:val="20"/>
              </w:rPr>
              <w:t>Deceased</w:t>
            </w:r>
          </w:p>
        </w:tc>
        <w:tc>
          <w:tcPr>
            <w:tcW w:w="674" w:type="pct"/>
            <w:tcBorders>
              <w:top w:val="nil"/>
              <w:left w:val="nil"/>
              <w:bottom w:val="nil"/>
              <w:right w:val="nil"/>
            </w:tcBorders>
            <w:vAlign w:val="center"/>
          </w:tcPr>
          <w:p w14:paraId="04FFDEFA" w14:textId="45472945" w:rsidR="00A213C3" w:rsidRPr="001543A4" w:rsidRDefault="00BA1C49" w:rsidP="00E86D5D">
            <w:pPr>
              <w:keepNext/>
              <w:spacing w:before="0" w:after="0" w:line="240" w:lineRule="auto"/>
              <w:jc w:val="right"/>
              <w:rPr>
                <w:rFonts w:cs="Arial"/>
                <w:szCs w:val="20"/>
              </w:rPr>
            </w:pPr>
            <w:r>
              <w:rPr>
                <w:rFonts w:cs="Arial"/>
                <w:szCs w:val="20"/>
              </w:rPr>
              <w:t>9</w:t>
            </w:r>
          </w:p>
        </w:tc>
        <w:tc>
          <w:tcPr>
            <w:tcW w:w="794" w:type="pct"/>
            <w:tcBorders>
              <w:top w:val="nil"/>
              <w:left w:val="nil"/>
              <w:bottom w:val="nil"/>
              <w:right w:val="nil"/>
            </w:tcBorders>
            <w:vAlign w:val="center"/>
          </w:tcPr>
          <w:p w14:paraId="6719C68E" w14:textId="56071FA5" w:rsidR="00A213C3" w:rsidRPr="001543A4" w:rsidRDefault="00BA1C49" w:rsidP="00E86D5D">
            <w:pPr>
              <w:keepNext/>
              <w:spacing w:before="0" w:after="0" w:line="240" w:lineRule="auto"/>
              <w:jc w:val="right"/>
              <w:rPr>
                <w:rFonts w:cs="Arial"/>
                <w:szCs w:val="20"/>
              </w:rPr>
            </w:pPr>
            <w:r>
              <w:rPr>
                <w:rFonts w:cs="Arial"/>
                <w:szCs w:val="20"/>
              </w:rPr>
              <w:t>5</w:t>
            </w:r>
          </w:p>
        </w:tc>
        <w:tc>
          <w:tcPr>
            <w:tcW w:w="794" w:type="pct"/>
            <w:tcBorders>
              <w:top w:val="nil"/>
              <w:left w:val="nil"/>
              <w:bottom w:val="nil"/>
              <w:right w:val="nil"/>
            </w:tcBorders>
            <w:vAlign w:val="center"/>
          </w:tcPr>
          <w:p w14:paraId="62E31617" w14:textId="6A55E623" w:rsidR="00A213C3" w:rsidRPr="001543A4" w:rsidRDefault="00BA1C49" w:rsidP="00E86D5D">
            <w:pPr>
              <w:keepNext/>
              <w:spacing w:before="0" w:after="0" w:line="240" w:lineRule="auto"/>
              <w:jc w:val="right"/>
              <w:rPr>
                <w:rFonts w:cs="Arial"/>
                <w:szCs w:val="20"/>
              </w:rPr>
            </w:pPr>
            <w:r>
              <w:rPr>
                <w:rFonts w:cs="Arial"/>
                <w:szCs w:val="20"/>
              </w:rPr>
              <w:t>5</w:t>
            </w:r>
          </w:p>
        </w:tc>
        <w:tc>
          <w:tcPr>
            <w:tcW w:w="790" w:type="pct"/>
            <w:tcBorders>
              <w:top w:val="nil"/>
              <w:left w:val="nil"/>
              <w:bottom w:val="nil"/>
              <w:right w:val="single" w:sz="4" w:space="0" w:color="auto"/>
            </w:tcBorders>
            <w:vAlign w:val="center"/>
          </w:tcPr>
          <w:p w14:paraId="3CD36EC3" w14:textId="77777777" w:rsidR="00A213C3" w:rsidRPr="001543A4" w:rsidRDefault="00A213C3" w:rsidP="00E86D5D">
            <w:pPr>
              <w:keepNext/>
              <w:spacing w:before="0" w:after="0" w:line="240" w:lineRule="auto"/>
              <w:jc w:val="right"/>
              <w:rPr>
                <w:rFonts w:cs="Arial"/>
                <w:szCs w:val="20"/>
              </w:rPr>
            </w:pPr>
            <w:r>
              <w:rPr>
                <w:rFonts w:cs="Arial"/>
                <w:szCs w:val="20"/>
              </w:rPr>
              <w:t>4</w:t>
            </w:r>
          </w:p>
        </w:tc>
      </w:tr>
      <w:tr w:rsidR="00A213C3" w:rsidRPr="00475556" w14:paraId="3C1213CC" w14:textId="77777777" w:rsidTr="00E86D5D">
        <w:trPr>
          <w:gridAfter w:val="1"/>
          <w:wAfter w:w="3" w:type="pct"/>
          <w:trHeight w:hRule="exact" w:val="340"/>
        </w:trPr>
        <w:tc>
          <w:tcPr>
            <w:tcW w:w="1945" w:type="pct"/>
            <w:tcBorders>
              <w:top w:val="nil"/>
              <w:left w:val="single" w:sz="4" w:space="0" w:color="auto"/>
              <w:bottom w:val="nil"/>
              <w:right w:val="nil"/>
            </w:tcBorders>
            <w:vAlign w:val="center"/>
            <w:hideMark/>
          </w:tcPr>
          <w:p w14:paraId="210892C7" w14:textId="77777777" w:rsidR="00A213C3" w:rsidRPr="001543A4" w:rsidRDefault="00A213C3" w:rsidP="00E86D5D">
            <w:pPr>
              <w:keepNext/>
              <w:spacing w:before="0" w:after="0" w:line="240" w:lineRule="auto"/>
              <w:jc w:val="left"/>
              <w:rPr>
                <w:rFonts w:cs="Arial"/>
                <w:szCs w:val="20"/>
              </w:rPr>
            </w:pPr>
            <w:r w:rsidRPr="001543A4">
              <w:rPr>
                <w:rFonts w:cs="Arial"/>
                <w:szCs w:val="20"/>
              </w:rPr>
              <w:t>Withdrawn</w:t>
            </w:r>
          </w:p>
        </w:tc>
        <w:tc>
          <w:tcPr>
            <w:tcW w:w="674" w:type="pct"/>
            <w:tcBorders>
              <w:top w:val="nil"/>
              <w:left w:val="nil"/>
              <w:bottom w:val="nil"/>
              <w:right w:val="nil"/>
            </w:tcBorders>
            <w:vAlign w:val="center"/>
          </w:tcPr>
          <w:p w14:paraId="60F3A186" w14:textId="7C6ACDD0" w:rsidR="00A213C3" w:rsidRPr="001543A4" w:rsidRDefault="00BA1C49" w:rsidP="00E86D5D">
            <w:pPr>
              <w:keepNext/>
              <w:spacing w:before="0" w:after="0" w:line="240" w:lineRule="auto"/>
              <w:jc w:val="right"/>
              <w:rPr>
                <w:rFonts w:cs="Arial"/>
                <w:szCs w:val="20"/>
              </w:rPr>
            </w:pPr>
            <w:r>
              <w:rPr>
                <w:rFonts w:cs="Arial"/>
                <w:szCs w:val="20"/>
              </w:rPr>
              <w:t>8</w:t>
            </w:r>
          </w:p>
        </w:tc>
        <w:tc>
          <w:tcPr>
            <w:tcW w:w="794" w:type="pct"/>
            <w:tcBorders>
              <w:top w:val="nil"/>
              <w:left w:val="nil"/>
              <w:bottom w:val="nil"/>
              <w:right w:val="nil"/>
            </w:tcBorders>
            <w:vAlign w:val="center"/>
          </w:tcPr>
          <w:p w14:paraId="7D888B96" w14:textId="77777777" w:rsidR="00A213C3" w:rsidRPr="001543A4" w:rsidRDefault="00A213C3" w:rsidP="00E86D5D">
            <w:pPr>
              <w:keepNext/>
              <w:spacing w:before="0" w:after="0" w:line="240" w:lineRule="auto"/>
              <w:jc w:val="right"/>
              <w:rPr>
                <w:rFonts w:cs="Arial"/>
                <w:szCs w:val="20"/>
              </w:rPr>
            </w:pPr>
            <w:r>
              <w:rPr>
                <w:rFonts w:cs="Arial"/>
                <w:szCs w:val="20"/>
              </w:rPr>
              <w:t>4</w:t>
            </w:r>
          </w:p>
        </w:tc>
        <w:tc>
          <w:tcPr>
            <w:tcW w:w="794" w:type="pct"/>
            <w:tcBorders>
              <w:top w:val="nil"/>
              <w:left w:val="nil"/>
              <w:bottom w:val="nil"/>
              <w:right w:val="nil"/>
            </w:tcBorders>
            <w:vAlign w:val="center"/>
          </w:tcPr>
          <w:p w14:paraId="7A5FE7A2" w14:textId="2866A37E" w:rsidR="00A213C3" w:rsidRPr="001543A4" w:rsidRDefault="00BA1C49" w:rsidP="00E86D5D">
            <w:pPr>
              <w:keepNext/>
              <w:spacing w:before="0" w:after="0" w:line="240" w:lineRule="auto"/>
              <w:jc w:val="right"/>
              <w:rPr>
                <w:rFonts w:cs="Arial"/>
                <w:szCs w:val="20"/>
              </w:rPr>
            </w:pPr>
            <w:r>
              <w:rPr>
                <w:rFonts w:cs="Arial"/>
                <w:szCs w:val="20"/>
              </w:rPr>
              <w:t>2</w:t>
            </w:r>
          </w:p>
        </w:tc>
        <w:tc>
          <w:tcPr>
            <w:tcW w:w="790" w:type="pct"/>
            <w:tcBorders>
              <w:top w:val="nil"/>
              <w:left w:val="nil"/>
              <w:bottom w:val="nil"/>
              <w:right w:val="single" w:sz="4" w:space="0" w:color="auto"/>
            </w:tcBorders>
            <w:vAlign w:val="center"/>
          </w:tcPr>
          <w:p w14:paraId="4C4632A7" w14:textId="049AE73A" w:rsidR="00A213C3" w:rsidRPr="001543A4" w:rsidRDefault="00BA1C49" w:rsidP="00E86D5D">
            <w:pPr>
              <w:keepNext/>
              <w:spacing w:before="0" w:after="0" w:line="240" w:lineRule="auto"/>
              <w:jc w:val="right"/>
              <w:rPr>
                <w:rFonts w:cs="Arial"/>
                <w:szCs w:val="20"/>
              </w:rPr>
            </w:pPr>
            <w:r>
              <w:rPr>
                <w:rFonts w:cs="Arial"/>
                <w:szCs w:val="20"/>
              </w:rPr>
              <w:t>2</w:t>
            </w:r>
          </w:p>
        </w:tc>
      </w:tr>
      <w:tr w:rsidR="00A213C3" w:rsidRPr="00475556" w14:paraId="5DB9A1F6" w14:textId="77777777" w:rsidTr="00E86D5D">
        <w:trPr>
          <w:gridAfter w:val="1"/>
          <w:wAfter w:w="3" w:type="pct"/>
          <w:trHeight w:hRule="exact" w:val="340"/>
        </w:trPr>
        <w:tc>
          <w:tcPr>
            <w:tcW w:w="1945" w:type="pct"/>
            <w:tcBorders>
              <w:top w:val="nil"/>
              <w:left w:val="single" w:sz="4" w:space="0" w:color="auto"/>
              <w:bottom w:val="single" w:sz="4" w:space="0" w:color="auto"/>
              <w:right w:val="nil"/>
            </w:tcBorders>
            <w:vAlign w:val="center"/>
          </w:tcPr>
          <w:p w14:paraId="1C8E5EDD" w14:textId="77777777" w:rsidR="00A213C3" w:rsidRPr="001543A4" w:rsidRDefault="00A213C3" w:rsidP="00E86D5D">
            <w:pPr>
              <w:keepNext/>
              <w:spacing w:before="0" w:after="0" w:line="240" w:lineRule="auto"/>
              <w:jc w:val="left"/>
              <w:rPr>
                <w:rFonts w:cs="Arial"/>
                <w:szCs w:val="20"/>
              </w:rPr>
            </w:pPr>
            <w:r w:rsidRPr="001543A4">
              <w:rPr>
                <w:rFonts w:cs="Arial"/>
                <w:szCs w:val="20"/>
              </w:rPr>
              <w:t>No response</w:t>
            </w:r>
          </w:p>
        </w:tc>
        <w:tc>
          <w:tcPr>
            <w:tcW w:w="674" w:type="pct"/>
            <w:tcBorders>
              <w:top w:val="nil"/>
              <w:left w:val="nil"/>
              <w:bottom w:val="single" w:sz="4" w:space="0" w:color="auto"/>
              <w:right w:val="nil"/>
            </w:tcBorders>
            <w:vAlign w:val="center"/>
          </w:tcPr>
          <w:p w14:paraId="1CDA1164" w14:textId="45A5565D" w:rsidR="00A213C3" w:rsidRPr="001543A4" w:rsidRDefault="00BA1C49" w:rsidP="00E86D5D">
            <w:pPr>
              <w:keepNext/>
              <w:spacing w:before="0" w:after="0" w:line="240" w:lineRule="auto"/>
              <w:jc w:val="right"/>
              <w:rPr>
                <w:rFonts w:cs="Arial"/>
                <w:szCs w:val="20"/>
              </w:rPr>
            </w:pPr>
            <w:r>
              <w:rPr>
                <w:rFonts w:cs="Arial"/>
                <w:szCs w:val="20"/>
              </w:rPr>
              <w:t>48</w:t>
            </w:r>
          </w:p>
        </w:tc>
        <w:tc>
          <w:tcPr>
            <w:tcW w:w="794" w:type="pct"/>
            <w:tcBorders>
              <w:top w:val="nil"/>
              <w:left w:val="nil"/>
              <w:bottom w:val="single" w:sz="4" w:space="0" w:color="auto"/>
              <w:right w:val="nil"/>
            </w:tcBorders>
            <w:vAlign w:val="center"/>
          </w:tcPr>
          <w:p w14:paraId="74D9D948" w14:textId="72EF13C3" w:rsidR="00A213C3" w:rsidRPr="001543A4" w:rsidRDefault="00BA1C49" w:rsidP="00E86D5D">
            <w:pPr>
              <w:keepNext/>
              <w:spacing w:before="0" w:after="0" w:line="240" w:lineRule="auto"/>
              <w:jc w:val="right"/>
              <w:rPr>
                <w:rFonts w:cs="Arial"/>
                <w:szCs w:val="20"/>
              </w:rPr>
            </w:pPr>
            <w:r>
              <w:rPr>
                <w:rFonts w:cs="Arial"/>
                <w:szCs w:val="20"/>
              </w:rPr>
              <w:t>27</w:t>
            </w:r>
          </w:p>
        </w:tc>
        <w:tc>
          <w:tcPr>
            <w:tcW w:w="794" w:type="pct"/>
            <w:tcBorders>
              <w:top w:val="nil"/>
              <w:left w:val="nil"/>
              <w:bottom w:val="single" w:sz="4" w:space="0" w:color="auto"/>
              <w:right w:val="nil"/>
            </w:tcBorders>
            <w:vAlign w:val="center"/>
          </w:tcPr>
          <w:p w14:paraId="64718296" w14:textId="58D601D8" w:rsidR="00A213C3" w:rsidRPr="001543A4" w:rsidRDefault="00BA1C49" w:rsidP="00E86D5D">
            <w:pPr>
              <w:keepNext/>
              <w:spacing w:before="0" w:after="0" w:line="240" w:lineRule="auto"/>
              <w:jc w:val="right"/>
              <w:rPr>
                <w:rFonts w:cs="Arial"/>
                <w:szCs w:val="20"/>
              </w:rPr>
            </w:pPr>
            <w:r>
              <w:rPr>
                <w:rFonts w:cs="Arial"/>
                <w:szCs w:val="20"/>
              </w:rPr>
              <w:t>58</w:t>
            </w:r>
          </w:p>
        </w:tc>
        <w:tc>
          <w:tcPr>
            <w:tcW w:w="790" w:type="pct"/>
            <w:tcBorders>
              <w:top w:val="nil"/>
              <w:left w:val="nil"/>
              <w:bottom w:val="single" w:sz="4" w:space="0" w:color="auto"/>
              <w:right w:val="single" w:sz="4" w:space="0" w:color="auto"/>
            </w:tcBorders>
            <w:vAlign w:val="center"/>
          </w:tcPr>
          <w:p w14:paraId="71AB8FD4" w14:textId="2511ABCA" w:rsidR="00A213C3" w:rsidRPr="001543A4" w:rsidRDefault="00BA1C49" w:rsidP="00E86D5D">
            <w:pPr>
              <w:keepNext/>
              <w:spacing w:before="0" w:after="0" w:line="240" w:lineRule="auto"/>
              <w:jc w:val="right"/>
              <w:rPr>
                <w:rFonts w:cs="Arial"/>
                <w:szCs w:val="20"/>
              </w:rPr>
            </w:pPr>
            <w:r>
              <w:rPr>
                <w:rFonts w:cs="Arial"/>
                <w:szCs w:val="20"/>
              </w:rPr>
              <w:t>51</w:t>
            </w:r>
          </w:p>
        </w:tc>
      </w:tr>
      <w:tr w:rsidR="00A213C3" w:rsidRPr="00ED6106" w14:paraId="53751DA7" w14:textId="77777777" w:rsidTr="00E86D5D">
        <w:trPr>
          <w:gridAfter w:val="1"/>
          <w:wAfter w:w="3" w:type="pct"/>
          <w:trHeight w:hRule="exact" w:val="465"/>
        </w:trPr>
        <w:tc>
          <w:tcPr>
            <w:tcW w:w="1945" w:type="pct"/>
            <w:tcBorders>
              <w:top w:val="single" w:sz="4" w:space="0" w:color="auto"/>
              <w:left w:val="single" w:sz="4" w:space="0" w:color="auto"/>
              <w:bottom w:val="single" w:sz="4" w:space="0" w:color="auto"/>
              <w:right w:val="nil"/>
            </w:tcBorders>
            <w:vAlign w:val="center"/>
            <w:hideMark/>
          </w:tcPr>
          <w:p w14:paraId="35875494" w14:textId="77777777" w:rsidR="00A213C3" w:rsidRPr="001543A4" w:rsidRDefault="00A213C3" w:rsidP="00E86D5D">
            <w:pPr>
              <w:spacing w:before="0" w:after="0" w:line="240" w:lineRule="auto"/>
              <w:jc w:val="left"/>
              <w:rPr>
                <w:rFonts w:cs="Arial"/>
                <w:b/>
                <w:bCs/>
                <w:szCs w:val="20"/>
              </w:rPr>
            </w:pPr>
            <w:r w:rsidRPr="001543A4">
              <w:rPr>
                <w:rFonts w:cs="Arial"/>
                <w:b/>
                <w:bCs/>
                <w:szCs w:val="20"/>
              </w:rPr>
              <w:t xml:space="preserve">Total </w:t>
            </w:r>
            <w:r>
              <w:rPr>
                <w:rFonts w:cs="Arial"/>
                <w:b/>
                <w:bCs/>
                <w:szCs w:val="20"/>
              </w:rPr>
              <w:t>so far deployed</w:t>
            </w:r>
          </w:p>
        </w:tc>
        <w:tc>
          <w:tcPr>
            <w:tcW w:w="674" w:type="pct"/>
            <w:tcBorders>
              <w:top w:val="single" w:sz="4" w:space="0" w:color="auto"/>
              <w:left w:val="nil"/>
              <w:bottom w:val="single" w:sz="4" w:space="0" w:color="auto"/>
              <w:right w:val="nil"/>
            </w:tcBorders>
            <w:vAlign w:val="center"/>
          </w:tcPr>
          <w:p w14:paraId="23C46F0F" w14:textId="31F82293" w:rsidR="00A213C3" w:rsidRPr="001543A4" w:rsidRDefault="00BA1C49" w:rsidP="00E86D5D">
            <w:pPr>
              <w:spacing w:before="0" w:after="0" w:line="240" w:lineRule="auto"/>
              <w:jc w:val="right"/>
              <w:rPr>
                <w:rFonts w:cs="Arial"/>
                <w:b/>
                <w:bCs/>
                <w:szCs w:val="20"/>
              </w:rPr>
            </w:pPr>
            <w:r>
              <w:rPr>
                <w:rFonts w:cs="Arial"/>
                <w:b/>
                <w:bCs/>
                <w:szCs w:val="20"/>
              </w:rPr>
              <w:t>180</w:t>
            </w:r>
          </w:p>
        </w:tc>
        <w:tc>
          <w:tcPr>
            <w:tcW w:w="794" w:type="pct"/>
            <w:tcBorders>
              <w:top w:val="single" w:sz="4" w:space="0" w:color="auto"/>
              <w:left w:val="nil"/>
              <w:bottom w:val="single" w:sz="4" w:space="0" w:color="auto"/>
              <w:right w:val="nil"/>
            </w:tcBorders>
            <w:vAlign w:val="center"/>
          </w:tcPr>
          <w:p w14:paraId="41E55C41" w14:textId="77777777" w:rsidR="00A213C3" w:rsidRPr="001543A4" w:rsidRDefault="00A213C3" w:rsidP="00E86D5D">
            <w:pPr>
              <w:spacing w:before="0" w:after="0" w:line="240" w:lineRule="auto"/>
              <w:jc w:val="right"/>
              <w:rPr>
                <w:rFonts w:cs="Arial"/>
                <w:b/>
                <w:bCs/>
                <w:szCs w:val="20"/>
              </w:rPr>
            </w:pPr>
            <w:r>
              <w:rPr>
                <w:rFonts w:cs="Arial"/>
                <w:b/>
                <w:bCs/>
                <w:szCs w:val="20"/>
              </w:rPr>
              <w:t>100</w:t>
            </w:r>
          </w:p>
        </w:tc>
        <w:tc>
          <w:tcPr>
            <w:tcW w:w="794" w:type="pct"/>
            <w:tcBorders>
              <w:top w:val="single" w:sz="4" w:space="0" w:color="auto"/>
              <w:left w:val="nil"/>
              <w:bottom w:val="single" w:sz="4" w:space="0" w:color="auto"/>
              <w:right w:val="nil"/>
            </w:tcBorders>
            <w:vAlign w:val="center"/>
          </w:tcPr>
          <w:p w14:paraId="1711003C" w14:textId="1753321A" w:rsidR="00A213C3" w:rsidRPr="001543A4" w:rsidRDefault="00BA1C49" w:rsidP="00E86D5D">
            <w:pPr>
              <w:spacing w:before="0" w:after="0" w:line="240" w:lineRule="auto"/>
              <w:jc w:val="right"/>
              <w:rPr>
                <w:rFonts w:cs="Arial"/>
                <w:b/>
                <w:bCs/>
                <w:szCs w:val="20"/>
              </w:rPr>
            </w:pPr>
            <w:r>
              <w:rPr>
                <w:rFonts w:cs="Arial"/>
                <w:b/>
                <w:bCs/>
                <w:szCs w:val="20"/>
              </w:rPr>
              <w:t>113</w:t>
            </w:r>
          </w:p>
        </w:tc>
        <w:tc>
          <w:tcPr>
            <w:tcW w:w="790" w:type="pct"/>
            <w:tcBorders>
              <w:top w:val="single" w:sz="4" w:space="0" w:color="auto"/>
              <w:left w:val="nil"/>
              <w:bottom w:val="single" w:sz="4" w:space="0" w:color="auto"/>
              <w:right w:val="single" w:sz="4" w:space="0" w:color="auto"/>
            </w:tcBorders>
            <w:vAlign w:val="center"/>
          </w:tcPr>
          <w:p w14:paraId="0242B061" w14:textId="77777777" w:rsidR="00A213C3" w:rsidRPr="001543A4" w:rsidRDefault="00A213C3" w:rsidP="00E86D5D">
            <w:pPr>
              <w:spacing w:before="0" w:after="0" w:line="240" w:lineRule="auto"/>
              <w:jc w:val="right"/>
              <w:rPr>
                <w:rFonts w:cs="Arial"/>
                <w:b/>
                <w:bCs/>
                <w:szCs w:val="20"/>
              </w:rPr>
            </w:pPr>
            <w:r>
              <w:rPr>
                <w:rFonts w:cs="Arial"/>
                <w:b/>
                <w:bCs/>
                <w:szCs w:val="20"/>
              </w:rPr>
              <w:t>100</w:t>
            </w:r>
          </w:p>
        </w:tc>
      </w:tr>
    </w:tbl>
    <w:p w14:paraId="4EFF7426" w14:textId="77777777" w:rsidR="00A213C3" w:rsidRDefault="00A213C3" w:rsidP="0093729E">
      <w:pPr>
        <w:spacing w:before="0" w:after="0"/>
      </w:pPr>
      <w:r w:rsidRPr="00B24021">
        <w:rPr>
          <w:vertAlign w:val="superscript"/>
        </w:rPr>
        <w:t>a</w:t>
      </w:r>
      <w:r>
        <w:t xml:space="preserve"> first deployed 2 November 2021</w:t>
      </w:r>
    </w:p>
    <w:p w14:paraId="3917B68A" w14:textId="597FF9C4" w:rsidR="00A213C3" w:rsidRDefault="00A213C3" w:rsidP="0093729E">
      <w:pPr>
        <w:spacing w:before="0"/>
      </w:pPr>
      <w:r>
        <w:rPr>
          <w:vertAlign w:val="superscript"/>
        </w:rPr>
        <w:t>b</w:t>
      </w:r>
      <w:r>
        <w:t xml:space="preserve"> first deployed 2 June 2022</w:t>
      </w:r>
    </w:p>
    <w:p w14:paraId="1D9DB8C2" w14:textId="77777777" w:rsidR="00F06792" w:rsidRPr="007023F8" w:rsidRDefault="00F06792" w:rsidP="0093729E">
      <w:pPr>
        <w:spacing w:before="0"/>
      </w:pPr>
    </w:p>
    <w:p w14:paraId="0C83545E" w14:textId="77777777" w:rsidR="00A213C3" w:rsidRDefault="00A213C3" w:rsidP="00901558">
      <w:pPr>
        <w:pStyle w:val="Heading4"/>
      </w:pPr>
      <w:r w:rsidRPr="002E0164">
        <w:t>Mailouts</w:t>
      </w:r>
    </w:p>
    <w:p w14:paraId="2548647B" w14:textId="2704A10E" w:rsidR="00A213C3" w:rsidRDefault="00A213C3" w:rsidP="00A213C3">
      <w:r>
        <w:t xml:space="preserve">There have been </w:t>
      </w:r>
      <w:r w:rsidR="00BA1C49">
        <w:t xml:space="preserve">eleven </w:t>
      </w:r>
      <w:r>
        <w:t xml:space="preserve">mailouts for 6MF-Survey 21 </w:t>
      </w:r>
      <w:r w:rsidR="00F06792">
        <w:t xml:space="preserve">and </w:t>
      </w:r>
      <w:r>
        <w:t xml:space="preserve">22 so far, as detailed </w:t>
      </w:r>
      <w:r w:rsidRPr="00F06792">
        <w:t>below in</w:t>
      </w:r>
      <w:r w:rsidR="00F06792" w:rsidRPr="00F06792">
        <w:t xml:space="preserve"> </w:t>
      </w:r>
      <w:r w:rsidR="00F06792" w:rsidRPr="00F06792">
        <w:rPr>
          <w:highlight w:val="cyan"/>
        </w:rPr>
        <w:fldChar w:fldCharType="begin"/>
      </w:r>
      <w:r w:rsidR="00F06792" w:rsidRPr="00F06792">
        <w:instrText xml:space="preserve"> REF _Ref113715844 \h </w:instrText>
      </w:r>
      <w:r w:rsidR="00F06792" w:rsidRPr="00C21A1B">
        <w:rPr>
          <w:highlight w:val="cyan"/>
        </w:rPr>
        <w:instrText xml:space="preserve"> \* MERGEFORMAT </w:instrText>
      </w:r>
      <w:r w:rsidR="00F06792" w:rsidRPr="00F06792">
        <w:rPr>
          <w:highlight w:val="cyan"/>
        </w:rPr>
      </w:r>
      <w:r w:rsidR="00F06792" w:rsidRPr="00F06792">
        <w:rPr>
          <w:highlight w:val="cyan"/>
        </w:rPr>
        <w:fldChar w:fldCharType="separate"/>
      </w:r>
      <w:r w:rsidR="007D19D7" w:rsidRPr="007D19D7">
        <w:t>Table 3</w:t>
      </w:r>
      <w:r w:rsidR="007D19D7" w:rsidRPr="007D19D7">
        <w:noBreakHyphen/>
        <w:t>13</w:t>
      </w:r>
      <w:r w:rsidR="00F06792" w:rsidRPr="00F06792">
        <w:rPr>
          <w:highlight w:val="cyan"/>
        </w:rPr>
        <w:fldChar w:fldCharType="end"/>
      </w:r>
      <w:r w:rsidRPr="00F06792">
        <w:t>.</w:t>
      </w:r>
    </w:p>
    <w:p w14:paraId="65437D5A" w14:textId="6948BE79" w:rsidR="00A213C3" w:rsidRDefault="0093729E" w:rsidP="0093729E">
      <w:pPr>
        <w:rPr>
          <w:b/>
          <w:bCs/>
        </w:rPr>
      </w:pPr>
      <w:bookmarkStart w:id="56" w:name="_Ref113715844"/>
      <w:r w:rsidRPr="0093729E">
        <w:rPr>
          <w:b/>
          <w:bCs/>
        </w:rPr>
        <w:t xml:space="preserve">Table </w:t>
      </w:r>
      <w:r w:rsidR="00327D59">
        <w:rPr>
          <w:b/>
          <w:bCs/>
        </w:rPr>
        <w:fldChar w:fldCharType="begin"/>
      </w:r>
      <w:r w:rsidR="00327D59">
        <w:rPr>
          <w:b/>
          <w:bCs/>
        </w:rPr>
        <w:instrText xml:space="preserve"> STYLEREF 1 \s </w:instrText>
      </w:r>
      <w:r w:rsidR="00327D59">
        <w:rPr>
          <w:b/>
          <w:bCs/>
        </w:rPr>
        <w:fldChar w:fldCharType="separate"/>
      </w:r>
      <w:r w:rsidR="007D19D7">
        <w:rPr>
          <w:b/>
          <w:bCs/>
          <w:noProof/>
        </w:rPr>
        <w:t>3</w:t>
      </w:r>
      <w:r w:rsidR="00327D59">
        <w:rPr>
          <w:b/>
          <w:bCs/>
        </w:rPr>
        <w:fldChar w:fldCharType="end"/>
      </w:r>
      <w:r w:rsidR="00327D59">
        <w:rPr>
          <w:b/>
          <w:bCs/>
        </w:rPr>
        <w:noBreakHyphen/>
      </w:r>
      <w:r w:rsidR="00327D59">
        <w:rPr>
          <w:b/>
          <w:bCs/>
        </w:rPr>
        <w:fldChar w:fldCharType="begin"/>
      </w:r>
      <w:r w:rsidR="00327D59">
        <w:rPr>
          <w:b/>
          <w:bCs/>
        </w:rPr>
        <w:instrText xml:space="preserve"> SEQ Table \* ARABIC \s 1 </w:instrText>
      </w:r>
      <w:r w:rsidR="00327D59">
        <w:rPr>
          <w:b/>
          <w:bCs/>
        </w:rPr>
        <w:fldChar w:fldCharType="separate"/>
      </w:r>
      <w:r w:rsidR="007D19D7">
        <w:rPr>
          <w:b/>
          <w:bCs/>
          <w:noProof/>
        </w:rPr>
        <w:t>13</w:t>
      </w:r>
      <w:r w:rsidR="00327D59">
        <w:rPr>
          <w:b/>
          <w:bCs/>
        </w:rPr>
        <w:fldChar w:fldCharType="end"/>
      </w:r>
      <w:bookmarkEnd w:id="56"/>
      <w:r w:rsidRPr="0093729E">
        <w:rPr>
          <w:b/>
          <w:bCs/>
        </w:rPr>
        <w:t xml:space="preserve"> </w:t>
      </w:r>
      <w:r w:rsidR="00A213C3" w:rsidRPr="0093729E">
        <w:rPr>
          <w:b/>
          <w:bCs/>
        </w:rPr>
        <w:t xml:space="preserve">Timetable for </w:t>
      </w:r>
      <w:r>
        <w:rPr>
          <w:b/>
          <w:bCs/>
        </w:rPr>
        <w:t xml:space="preserve">6MF Surveys </w:t>
      </w:r>
      <w:r w:rsidR="00A213C3" w:rsidRPr="0093729E">
        <w:rPr>
          <w:b/>
          <w:bCs/>
        </w:rPr>
        <w:t xml:space="preserve">21 and </w:t>
      </w:r>
      <w:r w:rsidR="00A213C3" w:rsidRPr="00BA1C49">
        <w:rPr>
          <w:b/>
          <w:bCs/>
        </w:rPr>
        <w:t>22 (</w:t>
      </w:r>
      <w:proofErr w:type="gramStart"/>
      <w:r w:rsidR="00A213C3" w:rsidRPr="00901558">
        <w:rPr>
          <w:b/>
          <w:bCs/>
        </w:rPr>
        <w:t>at</w:t>
      </w:r>
      <w:proofErr w:type="gramEnd"/>
      <w:r w:rsidR="00A213C3" w:rsidRPr="00901558">
        <w:rPr>
          <w:b/>
          <w:bCs/>
        </w:rPr>
        <w:t xml:space="preserve"> </w:t>
      </w:r>
      <w:r w:rsidR="00BA1C49" w:rsidRPr="00901558">
        <w:rPr>
          <w:b/>
          <w:bCs/>
        </w:rPr>
        <w:t>31 October</w:t>
      </w:r>
      <w:r w:rsidR="00A213C3" w:rsidRPr="00901558">
        <w:rPr>
          <w:b/>
          <w:bCs/>
        </w:rPr>
        <w:t xml:space="preserve"> 2022</w:t>
      </w:r>
      <w:r w:rsidR="00A213C3" w:rsidRPr="00BA1C49">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47"/>
        <w:gridCol w:w="1346"/>
        <w:gridCol w:w="4426"/>
        <w:gridCol w:w="1831"/>
      </w:tblGrid>
      <w:tr w:rsidR="00F06792" w:rsidRPr="007023F8" w14:paraId="531DB31A" w14:textId="77777777" w:rsidTr="00E86D5D">
        <w:trPr>
          <w:trHeight w:val="367"/>
          <w:tblHeader/>
        </w:trPr>
        <w:tc>
          <w:tcPr>
            <w:tcW w:w="934"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44644FA" w14:textId="77777777" w:rsidR="00F06792" w:rsidRPr="007023F8" w:rsidRDefault="00F06792" w:rsidP="00E86D5D">
            <w:pPr>
              <w:keepNext/>
              <w:spacing w:before="40" w:after="40" w:line="276" w:lineRule="auto"/>
              <w:rPr>
                <w:rFonts w:eastAsia="Calibri" w:cs="Arial"/>
                <w:b/>
              </w:rPr>
            </w:pPr>
            <w:r w:rsidRPr="007023F8">
              <w:rPr>
                <w:rFonts w:eastAsia="Calibri" w:cs="Arial"/>
                <w:b/>
              </w:rPr>
              <w:t>Date</w:t>
            </w:r>
          </w:p>
        </w:tc>
        <w:tc>
          <w:tcPr>
            <w:tcW w:w="72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6D0E437" w14:textId="77777777" w:rsidR="00F06792" w:rsidRPr="007023F8" w:rsidRDefault="00F06792" w:rsidP="00E86D5D">
            <w:pPr>
              <w:keepNext/>
              <w:spacing w:before="40" w:after="40" w:line="276" w:lineRule="auto"/>
              <w:rPr>
                <w:rFonts w:eastAsia="Calibri" w:cs="Arial"/>
                <w:b/>
              </w:rPr>
            </w:pPr>
            <w:r w:rsidRPr="007023F8">
              <w:rPr>
                <w:rFonts w:eastAsia="Calibri" w:cs="Arial"/>
                <w:b/>
              </w:rPr>
              <w:t>Activity</w:t>
            </w:r>
          </w:p>
        </w:tc>
        <w:tc>
          <w:tcPr>
            <w:tcW w:w="2367"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6CFF110" w14:textId="77777777" w:rsidR="00F06792" w:rsidRPr="007023F8" w:rsidRDefault="00F06792" w:rsidP="00E86D5D">
            <w:pPr>
              <w:keepNext/>
              <w:spacing w:before="40" w:after="40" w:line="276" w:lineRule="auto"/>
              <w:rPr>
                <w:rFonts w:eastAsia="Calibri" w:cs="Arial"/>
                <w:b/>
              </w:rPr>
            </w:pPr>
            <w:r w:rsidRPr="007023F8">
              <w:rPr>
                <w:rFonts w:eastAsia="Calibri" w:cs="Arial"/>
                <w:b/>
              </w:rPr>
              <w:t>Items</w:t>
            </w:r>
          </w:p>
        </w:tc>
        <w:tc>
          <w:tcPr>
            <w:tcW w:w="97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25FDFE9" w14:textId="77777777" w:rsidR="00F06792" w:rsidRPr="007023F8" w:rsidRDefault="00F06792" w:rsidP="00E86D5D">
            <w:pPr>
              <w:keepNext/>
              <w:spacing w:before="40" w:after="40" w:line="276" w:lineRule="auto"/>
              <w:jc w:val="right"/>
              <w:rPr>
                <w:rFonts w:eastAsia="Calibri" w:cs="Arial"/>
                <w:b/>
              </w:rPr>
            </w:pPr>
            <w:r w:rsidRPr="007023F8">
              <w:rPr>
                <w:rFonts w:eastAsia="Calibri" w:cs="Arial"/>
                <w:b/>
              </w:rPr>
              <w:t>Number</w:t>
            </w:r>
          </w:p>
        </w:tc>
      </w:tr>
      <w:tr w:rsidR="00F06792" w:rsidRPr="0075504F" w14:paraId="540D9C53" w14:textId="77777777" w:rsidTr="00E86D5D">
        <w:trPr>
          <w:trHeight w:val="728"/>
        </w:trPr>
        <w:tc>
          <w:tcPr>
            <w:tcW w:w="934" w:type="pct"/>
            <w:tcBorders>
              <w:top w:val="single" w:sz="4" w:space="0" w:color="auto"/>
              <w:left w:val="single" w:sz="4" w:space="0" w:color="auto"/>
              <w:bottom w:val="single" w:sz="4" w:space="0" w:color="auto"/>
              <w:right w:val="single" w:sz="4" w:space="0" w:color="auto"/>
            </w:tcBorders>
            <w:shd w:val="clear" w:color="auto" w:fill="auto"/>
            <w:hideMark/>
          </w:tcPr>
          <w:p w14:paraId="356CD4E5" w14:textId="77777777" w:rsidR="00F06792" w:rsidRPr="007023F8" w:rsidRDefault="00F06792" w:rsidP="00E86D5D">
            <w:pPr>
              <w:keepNext/>
              <w:spacing w:before="40" w:after="40" w:line="276" w:lineRule="auto"/>
              <w:rPr>
                <w:rFonts w:eastAsia="Calibri" w:cs="Arial"/>
              </w:rPr>
            </w:pPr>
            <w:r>
              <w:rPr>
                <w:rFonts w:eastAsia="Calibri" w:cs="Arial"/>
              </w:rPr>
              <w:t>Nov 2021</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14:paraId="2B3036F9" w14:textId="77777777" w:rsidR="00F06792" w:rsidRPr="007023F8" w:rsidRDefault="00F06792" w:rsidP="00E86D5D">
            <w:pPr>
              <w:keepNext/>
              <w:spacing w:before="40" w:after="40" w:line="276" w:lineRule="auto"/>
              <w:rPr>
                <w:rFonts w:eastAsia="Calibri" w:cs="Arial"/>
              </w:rPr>
            </w:pPr>
            <w:r w:rsidRPr="007023F8">
              <w:rPr>
                <w:rFonts w:eastAsia="Calibri" w:cs="Arial"/>
              </w:rPr>
              <w:t>Mailout 1</w:t>
            </w:r>
          </w:p>
        </w:tc>
        <w:tc>
          <w:tcPr>
            <w:tcW w:w="2367" w:type="pct"/>
            <w:tcBorders>
              <w:top w:val="single" w:sz="4" w:space="0" w:color="auto"/>
              <w:left w:val="single" w:sz="4" w:space="0" w:color="auto"/>
              <w:bottom w:val="single" w:sz="4" w:space="0" w:color="auto"/>
              <w:right w:val="single" w:sz="4" w:space="0" w:color="auto"/>
            </w:tcBorders>
            <w:shd w:val="clear" w:color="auto" w:fill="auto"/>
            <w:hideMark/>
          </w:tcPr>
          <w:p w14:paraId="73B9C9DE" w14:textId="77777777" w:rsidR="00F06792" w:rsidRPr="007023F8" w:rsidRDefault="00F06792" w:rsidP="00E86D5D">
            <w:pPr>
              <w:keepNext/>
              <w:spacing w:before="40" w:after="40" w:line="276" w:lineRule="auto"/>
              <w:rPr>
                <w:rFonts w:eastAsia="Calibri" w:cs="Arial"/>
              </w:rPr>
            </w:pPr>
            <w:r w:rsidRPr="007023F8">
              <w:rPr>
                <w:rFonts w:eastAsia="Calibri" w:cs="Arial"/>
              </w:rPr>
              <w:t>Package mailed including survey, information letter, change of details card and reply-paid envelope</w:t>
            </w:r>
          </w:p>
        </w:tc>
        <w:tc>
          <w:tcPr>
            <w:tcW w:w="979" w:type="pct"/>
            <w:tcBorders>
              <w:top w:val="single" w:sz="4" w:space="0" w:color="auto"/>
              <w:left w:val="single" w:sz="4" w:space="0" w:color="auto"/>
              <w:bottom w:val="single" w:sz="4" w:space="0" w:color="auto"/>
              <w:right w:val="single" w:sz="4" w:space="0" w:color="auto"/>
            </w:tcBorders>
            <w:shd w:val="clear" w:color="auto" w:fill="auto"/>
            <w:hideMark/>
          </w:tcPr>
          <w:p w14:paraId="39823A91" w14:textId="77777777" w:rsidR="00F06792" w:rsidRPr="0075504F" w:rsidRDefault="00F06792" w:rsidP="00E86D5D">
            <w:pPr>
              <w:keepNext/>
              <w:spacing w:before="40" w:after="40" w:line="276" w:lineRule="auto"/>
              <w:jc w:val="right"/>
              <w:rPr>
                <w:rFonts w:eastAsia="Calibri" w:cs="Arial"/>
              </w:rPr>
            </w:pPr>
            <w:r>
              <w:rPr>
                <w:rFonts w:eastAsia="Calibri" w:cs="Arial"/>
              </w:rPr>
              <w:t>22</w:t>
            </w:r>
            <w:r w:rsidRPr="0075504F">
              <w:rPr>
                <w:rFonts w:eastAsia="Calibri" w:cs="Arial"/>
              </w:rPr>
              <w:t xml:space="preserve"> mailed</w:t>
            </w:r>
          </w:p>
        </w:tc>
      </w:tr>
      <w:tr w:rsidR="00F06792" w:rsidRPr="00CF312F" w14:paraId="7876A270" w14:textId="77777777" w:rsidTr="00E86D5D">
        <w:trPr>
          <w:trHeight w:val="553"/>
        </w:trPr>
        <w:tc>
          <w:tcPr>
            <w:tcW w:w="934" w:type="pct"/>
            <w:tcBorders>
              <w:top w:val="single" w:sz="4" w:space="0" w:color="auto"/>
              <w:left w:val="single" w:sz="4" w:space="0" w:color="auto"/>
              <w:bottom w:val="single" w:sz="4" w:space="0" w:color="auto"/>
              <w:right w:val="single" w:sz="4" w:space="0" w:color="auto"/>
            </w:tcBorders>
            <w:shd w:val="clear" w:color="auto" w:fill="auto"/>
            <w:hideMark/>
          </w:tcPr>
          <w:p w14:paraId="4A3C0992" w14:textId="77777777" w:rsidR="00F06792" w:rsidRPr="007023F8" w:rsidRDefault="00F06792" w:rsidP="00E86D5D">
            <w:pPr>
              <w:keepNext/>
              <w:spacing w:before="40" w:after="40" w:line="276" w:lineRule="auto"/>
              <w:rPr>
                <w:rFonts w:eastAsia="Calibri" w:cs="Arial"/>
              </w:rPr>
            </w:pPr>
            <w:r>
              <w:rPr>
                <w:rFonts w:eastAsia="Calibri" w:cs="Arial"/>
              </w:rPr>
              <w:t>Dec 2021</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14:paraId="7C480B90" w14:textId="77777777" w:rsidR="00F06792" w:rsidRPr="007023F8" w:rsidRDefault="00F06792" w:rsidP="00E86D5D">
            <w:pPr>
              <w:keepNext/>
              <w:spacing w:before="40" w:after="40" w:line="276" w:lineRule="auto"/>
              <w:rPr>
                <w:rFonts w:eastAsia="Calibri" w:cs="Arial"/>
              </w:rPr>
            </w:pPr>
            <w:r w:rsidRPr="007023F8">
              <w:rPr>
                <w:rFonts w:eastAsia="Calibri" w:cs="Arial"/>
              </w:rPr>
              <w:t>Mailout 2</w:t>
            </w:r>
          </w:p>
        </w:tc>
        <w:tc>
          <w:tcPr>
            <w:tcW w:w="2367" w:type="pct"/>
            <w:tcBorders>
              <w:top w:val="single" w:sz="4" w:space="0" w:color="auto"/>
              <w:left w:val="single" w:sz="4" w:space="0" w:color="auto"/>
              <w:bottom w:val="single" w:sz="4" w:space="0" w:color="auto"/>
              <w:right w:val="single" w:sz="4" w:space="0" w:color="auto"/>
            </w:tcBorders>
            <w:shd w:val="clear" w:color="auto" w:fill="auto"/>
            <w:hideMark/>
          </w:tcPr>
          <w:p w14:paraId="72F0983C" w14:textId="77777777" w:rsidR="00F06792" w:rsidRPr="007023F8" w:rsidRDefault="00F06792" w:rsidP="00E86D5D">
            <w:pPr>
              <w:keepNext/>
              <w:spacing w:before="40" w:after="40" w:line="276" w:lineRule="auto"/>
              <w:rPr>
                <w:rFonts w:eastAsia="Calibri" w:cs="Arial"/>
              </w:rPr>
            </w:pPr>
            <w:r w:rsidRPr="007023F8">
              <w:rPr>
                <w:rFonts w:eastAsia="Calibri" w:cs="Arial"/>
              </w:rPr>
              <w:t>Package mailed including survey, information letter, change of details card and reply-paid envelope</w:t>
            </w:r>
          </w:p>
        </w:tc>
        <w:tc>
          <w:tcPr>
            <w:tcW w:w="979" w:type="pct"/>
            <w:tcBorders>
              <w:top w:val="single" w:sz="4" w:space="0" w:color="auto"/>
              <w:left w:val="single" w:sz="4" w:space="0" w:color="auto"/>
              <w:bottom w:val="single" w:sz="4" w:space="0" w:color="auto"/>
              <w:right w:val="single" w:sz="4" w:space="0" w:color="auto"/>
            </w:tcBorders>
            <w:shd w:val="clear" w:color="auto" w:fill="auto"/>
            <w:hideMark/>
          </w:tcPr>
          <w:p w14:paraId="130D18A1" w14:textId="77777777" w:rsidR="00F06792" w:rsidRPr="00CF312F" w:rsidRDefault="00F06792" w:rsidP="00E86D5D">
            <w:pPr>
              <w:keepNext/>
              <w:spacing w:before="40" w:after="40" w:line="276" w:lineRule="auto"/>
              <w:jc w:val="right"/>
              <w:rPr>
                <w:rFonts w:eastAsia="Calibri" w:cs="Arial"/>
              </w:rPr>
            </w:pPr>
            <w:r>
              <w:rPr>
                <w:rFonts w:eastAsia="Calibri" w:cs="Arial"/>
              </w:rPr>
              <w:t>13</w:t>
            </w:r>
            <w:r w:rsidRPr="00CF312F">
              <w:rPr>
                <w:rFonts w:eastAsia="Calibri" w:cs="Arial"/>
              </w:rPr>
              <w:t xml:space="preserve"> mailed</w:t>
            </w:r>
          </w:p>
        </w:tc>
      </w:tr>
      <w:tr w:rsidR="00F06792" w:rsidRPr="00CF312F" w14:paraId="177F3EC6" w14:textId="77777777" w:rsidTr="00E86D5D">
        <w:trPr>
          <w:trHeight w:val="553"/>
        </w:trPr>
        <w:tc>
          <w:tcPr>
            <w:tcW w:w="934" w:type="pct"/>
            <w:tcBorders>
              <w:top w:val="single" w:sz="4" w:space="0" w:color="auto"/>
              <w:left w:val="single" w:sz="4" w:space="0" w:color="auto"/>
              <w:bottom w:val="single" w:sz="4" w:space="0" w:color="auto"/>
              <w:right w:val="single" w:sz="4" w:space="0" w:color="auto"/>
            </w:tcBorders>
            <w:shd w:val="clear" w:color="auto" w:fill="auto"/>
          </w:tcPr>
          <w:p w14:paraId="7A42AD9A" w14:textId="77777777" w:rsidR="00F06792" w:rsidRDefault="00F06792" w:rsidP="00E86D5D">
            <w:pPr>
              <w:keepNext/>
              <w:spacing w:before="40" w:after="40" w:line="276" w:lineRule="auto"/>
              <w:rPr>
                <w:rFonts w:eastAsia="Calibri" w:cs="Arial"/>
              </w:rPr>
            </w:pPr>
            <w:r>
              <w:rPr>
                <w:rFonts w:eastAsia="Calibri" w:cs="Arial"/>
              </w:rPr>
              <w:t>Jan 2022</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6B0AE427" w14:textId="77777777" w:rsidR="00F06792" w:rsidRPr="007023F8" w:rsidRDefault="00F06792" w:rsidP="00E86D5D">
            <w:pPr>
              <w:keepNext/>
              <w:spacing w:before="40" w:after="40" w:line="276" w:lineRule="auto"/>
              <w:rPr>
                <w:rFonts w:eastAsia="Calibri" w:cs="Arial"/>
              </w:rPr>
            </w:pPr>
            <w:r w:rsidRPr="007023F8">
              <w:rPr>
                <w:rFonts w:eastAsia="Calibri" w:cs="Arial"/>
              </w:rPr>
              <w:t xml:space="preserve">Mailout </w:t>
            </w:r>
            <w:r>
              <w:rPr>
                <w:rFonts w:eastAsia="Calibri" w:cs="Arial"/>
              </w:rPr>
              <w:t>3</w:t>
            </w:r>
          </w:p>
        </w:tc>
        <w:tc>
          <w:tcPr>
            <w:tcW w:w="2367" w:type="pct"/>
            <w:tcBorders>
              <w:top w:val="single" w:sz="4" w:space="0" w:color="auto"/>
              <w:left w:val="single" w:sz="4" w:space="0" w:color="auto"/>
              <w:bottom w:val="single" w:sz="4" w:space="0" w:color="auto"/>
              <w:right w:val="single" w:sz="4" w:space="0" w:color="auto"/>
            </w:tcBorders>
            <w:shd w:val="clear" w:color="auto" w:fill="auto"/>
          </w:tcPr>
          <w:p w14:paraId="1BDFAC13" w14:textId="77777777" w:rsidR="00F06792" w:rsidRPr="007023F8" w:rsidRDefault="00F06792" w:rsidP="00E86D5D">
            <w:pPr>
              <w:keepNext/>
              <w:spacing w:before="40" w:after="40" w:line="276" w:lineRule="auto"/>
              <w:rPr>
                <w:rFonts w:eastAsia="Calibri" w:cs="Arial"/>
              </w:rPr>
            </w:pPr>
            <w:r w:rsidRPr="007023F8">
              <w:rPr>
                <w:rFonts w:eastAsia="Calibri" w:cs="Arial"/>
              </w:rPr>
              <w:t>Package mailed including survey, information letter, change of details card and reply-paid envelope</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6ED90AC6" w14:textId="77777777" w:rsidR="00F06792" w:rsidRDefault="00F06792" w:rsidP="00E86D5D">
            <w:pPr>
              <w:keepNext/>
              <w:spacing w:before="40" w:after="40" w:line="276" w:lineRule="auto"/>
              <w:jc w:val="right"/>
              <w:rPr>
                <w:rFonts w:eastAsia="Calibri" w:cs="Arial"/>
              </w:rPr>
            </w:pPr>
            <w:r>
              <w:rPr>
                <w:rFonts w:eastAsia="Calibri" w:cs="Arial"/>
              </w:rPr>
              <w:t>13</w:t>
            </w:r>
            <w:r w:rsidRPr="0075504F">
              <w:rPr>
                <w:rFonts w:eastAsia="Calibri" w:cs="Arial"/>
              </w:rPr>
              <w:t xml:space="preserve"> mailed</w:t>
            </w:r>
          </w:p>
        </w:tc>
      </w:tr>
      <w:tr w:rsidR="00F06792" w:rsidRPr="00CF312F" w14:paraId="595ED35F" w14:textId="77777777" w:rsidTr="00E86D5D">
        <w:trPr>
          <w:trHeight w:val="553"/>
        </w:trPr>
        <w:tc>
          <w:tcPr>
            <w:tcW w:w="934" w:type="pct"/>
            <w:tcBorders>
              <w:top w:val="single" w:sz="4" w:space="0" w:color="auto"/>
              <w:left w:val="single" w:sz="4" w:space="0" w:color="auto"/>
              <w:bottom w:val="single" w:sz="4" w:space="0" w:color="auto"/>
              <w:right w:val="single" w:sz="4" w:space="0" w:color="auto"/>
            </w:tcBorders>
            <w:shd w:val="clear" w:color="auto" w:fill="auto"/>
          </w:tcPr>
          <w:p w14:paraId="3F86A717" w14:textId="77777777" w:rsidR="00F06792" w:rsidRDefault="00F06792" w:rsidP="00E86D5D">
            <w:pPr>
              <w:keepNext/>
              <w:spacing w:before="40" w:after="40" w:line="276" w:lineRule="auto"/>
              <w:rPr>
                <w:rFonts w:eastAsia="Calibri" w:cs="Arial"/>
              </w:rPr>
            </w:pPr>
            <w:r>
              <w:rPr>
                <w:rFonts w:eastAsia="Calibri" w:cs="Arial"/>
              </w:rPr>
              <w:t>Feb 2022</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2BC4E6DD" w14:textId="77777777" w:rsidR="00F06792" w:rsidRPr="007023F8" w:rsidRDefault="00F06792" w:rsidP="00E86D5D">
            <w:pPr>
              <w:keepNext/>
              <w:spacing w:before="40" w:after="40" w:line="276" w:lineRule="auto"/>
              <w:rPr>
                <w:rFonts w:eastAsia="Calibri" w:cs="Arial"/>
              </w:rPr>
            </w:pPr>
            <w:r w:rsidRPr="007023F8">
              <w:rPr>
                <w:rFonts w:eastAsia="Calibri" w:cs="Arial"/>
              </w:rPr>
              <w:t xml:space="preserve">Mailout </w:t>
            </w:r>
            <w:r>
              <w:rPr>
                <w:rFonts w:eastAsia="Calibri" w:cs="Arial"/>
              </w:rPr>
              <w:t>4</w:t>
            </w:r>
          </w:p>
        </w:tc>
        <w:tc>
          <w:tcPr>
            <w:tcW w:w="2367" w:type="pct"/>
            <w:tcBorders>
              <w:top w:val="single" w:sz="4" w:space="0" w:color="auto"/>
              <w:left w:val="single" w:sz="4" w:space="0" w:color="auto"/>
              <w:bottom w:val="single" w:sz="4" w:space="0" w:color="auto"/>
              <w:right w:val="single" w:sz="4" w:space="0" w:color="auto"/>
            </w:tcBorders>
            <w:shd w:val="clear" w:color="auto" w:fill="auto"/>
          </w:tcPr>
          <w:p w14:paraId="3BD96708" w14:textId="77777777" w:rsidR="00F06792" w:rsidRPr="007023F8" w:rsidRDefault="00F06792" w:rsidP="00E86D5D">
            <w:pPr>
              <w:keepNext/>
              <w:spacing w:before="40" w:after="40" w:line="276" w:lineRule="auto"/>
              <w:rPr>
                <w:rFonts w:eastAsia="Calibri" w:cs="Arial"/>
              </w:rPr>
            </w:pPr>
            <w:r w:rsidRPr="007023F8">
              <w:rPr>
                <w:rFonts w:eastAsia="Calibri" w:cs="Arial"/>
              </w:rPr>
              <w:t>Package mailed including survey, information letter, change of details card and reply-paid envelope</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1E5260F8" w14:textId="77777777" w:rsidR="00F06792" w:rsidRDefault="00F06792" w:rsidP="00E86D5D">
            <w:pPr>
              <w:keepNext/>
              <w:spacing w:before="40" w:after="40" w:line="276" w:lineRule="auto"/>
              <w:jc w:val="right"/>
              <w:rPr>
                <w:rFonts w:eastAsia="Calibri" w:cs="Arial"/>
              </w:rPr>
            </w:pPr>
            <w:r>
              <w:rPr>
                <w:rFonts w:eastAsia="Calibri" w:cs="Arial"/>
              </w:rPr>
              <w:t xml:space="preserve">10 </w:t>
            </w:r>
            <w:r w:rsidRPr="00CF312F">
              <w:rPr>
                <w:rFonts w:eastAsia="Calibri" w:cs="Arial"/>
              </w:rPr>
              <w:t>mailed</w:t>
            </w:r>
          </w:p>
        </w:tc>
      </w:tr>
    </w:tbl>
    <w:p w14:paraId="3AF968FB" w14:textId="7A7E31B2" w:rsidR="00F06792" w:rsidRDefault="00F06792" w:rsidP="0093729E">
      <w:pPr>
        <w:rPr>
          <w:b/>
          <w:bCs/>
        </w:rPr>
      </w:pPr>
    </w:p>
    <w:p w14:paraId="56456197" w14:textId="77777777" w:rsidR="00F06792" w:rsidRPr="0093729E" w:rsidRDefault="00F06792" w:rsidP="0093729E">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47"/>
        <w:gridCol w:w="1346"/>
        <w:gridCol w:w="4426"/>
        <w:gridCol w:w="1831"/>
      </w:tblGrid>
      <w:tr w:rsidR="00F06792" w:rsidRPr="007023F8" w14:paraId="4EEAB40F" w14:textId="77777777" w:rsidTr="00E86D5D">
        <w:trPr>
          <w:trHeight w:val="367"/>
          <w:tblHeader/>
        </w:trPr>
        <w:tc>
          <w:tcPr>
            <w:tcW w:w="934"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397A942" w14:textId="77777777" w:rsidR="00F06792" w:rsidRPr="007023F8" w:rsidRDefault="00F06792" w:rsidP="00E86D5D">
            <w:pPr>
              <w:keepNext/>
              <w:spacing w:before="40" w:after="40" w:line="276" w:lineRule="auto"/>
              <w:rPr>
                <w:rFonts w:eastAsia="Calibri" w:cs="Arial"/>
                <w:b/>
              </w:rPr>
            </w:pPr>
            <w:r w:rsidRPr="007023F8">
              <w:rPr>
                <w:rFonts w:eastAsia="Calibri" w:cs="Arial"/>
                <w:b/>
              </w:rPr>
              <w:lastRenderedPageBreak/>
              <w:t>Date</w:t>
            </w:r>
          </w:p>
        </w:tc>
        <w:tc>
          <w:tcPr>
            <w:tcW w:w="72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C4511F5" w14:textId="77777777" w:rsidR="00F06792" w:rsidRPr="007023F8" w:rsidRDefault="00F06792" w:rsidP="00E86D5D">
            <w:pPr>
              <w:keepNext/>
              <w:spacing w:before="40" w:after="40" w:line="276" w:lineRule="auto"/>
              <w:rPr>
                <w:rFonts w:eastAsia="Calibri" w:cs="Arial"/>
                <w:b/>
              </w:rPr>
            </w:pPr>
            <w:r w:rsidRPr="007023F8">
              <w:rPr>
                <w:rFonts w:eastAsia="Calibri" w:cs="Arial"/>
                <w:b/>
              </w:rPr>
              <w:t>Activity</w:t>
            </w:r>
          </w:p>
        </w:tc>
        <w:tc>
          <w:tcPr>
            <w:tcW w:w="2367"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0CEBAB1" w14:textId="77777777" w:rsidR="00F06792" w:rsidRPr="007023F8" w:rsidRDefault="00F06792" w:rsidP="00E86D5D">
            <w:pPr>
              <w:keepNext/>
              <w:spacing w:before="40" w:after="40" w:line="276" w:lineRule="auto"/>
              <w:rPr>
                <w:rFonts w:eastAsia="Calibri" w:cs="Arial"/>
                <w:b/>
              </w:rPr>
            </w:pPr>
            <w:r w:rsidRPr="007023F8">
              <w:rPr>
                <w:rFonts w:eastAsia="Calibri" w:cs="Arial"/>
                <w:b/>
              </w:rPr>
              <w:t>Items</w:t>
            </w:r>
          </w:p>
        </w:tc>
        <w:tc>
          <w:tcPr>
            <w:tcW w:w="97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5DD1E92" w14:textId="77777777" w:rsidR="00F06792" w:rsidRPr="007023F8" w:rsidRDefault="00F06792" w:rsidP="00E86D5D">
            <w:pPr>
              <w:keepNext/>
              <w:spacing w:before="40" w:after="40" w:line="276" w:lineRule="auto"/>
              <w:jc w:val="right"/>
              <w:rPr>
                <w:rFonts w:eastAsia="Calibri" w:cs="Arial"/>
                <w:b/>
              </w:rPr>
            </w:pPr>
            <w:r w:rsidRPr="007023F8">
              <w:rPr>
                <w:rFonts w:eastAsia="Calibri" w:cs="Arial"/>
                <w:b/>
              </w:rPr>
              <w:t>Number</w:t>
            </w:r>
          </w:p>
        </w:tc>
      </w:tr>
      <w:tr w:rsidR="00F06792" w:rsidRPr="00CF312F" w14:paraId="45BD4A2E" w14:textId="77777777" w:rsidTr="00E86D5D">
        <w:trPr>
          <w:trHeight w:val="553"/>
        </w:trPr>
        <w:tc>
          <w:tcPr>
            <w:tcW w:w="934" w:type="pct"/>
            <w:tcBorders>
              <w:top w:val="single" w:sz="4" w:space="0" w:color="auto"/>
              <w:left w:val="single" w:sz="4" w:space="0" w:color="auto"/>
              <w:bottom w:val="single" w:sz="4" w:space="0" w:color="auto"/>
              <w:right w:val="single" w:sz="4" w:space="0" w:color="auto"/>
            </w:tcBorders>
            <w:shd w:val="clear" w:color="auto" w:fill="auto"/>
          </w:tcPr>
          <w:p w14:paraId="754C4726" w14:textId="77777777" w:rsidR="00F06792" w:rsidRDefault="00F06792" w:rsidP="00E86D5D">
            <w:pPr>
              <w:keepNext/>
              <w:spacing w:before="40" w:after="40" w:line="276" w:lineRule="auto"/>
              <w:rPr>
                <w:rFonts w:eastAsia="Calibri" w:cs="Arial"/>
              </w:rPr>
            </w:pPr>
            <w:r>
              <w:rPr>
                <w:rFonts w:eastAsia="Calibri" w:cs="Arial"/>
              </w:rPr>
              <w:t>Apr 2022</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0A527E5C" w14:textId="77777777" w:rsidR="00F06792" w:rsidRPr="007023F8" w:rsidRDefault="00F06792" w:rsidP="00E86D5D">
            <w:pPr>
              <w:keepNext/>
              <w:spacing w:before="40" w:after="40" w:line="276" w:lineRule="auto"/>
              <w:rPr>
                <w:rFonts w:eastAsia="Calibri" w:cs="Arial"/>
              </w:rPr>
            </w:pPr>
            <w:r w:rsidRPr="007023F8">
              <w:rPr>
                <w:rFonts w:eastAsia="Calibri" w:cs="Arial"/>
              </w:rPr>
              <w:t xml:space="preserve">Mailout </w:t>
            </w:r>
            <w:r>
              <w:rPr>
                <w:rFonts w:eastAsia="Calibri" w:cs="Arial"/>
              </w:rPr>
              <w:t>5</w:t>
            </w:r>
          </w:p>
        </w:tc>
        <w:tc>
          <w:tcPr>
            <w:tcW w:w="2367" w:type="pct"/>
            <w:tcBorders>
              <w:top w:val="single" w:sz="4" w:space="0" w:color="auto"/>
              <w:left w:val="single" w:sz="4" w:space="0" w:color="auto"/>
              <w:bottom w:val="single" w:sz="4" w:space="0" w:color="auto"/>
              <w:right w:val="single" w:sz="4" w:space="0" w:color="auto"/>
            </w:tcBorders>
            <w:shd w:val="clear" w:color="auto" w:fill="auto"/>
          </w:tcPr>
          <w:p w14:paraId="19C64526" w14:textId="77777777" w:rsidR="00F06792" w:rsidRPr="007023F8" w:rsidRDefault="00F06792" w:rsidP="00E86D5D">
            <w:pPr>
              <w:keepNext/>
              <w:spacing w:before="40" w:after="40" w:line="276" w:lineRule="auto"/>
              <w:rPr>
                <w:rFonts w:eastAsia="Calibri" w:cs="Arial"/>
              </w:rPr>
            </w:pPr>
            <w:r w:rsidRPr="007023F8">
              <w:rPr>
                <w:rFonts w:eastAsia="Calibri" w:cs="Arial"/>
              </w:rPr>
              <w:t>Package mailed including survey, information letter, change of details card and reply-paid envelope</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66577F58" w14:textId="77777777" w:rsidR="00F06792" w:rsidRDefault="00F06792" w:rsidP="00E86D5D">
            <w:pPr>
              <w:keepNext/>
              <w:spacing w:before="40" w:after="40" w:line="276" w:lineRule="auto"/>
              <w:jc w:val="right"/>
              <w:rPr>
                <w:rFonts w:eastAsia="Calibri" w:cs="Arial"/>
              </w:rPr>
            </w:pPr>
            <w:r>
              <w:rPr>
                <w:rFonts w:eastAsia="Calibri" w:cs="Arial"/>
              </w:rPr>
              <w:t>7</w:t>
            </w:r>
            <w:r w:rsidRPr="00C345F5">
              <w:rPr>
                <w:rFonts w:eastAsia="Calibri" w:cs="Arial"/>
              </w:rPr>
              <w:t xml:space="preserve"> mailed</w:t>
            </w:r>
          </w:p>
        </w:tc>
      </w:tr>
      <w:tr w:rsidR="00F06792" w:rsidRPr="00CF312F" w14:paraId="3AAEE7F7" w14:textId="77777777" w:rsidTr="00E86D5D">
        <w:trPr>
          <w:trHeight w:val="553"/>
        </w:trPr>
        <w:tc>
          <w:tcPr>
            <w:tcW w:w="934" w:type="pct"/>
            <w:tcBorders>
              <w:top w:val="single" w:sz="4" w:space="0" w:color="auto"/>
              <w:left w:val="single" w:sz="4" w:space="0" w:color="auto"/>
              <w:bottom w:val="single" w:sz="4" w:space="0" w:color="auto"/>
              <w:right w:val="single" w:sz="4" w:space="0" w:color="auto"/>
            </w:tcBorders>
            <w:shd w:val="clear" w:color="auto" w:fill="auto"/>
          </w:tcPr>
          <w:p w14:paraId="09D3A02E" w14:textId="77777777" w:rsidR="00F06792" w:rsidRDefault="00F06792" w:rsidP="00E86D5D">
            <w:pPr>
              <w:keepNext/>
              <w:spacing w:before="40" w:after="40" w:line="276" w:lineRule="auto"/>
              <w:rPr>
                <w:rFonts w:eastAsia="Calibri" w:cs="Arial"/>
              </w:rPr>
            </w:pPr>
            <w:r>
              <w:rPr>
                <w:rFonts w:eastAsia="Calibri" w:cs="Arial"/>
              </w:rPr>
              <w:t>May 2022</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16B4B38B" w14:textId="77777777" w:rsidR="00F06792" w:rsidRPr="007023F8" w:rsidRDefault="00F06792" w:rsidP="00E86D5D">
            <w:pPr>
              <w:keepNext/>
              <w:spacing w:before="40" w:after="40" w:line="276" w:lineRule="auto"/>
              <w:rPr>
                <w:rFonts w:eastAsia="Calibri" w:cs="Arial"/>
              </w:rPr>
            </w:pPr>
            <w:r w:rsidRPr="007023F8">
              <w:rPr>
                <w:rFonts w:eastAsia="Calibri" w:cs="Arial"/>
              </w:rPr>
              <w:t xml:space="preserve">Mailout </w:t>
            </w:r>
            <w:r>
              <w:rPr>
                <w:rFonts w:eastAsia="Calibri" w:cs="Arial"/>
              </w:rPr>
              <w:t>6</w:t>
            </w:r>
          </w:p>
        </w:tc>
        <w:tc>
          <w:tcPr>
            <w:tcW w:w="2367" w:type="pct"/>
            <w:tcBorders>
              <w:top w:val="single" w:sz="4" w:space="0" w:color="auto"/>
              <w:left w:val="single" w:sz="4" w:space="0" w:color="auto"/>
              <w:bottom w:val="single" w:sz="4" w:space="0" w:color="auto"/>
              <w:right w:val="single" w:sz="4" w:space="0" w:color="auto"/>
            </w:tcBorders>
            <w:shd w:val="clear" w:color="auto" w:fill="auto"/>
          </w:tcPr>
          <w:p w14:paraId="2D58A321" w14:textId="77777777" w:rsidR="00F06792" w:rsidRPr="007023F8" w:rsidRDefault="00F06792" w:rsidP="00E86D5D">
            <w:pPr>
              <w:keepNext/>
              <w:spacing w:before="40" w:after="40" w:line="276" w:lineRule="auto"/>
              <w:rPr>
                <w:rFonts w:eastAsia="Calibri" w:cs="Arial"/>
              </w:rPr>
            </w:pPr>
            <w:r w:rsidRPr="007023F8">
              <w:rPr>
                <w:rFonts w:eastAsia="Calibri" w:cs="Arial"/>
              </w:rPr>
              <w:t>Package mailed including survey, information letter, change of details card and reply-paid envelope</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3C76F557" w14:textId="77777777" w:rsidR="00F06792" w:rsidRDefault="00F06792" w:rsidP="00E86D5D">
            <w:pPr>
              <w:keepNext/>
              <w:spacing w:before="40" w:after="40" w:line="276" w:lineRule="auto"/>
              <w:jc w:val="right"/>
              <w:rPr>
                <w:rFonts w:eastAsia="Calibri" w:cs="Arial"/>
              </w:rPr>
            </w:pPr>
            <w:r>
              <w:rPr>
                <w:rFonts w:eastAsia="Calibri" w:cs="Arial"/>
              </w:rPr>
              <w:t>46</w:t>
            </w:r>
            <w:r w:rsidRPr="00C345F5">
              <w:rPr>
                <w:rFonts w:eastAsia="Calibri" w:cs="Arial"/>
              </w:rPr>
              <w:t xml:space="preserve"> mailed</w:t>
            </w:r>
          </w:p>
        </w:tc>
      </w:tr>
      <w:tr w:rsidR="00F06792" w:rsidRPr="00CF312F" w14:paraId="234E5305" w14:textId="77777777" w:rsidTr="00E86D5D">
        <w:trPr>
          <w:trHeight w:val="553"/>
        </w:trPr>
        <w:tc>
          <w:tcPr>
            <w:tcW w:w="934" w:type="pct"/>
            <w:tcBorders>
              <w:top w:val="single" w:sz="4" w:space="0" w:color="auto"/>
              <w:left w:val="single" w:sz="4" w:space="0" w:color="auto"/>
              <w:bottom w:val="single" w:sz="4" w:space="0" w:color="auto"/>
              <w:right w:val="single" w:sz="4" w:space="0" w:color="auto"/>
            </w:tcBorders>
            <w:shd w:val="clear" w:color="auto" w:fill="auto"/>
          </w:tcPr>
          <w:p w14:paraId="6305D501" w14:textId="77777777" w:rsidR="00F06792" w:rsidRDefault="00F06792" w:rsidP="00E86D5D">
            <w:pPr>
              <w:keepNext/>
              <w:spacing w:before="40" w:after="40" w:line="276" w:lineRule="auto"/>
              <w:rPr>
                <w:rFonts w:eastAsia="Calibri" w:cs="Arial"/>
              </w:rPr>
            </w:pPr>
            <w:r>
              <w:rPr>
                <w:rFonts w:eastAsia="Calibri" w:cs="Arial"/>
              </w:rPr>
              <w:t>Jun 2022</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71C9853D" w14:textId="77777777" w:rsidR="00F06792" w:rsidRPr="007023F8" w:rsidRDefault="00F06792" w:rsidP="00E86D5D">
            <w:pPr>
              <w:keepNext/>
              <w:spacing w:before="40" w:after="40" w:line="276" w:lineRule="auto"/>
              <w:rPr>
                <w:rFonts w:eastAsia="Calibri" w:cs="Arial"/>
              </w:rPr>
            </w:pPr>
            <w:r w:rsidRPr="007023F8">
              <w:rPr>
                <w:rFonts w:eastAsia="Calibri" w:cs="Arial"/>
              </w:rPr>
              <w:t xml:space="preserve">Mailout </w:t>
            </w:r>
            <w:r>
              <w:rPr>
                <w:rFonts w:eastAsia="Calibri" w:cs="Arial"/>
              </w:rPr>
              <w:t>7</w:t>
            </w:r>
          </w:p>
        </w:tc>
        <w:tc>
          <w:tcPr>
            <w:tcW w:w="2367" w:type="pct"/>
            <w:tcBorders>
              <w:top w:val="single" w:sz="4" w:space="0" w:color="auto"/>
              <w:left w:val="single" w:sz="4" w:space="0" w:color="auto"/>
              <w:bottom w:val="single" w:sz="4" w:space="0" w:color="auto"/>
              <w:right w:val="single" w:sz="4" w:space="0" w:color="auto"/>
            </w:tcBorders>
            <w:shd w:val="clear" w:color="auto" w:fill="auto"/>
          </w:tcPr>
          <w:p w14:paraId="5B097B5B" w14:textId="77777777" w:rsidR="00F06792" w:rsidRPr="007023F8" w:rsidRDefault="00F06792" w:rsidP="00E86D5D">
            <w:pPr>
              <w:keepNext/>
              <w:spacing w:before="40" w:after="40" w:line="276" w:lineRule="auto"/>
              <w:rPr>
                <w:rFonts w:eastAsia="Calibri" w:cs="Arial"/>
              </w:rPr>
            </w:pPr>
            <w:r w:rsidRPr="007023F8">
              <w:rPr>
                <w:rFonts w:eastAsia="Calibri" w:cs="Arial"/>
              </w:rPr>
              <w:t>Package mailed including survey, information letter, change of details card and reply-paid envelope</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15CE3830" w14:textId="77777777" w:rsidR="00F06792" w:rsidRDefault="00F06792" w:rsidP="00E86D5D">
            <w:pPr>
              <w:keepNext/>
              <w:spacing w:before="40" w:after="40" w:line="276" w:lineRule="auto"/>
              <w:jc w:val="right"/>
              <w:rPr>
                <w:rFonts w:eastAsia="Calibri" w:cs="Arial"/>
              </w:rPr>
            </w:pPr>
            <w:r>
              <w:rPr>
                <w:rFonts w:eastAsia="Calibri" w:cs="Arial"/>
              </w:rPr>
              <w:t>23</w:t>
            </w:r>
            <w:r w:rsidRPr="00C345F5">
              <w:rPr>
                <w:rFonts w:eastAsia="Calibri" w:cs="Arial"/>
              </w:rPr>
              <w:t xml:space="preserve"> mailed</w:t>
            </w:r>
          </w:p>
        </w:tc>
      </w:tr>
      <w:tr w:rsidR="00F06792" w:rsidRPr="00CF312F" w14:paraId="40694B0A" w14:textId="77777777" w:rsidTr="00E86D5D">
        <w:trPr>
          <w:trHeight w:val="553"/>
        </w:trPr>
        <w:tc>
          <w:tcPr>
            <w:tcW w:w="934" w:type="pct"/>
            <w:tcBorders>
              <w:top w:val="single" w:sz="4" w:space="0" w:color="auto"/>
              <w:left w:val="single" w:sz="4" w:space="0" w:color="auto"/>
              <w:bottom w:val="single" w:sz="4" w:space="0" w:color="auto"/>
              <w:right w:val="single" w:sz="4" w:space="0" w:color="auto"/>
            </w:tcBorders>
            <w:shd w:val="clear" w:color="auto" w:fill="auto"/>
          </w:tcPr>
          <w:p w14:paraId="0ED3A888" w14:textId="77777777" w:rsidR="00F06792" w:rsidRDefault="00F06792" w:rsidP="00E86D5D">
            <w:pPr>
              <w:keepNext/>
              <w:spacing w:before="40" w:after="40" w:line="276" w:lineRule="auto"/>
              <w:rPr>
                <w:rFonts w:eastAsia="Calibri" w:cs="Arial"/>
              </w:rPr>
            </w:pPr>
            <w:r>
              <w:rPr>
                <w:rFonts w:eastAsia="Calibri" w:cs="Arial"/>
              </w:rPr>
              <w:t>July 2022</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68F52858" w14:textId="77777777" w:rsidR="00F06792" w:rsidRPr="007023F8" w:rsidRDefault="00F06792" w:rsidP="00E86D5D">
            <w:pPr>
              <w:keepNext/>
              <w:spacing w:before="40" w:after="40" w:line="276" w:lineRule="auto"/>
              <w:rPr>
                <w:rFonts w:eastAsia="Calibri" w:cs="Arial"/>
              </w:rPr>
            </w:pPr>
            <w:r w:rsidRPr="007023F8">
              <w:rPr>
                <w:rFonts w:eastAsia="Calibri" w:cs="Arial"/>
              </w:rPr>
              <w:t xml:space="preserve">Mailout </w:t>
            </w:r>
            <w:r>
              <w:rPr>
                <w:rFonts w:eastAsia="Calibri" w:cs="Arial"/>
              </w:rPr>
              <w:t>8</w:t>
            </w:r>
          </w:p>
        </w:tc>
        <w:tc>
          <w:tcPr>
            <w:tcW w:w="2367" w:type="pct"/>
            <w:tcBorders>
              <w:top w:val="single" w:sz="4" w:space="0" w:color="auto"/>
              <w:left w:val="single" w:sz="4" w:space="0" w:color="auto"/>
              <w:bottom w:val="single" w:sz="4" w:space="0" w:color="auto"/>
              <w:right w:val="single" w:sz="4" w:space="0" w:color="auto"/>
            </w:tcBorders>
            <w:shd w:val="clear" w:color="auto" w:fill="auto"/>
          </w:tcPr>
          <w:p w14:paraId="2019A7FD" w14:textId="77777777" w:rsidR="00F06792" w:rsidRPr="007023F8" w:rsidRDefault="00F06792" w:rsidP="00E86D5D">
            <w:pPr>
              <w:keepNext/>
              <w:spacing w:before="40" w:after="40" w:line="276" w:lineRule="auto"/>
              <w:rPr>
                <w:rFonts w:eastAsia="Calibri" w:cs="Arial"/>
              </w:rPr>
            </w:pPr>
            <w:r w:rsidRPr="007023F8">
              <w:rPr>
                <w:rFonts w:eastAsia="Calibri" w:cs="Arial"/>
              </w:rPr>
              <w:t>Package mailed including survey, information letter, change of details card and reply-paid envelope</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134E5D98" w14:textId="77777777" w:rsidR="00F06792" w:rsidRDefault="00F06792" w:rsidP="00E86D5D">
            <w:pPr>
              <w:keepNext/>
              <w:spacing w:before="40" w:after="40" w:line="276" w:lineRule="auto"/>
              <w:jc w:val="right"/>
              <w:rPr>
                <w:rFonts w:eastAsia="Calibri" w:cs="Arial"/>
              </w:rPr>
            </w:pPr>
            <w:r>
              <w:rPr>
                <w:rFonts w:eastAsia="Calibri" w:cs="Arial"/>
              </w:rPr>
              <w:t>31</w:t>
            </w:r>
            <w:r w:rsidRPr="00C345F5">
              <w:rPr>
                <w:rFonts w:eastAsia="Calibri" w:cs="Arial"/>
              </w:rPr>
              <w:t xml:space="preserve"> mailed</w:t>
            </w:r>
          </w:p>
        </w:tc>
      </w:tr>
      <w:tr w:rsidR="00F06792" w:rsidRPr="00CF312F" w14:paraId="38A7F5A0" w14:textId="77777777" w:rsidTr="00E86D5D">
        <w:trPr>
          <w:trHeight w:val="553"/>
        </w:trPr>
        <w:tc>
          <w:tcPr>
            <w:tcW w:w="934" w:type="pct"/>
            <w:tcBorders>
              <w:top w:val="single" w:sz="4" w:space="0" w:color="auto"/>
              <w:left w:val="single" w:sz="4" w:space="0" w:color="auto"/>
              <w:bottom w:val="single" w:sz="4" w:space="0" w:color="auto"/>
              <w:right w:val="single" w:sz="4" w:space="0" w:color="auto"/>
            </w:tcBorders>
            <w:shd w:val="clear" w:color="auto" w:fill="auto"/>
          </w:tcPr>
          <w:p w14:paraId="227088AA" w14:textId="77777777" w:rsidR="00F06792" w:rsidRDefault="00F06792" w:rsidP="00E86D5D">
            <w:pPr>
              <w:spacing w:before="40" w:after="40" w:line="276" w:lineRule="auto"/>
              <w:rPr>
                <w:rFonts w:eastAsia="Calibri" w:cs="Arial"/>
              </w:rPr>
            </w:pPr>
            <w:r>
              <w:rPr>
                <w:rFonts w:eastAsia="Calibri" w:cs="Arial"/>
              </w:rPr>
              <w:t>Aug 2022</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5237A6EA" w14:textId="77777777" w:rsidR="00F06792" w:rsidRPr="007023F8" w:rsidRDefault="00F06792" w:rsidP="00E86D5D">
            <w:pPr>
              <w:spacing w:before="40" w:after="40" w:line="276" w:lineRule="auto"/>
              <w:rPr>
                <w:rFonts w:eastAsia="Calibri" w:cs="Arial"/>
              </w:rPr>
            </w:pPr>
            <w:r w:rsidRPr="007023F8">
              <w:rPr>
                <w:rFonts w:eastAsia="Calibri" w:cs="Arial"/>
              </w:rPr>
              <w:t xml:space="preserve">Mailout </w:t>
            </w:r>
            <w:r>
              <w:rPr>
                <w:rFonts w:eastAsia="Calibri" w:cs="Arial"/>
              </w:rPr>
              <w:t>9</w:t>
            </w:r>
          </w:p>
        </w:tc>
        <w:tc>
          <w:tcPr>
            <w:tcW w:w="2367" w:type="pct"/>
            <w:tcBorders>
              <w:top w:val="single" w:sz="4" w:space="0" w:color="auto"/>
              <w:left w:val="single" w:sz="4" w:space="0" w:color="auto"/>
              <w:bottom w:val="single" w:sz="4" w:space="0" w:color="auto"/>
              <w:right w:val="single" w:sz="4" w:space="0" w:color="auto"/>
            </w:tcBorders>
            <w:shd w:val="clear" w:color="auto" w:fill="auto"/>
          </w:tcPr>
          <w:p w14:paraId="3C0B51F3" w14:textId="77777777" w:rsidR="00F06792" w:rsidRPr="007023F8" w:rsidRDefault="00F06792" w:rsidP="00E86D5D">
            <w:pPr>
              <w:spacing w:before="40" w:after="40" w:line="276" w:lineRule="auto"/>
              <w:rPr>
                <w:rFonts w:eastAsia="Calibri" w:cs="Arial"/>
              </w:rPr>
            </w:pPr>
            <w:r w:rsidRPr="007023F8">
              <w:rPr>
                <w:rFonts w:eastAsia="Calibri" w:cs="Arial"/>
              </w:rPr>
              <w:t>Package mailed including survey, information letter, change of details card and reply-paid envelope</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1953A32F" w14:textId="77777777" w:rsidR="00F06792" w:rsidRDefault="00F06792" w:rsidP="00E86D5D">
            <w:pPr>
              <w:spacing w:before="40" w:after="40" w:line="276" w:lineRule="auto"/>
              <w:jc w:val="right"/>
              <w:rPr>
                <w:rFonts w:eastAsia="Calibri" w:cs="Arial"/>
              </w:rPr>
            </w:pPr>
            <w:r>
              <w:rPr>
                <w:rFonts w:eastAsia="Calibri" w:cs="Arial"/>
              </w:rPr>
              <w:t>17</w:t>
            </w:r>
            <w:r w:rsidRPr="00C345F5">
              <w:rPr>
                <w:rFonts w:eastAsia="Calibri" w:cs="Arial"/>
              </w:rPr>
              <w:t xml:space="preserve"> mailed</w:t>
            </w:r>
          </w:p>
        </w:tc>
      </w:tr>
      <w:tr w:rsidR="003F39A6" w:rsidRPr="00CF312F" w14:paraId="31CF050F" w14:textId="77777777" w:rsidTr="003F39A6">
        <w:trPr>
          <w:trHeight w:val="553"/>
        </w:trPr>
        <w:tc>
          <w:tcPr>
            <w:tcW w:w="934" w:type="pct"/>
            <w:tcBorders>
              <w:top w:val="single" w:sz="4" w:space="0" w:color="auto"/>
              <w:left w:val="single" w:sz="4" w:space="0" w:color="auto"/>
              <w:bottom w:val="single" w:sz="4" w:space="0" w:color="auto"/>
              <w:right w:val="single" w:sz="4" w:space="0" w:color="auto"/>
            </w:tcBorders>
            <w:shd w:val="clear" w:color="auto" w:fill="auto"/>
          </w:tcPr>
          <w:p w14:paraId="73B32941" w14:textId="681B3325" w:rsidR="003F39A6" w:rsidRDefault="003F39A6" w:rsidP="003F39A6">
            <w:pPr>
              <w:spacing w:before="40" w:after="40" w:line="276" w:lineRule="auto"/>
              <w:rPr>
                <w:rFonts w:eastAsia="Calibri" w:cs="Arial"/>
              </w:rPr>
            </w:pPr>
            <w:r>
              <w:rPr>
                <w:rFonts w:eastAsia="Calibri" w:cs="Arial"/>
              </w:rPr>
              <w:t>Sept 2022</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3B428C6A" w14:textId="1DEC7D86" w:rsidR="003F39A6" w:rsidRPr="007023F8" w:rsidRDefault="003F39A6" w:rsidP="003F39A6">
            <w:pPr>
              <w:spacing w:before="40" w:after="40" w:line="276" w:lineRule="auto"/>
              <w:rPr>
                <w:rFonts w:eastAsia="Calibri" w:cs="Arial"/>
              </w:rPr>
            </w:pPr>
            <w:r w:rsidRPr="007023F8">
              <w:rPr>
                <w:rFonts w:eastAsia="Calibri" w:cs="Arial"/>
              </w:rPr>
              <w:t xml:space="preserve">Mailout </w:t>
            </w:r>
            <w:r>
              <w:rPr>
                <w:rFonts w:eastAsia="Calibri" w:cs="Arial"/>
              </w:rPr>
              <w:t>10</w:t>
            </w:r>
          </w:p>
        </w:tc>
        <w:tc>
          <w:tcPr>
            <w:tcW w:w="2367" w:type="pct"/>
            <w:tcBorders>
              <w:top w:val="single" w:sz="4" w:space="0" w:color="auto"/>
              <w:left w:val="single" w:sz="4" w:space="0" w:color="auto"/>
              <w:bottom w:val="single" w:sz="4" w:space="0" w:color="auto"/>
              <w:right w:val="single" w:sz="4" w:space="0" w:color="auto"/>
            </w:tcBorders>
            <w:shd w:val="clear" w:color="auto" w:fill="auto"/>
          </w:tcPr>
          <w:p w14:paraId="03118445" w14:textId="77777777" w:rsidR="003F39A6" w:rsidRPr="007023F8" w:rsidRDefault="003F39A6" w:rsidP="003F39A6">
            <w:pPr>
              <w:spacing w:before="40" w:after="40" w:line="276" w:lineRule="auto"/>
              <w:rPr>
                <w:rFonts w:eastAsia="Calibri" w:cs="Arial"/>
              </w:rPr>
            </w:pPr>
            <w:r w:rsidRPr="007023F8">
              <w:rPr>
                <w:rFonts w:eastAsia="Calibri" w:cs="Arial"/>
              </w:rPr>
              <w:t>Package mailed including survey, information letter, change of details card and reply-paid envelope</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520C02AA" w14:textId="17C80663" w:rsidR="003F39A6" w:rsidRDefault="003F39A6" w:rsidP="003F39A6">
            <w:pPr>
              <w:spacing w:before="40" w:after="40" w:line="276" w:lineRule="auto"/>
              <w:jc w:val="right"/>
              <w:rPr>
                <w:rFonts w:eastAsia="Calibri" w:cs="Arial"/>
              </w:rPr>
            </w:pPr>
            <w:r>
              <w:rPr>
                <w:rFonts w:eastAsia="Calibri" w:cs="Arial"/>
              </w:rPr>
              <w:t>28</w:t>
            </w:r>
            <w:r w:rsidRPr="00C345F5">
              <w:rPr>
                <w:rFonts w:eastAsia="Calibri" w:cs="Arial"/>
              </w:rPr>
              <w:t xml:space="preserve"> mailed</w:t>
            </w:r>
          </w:p>
        </w:tc>
      </w:tr>
      <w:tr w:rsidR="003F39A6" w:rsidRPr="00CF312F" w14:paraId="30EB3661" w14:textId="77777777" w:rsidTr="003F39A6">
        <w:trPr>
          <w:trHeight w:val="553"/>
        </w:trPr>
        <w:tc>
          <w:tcPr>
            <w:tcW w:w="934" w:type="pct"/>
            <w:tcBorders>
              <w:top w:val="single" w:sz="4" w:space="0" w:color="auto"/>
              <w:left w:val="single" w:sz="4" w:space="0" w:color="auto"/>
              <w:bottom w:val="single" w:sz="4" w:space="0" w:color="auto"/>
              <w:right w:val="single" w:sz="4" w:space="0" w:color="auto"/>
            </w:tcBorders>
            <w:shd w:val="clear" w:color="auto" w:fill="auto"/>
          </w:tcPr>
          <w:p w14:paraId="6E01DDFF" w14:textId="5F755766" w:rsidR="003F39A6" w:rsidRDefault="003F39A6" w:rsidP="00906CC5">
            <w:pPr>
              <w:spacing w:before="40" w:after="40" w:line="276" w:lineRule="auto"/>
              <w:rPr>
                <w:rFonts w:eastAsia="Calibri" w:cs="Arial"/>
              </w:rPr>
            </w:pPr>
            <w:r>
              <w:rPr>
                <w:rFonts w:eastAsia="Calibri" w:cs="Arial"/>
              </w:rPr>
              <w:t>Oct 2022</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58AE7FC3" w14:textId="211B2204" w:rsidR="003F39A6" w:rsidRPr="007023F8" w:rsidRDefault="003F39A6" w:rsidP="00906CC5">
            <w:pPr>
              <w:spacing w:before="40" w:after="40" w:line="276" w:lineRule="auto"/>
              <w:rPr>
                <w:rFonts w:eastAsia="Calibri" w:cs="Arial"/>
              </w:rPr>
            </w:pPr>
            <w:r w:rsidRPr="007023F8">
              <w:rPr>
                <w:rFonts w:eastAsia="Calibri" w:cs="Arial"/>
              </w:rPr>
              <w:t xml:space="preserve">Mailout </w:t>
            </w:r>
            <w:r>
              <w:rPr>
                <w:rFonts w:eastAsia="Calibri" w:cs="Arial"/>
              </w:rPr>
              <w:t>11</w:t>
            </w:r>
          </w:p>
        </w:tc>
        <w:tc>
          <w:tcPr>
            <w:tcW w:w="2367" w:type="pct"/>
            <w:tcBorders>
              <w:top w:val="single" w:sz="4" w:space="0" w:color="auto"/>
              <w:left w:val="single" w:sz="4" w:space="0" w:color="auto"/>
              <w:bottom w:val="single" w:sz="4" w:space="0" w:color="auto"/>
              <w:right w:val="single" w:sz="4" w:space="0" w:color="auto"/>
            </w:tcBorders>
            <w:shd w:val="clear" w:color="auto" w:fill="auto"/>
          </w:tcPr>
          <w:p w14:paraId="39684D0F" w14:textId="77777777" w:rsidR="003F39A6" w:rsidRPr="007023F8" w:rsidRDefault="003F39A6" w:rsidP="00906CC5">
            <w:pPr>
              <w:spacing w:before="40" w:after="40" w:line="276" w:lineRule="auto"/>
              <w:rPr>
                <w:rFonts w:eastAsia="Calibri" w:cs="Arial"/>
              </w:rPr>
            </w:pPr>
            <w:r w:rsidRPr="007023F8">
              <w:rPr>
                <w:rFonts w:eastAsia="Calibri" w:cs="Arial"/>
              </w:rPr>
              <w:t>Package mailed including survey, information letter, change of details card and reply-paid envelope</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7160FD88" w14:textId="0D12AF27" w:rsidR="003F39A6" w:rsidRDefault="003F39A6" w:rsidP="00906CC5">
            <w:pPr>
              <w:spacing w:before="40" w:after="40" w:line="276" w:lineRule="auto"/>
              <w:jc w:val="right"/>
              <w:rPr>
                <w:rFonts w:eastAsia="Calibri" w:cs="Arial"/>
              </w:rPr>
            </w:pPr>
            <w:r>
              <w:rPr>
                <w:rFonts w:eastAsia="Calibri" w:cs="Arial"/>
              </w:rPr>
              <w:t>54</w:t>
            </w:r>
            <w:r w:rsidRPr="00C345F5">
              <w:rPr>
                <w:rFonts w:eastAsia="Calibri" w:cs="Arial"/>
              </w:rPr>
              <w:t xml:space="preserve"> mailed</w:t>
            </w:r>
          </w:p>
        </w:tc>
      </w:tr>
    </w:tbl>
    <w:p w14:paraId="0D6D077D" w14:textId="77777777" w:rsidR="00A213C3" w:rsidRDefault="00A213C3" w:rsidP="00A213C3">
      <w:pPr>
        <w:spacing w:before="160" w:after="80"/>
        <w:rPr>
          <w:rFonts w:cs="Arial"/>
          <w:szCs w:val="20"/>
          <w:highlight w:val="yellow"/>
        </w:rPr>
      </w:pPr>
    </w:p>
    <w:p w14:paraId="2AC5014E" w14:textId="77777777" w:rsidR="00A213C3" w:rsidRDefault="00A213C3" w:rsidP="00A213C3">
      <w:pPr>
        <w:spacing w:before="160" w:after="80"/>
        <w:rPr>
          <w:rFonts w:cs="Arial"/>
          <w:szCs w:val="20"/>
          <w:highlight w:val="yellow"/>
        </w:rPr>
        <w:sectPr w:rsidR="00A213C3" w:rsidSect="00D77057">
          <w:pgSz w:w="12240" w:h="15840"/>
          <w:pgMar w:top="1080" w:right="1440" w:bottom="1080" w:left="1440" w:header="709" w:footer="709" w:gutter="0"/>
          <w:cols w:space="720"/>
          <w:docGrid w:linePitch="272"/>
        </w:sectPr>
      </w:pPr>
    </w:p>
    <w:p w14:paraId="62CFDE55" w14:textId="52430DD1" w:rsidR="00A213C3" w:rsidRDefault="00621B2D" w:rsidP="0093729E">
      <w:pPr>
        <w:rPr>
          <w:b/>
          <w:bCs/>
        </w:rPr>
      </w:pPr>
      <w:bookmarkStart w:id="57" w:name="_Ref113715493"/>
      <w:r w:rsidRPr="0093729E">
        <w:rPr>
          <w:b/>
          <w:bCs/>
        </w:rPr>
        <w:lastRenderedPageBreak/>
        <w:t xml:space="preserve">Figure </w:t>
      </w:r>
      <w:r w:rsidRPr="0093729E">
        <w:rPr>
          <w:b/>
          <w:bCs/>
        </w:rPr>
        <w:fldChar w:fldCharType="begin"/>
      </w:r>
      <w:r w:rsidRPr="0093729E">
        <w:rPr>
          <w:b/>
          <w:bCs/>
        </w:rPr>
        <w:instrText xml:space="preserve"> STYLEREF 1 \s </w:instrText>
      </w:r>
      <w:r w:rsidRPr="0093729E">
        <w:rPr>
          <w:b/>
          <w:bCs/>
        </w:rPr>
        <w:fldChar w:fldCharType="separate"/>
      </w:r>
      <w:r w:rsidR="007D19D7">
        <w:rPr>
          <w:b/>
          <w:bCs/>
          <w:noProof/>
        </w:rPr>
        <w:t>3</w:t>
      </w:r>
      <w:r w:rsidRPr="0093729E">
        <w:rPr>
          <w:b/>
          <w:bCs/>
        </w:rPr>
        <w:fldChar w:fldCharType="end"/>
      </w:r>
      <w:r w:rsidRPr="0093729E">
        <w:rPr>
          <w:b/>
          <w:bCs/>
        </w:rPr>
        <w:noBreakHyphen/>
      </w:r>
      <w:r w:rsidRPr="0093729E">
        <w:rPr>
          <w:b/>
          <w:bCs/>
        </w:rPr>
        <w:fldChar w:fldCharType="begin"/>
      </w:r>
      <w:r w:rsidRPr="0093729E">
        <w:rPr>
          <w:b/>
          <w:bCs/>
        </w:rPr>
        <w:instrText xml:space="preserve"> SEQ Figure \* ARABIC \s 1 </w:instrText>
      </w:r>
      <w:r w:rsidRPr="0093729E">
        <w:rPr>
          <w:b/>
          <w:bCs/>
        </w:rPr>
        <w:fldChar w:fldCharType="separate"/>
      </w:r>
      <w:r w:rsidR="007D19D7">
        <w:rPr>
          <w:b/>
          <w:bCs/>
          <w:noProof/>
        </w:rPr>
        <w:t>3</w:t>
      </w:r>
      <w:r w:rsidRPr="0093729E">
        <w:rPr>
          <w:b/>
          <w:bCs/>
        </w:rPr>
        <w:fldChar w:fldCharType="end"/>
      </w:r>
      <w:bookmarkEnd w:id="57"/>
      <w:r w:rsidRPr="0093729E" w:rsidDel="00621B2D">
        <w:rPr>
          <w:b/>
          <w:bCs/>
        </w:rPr>
        <w:t xml:space="preserve"> </w:t>
      </w:r>
      <w:r w:rsidRPr="0093729E">
        <w:rPr>
          <w:b/>
          <w:bCs/>
        </w:rPr>
        <w:t xml:space="preserve">Number of completions for 1921-26 cohort </w:t>
      </w:r>
      <w:r w:rsidR="00901558">
        <w:rPr>
          <w:b/>
          <w:bCs/>
        </w:rPr>
        <w:t>S</w:t>
      </w:r>
      <w:r w:rsidRPr="0093729E">
        <w:rPr>
          <w:b/>
          <w:bCs/>
        </w:rPr>
        <w:t>ix-</w:t>
      </w:r>
      <w:r w:rsidR="00901558">
        <w:rPr>
          <w:b/>
          <w:bCs/>
        </w:rPr>
        <w:t>M</w:t>
      </w:r>
      <w:r w:rsidRPr="0093729E">
        <w:rPr>
          <w:b/>
          <w:bCs/>
        </w:rPr>
        <w:t xml:space="preserve">onth </w:t>
      </w:r>
      <w:r w:rsidR="00901558">
        <w:rPr>
          <w:b/>
          <w:bCs/>
        </w:rPr>
        <w:t>F</w:t>
      </w:r>
      <w:r w:rsidRPr="0093729E">
        <w:rPr>
          <w:b/>
          <w:bCs/>
        </w:rPr>
        <w:t>ollow-</w:t>
      </w:r>
      <w:r w:rsidR="00901558">
        <w:rPr>
          <w:b/>
          <w:bCs/>
        </w:rPr>
        <w:t>U</w:t>
      </w:r>
      <w:r w:rsidRPr="0093729E">
        <w:rPr>
          <w:b/>
          <w:bCs/>
        </w:rPr>
        <w:t xml:space="preserve">p </w:t>
      </w:r>
      <w:r w:rsidR="00901558">
        <w:rPr>
          <w:b/>
          <w:bCs/>
        </w:rPr>
        <w:t>S</w:t>
      </w:r>
      <w:r w:rsidRPr="00901558">
        <w:rPr>
          <w:b/>
          <w:bCs/>
        </w:rPr>
        <w:t xml:space="preserve">urveys 1 to 22, </w:t>
      </w:r>
      <w:proofErr w:type="gramStart"/>
      <w:r w:rsidRPr="00901558">
        <w:rPr>
          <w:b/>
          <w:bCs/>
        </w:rPr>
        <w:t>at</w:t>
      </w:r>
      <w:proofErr w:type="gramEnd"/>
      <w:r w:rsidRPr="00901558">
        <w:rPr>
          <w:b/>
          <w:bCs/>
        </w:rPr>
        <w:t xml:space="preserve"> </w:t>
      </w:r>
      <w:r w:rsidR="00901558" w:rsidRPr="00901558">
        <w:rPr>
          <w:b/>
          <w:bCs/>
        </w:rPr>
        <w:t>31 October</w:t>
      </w:r>
      <w:r w:rsidRPr="00901558">
        <w:rPr>
          <w:b/>
          <w:bCs/>
        </w:rPr>
        <w:t xml:space="preserve"> 2022</w:t>
      </w:r>
      <w:r w:rsidR="00E8397D" w:rsidRPr="00901558">
        <w:rPr>
          <w:b/>
          <w:bCs/>
        </w:rPr>
        <w:t>.</w:t>
      </w:r>
    </w:p>
    <w:p w14:paraId="5B914A47" w14:textId="114921BA" w:rsidR="00A213C3" w:rsidRDefault="00901558" w:rsidP="00901558">
      <w:pPr>
        <w:rPr>
          <w:rFonts w:cs="Arial"/>
          <w:szCs w:val="20"/>
          <w:highlight w:val="yellow"/>
        </w:rPr>
      </w:pPr>
      <w:r>
        <w:rPr>
          <w:noProof/>
        </w:rPr>
        <w:drawing>
          <wp:inline distT="0" distB="0" distL="0" distR="0" wp14:anchorId="0E9A4105" wp14:editId="68677EF9">
            <wp:extent cx="8686800" cy="5103495"/>
            <wp:effectExtent l="0" t="0" r="0" b="1905"/>
            <wp:docPr id="2" name="Chart 2">
              <a:extLst xmlns:a="http://schemas.openxmlformats.org/drawingml/2006/main">
                <a:ext uri="{FF2B5EF4-FFF2-40B4-BE49-F238E27FC236}">
                  <a16:creationId xmlns:a16="http://schemas.microsoft.com/office/drawing/2014/main" id="{E65B538F-2C9D-A96E-80F2-C1F7993577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FDB791B" w14:textId="77777777" w:rsidR="00A213C3" w:rsidRDefault="00A213C3" w:rsidP="00A213C3">
      <w:pPr>
        <w:spacing w:before="160" w:after="80"/>
        <w:rPr>
          <w:rFonts w:cs="Arial"/>
          <w:szCs w:val="20"/>
          <w:highlight w:val="yellow"/>
        </w:rPr>
        <w:sectPr w:rsidR="00A213C3" w:rsidSect="006D7EB9">
          <w:pgSz w:w="15840" w:h="12240" w:orient="landscape"/>
          <w:pgMar w:top="1440" w:right="1080" w:bottom="1440" w:left="1080" w:header="709" w:footer="709" w:gutter="0"/>
          <w:cols w:space="720"/>
          <w:docGrid w:linePitch="272"/>
        </w:sectPr>
      </w:pPr>
    </w:p>
    <w:p w14:paraId="51C1EF8D" w14:textId="6936D86F" w:rsidR="00A213C3" w:rsidRDefault="00A213C3" w:rsidP="00A213C3">
      <w:pPr>
        <w:pStyle w:val="Heading2"/>
        <w:ind w:left="576" w:hanging="576"/>
      </w:pPr>
      <w:bookmarkStart w:id="58" w:name="_Toc124762767"/>
      <w:bookmarkEnd w:id="53"/>
      <w:r>
        <w:lastRenderedPageBreak/>
        <w:t>COVID-19 surveys</w:t>
      </w:r>
      <w:bookmarkEnd w:id="58"/>
    </w:p>
    <w:p w14:paraId="180FE00C" w14:textId="77777777" w:rsidR="00A213C3" w:rsidRDefault="00A213C3" w:rsidP="00A213C3">
      <w:pPr>
        <w:pStyle w:val="Heading3"/>
        <w:rPr>
          <w:rFonts w:cs="Arial"/>
          <w:szCs w:val="20"/>
        </w:rPr>
      </w:pPr>
      <w:bookmarkStart w:id="59" w:name="_Toc124762768"/>
      <w:r>
        <w:rPr>
          <w:rFonts w:cs="Arial"/>
          <w:szCs w:val="20"/>
        </w:rPr>
        <w:t>COVID-19 Surveys - Vaccination survey</w:t>
      </w:r>
      <w:bookmarkEnd w:id="59"/>
    </w:p>
    <w:p w14:paraId="3412EE72" w14:textId="4A6109DA" w:rsidR="00A213C3" w:rsidRDefault="00A213C3" w:rsidP="00A213C3">
      <w:r>
        <w:t>As with the rest of the population, the women in ALSWH have never lived through anything like the current pandemic. Fourteen fortnightly online surveys were deployed in 2020, with invitations to participate sent via email to women in the three youngest ALSWH cohorts (born 1989-95, 1973-78, and 1946-51). These surveys were all short succinct surveys, typically with ten questions or less. There w</w:t>
      </w:r>
      <w:r w:rsidR="006A77AD">
        <w:t>ere</w:t>
      </w:r>
      <w:r>
        <w:t xml:space="preserve"> no reminder or follow-up procedures </w:t>
      </w:r>
      <w:r w:rsidR="006A77AD">
        <w:t xml:space="preserve">for </w:t>
      </w:r>
      <w:r>
        <w:t xml:space="preserve">these COVID-19 surveys. The purpose of the surveys was to ascertain women’s experiences with COVID-19 testing, their overall wellbeing, and the impact of COVID-19 and associated policies, such as lockdowns, on their lives. Details about these fourteen COVID-19 surveys were provided in the previous </w:t>
      </w:r>
      <w:hyperlink r:id="rId28" w:history="1">
        <w:r w:rsidRPr="000806FB">
          <w:rPr>
            <w:rStyle w:val="Hyperlink"/>
          </w:rPr>
          <w:t>Technical Report (Report 44).</w:t>
        </w:r>
      </w:hyperlink>
      <w:r>
        <w:t xml:space="preserve"> </w:t>
      </w:r>
    </w:p>
    <w:p w14:paraId="55526D32" w14:textId="09E97B56" w:rsidR="00A213C3" w:rsidRDefault="00A213C3" w:rsidP="00A213C3">
      <w:r>
        <w:t>A follow-up survey (Survey 15) was deployed in late August 2021 to examine women’s concerns about the pandemic and their risk of being infected with the virus. The survey also explored access to COVID-19 vaccines and women’s intentions and concerns about getting a COVID-19 vaccine. As the purpose of this survey was to specifically investigate factors influencing vaccine uptake and vaccine hesitancy, questions were sourced with permission from the COVID-19 vaccination adult survey tool used by the World Health Organisation. This tool contains items examining the behavioural and social drivers of vaccine uptake and were adapted for use within the ALSWH context.</w:t>
      </w:r>
    </w:p>
    <w:p w14:paraId="5633F293" w14:textId="77777777" w:rsidR="00A213C3" w:rsidRDefault="00A213C3" w:rsidP="00A213C3">
      <w:r>
        <w:t xml:space="preserve">At the time of this survey, </w:t>
      </w:r>
      <w:r w:rsidRPr="002969D9">
        <w:t>N</w:t>
      </w:r>
      <w:r>
        <w:t>ew South Wales (N</w:t>
      </w:r>
      <w:r w:rsidRPr="002969D9">
        <w:t>SW</w:t>
      </w:r>
      <w:r>
        <w:t>)</w:t>
      </w:r>
      <w:r w:rsidRPr="002969D9">
        <w:t>, Victoria and the</w:t>
      </w:r>
      <w:r>
        <w:t xml:space="preserve"> Australian Capital Territory (ACT)</w:t>
      </w:r>
      <w:r w:rsidRPr="002969D9">
        <w:t xml:space="preserve"> were in lockdown.</w:t>
      </w:r>
      <w:r>
        <w:t xml:space="preserve"> </w:t>
      </w:r>
      <w:r w:rsidRPr="002969D9">
        <w:t>None of the other states or territories were in lockdown, reporting zero cases or a handful of cases each day.</w:t>
      </w:r>
      <w:r>
        <w:t xml:space="preserve"> </w:t>
      </w:r>
      <w:r w:rsidRPr="002969D9">
        <w:t xml:space="preserve">NSW was seeing </w:t>
      </w:r>
      <w:r>
        <w:t xml:space="preserve">around </w:t>
      </w:r>
      <w:r w:rsidRPr="002969D9">
        <w:t>1</w:t>
      </w:r>
      <w:r>
        <w:t>,</w:t>
      </w:r>
      <w:r w:rsidRPr="002969D9">
        <w:t>000-1</w:t>
      </w:r>
      <w:r>
        <w:t>,</w:t>
      </w:r>
      <w:r w:rsidRPr="002969D9">
        <w:t>500 new COVID cases a day</w:t>
      </w:r>
      <w:r>
        <w:t xml:space="preserve"> while the survey was open. Victoria</w:t>
      </w:r>
      <w:r w:rsidRPr="002969D9">
        <w:t xml:space="preserve"> saw around 70 new COVID cases a day at the beginning of </w:t>
      </w:r>
      <w:r>
        <w:t>the</w:t>
      </w:r>
      <w:r w:rsidRPr="002969D9">
        <w:t xml:space="preserve"> data collection period but were recording </w:t>
      </w:r>
      <w:r>
        <w:t xml:space="preserve">approximately </w:t>
      </w:r>
      <w:r w:rsidRPr="002969D9">
        <w:t>500 cases a day by mid-September</w:t>
      </w:r>
      <w:r>
        <w:t xml:space="preserve">. At the beginning of the survey period, </w:t>
      </w:r>
      <w:r w:rsidRPr="002969D9">
        <w:t xml:space="preserve">Australia had </w:t>
      </w:r>
      <w:r>
        <w:t xml:space="preserve">had reported that </w:t>
      </w:r>
      <w:r w:rsidRPr="002969D9">
        <w:t xml:space="preserve">34% of people aged 16 or older </w:t>
      </w:r>
      <w:r>
        <w:t>had received two doses of the COVID-19 vaccine, predominantly in older ages</w:t>
      </w:r>
      <w:r w:rsidRPr="002969D9">
        <w:t>.</w:t>
      </w:r>
    </w:p>
    <w:p w14:paraId="21EDE252" w14:textId="2FF68ABB" w:rsidR="00A213C3" w:rsidRDefault="00A213C3" w:rsidP="00A213C3">
      <w:r>
        <w:t xml:space="preserve">Invitations to participate in this survey were emailed </w:t>
      </w:r>
      <w:r w:rsidRPr="00E06C69">
        <w:t xml:space="preserve">on </w:t>
      </w:r>
      <w:r>
        <w:t>30 August 2021, and the survey was subsequently closed a fortnight later</w:t>
      </w:r>
      <w:r w:rsidR="006A77AD">
        <w:t>,</w:t>
      </w:r>
      <w:r>
        <w:t xml:space="preserve"> on 13 September 2021. Email invitations were sent to a total of 27,587 women: 13,527 from the 1989-95 cohort (aged 26-32 years), 8,246 from the 1973-78 cohort (aged 43-48 years), and 5,814 from the 1946-51 cohort (aged 70-75 years). In total, 6,563 (24%) women completed Survey 1</w:t>
      </w:r>
      <w:r w:rsidR="006A77AD">
        <w:t>5</w:t>
      </w:r>
      <w:r>
        <w:t>: 2,126 (16%) from the 1989-95 cohort, 1,966 (24%) from the 1973-78 cohort, and 2,471 (43%) from the 1946-51 cohort.</w:t>
      </w:r>
    </w:p>
    <w:p w14:paraId="3E10335D" w14:textId="77777777" w:rsidR="00A213C3" w:rsidRDefault="00A213C3" w:rsidP="00A213C3">
      <w:r>
        <w:t xml:space="preserve">A </w:t>
      </w:r>
      <w:hyperlink r:id="rId29" w:history="1">
        <w:r w:rsidRPr="000B3289">
          <w:rPr>
            <w:rStyle w:val="Hyperlink"/>
          </w:rPr>
          <w:t>report</w:t>
        </w:r>
      </w:hyperlink>
      <w:r>
        <w:t xml:space="preserve"> of findings from this survey is available on the ALSWH website. This report investigates:</w:t>
      </w:r>
    </w:p>
    <w:p w14:paraId="0E8F4CE2" w14:textId="77777777" w:rsidR="00A213C3" w:rsidRDefault="00A213C3" w:rsidP="003D5E6A">
      <w:pPr>
        <w:pStyle w:val="ListParagraph"/>
        <w:numPr>
          <w:ilvl w:val="0"/>
          <w:numId w:val="90"/>
        </w:numPr>
      </w:pPr>
      <w:r>
        <w:t>Women’s feeling of stress about the ongoing COVID-19 crisis</w:t>
      </w:r>
    </w:p>
    <w:p w14:paraId="2A852244" w14:textId="77777777" w:rsidR="00A213C3" w:rsidRDefault="00A213C3" w:rsidP="003D5E6A">
      <w:pPr>
        <w:pStyle w:val="ListParagraph"/>
        <w:numPr>
          <w:ilvl w:val="0"/>
          <w:numId w:val="90"/>
        </w:numPr>
      </w:pPr>
      <w:r>
        <w:t>testing for COVID-19</w:t>
      </w:r>
    </w:p>
    <w:p w14:paraId="50804BF7" w14:textId="77777777" w:rsidR="00A213C3" w:rsidRDefault="00A213C3" w:rsidP="003D5E6A">
      <w:pPr>
        <w:pStyle w:val="ListParagraph"/>
        <w:numPr>
          <w:ilvl w:val="0"/>
          <w:numId w:val="90"/>
        </w:numPr>
      </w:pPr>
      <w:r>
        <w:lastRenderedPageBreak/>
        <w:t>uptake of COVID-19 vaccine</w:t>
      </w:r>
    </w:p>
    <w:p w14:paraId="64EF2496" w14:textId="77777777" w:rsidR="00A213C3" w:rsidRDefault="00A213C3" w:rsidP="003D5E6A">
      <w:pPr>
        <w:pStyle w:val="ListParagraph"/>
        <w:numPr>
          <w:ilvl w:val="0"/>
          <w:numId w:val="90"/>
        </w:numPr>
      </w:pPr>
      <w:r>
        <w:t>factors influencing vaccine uptake, including</w:t>
      </w:r>
    </w:p>
    <w:p w14:paraId="455B70DF" w14:textId="77777777" w:rsidR="00A213C3" w:rsidRDefault="00A213C3" w:rsidP="003D5E6A">
      <w:pPr>
        <w:pStyle w:val="ListParagraph"/>
        <w:numPr>
          <w:ilvl w:val="1"/>
          <w:numId w:val="90"/>
        </w:numPr>
      </w:pPr>
      <w:r>
        <w:t>practical considerations (availability, ease of access, preferred locations</w:t>
      </w:r>
      <w:proofErr w:type="gramStart"/>
      <w:r>
        <w:t>);</w:t>
      </w:r>
      <w:proofErr w:type="gramEnd"/>
    </w:p>
    <w:p w14:paraId="600607CE" w14:textId="77777777" w:rsidR="00A213C3" w:rsidRDefault="00A213C3" w:rsidP="003D5E6A">
      <w:pPr>
        <w:pStyle w:val="ListParagraph"/>
        <w:numPr>
          <w:ilvl w:val="1"/>
          <w:numId w:val="90"/>
        </w:numPr>
      </w:pPr>
      <w:r>
        <w:t>personal motivations (intention to vaccinate</w:t>
      </w:r>
      <w:proofErr w:type="gramStart"/>
      <w:r>
        <w:t>);</w:t>
      </w:r>
      <w:proofErr w:type="gramEnd"/>
    </w:p>
    <w:p w14:paraId="62666025" w14:textId="77777777" w:rsidR="00A213C3" w:rsidRDefault="00A213C3" w:rsidP="003D5E6A">
      <w:pPr>
        <w:pStyle w:val="ListParagraph"/>
        <w:numPr>
          <w:ilvl w:val="1"/>
          <w:numId w:val="90"/>
        </w:numPr>
      </w:pPr>
      <w:r>
        <w:t>thoughts and perceptions about the COVID-19 vaccines (importance of vaccine benefits and confidence in vaccine safety); and</w:t>
      </w:r>
    </w:p>
    <w:p w14:paraId="0C836461" w14:textId="77777777" w:rsidR="00A213C3" w:rsidRDefault="00A213C3" w:rsidP="003D5E6A">
      <w:pPr>
        <w:pStyle w:val="ListParagraph"/>
        <w:numPr>
          <w:ilvl w:val="1"/>
          <w:numId w:val="90"/>
        </w:numPr>
      </w:pPr>
      <w:r>
        <w:t>social processes (influence from family, friends, and community, and benefit to self).</w:t>
      </w:r>
    </w:p>
    <w:p w14:paraId="6FE9C307" w14:textId="77777777" w:rsidR="00A213C3" w:rsidRPr="000B3289" w:rsidRDefault="00A213C3" w:rsidP="00A213C3">
      <w:pPr>
        <w:pStyle w:val="Heading3"/>
        <w:rPr>
          <w:rFonts w:cs="Arial"/>
          <w:szCs w:val="20"/>
        </w:rPr>
      </w:pPr>
      <w:bookmarkStart w:id="60" w:name="_Toc124762769"/>
      <w:r w:rsidRPr="000B3289">
        <w:rPr>
          <w:rFonts w:cs="Arial"/>
          <w:szCs w:val="20"/>
        </w:rPr>
        <w:t>References</w:t>
      </w:r>
      <w:bookmarkEnd w:id="60"/>
    </w:p>
    <w:p w14:paraId="75EBDA27" w14:textId="77777777" w:rsidR="00A213C3" w:rsidRPr="000B3289" w:rsidRDefault="00A213C3" w:rsidP="00A213C3">
      <w:pPr>
        <w:pStyle w:val="pf0"/>
        <w:spacing w:before="40" w:beforeAutospacing="0" w:after="40" w:afterAutospacing="0" w:line="360" w:lineRule="auto"/>
        <w:jc w:val="both"/>
        <w:rPr>
          <w:rFonts w:ascii="Arial" w:hAnsi="Arial" w:cs="Arial"/>
          <w:sz w:val="20"/>
          <w:szCs w:val="20"/>
        </w:rPr>
      </w:pPr>
      <w:r w:rsidRPr="000B3289">
        <w:rPr>
          <w:rStyle w:val="cf11"/>
          <w:rFonts w:ascii="Arial" w:hAnsi="Arial" w:cs="Arial"/>
          <w:sz w:val="20"/>
          <w:szCs w:val="20"/>
        </w:rPr>
        <w:t>Brewer NT, Chapman GB, Rothman AJ, Leask J &amp; Kempe A. 2017. Increasing vaccination: Putting psychological science into action. </w:t>
      </w:r>
      <w:r w:rsidRPr="000B3289">
        <w:rPr>
          <w:rStyle w:val="cf21"/>
          <w:rFonts w:ascii="Arial" w:hAnsi="Arial" w:cs="Arial"/>
          <w:sz w:val="20"/>
          <w:szCs w:val="20"/>
        </w:rPr>
        <w:t>Psychological Science in the Public Interest</w:t>
      </w:r>
      <w:r w:rsidRPr="000B3289">
        <w:rPr>
          <w:rStyle w:val="cf01"/>
          <w:rFonts w:ascii="Arial" w:hAnsi="Arial" w:cs="Arial"/>
          <w:sz w:val="20"/>
          <w:szCs w:val="20"/>
        </w:rPr>
        <w:t xml:space="preserve"> 18(3):149–207. </w:t>
      </w:r>
      <w:proofErr w:type="spellStart"/>
      <w:r w:rsidRPr="000B3289">
        <w:rPr>
          <w:rStyle w:val="cf01"/>
          <w:rFonts w:ascii="Arial" w:hAnsi="Arial" w:cs="Arial"/>
          <w:sz w:val="20"/>
          <w:szCs w:val="20"/>
        </w:rPr>
        <w:t>doi</w:t>
      </w:r>
      <w:proofErr w:type="spellEnd"/>
      <w:r w:rsidRPr="000B3289">
        <w:rPr>
          <w:rStyle w:val="cf01"/>
          <w:rFonts w:ascii="Arial" w:hAnsi="Arial" w:cs="Arial"/>
          <w:sz w:val="20"/>
          <w:szCs w:val="20"/>
        </w:rPr>
        <w:t>: 10.1177/1529100618760521.</w:t>
      </w:r>
    </w:p>
    <w:p w14:paraId="741CF8AF" w14:textId="77777777" w:rsidR="00A213C3" w:rsidRDefault="00A213C3" w:rsidP="00A213C3">
      <w:pPr>
        <w:pStyle w:val="pf0"/>
        <w:spacing w:before="40" w:beforeAutospacing="0" w:after="40" w:afterAutospacing="0" w:line="360" w:lineRule="auto"/>
        <w:jc w:val="both"/>
        <w:rPr>
          <w:rStyle w:val="cf01"/>
          <w:rFonts w:ascii="Arial" w:hAnsi="Arial" w:cs="Arial"/>
          <w:sz w:val="20"/>
          <w:szCs w:val="20"/>
        </w:rPr>
      </w:pPr>
    </w:p>
    <w:p w14:paraId="167D4EC8" w14:textId="77777777" w:rsidR="00A213C3" w:rsidRPr="000B3289" w:rsidRDefault="00A213C3" w:rsidP="00A213C3">
      <w:pPr>
        <w:pStyle w:val="pf0"/>
        <w:spacing w:before="40" w:beforeAutospacing="0" w:after="40" w:afterAutospacing="0" w:line="360" w:lineRule="auto"/>
        <w:jc w:val="both"/>
        <w:rPr>
          <w:rFonts w:ascii="Arial" w:hAnsi="Arial" w:cs="Arial"/>
          <w:sz w:val="20"/>
          <w:szCs w:val="20"/>
        </w:rPr>
      </w:pPr>
      <w:r w:rsidRPr="000B3289">
        <w:rPr>
          <w:rStyle w:val="cf01"/>
          <w:rFonts w:ascii="Arial" w:hAnsi="Arial" w:cs="Arial"/>
          <w:sz w:val="20"/>
          <w:szCs w:val="20"/>
        </w:rPr>
        <w:t xml:space="preserve">World Health Organization. (‎2021)‎. Data for action: Achieving high uptake of COVID-19 vaccines: gathering and using data on the behavioural and social drivers of vaccination: a guidebook for immunization programmes and implementing partners: interim guidance, 1 April 2021. World Health Organization. </w:t>
      </w:r>
      <w:hyperlink r:id="rId30" w:history="1">
        <w:r w:rsidRPr="000B3289">
          <w:rPr>
            <w:rStyle w:val="cf01"/>
            <w:rFonts w:ascii="Arial" w:hAnsi="Arial" w:cs="Arial"/>
            <w:color w:val="0000FF"/>
            <w:sz w:val="20"/>
            <w:szCs w:val="20"/>
            <w:u w:val="single"/>
          </w:rPr>
          <w:t>https://apps.who.int/iris/handle/10665/340645</w:t>
        </w:r>
      </w:hyperlink>
      <w:r w:rsidRPr="000B3289">
        <w:rPr>
          <w:rStyle w:val="cf01"/>
          <w:rFonts w:ascii="Arial" w:hAnsi="Arial" w:cs="Arial"/>
          <w:sz w:val="20"/>
          <w:szCs w:val="20"/>
        </w:rPr>
        <w:t>. License: CC BY-NC-SA 3.0 IGO</w:t>
      </w:r>
    </w:p>
    <w:p w14:paraId="60441636" w14:textId="77777777" w:rsidR="00A213C3" w:rsidRDefault="00A213C3" w:rsidP="00A213C3">
      <w:pPr>
        <w:pStyle w:val="pf0"/>
        <w:spacing w:before="40" w:beforeAutospacing="0" w:after="40" w:afterAutospacing="0" w:line="276" w:lineRule="auto"/>
        <w:jc w:val="both"/>
        <w:rPr>
          <w:rStyle w:val="cf11"/>
          <w:rFonts w:ascii="Arial" w:hAnsi="Arial" w:cs="Arial"/>
          <w:sz w:val="20"/>
          <w:szCs w:val="20"/>
        </w:rPr>
      </w:pPr>
    </w:p>
    <w:p w14:paraId="2F15015E" w14:textId="77777777" w:rsidR="00A213C3" w:rsidRPr="000B6720" w:rsidRDefault="00A213C3" w:rsidP="00A213C3"/>
    <w:p w14:paraId="42506115" w14:textId="190FEC02" w:rsidR="00DA40C9" w:rsidRDefault="00DA40C9" w:rsidP="00DA40C9">
      <w:pPr>
        <w:pStyle w:val="Captiontext"/>
        <w:sectPr w:rsidR="00DA40C9" w:rsidSect="00A80CB7">
          <w:headerReference w:type="default" r:id="rId31"/>
          <w:footerReference w:type="default" r:id="rId32"/>
          <w:pgSz w:w="12240" w:h="15840"/>
          <w:pgMar w:top="1080" w:right="1440" w:bottom="1080" w:left="1440" w:header="709" w:footer="709" w:gutter="0"/>
          <w:cols w:space="720"/>
          <w:docGrid w:linePitch="272"/>
        </w:sectPr>
      </w:pPr>
    </w:p>
    <w:p w14:paraId="661FF741" w14:textId="15CEB5E3" w:rsidR="009717CF" w:rsidRDefault="00AD3FB5" w:rsidP="00355892">
      <w:pPr>
        <w:pStyle w:val="Heading2"/>
        <w:spacing w:line="240" w:lineRule="auto"/>
        <w:jc w:val="left"/>
      </w:pPr>
      <w:bookmarkStart w:id="61" w:name="_Toc46311620"/>
      <w:bookmarkStart w:id="62" w:name="_Toc46315529"/>
      <w:bookmarkStart w:id="63" w:name="_Toc46311621"/>
      <w:bookmarkStart w:id="64" w:name="_Toc46315530"/>
      <w:bookmarkStart w:id="65" w:name="_Toc46311622"/>
      <w:bookmarkStart w:id="66" w:name="_Toc46315531"/>
      <w:bookmarkStart w:id="67" w:name="_Toc46311623"/>
      <w:bookmarkStart w:id="68" w:name="_Toc46315532"/>
      <w:bookmarkStart w:id="69" w:name="_Toc46311624"/>
      <w:bookmarkStart w:id="70" w:name="_Toc46315533"/>
      <w:bookmarkStart w:id="71" w:name="_Toc46311625"/>
      <w:bookmarkStart w:id="72" w:name="_Toc46315534"/>
      <w:bookmarkStart w:id="73" w:name="_Toc46311626"/>
      <w:bookmarkStart w:id="74" w:name="_Toc46315535"/>
      <w:bookmarkStart w:id="75" w:name="_Toc46311627"/>
      <w:bookmarkStart w:id="76" w:name="_Toc46315536"/>
      <w:bookmarkStart w:id="77" w:name="_Toc46311628"/>
      <w:bookmarkStart w:id="78" w:name="_Toc46315537"/>
      <w:bookmarkStart w:id="79" w:name="_Toc46311629"/>
      <w:bookmarkStart w:id="80" w:name="_Toc46315538"/>
      <w:bookmarkStart w:id="81" w:name="_Toc46311630"/>
      <w:bookmarkStart w:id="82" w:name="_Toc46315539"/>
      <w:bookmarkStart w:id="83" w:name="_Toc46311631"/>
      <w:bookmarkStart w:id="84" w:name="_Toc46315540"/>
      <w:bookmarkStart w:id="85" w:name="_Toc46311632"/>
      <w:bookmarkStart w:id="86" w:name="_Toc46315541"/>
      <w:bookmarkStart w:id="87" w:name="_Toc46311633"/>
      <w:bookmarkStart w:id="88" w:name="_Toc46315542"/>
      <w:bookmarkStart w:id="89" w:name="_Toc46311634"/>
      <w:bookmarkStart w:id="90" w:name="_Toc46315543"/>
      <w:bookmarkStart w:id="91" w:name="_Toc46311635"/>
      <w:bookmarkStart w:id="92" w:name="_Toc46315544"/>
      <w:bookmarkStart w:id="93" w:name="_Toc46311636"/>
      <w:bookmarkStart w:id="94" w:name="_Toc46315545"/>
      <w:bookmarkStart w:id="95" w:name="_Toc46311637"/>
      <w:bookmarkStart w:id="96" w:name="_Toc46315546"/>
      <w:bookmarkStart w:id="97" w:name="_Toc46311638"/>
      <w:bookmarkStart w:id="98" w:name="_Toc46315547"/>
      <w:bookmarkStart w:id="99" w:name="_Toc46311639"/>
      <w:bookmarkStart w:id="100" w:name="_Toc46315548"/>
      <w:bookmarkStart w:id="101" w:name="_Toc46311640"/>
      <w:bookmarkStart w:id="102" w:name="_Toc46315549"/>
      <w:bookmarkStart w:id="103" w:name="_Toc46311641"/>
      <w:bookmarkStart w:id="104" w:name="_Toc46315550"/>
      <w:bookmarkStart w:id="105" w:name="_Toc46311642"/>
      <w:bookmarkStart w:id="106" w:name="_Toc46315551"/>
      <w:bookmarkStart w:id="107" w:name="_Toc46311643"/>
      <w:bookmarkStart w:id="108" w:name="_Toc46315552"/>
      <w:bookmarkStart w:id="109" w:name="_Toc46311644"/>
      <w:bookmarkStart w:id="110" w:name="_Toc46315553"/>
      <w:bookmarkStart w:id="111" w:name="_Toc46311645"/>
      <w:bookmarkStart w:id="112" w:name="_Toc46315554"/>
      <w:bookmarkStart w:id="113" w:name="_Toc46311646"/>
      <w:bookmarkStart w:id="114" w:name="_Toc46315555"/>
      <w:bookmarkStart w:id="115" w:name="_Toc46311647"/>
      <w:bookmarkStart w:id="116" w:name="_Toc46315556"/>
      <w:bookmarkStart w:id="117" w:name="_Toc46311648"/>
      <w:bookmarkStart w:id="118" w:name="_Toc46315557"/>
      <w:bookmarkStart w:id="119" w:name="_Toc46311649"/>
      <w:bookmarkStart w:id="120" w:name="_Toc46315558"/>
      <w:bookmarkStart w:id="121" w:name="_Toc46311650"/>
      <w:bookmarkStart w:id="122" w:name="_Toc46315559"/>
      <w:bookmarkStart w:id="123" w:name="_Toc46311651"/>
      <w:bookmarkStart w:id="124" w:name="_Toc46315560"/>
      <w:bookmarkStart w:id="125" w:name="_Toc46311652"/>
      <w:bookmarkStart w:id="126" w:name="_Toc46315561"/>
      <w:bookmarkStart w:id="127" w:name="_Toc46311653"/>
      <w:bookmarkStart w:id="128" w:name="_Toc46315562"/>
      <w:bookmarkStart w:id="129" w:name="_Toc46311654"/>
      <w:bookmarkStart w:id="130" w:name="_Toc46315563"/>
      <w:bookmarkStart w:id="131" w:name="_Toc46311655"/>
      <w:bookmarkStart w:id="132" w:name="_Toc46315564"/>
      <w:bookmarkStart w:id="133" w:name="_Toc46311656"/>
      <w:bookmarkStart w:id="134" w:name="_Toc46315565"/>
      <w:bookmarkStart w:id="135" w:name="_Toc46311657"/>
      <w:bookmarkStart w:id="136" w:name="_Toc46315566"/>
      <w:bookmarkStart w:id="137" w:name="_Toc46311658"/>
      <w:bookmarkStart w:id="138" w:name="_Toc46315567"/>
      <w:bookmarkStart w:id="139" w:name="_Toc46311976"/>
      <w:bookmarkStart w:id="140" w:name="_Toc46315885"/>
      <w:bookmarkStart w:id="141" w:name="_Toc46311977"/>
      <w:bookmarkStart w:id="142" w:name="_Toc46315886"/>
      <w:bookmarkStart w:id="143" w:name="_Toc46311978"/>
      <w:bookmarkStart w:id="144" w:name="_Toc46315887"/>
      <w:bookmarkStart w:id="145" w:name="_Toc46312019"/>
      <w:bookmarkStart w:id="146" w:name="_Toc46315928"/>
      <w:bookmarkStart w:id="147" w:name="_Toc46312020"/>
      <w:bookmarkStart w:id="148" w:name="_Toc46315929"/>
      <w:bookmarkStart w:id="149" w:name="_Toc46312021"/>
      <w:bookmarkStart w:id="150" w:name="_Toc46315930"/>
      <w:bookmarkStart w:id="151" w:name="_Toc46312022"/>
      <w:bookmarkStart w:id="152" w:name="_Toc46315931"/>
      <w:bookmarkStart w:id="153" w:name="_Toc46312023"/>
      <w:bookmarkStart w:id="154" w:name="_Toc46315932"/>
      <w:bookmarkStart w:id="155" w:name="_Toc46312024"/>
      <w:bookmarkStart w:id="156" w:name="_Toc46315933"/>
      <w:bookmarkStart w:id="157" w:name="_Toc46312025"/>
      <w:bookmarkStart w:id="158" w:name="_Toc46315934"/>
      <w:bookmarkStart w:id="159" w:name="_Toc46312026"/>
      <w:bookmarkStart w:id="160" w:name="_Toc46315935"/>
      <w:bookmarkStart w:id="161" w:name="_Toc46312027"/>
      <w:bookmarkStart w:id="162" w:name="_Toc46315936"/>
      <w:bookmarkStart w:id="163" w:name="_Toc46312028"/>
      <w:bookmarkStart w:id="164" w:name="_Toc46315937"/>
      <w:bookmarkStart w:id="165" w:name="_Toc46312029"/>
      <w:bookmarkStart w:id="166" w:name="_Toc46315938"/>
      <w:bookmarkStart w:id="167" w:name="_Toc46312030"/>
      <w:bookmarkStart w:id="168" w:name="_Toc46315939"/>
      <w:bookmarkStart w:id="169" w:name="_Toc46312031"/>
      <w:bookmarkStart w:id="170" w:name="_Toc46315940"/>
      <w:bookmarkStart w:id="171" w:name="_Toc46312073"/>
      <w:bookmarkStart w:id="172" w:name="_Toc46315982"/>
      <w:bookmarkStart w:id="173" w:name="_Toc46312074"/>
      <w:bookmarkStart w:id="174" w:name="_Toc46315983"/>
      <w:bookmarkStart w:id="175" w:name="_Toc46312075"/>
      <w:bookmarkStart w:id="176" w:name="_Toc46315984"/>
      <w:bookmarkStart w:id="177" w:name="_Toc46312112"/>
      <w:bookmarkStart w:id="178" w:name="_Toc46316021"/>
      <w:bookmarkStart w:id="179" w:name="_Toc46312113"/>
      <w:bookmarkStart w:id="180" w:name="_Toc46316022"/>
      <w:bookmarkStart w:id="181" w:name="_Toc46312114"/>
      <w:bookmarkStart w:id="182" w:name="_Toc46316023"/>
      <w:bookmarkStart w:id="183" w:name="_Toc46312115"/>
      <w:bookmarkStart w:id="184" w:name="_Toc46316024"/>
      <w:bookmarkStart w:id="185" w:name="_Toc46312116"/>
      <w:bookmarkStart w:id="186" w:name="_Toc46316025"/>
      <w:bookmarkStart w:id="187" w:name="_Toc46312117"/>
      <w:bookmarkStart w:id="188" w:name="_Toc46316026"/>
      <w:bookmarkStart w:id="189" w:name="_Toc46312118"/>
      <w:bookmarkStart w:id="190" w:name="_Toc46316027"/>
      <w:bookmarkStart w:id="191" w:name="_Toc46312119"/>
      <w:bookmarkStart w:id="192" w:name="_Toc46316028"/>
      <w:bookmarkStart w:id="193" w:name="_Toc46312120"/>
      <w:bookmarkStart w:id="194" w:name="_Toc46316029"/>
      <w:bookmarkStart w:id="195" w:name="_Toc46312121"/>
      <w:bookmarkStart w:id="196" w:name="_Toc46316030"/>
      <w:bookmarkStart w:id="197" w:name="_Toc46312122"/>
      <w:bookmarkStart w:id="198" w:name="_Toc46316031"/>
      <w:bookmarkStart w:id="199" w:name="_Toc46312514"/>
      <w:bookmarkStart w:id="200" w:name="_Toc46316423"/>
      <w:bookmarkStart w:id="201" w:name="_Toc46312515"/>
      <w:bookmarkStart w:id="202" w:name="_Toc46316424"/>
      <w:bookmarkStart w:id="203" w:name="_Toc46312516"/>
      <w:bookmarkStart w:id="204" w:name="_Toc46316425"/>
      <w:bookmarkStart w:id="205" w:name="_Toc46312537"/>
      <w:bookmarkStart w:id="206" w:name="_Toc46316446"/>
      <w:bookmarkStart w:id="207" w:name="_Toc46312538"/>
      <w:bookmarkStart w:id="208" w:name="_Toc46316447"/>
      <w:bookmarkStart w:id="209" w:name="_Toc46312539"/>
      <w:bookmarkStart w:id="210" w:name="_Toc46316448"/>
      <w:bookmarkStart w:id="211" w:name="_Toc46312540"/>
      <w:bookmarkStart w:id="212" w:name="_Toc46316449"/>
      <w:bookmarkStart w:id="213" w:name="_Toc46312541"/>
      <w:bookmarkStart w:id="214" w:name="_Toc46316450"/>
      <w:bookmarkStart w:id="215" w:name="_Toc46312542"/>
      <w:bookmarkStart w:id="216" w:name="_Toc46316451"/>
      <w:bookmarkStart w:id="217" w:name="_Toc46312543"/>
      <w:bookmarkStart w:id="218" w:name="_Toc46316452"/>
      <w:bookmarkStart w:id="219" w:name="_Toc46312544"/>
      <w:bookmarkStart w:id="220" w:name="_Toc46316453"/>
      <w:bookmarkStart w:id="221" w:name="_Toc46312545"/>
      <w:bookmarkStart w:id="222" w:name="_Toc46316454"/>
      <w:bookmarkStart w:id="223" w:name="_Toc46312546"/>
      <w:bookmarkStart w:id="224" w:name="_Toc46316455"/>
      <w:bookmarkStart w:id="225" w:name="_Toc46312547"/>
      <w:bookmarkStart w:id="226" w:name="_Toc46316456"/>
      <w:bookmarkStart w:id="227" w:name="_Toc46312590"/>
      <w:bookmarkStart w:id="228" w:name="_Toc46316499"/>
      <w:bookmarkStart w:id="229" w:name="_Toc46312591"/>
      <w:bookmarkStart w:id="230" w:name="_Toc46316500"/>
      <w:bookmarkStart w:id="231" w:name="_Toc46312592"/>
      <w:bookmarkStart w:id="232" w:name="_Toc46316501"/>
      <w:bookmarkStart w:id="233" w:name="_Toc46312630"/>
      <w:bookmarkStart w:id="234" w:name="_Toc46316539"/>
      <w:bookmarkStart w:id="235" w:name="_Toc46312631"/>
      <w:bookmarkStart w:id="236" w:name="_Toc46316540"/>
      <w:bookmarkStart w:id="237" w:name="_Toc46312632"/>
      <w:bookmarkStart w:id="238" w:name="_Toc46316541"/>
      <w:bookmarkStart w:id="239" w:name="_Toc46312633"/>
      <w:bookmarkStart w:id="240" w:name="_Toc46316542"/>
      <w:bookmarkStart w:id="241" w:name="_Toc46312634"/>
      <w:bookmarkStart w:id="242" w:name="_Toc46316543"/>
      <w:bookmarkStart w:id="243" w:name="_Toc46312635"/>
      <w:bookmarkStart w:id="244" w:name="_Toc46316544"/>
      <w:bookmarkStart w:id="245" w:name="_Toc46312684"/>
      <w:bookmarkStart w:id="246" w:name="_Toc46316593"/>
      <w:bookmarkStart w:id="247" w:name="_Toc46312685"/>
      <w:bookmarkStart w:id="248" w:name="_Toc46316594"/>
      <w:bookmarkStart w:id="249" w:name="_Toc46312686"/>
      <w:bookmarkStart w:id="250" w:name="_Toc46316595"/>
      <w:bookmarkStart w:id="251" w:name="_Toc46312687"/>
      <w:bookmarkStart w:id="252" w:name="_Toc46316596"/>
      <w:bookmarkStart w:id="253" w:name="_Toc46312688"/>
      <w:bookmarkStart w:id="254" w:name="_Toc46316597"/>
      <w:bookmarkStart w:id="255" w:name="_Toc46312689"/>
      <w:bookmarkStart w:id="256" w:name="_Toc46316598"/>
      <w:bookmarkStart w:id="257" w:name="_Toc46312690"/>
      <w:bookmarkStart w:id="258" w:name="_Toc46316599"/>
      <w:bookmarkStart w:id="259" w:name="_Toc46312691"/>
      <w:bookmarkStart w:id="260" w:name="_Toc46316600"/>
      <w:bookmarkStart w:id="261" w:name="_Toc46312731"/>
      <w:bookmarkStart w:id="262" w:name="_Toc46316640"/>
      <w:bookmarkStart w:id="263" w:name="_Toc46312732"/>
      <w:bookmarkStart w:id="264" w:name="_Toc46316641"/>
      <w:bookmarkStart w:id="265" w:name="_Toc46312733"/>
      <w:bookmarkStart w:id="266" w:name="_Toc46316642"/>
      <w:bookmarkStart w:id="267" w:name="_Toc46312734"/>
      <w:bookmarkStart w:id="268" w:name="_Toc46316643"/>
      <w:bookmarkStart w:id="269" w:name="_Toc46312735"/>
      <w:bookmarkStart w:id="270" w:name="_Toc46316644"/>
      <w:bookmarkStart w:id="271" w:name="_Toc46312736"/>
      <w:bookmarkStart w:id="272" w:name="_Toc46316645"/>
      <w:bookmarkStart w:id="273" w:name="_Toc46312737"/>
      <w:bookmarkStart w:id="274" w:name="_Toc46316646"/>
      <w:bookmarkStart w:id="275" w:name="_Toc46312738"/>
      <w:bookmarkStart w:id="276" w:name="_Toc46316647"/>
      <w:bookmarkStart w:id="277" w:name="_Toc46312739"/>
      <w:bookmarkStart w:id="278" w:name="_Toc46316648"/>
      <w:bookmarkStart w:id="279" w:name="_Toc46312740"/>
      <w:bookmarkStart w:id="280" w:name="_Toc46316649"/>
      <w:bookmarkStart w:id="281" w:name="_Toc46312741"/>
      <w:bookmarkStart w:id="282" w:name="_Toc46316650"/>
      <w:bookmarkStart w:id="283" w:name="_Toc46312742"/>
      <w:bookmarkStart w:id="284" w:name="_Toc46316651"/>
      <w:bookmarkStart w:id="285" w:name="_Toc46312743"/>
      <w:bookmarkStart w:id="286" w:name="_Toc46316652"/>
      <w:bookmarkStart w:id="287" w:name="_Toc46312744"/>
      <w:bookmarkStart w:id="288" w:name="_Toc46316653"/>
      <w:bookmarkStart w:id="289" w:name="_Toc46312745"/>
      <w:bookmarkStart w:id="290" w:name="_Toc46316654"/>
      <w:bookmarkStart w:id="291" w:name="_Toc46312746"/>
      <w:bookmarkStart w:id="292" w:name="_Toc46316655"/>
      <w:bookmarkStart w:id="293" w:name="_Toc46312747"/>
      <w:bookmarkStart w:id="294" w:name="_Toc46316656"/>
      <w:bookmarkStart w:id="295" w:name="_Toc46312748"/>
      <w:bookmarkStart w:id="296" w:name="_Toc46316657"/>
      <w:bookmarkStart w:id="297" w:name="_Toc46312749"/>
      <w:bookmarkStart w:id="298" w:name="_Toc46316658"/>
      <w:bookmarkStart w:id="299" w:name="_Toc46312750"/>
      <w:bookmarkStart w:id="300" w:name="_Toc46316659"/>
      <w:bookmarkStart w:id="301" w:name="_Toc46312751"/>
      <w:bookmarkStart w:id="302" w:name="_Toc46316660"/>
      <w:bookmarkStart w:id="303" w:name="_Toc46312752"/>
      <w:bookmarkStart w:id="304" w:name="_Toc46316661"/>
      <w:bookmarkStart w:id="305" w:name="_Toc46312753"/>
      <w:bookmarkStart w:id="306" w:name="_Toc46316662"/>
      <w:bookmarkStart w:id="307" w:name="_Toc46312754"/>
      <w:bookmarkStart w:id="308" w:name="_Toc46316663"/>
      <w:bookmarkStart w:id="309" w:name="_Toc46312755"/>
      <w:bookmarkStart w:id="310" w:name="_Toc46316664"/>
      <w:bookmarkStart w:id="311" w:name="_Toc46312756"/>
      <w:bookmarkStart w:id="312" w:name="_Toc46316665"/>
      <w:bookmarkStart w:id="313" w:name="_Toc46312757"/>
      <w:bookmarkStart w:id="314" w:name="_Toc46316666"/>
      <w:bookmarkStart w:id="315" w:name="_Toc46312758"/>
      <w:bookmarkStart w:id="316" w:name="_Toc46316667"/>
      <w:bookmarkStart w:id="317" w:name="_Toc46312759"/>
      <w:bookmarkStart w:id="318" w:name="_Toc46316668"/>
      <w:bookmarkStart w:id="319" w:name="_Toc46312760"/>
      <w:bookmarkStart w:id="320" w:name="_Toc46316669"/>
      <w:bookmarkStart w:id="321" w:name="_Toc46312761"/>
      <w:bookmarkStart w:id="322" w:name="_Toc46316670"/>
      <w:bookmarkStart w:id="323" w:name="_Toc46312762"/>
      <w:bookmarkStart w:id="324" w:name="_Toc46316671"/>
      <w:bookmarkStart w:id="325" w:name="_Toc46312763"/>
      <w:bookmarkStart w:id="326" w:name="_Toc46316672"/>
      <w:bookmarkStart w:id="327" w:name="_Toc46312764"/>
      <w:bookmarkStart w:id="328" w:name="_Toc46316673"/>
      <w:bookmarkStart w:id="329" w:name="_Toc46312765"/>
      <w:bookmarkStart w:id="330" w:name="_Toc46316674"/>
      <w:bookmarkStart w:id="331" w:name="_Toc46312766"/>
      <w:bookmarkStart w:id="332" w:name="_Toc46316675"/>
      <w:bookmarkStart w:id="333" w:name="_Toc46312767"/>
      <w:bookmarkStart w:id="334" w:name="_Toc46316676"/>
      <w:bookmarkStart w:id="335" w:name="_Toc46312768"/>
      <w:bookmarkStart w:id="336" w:name="_Toc46316677"/>
      <w:bookmarkStart w:id="337" w:name="_Toc46312769"/>
      <w:bookmarkStart w:id="338" w:name="_Toc46316678"/>
      <w:bookmarkStart w:id="339" w:name="_Toc46312770"/>
      <w:bookmarkStart w:id="340" w:name="_Toc46316679"/>
      <w:bookmarkStart w:id="341" w:name="_Toc46312771"/>
      <w:bookmarkStart w:id="342" w:name="_Toc46316680"/>
      <w:bookmarkStart w:id="343" w:name="_Toc46312772"/>
      <w:bookmarkStart w:id="344" w:name="_Toc46316681"/>
      <w:bookmarkStart w:id="345" w:name="_Toc46312773"/>
      <w:bookmarkStart w:id="346" w:name="_Toc46316682"/>
      <w:bookmarkStart w:id="347" w:name="_Toc46312774"/>
      <w:bookmarkStart w:id="348" w:name="_Toc46316683"/>
      <w:bookmarkStart w:id="349" w:name="_Toc46313351"/>
      <w:bookmarkStart w:id="350" w:name="_Toc46317260"/>
      <w:bookmarkStart w:id="351" w:name="_Toc46313352"/>
      <w:bookmarkStart w:id="352" w:name="_Toc46317261"/>
      <w:bookmarkStart w:id="353" w:name="_Toc46313353"/>
      <w:bookmarkStart w:id="354" w:name="_Toc46317262"/>
      <w:bookmarkStart w:id="355" w:name="_Toc46313416"/>
      <w:bookmarkStart w:id="356" w:name="_Toc46317325"/>
      <w:bookmarkStart w:id="357" w:name="_Toc46313417"/>
      <w:bookmarkStart w:id="358" w:name="_Toc46317326"/>
      <w:bookmarkStart w:id="359" w:name="_Toc46313418"/>
      <w:bookmarkStart w:id="360" w:name="_Toc46317327"/>
      <w:bookmarkStart w:id="361" w:name="_Toc46313419"/>
      <w:bookmarkStart w:id="362" w:name="_Toc46317328"/>
      <w:bookmarkStart w:id="363" w:name="_Toc46313420"/>
      <w:bookmarkStart w:id="364" w:name="_Toc46317329"/>
      <w:bookmarkStart w:id="365" w:name="_Toc46313421"/>
      <w:bookmarkStart w:id="366" w:name="_Toc46317330"/>
      <w:bookmarkStart w:id="367" w:name="_Toc46313422"/>
      <w:bookmarkStart w:id="368" w:name="_Toc46317331"/>
      <w:bookmarkStart w:id="369" w:name="_Toc46313423"/>
      <w:bookmarkStart w:id="370" w:name="_Toc46317332"/>
      <w:bookmarkStart w:id="371" w:name="_Toc46313424"/>
      <w:bookmarkStart w:id="372" w:name="_Toc46317333"/>
      <w:bookmarkStart w:id="373" w:name="_Toc46313483"/>
      <w:bookmarkStart w:id="374" w:name="_Toc46317392"/>
      <w:bookmarkStart w:id="375" w:name="_Toc46313484"/>
      <w:bookmarkStart w:id="376" w:name="_Toc46317393"/>
      <w:bookmarkStart w:id="377" w:name="_Toc46313485"/>
      <w:bookmarkStart w:id="378" w:name="_Toc46317394"/>
      <w:bookmarkStart w:id="379" w:name="_Toc46313486"/>
      <w:bookmarkStart w:id="380" w:name="_Toc46317395"/>
      <w:bookmarkStart w:id="381" w:name="_Toc46313487"/>
      <w:bookmarkStart w:id="382" w:name="_Toc46317396"/>
      <w:bookmarkStart w:id="383" w:name="_Toc46313523"/>
      <w:bookmarkStart w:id="384" w:name="_Toc46317432"/>
      <w:bookmarkStart w:id="385" w:name="_Toc46313524"/>
      <w:bookmarkStart w:id="386" w:name="_Toc46317433"/>
      <w:bookmarkStart w:id="387" w:name="_Toc46313525"/>
      <w:bookmarkStart w:id="388" w:name="_Toc46317434"/>
      <w:bookmarkStart w:id="389" w:name="_Toc46313526"/>
      <w:bookmarkStart w:id="390" w:name="_Toc46317435"/>
      <w:bookmarkStart w:id="391" w:name="_Toc46313527"/>
      <w:bookmarkStart w:id="392" w:name="_Toc46317436"/>
      <w:bookmarkStart w:id="393" w:name="_Toc46313528"/>
      <w:bookmarkStart w:id="394" w:name="_Toc46317437"/>
      <w:bookmarkStart w:id="395" w:name="_Toc46313529"/>
      <w:bookmarkStart w:id="396" w:name="_Toc46317438"/>
      <w:bookmarkStart w:id="397" w:name="_Toc46313530"/>
      <w:bookmarkStart w:id="398" w:name="_Toc46317439"/>
      <w:bookmarkStart w:id="399" w:name="_Toc46313531"/>
      <w:bookmarkStart w:id="400" w:name="_Toc46317440"/>
      <w:bookmarkStart w:id="401" w:name="_Toc46313532"/>
      <w:bookmarkStart w:id="402" w:name="_Toc46317441"/>
      <w:bookmarkStart w:id="403" w:name="_Toc46313533"/>
      <w:bookmarkStart w:id="404" w:name="_Toc46317442"/>
      <w:bookmarkStart w:id="405" w:name="_Toc46313534"/>
      <w:bookmarkStart w:id="406" w:name="_Toc46317443"/>
      <w:bookmarkStart w:id="407" w:name="_Toc46313535"/>
      <w:bookmarkStart w:id="408" w:name="_Toc46317444"/>
      <w:bookmarkStart w:id="409" w:name="_Toc46313536"/>
      <w:bookmarkStart w:id="410" w:name="_Toc46317445"/>
      <w:bookmarkStart w:id="411" w:name="_Toc46313537"/>
      <w:bookmarkStart w:id="412" w:name="_Toc46317446"/>
      <w:bookmarkStart w:id="413" w:name="_Toc46313538"/>
      <w:bookmarkStart w:id="414" w:name="_Toc46317447"/>
      <w:bookmarkStart w:id="415" w:name="_Toc46313539"/>
      <w:bookmarkStart w:id="416" w:name="_Toc46317448"/>
      <w:bookmarkStart w:id="417" w:name="_Toc46313540"/>
      <w:bookmarkStart w:id="418" w:name="_Toc46317449"/>
      <w:bookmarkStart w:id="419" w:name="_Toc46313541"/>
      <w:bookmarkStart w:id="420" w:name="_Toc46317450"/>
      <w:bookmarkStart w:id="421" w:name="_Toc46313542"/>
      <w:bookmarkStart w:id="422" w:name="_Toc46317451"/>
      <w:bookmarkStart w:id="423" w:name="_Toc46313543"/>
      <w:bookmarkStart w:id="424" w:name="_Toc46317452"/>
      <w:bookmarkStart w:id="425" w:name="_Toc46313544"/>
      <w:bookmarkStart w:id="426" w:name="_Toc46317453"/>
      <w:bookmarkStart w:id="427" w:name="_Toc46313545"/>
      <w:bookmarkStart w:id="428" w:name="_Toc46317454"/>
      <w:bookmarkStart w:id="429" w:name="_Toc46313546"/>
      <w:bookmarkStart w:id="430" w:name="_Toc46317455"/>
      <w:bookmarkStart w:id="431" w:name="_Toc46313547"/>
      <w:bookmarkStart w:id="432" w:name="_Toc46317456"/>
      <w:bookmarkStart w:id="433" w:name="_Toc46313548"/>
      <w:bookmarkStart w:id="434" w:name="_Toc46317457"/>
      <w:bookmarkStart w:id="435" w:name="_Toc46313549"/>
      <w:bookmarkStart w:id="436" w:name="_Toc46317458"/>
      <w:bookmarkStart w:id="437" w:name="_Toc46313550"/>
      <w:bookmarkStart w:id="438" w:name="_Toc46317459"/>
      <w:bookmarkStart w:id="439" w:name="_Toc46313551"/>
      <w:bookmarkStart w:id="440" w:name="_Toc46317460"/>
      <w:bookmarkStart w:id="441" w:name="_Toc46313552"/>
      <w:bookmarkStart w:id="442" w:name="_Toc46317461"/>
      <w:bookmarkStart w:id="443" w:name="_Toc46313553"/>
      <w:bookmarkStart w:id="444" w:name="_Toc46317462"/>
      <w:bookmarkStart w:id="445" w:name="_Toc46313554"/>
      <w:bookmarkStart w:id="446" w:name="_Toc46317463"/>
      <w:bookmarkStart w:id="447" w:name="_Toc46313555"/>
      <w:bookmarkStart w:id="448" w:name="_Toc46317464"/>
      <w:bookmarkStart w:id="449" w:name="_Toc46313556"/>
      <w:bookmarkStart w:id="450" w:name="_Toc46317465"/>
      <w:bookmarkStart w:id="451" w:name="_Toc46313557"/>
      <w:bookmarkStart w:id="452" w:name="_Toc46317466"/>
      <w:bookmarkStart w:id="453" w:name="_Toc46313558"/>
      <w:bookmarkStart w:id="454" w:name="_Toc46317467"/>
      <w:bookmarkStart w:id="455" w:name="_Toc46313559"/>
      <w:bookmarkStart w:id="456" w:name="_Toc46317468"/>
      <w:bookmarkStart w:id="457" w:name="_Toc46313560"/>
      <w:bookmarkStart w:id="458" w:name="_Toc46317469"/>
      <w:bookmarkStart w:id="459" w:name="_Toc46313561"/>
      <w:bookmarkStart w:id="460" w:name="_Toc46317470"/>
      <w:bookmarkStart w:id="461" w:name="_Toc46313562"/>
      <w:bookmarkStart w:id="462" w:name="_Toc46317471"/>
      <w:bookmarkStart w:id="463" w:name="_Toc46313563"/>
      <w:bookmarkStart w:id="464" w:name="_Toc46317472"/>
      <w:bookmarkStart w:id="465" w:name="_Toc46313564"/>
      <w:bookmarkStart w:id="466" w:name="_Toc46317473"/>
      <w:bookmarkStart w:id="467" w:name="_Toc46313565"/>
      <w:bookmarkStart w:id="468" w:name="_Toc46317474"/>
      <w:bookmarkStart w:id="469" w:name="_Toc46313566"/>
      <w:bookmarkStart w:id="470" w:name="_Toc46317475"/>
      <w:bookmarkStart w:id="471" w:name="_Toc46313567"/>
      <w:bookmarkStart w:id="472" w:name="_Toc46317476"/>
      <w:bookmarkStart w:id="473" w:name="_Toc46313568"/>
      <w:bookmarkStart w:id="474" w:name="_Toc46317477"/>
      <w:bookmarkStart w:id="475" w:name="_Toc46313569"/>
      <w:bookmarkStart w:id="476" w:name="_Toc46317478"/>
      <w:bookmarkStart w:id="477" w:name="_Toc46313570"/>
      <w:bookmarkStart w:id="478" w:name="_Toc46317479"/>
      <w:bookmarkStart w:id="479" w:name="_Toc46313926"/>
      <w:bookmarkStart w:id="480" w:name="_Toc46317835"/>
      <w:bookmarkStart w:id="481" w:name="_Toc46314160"/>
      <w:bookmarkStart w:id="482" w:name="_Toc46318069"/>
      <w:bookmarkStart w:id="483" w:name="_Toc46314172"/>
      <w:bookmarkStart w:id="484" w:name="_Toc46318081"/>
      <w:bookmarkStart w:id="485" w:name="_Toc46314173"/>
      <w:bookmarkStart w:id="486" w:name="_Toc46318082"/>
      <w:bookmarkStart w:id="487" w:name="_Toc46314205"/>
      <w:bookmarkStart w:id="488" w:name="_Toc46318114"/>
      <w:bookmarkStart w:id="489" w:name="_Toc46314206"/>
      <w:bookmarkStart w:id="490" w:name="_Toc46318115"/>
      <w:bookmarkStart w:id="491" w:name="_Toc46314207"/>
      <w:bookmarkStart w:id="492" w:name="_Toc46318116"/>
      <w:bookmarkStart w:id="493" w:name="_Toc46314291"/>
      <w:bookmarkStart w:id="494" w:name="_Toc46318200"/>
      <w:bookmarkStart w:id="495" w:name="_Toc46314292"/>
      <w:bookmarkStart w:id="496" w:name="_Toc46318201"/>
      <w:bookmarkStart w:id="497" w:name="_Toc46314293"/>
      <w:bookmarkStart w:id="498" w:name="_Toc46318202"/>
      <w:bookmarkStart w:id="499" w:name="_Toc46314294"/>
      <w:bookmarkStart w:id="500" w:name="_Toc46318203"/>
      <w:bookmarkStart w:id="501" w:name="_Toc46314295"/>
      <w:bookmarkStart w:id="502" w:name="_Toc46318204"/>
      <w:bookmarkStart w:id="503" w:name="_Toc46314339"/>
      <w:bookmarkStart w:id="504" w:name="_Toc46318248"/>
      <w:bookmarkStart w:id="505" w:name="_Toc46314340"/>
      <w:bookmarkStart w:id="506" w:name="_Toc46318249"/>
      <w:bookmarkStart w:id="507" w:name="_Toc46314341"/>
      <w:bookmarkStart w:id="508" w:name="_Toc46318250"/>
      <w:bookmarkStart w:id="509" w:name="_Toc46314342"/>
      <w:bookmarkStart w:id="510" w:name="_Toc46318251"/>
      <w:bookmarkStart w:id="511" w:name="_Toc46314343"/>
      <w:bookmarkStart w:id="512" w:name="_Toc46318252"/>
      <w:bookmarkStart w:id="513" w:name="_Toc46314344"/>
      <w:bookmarkStart w:id="514" w:name="_Toc46318253"/>
      <w:bookmarkStart w:id="515" w:name="_Toc46314345"/>
      <w:bookmarkStart w:id="516" w:name="_Toc46318254"/>
      <w:bookmarkStart w:id="517" w:name="_Toc46314346"/>
      <w:bookmarkStart w:id="518" w:name="_Toc46318255"/>
      <w:bookmarkStart w:id="519" w:name="_Toc46314347"/>
      <w:bookmarkStart w:id="520" w:name="_Toc46318256"/>
      <w:bookmarkStart w:id="521" w:name="_Toc46314348"/>
      <w:bookmarkStart w:id="522" w:name="_Toc46318257"/>
      <w:bookmarkStart w:id="523" w:name="_Toc46314349"/>
      <w:bookmarkStart w:id="524" w:name="_Toc46318258"/>
      <w:bookmarkStart w:id="525" w:name="_Toc46314350"/>
      <w:bookmarkStart w:id="526" w:name="_Toc46318259"/>
      <w:bookmarkStart w:id="527" w:name="_Toc46314351"/>
      <w:bookmarkStart w:id="528" w:name="_Toc46318260"/>
      <w:bookmarkStart w:id="529" w:name="_Toc46314393"/>
      <w:bookmarkStart w:id="530" w:name="_Toc46318302"/>
      <w:bookmarkStart w:id="531" w:name="_Toc46314394"/>
      <w:bookmarkStart w:id="532" w:name="_Toc46318303"/>
      <w:bookmarkStart w:id="533" w:name="_Toc46314395"/>
      <w:bookmarkStart w:id="534" w:name="_Toc46318304"/>
      <w:bookmarkStart w:id="535" w:name="_Toc46314396"/>
      <w:bookmarkStart w:id="536" w:name="_Toc46318305"/>
      <w:bookmarkStart w:id="537" w:name="_Toc46314438"/>
      <w:bookmarkStart w:id="538" w:name="_Toc46318347"/>
      <w:bookmarkStart w:id="539" w:name="_Toc46314439"/>
      <w:bookmarkStart w:id="540" w:name="_Toc46318348"/>
      <w:bookmarkStart w:id="541" w:name="_Toc46314440"/>
      <w:bookmarkStart w:id="542" w:name="_Toc46318349"/>
      <w:bookmarkStart w:id="543" w:name="_Toc46314525"/>
      <w:bookmarkStart w:id="544" w:name="_Toc46318434"/>
      <w:bookmarkStart w:id="545" w:name="_Toc124762770"/>
      <w:bookmarkEnd w:id="2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lastRenderedPageBreak/>
        <w:t>‘Refresh’ of the 1973-78 cohort with women from Asian backgrounds</w:t>
      </w:r>
      <w:bookmarkEnd w:id="545"/>
    </w:p>
    <w:p w14:paraId="70D49957" w14:textId="77777777" w:rsidR="00BE58C5" w:rsidRDefault="00BE58C5" w:rsidP="00C21A1B">
      <w:pPr>
        <w:pStyle w:val="Heading3"/>
      </w:pPr>
      <w:bookmarkStart w:id="546" w:name="_Toc81405299"/>
      <w:bookmarkStart w:id="547" w:name="_Toc124762771"/>
      <w:r>
        <w:t>Background</w:t>
      </w:r>
      <w:bookmarkEnd w:id="546"/>
      <w:bookmarkEnd w:id="547"/>
    </w:p>
    <w:p w14:paraId="270B87E2" w14:textId="6D3EC8D2" w:rsidR="00BE58C5" w:rsidRDefault="00BE58C5" w:rsidP="00BE58C5">
      <w:pPr>
        <w:spacing w:before="0"/>
      </w:pPr>
      <w:r>
        <w:t>A</w:t>
      </w:r>
      <w:r w:rsidRPr="007A442B">
        <w:t xml:space="preserve"> ke</w:t>
      </w:r>
      <w:r>
        <w:t xml:space="preserve">y ALSWH objective is to </w:t>
      </w:r>
      <w:r w:rsidRPr="007A442B">
        <w:t>provid</w:t>
      </w:r>
      <w:r>
        <w:t>e</w:t>
      </w:r>
      <w:r w:rsidRPr="007A442B">
        <w:t xml:space="preserve"> an evidence base for Government to underpin development, </w:t>
      </w:r>
      <w:proofErr w:type="gramStart"/>
      <w:r w:rsidRPr="007A442B">
        <w:t>implementation</w:t>
      </w:r>
      <w:proofErr w:type="gramEnd"/>
      <w:r w:rsidRPr="007A442B">
        <w:t xml:space="preserve"> and </w:t>
      </w:r>
      <w:r>
        <w:t>evaluation of women’s health policies. To achieve this objective, it is important that the women participating in the Study are representative of the general population.</w:t>
      </w:r>
      <w:r w:rsidR="008F6FDE">
        <w:t xml:space="preserve"> </w:t>
      </w:r>
      <w:r>
        <w:t xml:space="preserve">While the cohorts were reasonably representative of the general population of women of the same age at recruitment (in 1995 and 2013), there was some under-representation of immigrants from non-English speaking countries (Brown, et al. 1999; Mishra et al., 2014; Loxton et al., 2015). Recent increases in immigration to Australia from these countries, especially by young people, has further increased these differences. </w:t>
      </w:r>
      <w:r w:rsidR="00C21A1B">
        <w:fldChar w:fldCharType="begin"/>
      </w:r>
      <w:r w:rsidR="00C21A1B">
        <w:instrText xml:space="preserve"> REF _Ref113716408 \h </w:instrText>
      </w:r>
      <w:r w:rsidR="00C21A1B">
        <w:fldChar w:fldCharType="separate"/>
      </w:r>
      <w:r w:rsidR="007D19D7">
        <w:t xml:space="preserve">Table </w:t>
      </w:r>
      <w:r w:rsidR="007D19D7">
        <w:rPr>
          <w:noProof/>
        </w:rPr>
        <w:t>3</w:t>
      </w:r>
      <w:r w:rsidR="007D19D7">
        <w:noBreakHyphen/>
      </w:r>
      <w:r w:rsidR="007D19D7">
        <w:rPr>
          <w:noProof/>
        </w:rPr>
        <w:t>14</w:t>
      </w:r>
      <w:r w:rsidR="00C21A1B">
        <w:fldChar w:fldCharType="end"/>
      </w:r>
      <w:r w:rsidR="00C21A1B">
        <w:t xml:space="preserve"> </w:t>
      </w:r>
      <w:r>
        <w:t xml:space="preserve">shows comparisons of country/region of birth of the 1973-78 ALSWH cohort, and women of the same age for the 2016 Australian Census. </w:t>
      </w:r>
    </w:p>
    <w:p w14:paraId="497C5DBB" w14:textId="72ADCAE0" w:rsidR="00BE58C5" w:rsidRPr="000F6B4D" w:rsidRDefault="00C21A1B" w:rsidP="00C21A1B">
      <w:pPr>
        <w:pStyle w:val="Caption"/>
        <w:rPr>
          <w:b w:val="0"/>
        </w:rPr>
      </w:pPr>
      <w:bookmarkStart w:id="548" w:name="_Ref113716408"/>
      <w:r>
        <w:t xml:space="preserve">Table </w:t>
      </w:r>
      <w:fldSimple w:instr=" STYLEREF 1 \s ">
        <w:r w:rsidR="007D19D7">
          <w:rPr>
            <w:noProof/>
          </w:rPr>
          <w:t>3</w:t>
        </w:r>
      </w:fldSimple>
      <w:r w:rsidR="00327D59">
        <w:noBreakHyphen/>
      </w:r>
      <w:fldSimple w:instr=" SEQ Table \* ARABIC \s 1 ">
        <w:r w:rsidR="007D19D7">
          <w:rPr>
            <w:noProof/>
          </w:rPr>
          <w:t>14</w:t>
        </w:r>
      </w:fldSimple>
      <w:bookmarkEnd w:id="548"/>
      <w:r>
        <w:t xml:space="preserve"> </w:t>
      </w:r>
      <w:r w:rsidR="00BE58C5" w:rsidRPr="000F6B4D">
        <w:t xml:space="preserve">Comparison of region of birth for the ALSWH 1973-78 cohort (at Survey 7 in 2015) and women of the same age in the general population (as recorded in the </w:t>
      </w:r>
      <w:r w:rsidR="00BE58C5">
        <w:t xml:space="preserve">2016 </w:t>
      </w:r>
      <w:r w:rsidR="00BE58C5" w:rsidRPr="000F6B4D">
        <w:t>Australian Census).</w:t>
      </w:r>
    </w:p>
    <w:tbl>
      <w:tblPr>
        <w:tblStyle w:val="TableGrid"/>
        <w:tblW w:w="9209" w:type="dxa"/>
        <w:tblLook w:val="04A0" w:firstRow="1" w:lastRow="0" w:firstColumn="1" w:lastColumn="0" w:noHBand="0" w:noVBand="1"/>
      </w:tblPr>
      <w:tblGrid>
        <w:gridCol w:w="2263"/>
        <w:gridCol w:w="1701"/>
        <w:gridCol w:w="1560"/>
        <w:gridCol w:w="3685"/>
      </w:tblGrid>
      <w:tr w:rsidR="00BE58C5" w:rsidRPr="00851762" w14:paraId="40F0B92F" w14:textId="77777777" w:rsidTr="00E86D5D">
        <w:tc>
          <w:tcPr>
            <w:tcW w:w="2263" w:type="dxa"/>
            <w:vMerge w:val="restart"/>
          </w:tcPr>
          <w:p w14:paraId="4324997D" w14:textId="77777777" w:rsidR="00BE58C5" w:rsidRPr="00851762" w:rsidRDefault="00BE58C5" w:rsidP="00E86D5D">
            <w:pPr>
              <w:spacing w:line="276" w:lineRule="auto"/>
            </w:pPr>
          </w:p>
        </w:tc>
        <w:tc>
          <w:tcPr>
            <w:tcW w:w="3261" w:type="dxa"/>
            <w:gridSpan w:val="2"/>
            <w:tcBorders>
              <w:top w:val="single" w:sz="6" w:space="0" w:color="1F497D" w:themeColor="dark2"/>
              <w:left w:val="single" w:sz="6" w:space="0" w:color="auto"/>
              <w:bottom w:val="single" w:sz="6" w:space="0" w:color="1F497D" w:themeColor="dark2"/>
            </w:tcBorders>
            <w:shd w:val="clear" w:color="auto" w:fill="DBE5F1" w:themeFill="accent1" w:themeFillTint="33"/>
          </w:tcPr>
          <w:p w14:paraId="6E212E5E" w14:textId="77777777" w:rsidR="00BE58C5" w:rsidRPr="00851762" w:rsidRDefault="00BE58C5" w:rsidP="00E86D5D">
            <w:pPr>
              <w:spacing w:line="276" w:lineRule="auto"/>
              <w:jc w:val="center"/>
              <w:rPr>
                <w:b/>
              </w:rPr>
            </w:pPr>
            <w:r w:rsidRPr="00851762">
              <w:rPr>
                <w:rFonts w:eastAsiaTheme="minorEastAsia"/>
                <w:b/>
                <w:noProof/>
                <w:color w:val="000000" w:themeColor="dark1"/>
              </w:rPr>
              <w:t xml:space="preserve">ALSWH (age </w:t>
            </w:r>
            <w:r>
              <w:rPr>
                <w:rFonts w:eastAsiaTheme="minorEastAsia"/>
                <w:b/>
                <w:noProof/>
                <w:color w:val="000000" w:themeColor="dark1"/>
              </w:rPr>
              <w:t>37-42</w:t>
            </w:r>
            <w:r w:rsidRPr="00851762">
              <w:rPr>
                <w:rFonts w:eastAsiaTheme="minorEastAsia"/>
                <w:b/>
                <w:noProof/>
                <w:color w:val="000000" w:themeColor="dark1"/>
              </w:rPr>
              <w:t>)</w:t>
            </w:r>
          </w:p>
        </w:tc>
        <w:tc>
          <w:tcPr>
            <w:tcW w:w="3685" w:type="dxa"/>
          </w:tcPr>
          <w:p w14:paraId="09FCC3D0" w14:textId="77777777" w:rsidR="00BE58C5" w:rsidRPr="00851762" w:rsidRDefault="00BE58C5" w:rsidP="00E86D5D">
            <w:pPr>
              <w:spacing w:line="276" w:lineRule="auto"/>
              <w:jc w:val="center"/>
              <w:rPr>
                <w:b/>
              </w:rPr>
            </w:pPr>
            <w:r w:rsidRPr="00851762">
              <w:rPr>
                <w:b/>
              </w:rPr>
              <w:t xml:space="preserve">2016 Australian Census </w:t>
            </w:r>
            <w:r w:rsidRPr="00851762">
              <w:rPr>
                <w:rFonts w:eastAsiaTheme="minorEastAsia"/>
                <w:b/>
                <w:noProof/>
                <w:color w:val="000000" w:themeColor="dark1"/>
              </w:rPr>
              <w:t>(age 38-43)</w:t>
            </w:r>
          </w:p>
        </w:tc>
      </w:tr>
      <w:tr w:rsidR="00BE58C5" w:rsidRPr="00851762" w14:paraId="55BD3839" w14:textId="77777777" w:rsidTr="00E86D5D">
        <w:tc>
          <w:tcPr>
            <w:tcW w:w="2263" w:type="dxa"/>
            <w:vMerge/>
          </w:tcPr>
          <w:p w14:paraId="6DFD29DF" w14:textId="77777777" w:rsidR="00BE58C5" w:rsidRPr="00851762" w:rsidRDefault="00BE58C5" w:rsidP="00E86D5D">
            <w:pPr>
              <w:spacing w:line="276" w:lineRule="auto"/>
            </w:pPr>
          </w:p>
        </w:tc>
        <w:tc>
          <w:tcPr>
            <w:tcW w:w="1701"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DAEEF3" w:themeFill="accent5" w:themeFillTint="33"/>
          </w:tcPr>
          <w:p w14:paraId="243C3C23" w14:textId="77777777" w:rsidR="00BE58C5" w:rsidRPr="00851762" w:rsidRDefault="00BE58C5" w:rsidP="00E86D5D">
            <w:pPr>
              <w:spacing w:line="276" w:lineRule="auto"/>
              <w:jc w:val="center"/>
            </w:pPr>
            <w:r w:rsidRPr="00851762">
              <w:rPr>
                <w:rFonts w:eastAsiaTheme="minorEastAsia"/>
                <w:noProof/>
                <w:color w:val="000000" w:themeColor="dark1"/>
              </w:rPr>
              <w:t>No. women</w:t>
            </w:r>
          </w:p>
        </w:tc>
        <w:tc>
          <w:tcPr>
            <w:tcW w:w="1560"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DAEEF3" w:themeFill="accent5" w:themeFillTint="33"/>
          </w:tcPr>
          <w:p w14:paraId="35DBC263" w14:textId="77777777" w:rsidR="00BE58C5" w:rsidRPr="00851762" w:rsidRDefault="00BE58C5" w:rsidP="00E86D5D">
            <w:pPr>
              <w:spacing w:line="276" w:lineRule="auto"/>
              <w:jc w:val="center"/>
            </w:pPr>
            <w:r w:rsidRPr="00851762">
              <w:rPr>
                <w:rFonts w:eastAsiaTheme="minorEastAsia"/>
                <w:noProof/>
                <w:color w:val="000000" w:themeColor="dark1"/>
              </w:rPr>
              <w:t>%</w:t>
            </w:r>
          </w:p>
        </w:tc>
        <w:tc>
          <w:tcPr>
            <w:tcW w:w="3685"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auto"/>
          </w:tcPr>
          <w:p w14:paraId="4ABD283B" w14:textId="77777777" w:rsidR="00BE58C5" w:rsidRPr="00851762" w:rsidRDefault="00BE58C5" w:rsidP="00E86D5D">
            <w:pPr>
              <w:spacing w:line="276" w:lineRule="auto"/>
              <w:jc w:val="center"/>
            </w:pPr>
            <w:r w:rsidRPr="00851762">
              <w:rPr>
                <w:rFonts w:eastAsiaTheme="minorEastAsia"/>
                <w:noProof/>
                <w:color w:val="000000" w:themeColor="dark1"/>
              </w:rPr>
              <w:t xml:space="preserve">  %</w:t>
            </w:r>
          </w:p>
        </w:tc>
      </w:tr>
      <w:tr w:rsidR="00BE58C5" w:rsidRPr="00851762" w14:paraId="719B79DC" w14:textId="77777777" w:rsidTr="00E86D5D">
        <w:tc>
          <w:tcPr>
            <w:tcW w:w="2263"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auto"/>
            <w:vAlign w:val="bottom"/>
          </w:tcPr>
          <w:p w14:paraId="5722C5E9" w14:textId="77777777" w:rsidR="00BE58C5" w:rsidRPr="00851762" w:rsidRDefault="00BE58C5" w:rsidP="00E86D5D">
            <w:pPr>
              <w:spacing w:line="276" w:lineRule="auto"/>
            </w:pPr>
            <w:r w:rsidRPr="00851762">
              <w:rPr>
                <w:rFonts w:eastAsiaTheme="minorEastAsia"/>
                <w:noProof/>
                <w:color w:val="000000" w:themeColor="dark1"/>
              </w:rPr>
              <w:t>Australia</w:t>
            </w:r>
          </w:p>
        </w:tc>
        <w:tc>
          <w:tcPr>
            <w:tcW w:w="1701"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DAEEF3" w:themeFill="accent5" w:themeFillTint="33"/>
          </w:tcPr>
          <w:p w14:paraId="6C0F685D" w14:textId="77777777" w:rsidR="00BE58C5" w:rsidRPr="00851762" w:rsidRDefault="00BE58C5" w:rsidP="00E86D5D">
            <w:pPr>
              <w:spacing w:line="276" w:lineRule="auto"/>
              <w:jc w:val="center"/>
            </w:pPr>
            <w:r w:rsidRPr="00851762">
              <w:rPr>
                <w:rFonts w:eastAsiaTheme="minorEastAsia"/>
                <w:noProof/>
                <w:color w:val="000000" w:themeColor="dark1"/>
              </w:rPr>
              <w:t>6,636</w:t>
            </w:r>
          </w:p>
        </w:tc>
        <w:tc>
          <w:tcPr>
            <w:tcW w:w="1560"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DAEEF3" w:themeFill="accent5" w:themeFillTint="33"/>
          </w:tcPr>
          <w:p w14:paraId="2623A721" w14:textId="77777777" w:rsidR="00BE58C5" w:rsidRPr="00851762" w:rsidRDefault="00BE58C5" w:rsidP="00E86D5D">
            <w:pPr>
              <w:spacing w:line="276" w:lineRule="auto"/>
              <w:jc w:val="center"/>
            </w:pPr>
            <w:r w:rsidRPr="00851762">
              <w:rPr>
                <w:rFonts w:eastAsiaTheme="minorEastAsia"/>
                <w:noProof/>
                <w:color w:val="000000" w:themeColor="dark1"/>
              </w:rPr>
              <w:t>92.95</w:t>
            </w:r>
          </w:p>
        </w:tc>
        <w:tc>
          <w:tcPr>
            <w:tcW w:w="3685"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FFFFFF" w:themeFill="light1"/>
          </w:tcPr>
          <w:p w14:paraId="40CF73D5" w14:textId="77777777" w:rsidR="00BE58C5" w:rsidRPr="00851762" w:rsidRDefault="00BE58C5" w:rsidP="00E86D5D">
            <w:pPr>
              <w:spacing w:line="276" w:lineRule="auto"/>
              <w:jc w:val="center"/>
            </w:pPr>
            <w:r w:rsidRPr="00851762">
              <w:rPr>
                <w:rFonts w:eastAsiaTheme="minorEastAsia"/>
                <w:noProof/>
                <w:color w:val="000000" w:themeColor="dark1"/>
              </w:rPr>
              <w:t>61.53</w:t>
            </w:r>
          </w:p>
        </w:tc>
      </w:tr>
      <w:tr w:rsidR="00BE58C5" w:rsidRPr="00851762" w14:paraId="731A96DC" w14:textId="77777777" w:rsidTr="00E86D5D">
        <w:tc>
          <w:tcPr>
            <w:tcW w:w="2263"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auto"/>
            <w:vAlign w:val="bottom"/>
          </w:tcPr>
          <w:p w14:paraId="749ED1B3" w14:textId="77777777" w:rsidR="00BE58C5" w:rsidRPr="00851762" w:rsidRDefault="00BE58C5" w:rsidP="00E86D5D">
            <w:pPr>
              <w:spacing w:line="276" w:lineRule="auto"/>
            </w:pPr>
            <w:r w:rsidRPr="00851762">
              <w:rPr>
                <w:rFonts w:eastAsiaTheme="minorEastAsia"/>
                <w:noProof/>
                <w:color w:val="000000" w:themeColor="dark1"/>
              </w:rPr>
              <w:t>Other English speaking country</w:t>
            </w:r>
          </w:p>
        </w:tc>
        <w:tc>
          <w:tcPr>
            <w:tcW w:w="1701"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DAEEF3" w:themeFill="accent5" w:themeFillTint="33"/>
          </w:tcPr>
          <w:p w14:paraId="0BDFA5B5" w14:textId="77777777" w:rsidR="00BE58C5" w:rsidRPr="00851762" w:rsidRDefault="00BE58C5" w:rsidP="00E86D5D">
            <w:pPr>
              <w:spacing w:line="276" w:lineRule="auto"/>
              <w:jc w:val="center"/>
            </w:pPr>
            <w:r w:rsidRPr="00851762">
              <w:rPr>
                <w:rFonts w:eastAsiaTheme="minorEastAsia"/>
                <w:noProof/>
                <w:color w:val="000000" w:themeColor="dark1"/>
              </w:rPr>
              <w:t>270</w:t>
            </w:r>
          </w:p>
        </w:tc>
        <w:tc>
          <w:tcPr>
            <w:tcW w:w="1560"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DAEEF3" w:themeFill="accent5" w:themeFillTint="33"/>
          </w:tcPr>
          <w:p w14:paraId="1DE4D6F7" w14:textId="77777777" w:rsidR="00BE58C5" w:rsidRPr="00851762" w:rsidRDefault="00BE58C5" w:rsidP="00E86D5D">
            <w:pPr>
              <w:spacing w:line="276" w:lineRule="auto"/>
              <w:jc w:val="center"/>
            </w:pPr>
            <w:r w:rsidRPr="00851762">
              <w:rPr>
                <w:rFonts w:eastAsiaTheme="minorEastAsia"/>
                <w:noProof/>
                <w:color w:val="000000" w:themeColor="dark1"/>
              </w:rPr>
              <w:t>3.78</w:t>
            </w:r>
          </w:p>
        </w:tc>
        <w:tc>
          <w:tcPr>
            <w:tcW w:w="3685"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FFFFFF" w:themeFill="light1"/>
          </w:tcPr>
          <w:p w14:paraId="6F177CC5" w14:textId="77777777" w:rsidR="00BE58C5" w:rsidRPr="00851762" w:rsidRDefault="00BE58C5" w:rsidP="00E86D5D">
            <w:pPr>
              <w:spacing w:line="276" w:lineRule="auto"/>
              <w:jc w:val="center"/>
            </w:pPr>
            <w:r w:rsidRPr="00851762">
              <w:rPr>
                <w:rFonts w:eastAsiaTheme="minorEastAsia"/>
                <w:noProof/>
                <w:color w:val="000000" w:themeColor="dark1"/>
              </w:rPr>
              <w:t>9.14</w:t>
            </w:r>
          </w:p>
        </w:tc>
      </w:tr>
      <w:tr w:rsidR="00BE58C5" w:rsidRPr="00851762" w14:paraId="4DFE8198" w14:textId="77777777" w:rsidTr="00E86D5D">
        <w:tc>
          <w:tcPr>
            <w:tcW w:w="2263"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auto"/>
            <w:vAlign w:val="bottom"/>
          </w:tcPr>
          <w:p w14:paraId="5E1A7B84" w14:textId="77777777" w:rsidR="00BE58C5" w:rsidRPr="00851762" w:rsidRDefault="00BE58C5" w:rsidP="00E86D5D">
            <w:pPr>
              <w:spacing w:line="276" w:lineRule="auto"/>
            </w:pPr>
            <w:r w:rsidRPr="00851762">
              <w:rPr>
                <w:rFonts w:eastAsiaTheme="minorEastAsia"/>
                <w:noProof/>
                <w:color w:val="000000" w:themeColor="dark1"/>
              </w:rPr>
              <w:t>Europe</w:t>
            </w:r>
          </w:p>
        </w:tc>
        <w:tc>
          <w:tcPr>
            <w:tcW w:w="1701"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DAEEF3" w:themeFill="accent5" w:themeFillTint="33"/>
          </w:tcPr>
          <w:p w14:paraId="39017210" w14:textId="77777777" w:rsidR="00BE58C5" w:rsidRPr="00851762" w:rsidRDefault="00BE58C5" w:rsidP="00E86D5D">
            <w:pPr>
              <w:spacing w:line="276" w:lineRule="auto"/>
              <w:jc w:val="center"/>
            </w:pPr>
            <w:r w:rsidRPr="00851762">
              <w:rPr>
                <w:rFonts w:eastAsiaTheme="minorEastAsia"/>
                <w:noProof/>
                <w:color w:val="000000" w:themeColor="dark1"/>
              </w:rPr>
              <w:t>67</w:t>
            </w:r>
          </w:p>
        </w:tc>
        <w:tc>
          <w:tcPr>
            <w:tcW w:w="1560"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DAEEF3" w:themeFill="accent5" w:themeFillTint="33"/>
          </w:tcPr>
          <w:p w14:paraId="07819400" w14:textId="77777777" w:rsidR="00BE58C5" w:rsidRPr="00851762" w:rsidRDefault="00BE58C5" w:rsidP="00E86D5D">
            <w:pPr>
              <w:spacing w:line="276" w:lineRule="auto"/>
              <w:jc w:val="center"/>
            </w:pPr>
            <w:r w:rsidRPr="00851762">
              <w:rPr>
                <w:rFonts w:eastAsiaTheme="minorEastAsia"/>
                <w:noProof/>
                <w:color w:val="000000" w:themeColor="dark1"/>
              </w:rPr>
              <w:t>0.94</w:t>
            </w:r>
          </w:p>
        </w:tc>
        <w:tc>
          <w:tcPr>
            <w:tcW w:w="3685"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FFFFFF" w:themeFill="light1"/>
          </w:tcPr>
          <w:p w14:paraId="111782B8" w14:textId="77777777" w:rsidR="00BE58C5" w:rsidRPr="00851762" w:rsidRDefault="00BE58C5" w:rsidP="00E86D5D">
            <w:pPr>
              <w:spacing w:line="276" w:lineRule="auto"/>
              <w:jc w:val="center"/>
            </w:pPr>
            <w:r w:rsidRPr="00851762">
              <w:rPr>
                <w:rFonts w:eastAsiaTheme="minorEastAsia"/>
                <w:noProof/>
                <w:color w:val="000000" w:themeColor="dark1"/>
              </w:rPr>
              <w:t>3.00</w:t>
            </w:r>
          </w:p>
        </w:tc>
      </w:tr>
      <w:tr w:rsidR="00BE58C5" w:rsidRPr="00851762" w14:paraId="50BB6A54" w14:textId="77777777" w:rsidTr="00E86D5D">
        <w:tc>
          <w:tcPr>
            <w:tcW w:w="2263"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auto"/>
            <w:vAlign w:val="bottom"/>
          </w:tcPr>
          <w:p w14:paraId="37BE7943" w14:textId="77777777" w:rsidR="00BE58C5" w:rsidRPr="00851762" w:rsidRDefault="00BE58C5" w:rsidP="00E86D5D">
            <w:pPr>
              <w:spacing w:line="276" w:lineRule="auto"/>
            </w:pPr>
            <w:r w:rsidRPr="00851762">
              <w:rPr>
                <w:rFonts w:eastAsiaTheme="minorEastAsia"/>
                <w:noProof/>
                <w:color w:val="000000" w:themeColor="dark1"/>
              </w:rPr>
              <w:t>Asia</w:t>
            </w:r>
          </w:p>
        </w:tc>
        <w:tc>
          <w:tcPr>
            <w:tcW w:w="1701"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DAEEF3" w:themeFill="accent5" w:themeFillTint="33"/>
          </w:tcPr>
          <w:p w14:paraId="213EDF66" w14:textId="77777777" w:rsidR="00BE58C5" w:rsidRPr="00851762" w:rsidRDefault="00BE58C5" w:rsidP="00E86D5D">
            <w:pPr>
              <w:spacing w:line="276" w:lineRule="auto"/>
              <w:jc w:val="center"/>
            </w:pPr>
            <w:r w:rsidRPr="00851762">
              <w:rPr>
                <w:rFonts w:eastAsiaTheme="minorEastAsia"/>
                <w:noProof/>
                <w:color w:val="000000" w:themeColor="dark1"/>
              </w:rPr>
              <w:t>114</w:t>
            </w:r>
          </w:p>
        </w:tc>
        <w:tc>
          <w:tcPr>
            <w:tcW w:w="1560"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DAEEF3" w:themeFill="accent5" w:themeFillTint="33"/>
          </w:tcPr>
          <w:p w14:paraId="040D20A7" w14:textId="77777777" w:rsidR="00BE58C5" w:rsidRPr="00851762" w:rsidRDefault="00BE58C5" w:rsidP="00E86D5D">
            <w:pPr>
              <w:spacing w:line="276" w:lineRule="auto"/>
              <w:jc w:val="center"/>
            </w:pPr>
            <w:r w:rsidRPr="00851762">
              <w:rPr>
                <w:rFonts w:eastAsiaTheme="minorEastAsia"/>
                <w:noProof/>
                <w:color w:val="000000" w:themeColor="dark1"/>
              </w:rPr>
              <w:t>1.6</w:t>
            </w:r>
          </w:p>
        </w:tc>
        <w:tc>
          <w:tcPr>
            <w:tcW w:w="3685"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FFFFFF" w:themeFill="light1"/>
          </w:tcPr>
          <w:p w14:paraId="06AA5CEB" w14:textId="77777777" w:rsidR="00BE58C5" w:rsidRPr="00851762" w:rsidRDefault="00BE58C5" w:rsidP="00E86D5D">
            <w:pPr>
              <w:spacing w:line="276" w:lineRule="auto"/>
              <w:jc w:val="center"/>
            </w:pPr>
            <w:r w:rsidRPr="00851762">
              <w:rPr>
                <w:rFonts w:eastAsiaTheme="minorEastAsia"/>
                <w:noProof/>
                <w:color w:val="000000" w:themeColor="dark1"/>
              </w:rPr>
              <w:t>15.47</w:t>
            </w:r>
          </w:p>
        </w:tc>
      </w:tr>
      <w:tr w:rsidR="00BE58C5" w:rsidRPr="00851762" w14:paraId="56ECAB93" w14:textId="77777777" w:rsidTr="00E86D5D">
        <w:tc>
          <w:tcPr>
            <w:tcW w:w="2263"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auto"/>
            <w:vAlign w:val="bottom"/>
          </w:tcPr>
          <w:p w14:paraId="40EAF2E1" w14:textId="77777777" w:rsidR="00BE58C5" w:rsidRPr="00851762" w:rsidRDefault="00BE58C5" w:rsidP="00E86D5D">
            <w:pPr>
              <w:spacing w:line="276" w:lineRule="auto"/>
            </w:pPr>
            <w:r w:rsidRPr="00851762">
              <w:rPr>
                <w:rFonts w:eastAsiaTheme="minorEastAsia"/>
                <w:noProof/>
                <w:color w:val="000000" w:themeColor="dark1"/>
              </w:rPr>
              <w:t>Other</w:t>
            </w:r>
          </w:p>
        </w:tc>
        <w:tc>
          <w:tcPr>
            <w:tcW w:w="1701"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DAEEF3" w:themeFill="accent5" w:themeFillTint="33"/>
          </w:tcPr>
          <w:p w14:paraId="10747DD4" w14:textId="77777777" w:rsidR="00BE58C5" w:rsidRPr="00851762" w:rsidRDefault="00BE58C5" w:rsidP="00E86D5D">
            <w:pPr>
              <w:spacing w:line="276" w:lineRule="auto"/>
              <w:jc w:val="center"/>
            </w:pPr>
            <w:r w:rsidRPr="00851762">
              <w:rPr>
                <w:rFonts w:eastAsiaTheme="minorEastAsia"/>
                <w:noProof/>
                <w:color w:val="000000" w:themeColor="dark1"/>
              </w:rPr>
              <w:t>52</w:t>
            </w:r>
          </w:p>
        </w:tc>
        <w:tc>
          <w:tcPr>
            <w:tcW w:w="1560"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DAEEF3" w:themeFill="accent5" w:themeFillTint="33"/>
          </w:tcPr>
          <w:p w14:paraId="600BEA8E" w14:textId="77777777" w:rsidR="00BE58C5" w:rsidRPr="00851762" w:rsidRDefault="00BE58C5" w:rsidP="00E86D5D">
            <w:pPr>
              <w:spacing w:line="276" w:lineRule="auto"/>
              <w:jc w:val="center"/>
            </w:pPr>
            <w:r w:rsidRPr="00851762">
              <w:rPr>
                <w:rFonts w:eastAsiaTheme="minorEastAsia"/>
                <w:noProof/>
                <w:color w:val="000000" w:themeColor="dark1"/>
              </w:rPr>
              <w:t>0.73</w:t>
            </w:r>
          </w:p>
        </w:tc>
        <w:tc>
          <w:tcPr>
            <w:tcW w:w="3685"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FFFFFF" w:themeFill="light1"/>
          </w:tcPr>
          <w:p w14:paraId="443240CC" w14:textId="77777777" w:rsidR="00BE58C5" w:rsidRPr="00851762" w:rsidRDefault="00BE58C5" w:rsidP="00E86D5D">
            <w:pPr>
              <w:spacing w:line="276" w:lineRule="auto"/>
              <w:jc w:val="center"/>
            </w:pPr>
            <w:r w:rsidRPr="00851762">
              <w:rPr>
                <w:rFonts w:eastAsiaTheme="minorEastAsia"/>
                <w:noProof/>
                <w:color w:val="000000" w:themeColor="dark1"/>
              </w:rPr>
              <w:t>4.50</w:t>
            </w:r>
          </w:p>
        </w:tc>
      </w:tr>
      <w:tr w:rsidR="00BE58C5" w:rsidRPr="00851762" w14:paraId="4CE84A96" w14:textId="77777777" w:rsidTr="00E86D5D">
        <w:tc>
          <w:tcPr>
            <w:tcW w:w="2263"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auto"/>
            <w:vAlign w:val="bottom"/>
          </w:tcPr>
          <w:p w14:paraId="507EFB98" w14:textId="51B25881" w:rsidR="00BE58C5" w:rsidRPr="00851762" w:rsidRDefault="00BE58C5" w:rsidP="00E86D5D">
            <w:pPr>
              <w:spacing w:line="276" w:lineRule="auto"/>
            </w:pPr>
            <w:r w:rsidRPr="00851762">
              <w:rPr>
                <w:rFonts w:eastAsiaTheme="minorEastAsia"/>
                <w:noProof/>
                <w:color w:val="000000" w:themeColor="dark1"/>
              </w:rPr>
              <w:t>N</w:t>
            </w:r>
            <w:r w:rsidR="00306719">
              <w:rPr>
                <w:rFonts w:eastAsiaTheme="minorEastAsia"/>
                <w:noProof/>
                <w:color w:val="000000" w:themeColor="dark1"/>
              </w:rPr>
              <w:t>ot Specified</w:t>
            </w:r>
          </w:p>
        </w:tc>
        <w:tc>
          <w:tcPr>
            <w:tcW w:w="1701"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DAEEF3" w:themeFill="accent5" w:themeFillTint="33"/>
          </w:tcPr>
          <w:p w14:paraId="3286E437" w14:textId="77777777" w:rsidR="00BE58C5" w:rsidRPr="00851762" w:rsidRDefault="00BE58C5" w:rsidP="00E86D5D">
            <w:pPr>
              <w:spacing w:line="276" w:lineRule="auto"/>
              <w:jc w:val="center"/>
            </w:pPr>
          </w:p>
        </w:tc>
        <w:tc>
          <w:tcPr>
            <w:tcW w:w="1560"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DBE5F1" w:themeFill="accent1" w:themeFillTint="33"/>
          </w:tcPr>
          <w:p w14:paraId="7BEDDE54" w14:textId="77777777" w:rsidR="00BE58C5" w:rsidRPr="00851762" w:rsidRDefault="00BE58C5" w:rsidP="00E86D5D">
            <w:pPr>
              <w:spacing w:line="276" w:lineRule="auto"/>
              <w:jc w:val="center"/>
            </w:pPr>
          </w:p>
        </w:tc>
        <w:tc>
          <w:tcPr>
            <w:tcW w:w="3685" w:type="dxa"/>
            <w:tcBorders>
              <w:top w:val="single" w:sz="6" w:space="0" w:color="1F497D" w:themeColor="dark2"/>
              <w:left w:val="single" w:sz="6" w:space="0" w:color="auto"/>
              <w:bottom w:val="single" w:sz="6" w:space="0" w:color="1F497D" w:themeColor="dark2"/>
              <w:right w:val="single" w:sz="6" w:space="0" w:color="1F497D" w:themeColor="dark2"/>
            </w:tcBorders>
            <w:shd w:val="clear" w:color="auto" w:fill="FFFFFF" w:themeFill="light1"/>
          </w:tcPr>
          <w:p w14:paraId="6F77403D" w14:textId="77777777" w:rsidR="00BE58C5" w:rsidRPr="00851762" w:rsidRDefault="00BE58C5" w:rsidP="00E86D5D">
            <w:pPr>
              <w:spacing w:line="276" w:lineRule="auto"/>
              <w:jc w:val="center"/>
            </w:pPr>
            <w:r w:rsidRPr="00851762">
              <w:rPr>
                <w:rFonts w:eastAsiaTheme="minorEastAsia"/>
                <w:noProof/>
                <w:color w:val="000000" w:themeColor="dark1"/>
              </w:rPr>
              <w:t>6.36</w:t>
            </w:r>
          </w:p>
        </w:tc>
      </w:tr>
    </w:tbl>
    <w:p w14:paraId="79817D8D" w14:textId="77777777" w:rsidR="00BE58C5" w:rsidRDefault="00BE58C5" w:rsidP="00BE58C5">
      <w:pPr>
        <w:spacing w:before="0" w:after="160" w:line="259" w:lineRule="auto"/>
      </w:pPr>
    </w:p>
    <w:p w14:paraId="77BA92E4" w14:textId="05152AAF" w:rsidR="00BE58C5" w:rsidRPr="006E7364" w:rsidRDefault="00BE58C5" w:rsidP="00BE58C5">
      <w:r>
        <w:t xml:space="preserve">To redress this imbalance, ALSWH have embarked on a ‘refresh’ of </w:t>
      </w:r>
      <w:r w:rsidR="00D2045F">
        <w:t>the</w:t>
      </w:r>
      <w:r>
        <w:t xml:space="preserve"> 1973-78 cohort</w:t>
      </w:r>
      <w:r w:rsidR="00D2045F">
        <w:t xml:space="preserve"> and plan a refresh of the 1989-95 cohort</w:t>
      </w:r>
      <w:r>
        <w:t xml:space="preserve"> with 1,000 women from South, Southeast and Northeast Asian countries. Planning for the 1973-78 cohort ‘refresh’ began in 2021, and recruitment to the 1973-78 cohort started this year. The 1989-95 cohort ‘refresh’ will commence in 2023.</w:t>
      </w:r>
    </w:p>
    <w:p w14:paraId="4BA21AA8" w14:textId="77777777" w:rsidR="00BE58C5" w:rsidRDefault="00BE58C5" w:rsidP="00BE58C5">
      <w:pPr>
        <w:pStyle w:val="Heading3"/>
      </w:pPr>
      <w:bookmarkStart w:id="549" w:name="_Toc124762772"/>
      <w:r>
        <w:t>1973-78 cohort ‘refresh’ development and progress</w:t>
      </w:r>
      <w:bookmarkEnd w:id="549"/>
      <w:r>
        <w:t xml:space="preserve"> </w:t>
      </w:r>
      <w:bookmarkStart w:id="550" w:name="_Toc81405301"/>
    </w:p>
    <w:p w14:paraId="24E5732D" w14:textId="77777777" w:rsidR="00BE58C5" w:rsidRPr="008E1E8C" w:rsidRDefault="00BE58C5" w:rsidP="00901558">
      <w:pPr>
        <w:pStyle w:val="Heading4"/>
      </w:pPr>
      <w:bookmarkStart w:id="551" w:name="_Toc81405302"/>
      <w:bookmarkEnd w:id="550"/>
      <w:r>
        <w:t>Cultural consultation</w:t>
      </w:r>
    </w:p>
    <w:p w14:paraId="11805E84" w14:textId="77777777" w:rsidR="00BE58C5" w:rsidRDefault="00BE58C5" w:rsidP="00BE58C5">
      <w:r>
        <w:t xml:space="preserve">We have followed three main processes for cultural consultation. The first was interviews with women from the target group (born 1973-78, from a South, Southeast or Northeast Asian country) who were recruited via social media. Interviews were conducted with seven women in April and May of 2021 and </w:t>
      </w:r>
      <w:r>
        <w:lastRenderedPageBreak/>
        <w:t>focused on: most appropriate survey mode (i.e., paper or online); use of English and overcoming language barriers; how to encourage women to participate (intrinsic and extrinsic incentives); social media platforms; areas of inquiry that could be culturally sensitive or taboo; and women’s thoughts about providing Medicare card details. The second round of cultural consultation involved engaging with a national organisation representing migrant and refugee women, the Multicultural Centre for Women’s Health, who provided advice on initial study design, methods, recruitment materials, and survey content. Further cultural consultation is currently underway, which involves engaging with targeted community groups and organisations for advice on reaching specific communities.</w:t>
      </w:r>
    </w:p>
    <w:bookmarkEnd w:id="551"/>
    <w:p w14:paraId="04B6A747" w14:textId="77777777" w:rsidR="00BE58C5" w:rsidRDefault="00BE58C5" w:rsidP="00901558">
      <w:pPr>
        <w:pStyle w:val="Heading4"/>
      </w:pPr>
      <w:r>
        <w:t>Ethics approvals</w:t>
      </w:r>
    </w:p>
    <w:p w14:paraId="6E3C008B" w14:textId="77777777" w:rsidR="00BE58C5" w:rsidRDefault="00BE58C5" w:rsidP="00BE58C5">
      <w:r>
        <w:t>Human Research Ethics Committees at the University of Newcastle and the University of Queensland have ethical oversight of the survey for the new cohort members and all recruitment materials (e.g., information statements, factsheets, social media posts, emails, SMS text etc.). The University of Newcastle HREC is the primary committee, with all approvals subsequently ratified by the University of Queensland HREC. Services Australia’s Human Research Ethics Committee also has oversight of this protocol so data linkage for new participants can be established.</w:t>
      </w:r>
    </w:p>
    <w:p w14:paraId="0EEDC5B7" w14:textId="7248E3EA" w:rsidR="00BE58C5" w:rsidRPr="00C21A1B" w:rsidRDefault="00BE58C5" w:rsidP="00C21A1B">
      <w:r w:rsidRPr="00C21A1B">
        <w:t xml:space="preserve">Ethics approval for the survey content, recruitment process and materials </w:t>
      </w:r>
      <w:proofErr w:type="gramStart"/>
      <w:r w:rsidRPr="00C21A1B">
        <w:t>was</w:t>
      </w:r>
      <w:proofErr w:type="gramEnd"/>
      <w:r w:rsidRPr="00C21A1B">
        <w:t xml:space="preserve"> first sought on </w:t>
      </w:r>
      <w:r w:rsidR="00586FC1">
        <w:t>27 October 2021</w:t>
      </w:r>
      <w:r w:rsidRPr="00C21A1B">
        <w:t xml:space="preserve"> and initially approved by the University of Newcastle on </w:t>
      </w:r>
      <w:r w:rsidR="00586FC1">
        <w:t>4 November 2021</w:t>
      </w:r>
      <w:r w:rsidRPr="00C21A1B">
        <w:t xml:space="preserve"> and by the University of Queensland on </w:t>
      </w:r>
      <w:r w:rsidR="00586FC1">
        <w:t>15 November 2021</w:t>
      </w:r>
      <w:r w:rsidRPr="00C21A1B">
        <w:t>. A variation requesting changes to approved materials to address feedback received from the Department of Health</w:t>
      </w:r>
      <w:r w:rsidR="00F66058">
        <w:t xml:space="preserve"> and Aged Care</w:t>
      </w:r>
      <w:r w:rsidRPr="00C21A1B">
        <w:t xml:space="preserve">, Services Australia and the Multicultural Centre on Women’s Health was submitted on </w:t>
      </w:r>
      <w:r w:rsidR="00586FC1">
        <w:t>28 January 2022</w:t>
      </w:r>
      <w:r w:rsidRPr="00C21A1B">
        <w:t xml:space="preserve">. Final approval from both universities and Services Australia was granted on the </w:t>
      </w:r>
      <w:r w:rsidR="00586FC1">
        <w:t>1 March 2022</w:t>
      </w:r>
      <w:r w:rsidRPr="00C21A1B">
        <w:t>.</w:t>
      </w:r>
    </w:p>
    <w:p w14:paraId="52C6C2A3" w14:textId="77777777" w:rsidR="00BE58C5" w:rsidRPr="00664458" w:rsidRDefault="00BE58C5" w:rsidP="00901558">
      <w:pPr>
        <w:pStyle w:val="Heading4"/>
      </w:pPr>
      <w:r>
        <w:t>Who is eligible to participate?</w:t>
      </w:r>
    </w:p>
    <w:p w14:paraId="2E25DA28" w14:textId="7FA2216B" w:rsidR="00BE58C5" w:rsidRDefault="00BE58C5" w:rsidP="00BE58C5">
      <w:pPr>
        <w:keepNext/>
      </w:pPr>
      <w:r>
        <w:t xml:space="preserve">Participation is open to females born 1973-78 with a Medicare card and who consent to data linkage.  However, consistent with the aim to improve ALSWH representativeness of women from South, Southeast and Northeast Asian countries, women from those backgrounds have been </w:t>
      </w:r>
      <w:r w:rsidR="00F66058">
        <w:t>the focus of recruitment strategies.</w:t>
      </w:r>
    </w:p>
    <w:p w14:paraId="7D2EFC6E" w14:textId="77777777" w:rsidR="00BE58C5" w:rsidRDefault="00BE58C5" w:rsidP="00901558">
      <w:pPr>
        <w:pStyle w:val="Heading4"/>
      </w:pPr>
      <w:r>
        <w:t xml:space="preserve">Survey development and deployment </w:t>
      </w:r>
    </w:p>
    <w:p w14:paraId="0E97083E" w14:textId="77777777" w:rsidR="00BE58C5" w:rsidRDefault="00BE58C5" w:rsidP="00BE58C5">
      <w:r>
        <w:t xml:space="preserve">Women recruited as part of the ‘refresh’ receive a modified version of the ninth survey developed for the existing members of the 1973-78 cohort (and deployed in June 2021). The ‘refresh’ survey was developed by the ALSWH cohort refresh team in consultation with the Department of Health and Aged Care. Feedback was also sought from relevant stakeholders and community groups (e.g., Multicultural Centre for Women’s Health). Surveys are built in </w:t>
      </w:r>
      <w:proofErr w:type="spellStart"/>
      <w:r w:rsidRPr="00FE233C">
        <w:t>REDCap</w:t>
      </w:r>
      <w:r w:rsidRPr="00FE233C">
        <w:rPr>
          <w:vertAlign w:val="superscript"/>
        </w:rPr>
        <w:t>TM</w:t>
      </w:r>
      <w:proofErr w:type="spellEnd"/>
      <w:r>
        <w:rPr>
          <w:vertAlign w:val="superscript"/>
        </w:rPr>
        <w:t xml:space="preserve"> </w:t>
      </w:r>
      <w:r>
        <w:t xml:space="preserve">and are only available online. Recruitment materials (e.g., social media posts, newsletter stories) contain a link to the study landing page, and this page is also accessible from the main ALSWH website. Participants are provided with an information statement, </w:t>
      </w:r>
      <w:proofErr w:type="gramStart"/>
      <w:r>
        <w:t>FAQs</w:t>
      </w:r>
      <w:proofErr w:type="gramEnd"/>
      <w:r>
        <w:t xml:space="preserve"> and a link to initiate the survey.  </w:t>
      </w:r>
    </w:p>
    <w:p w14:paraId="5323E4CD" w14:textId="77777777" w:rsidR="00BE58C5" w:rsidRDefault="00BE58C5" w:rsidP="00901558">
      <w:pPr>
        <w:pStyle w:val="Heading4"/>
      </w:pPr>
      <w:bookmarkStart w:id="552" w:name="_Toc81405325"/>
      <w:r>
        <w:lastRenderedPageBreak/>
        <w:t xml:space="preserve">Recruitment activities </w:t>
      </w:r>
      <w:bookmarkEnd w:id="552"/>
    </w:p>
    <w:p w14:paraId="230D61BE" w14:textId="77777777" w:rsidR="00BE58C5" w:rsidRDefault="00BE58C5" w:rsidP="00BE58C5">
      <w:pPr>
        <w:pStyle w:val="NoSpacing"/>
        <w:spacing w:line="360" w:lineRule="auto"/>
        <w:jc w:val="both"/>
        <w:rPr>
          <w:rFonts w:ascii="Arial" w:hAnsi="Arial" w:cs="Arial"/>
          <w:sz w:val="20"/>
          <w:szCs w:val="20"/>
        </w:rPr>
      </w:pPr>
      <w:r w:rsidRPr="001E5A1E">
        <w:rPr>
          <w:rFonts w:ascii="Arial" w:hAnsi="Arial" w:cs="Arial"/>
          <w:sz w:val="20"/>
          <w:szCs w:val="20"/>
        </w:rPr>
        <w:t>Recruitment began on 11</w:t>
      </w:r>
      <w:r>
        <w:rPr>
          <w:rFonts w:ascii="Arial" w:hAnsi="Arial" w:cs="Arial"/>
          <w:sz w:val="20"/>
          <w:szCs w:val="20"/>
        </w:rPr>
        <w:t xml:space="preserve"> April 2022</w:t>
      </w:r>
      <w:r w:rsidRPr="001E5A1E">
        <w:rPr>
          <w:rFonts w:ascii="Arial" w:hAnsi="Arial" w:cs="Arial"/>
          <w:sz w:val="20"/>
          <w:szCs w:val="20"/>
        </w:rPr>
        <w:t xml:space="preserve">, with a soft launch to existing contacts. The culturally specific recruitment strategy began on </w:t>
      </w:r>
      <w:r>
        <w:rPr>
          <w:rFonts w:ascii="Arial" w:hAnsi="Arial" w:cs="Arial"/>
          <w:sz w:val="20"/>
          <w:szCs w:val="20"/>
        </w:rPr>
        <w:t>13 May 2022</w:t>
      </w:r>
      <w:r w:rsidRPr="001E5A1E">
        <w:rPr>
          <w:rFonts w:ascii="Arial" w:hAnsi="Arial" w:cs="Arial"/>
          <w:sz w:val="20"/>
          <w:szCs w:val="20"/>
        </w:rPr>
        <w:t xml:space="preserve"> after consultation with the Multicultural Centre for Women’s Health</w:t>
      </w:r>
      <w:r>
        <w:rPr>
          <w:rFonts w:ascii="Arial" w:hAnsi="Arial" w:cs="Arial"/>
          <w:sz w:val="20"/>
          <w:szCs w:val="20"/>
        </w:rPr>
        <w:t>,</w:t>
      </w:r>
      <w:r w:rsidRPr="001E5A1E">
        <w:rPr>
          <w:rFonts w:ascii="Arial" w:hAnsi="Arial" w:cs="Arial"/>
          <w:sz w:val="20"/>
          <w:szCs w:val="20"/>
        </w:rPr>
        <w:t xml:space="preserve"> and </w:t>
      </w:r>
      <w:r>
        <w:rPr>
          <w:rFonts w:ascii="Arial" w:hAnsi="Arial" w:cs="Arial"/>
          <w:sz w:val="20"/>
          <w:szCs w:val="20"/>
        </w:rPr>
        <w:t xml:space="preserve">after </w:t>
      </w:r>
      <w:r w:rsidRPr="001E5A1E">
        <w:rPr>
          <w:rFonts w:ascii="Arial" w:hAnsi="Arial" w:cs="Arial"/>
          <w:sz w:val="20"/>
          <w:szCs w:val="20"/>
        </w:rPr>
        <w:t>ethic</w:t>
      </w:r>
      <w:r>
        <w:rPr>
          <w:rFonts w:ascii="Arial" w:hAnsi="Arial" w:cs="Arial"/>
          <w:sz w:val="20"/>
          <w:szCs w:val="20"/>
        </w:rPr>
        <w:t>al</w:t>
      </w:r>
      <w:r w:rsidRPr="001E5A1E">
        <w:rPr>
          <w:rFonts w:ascii="Arial" w:hAnsi="Arial" w:cs="Arial"/>
          <w:sz w:val="20"/>
          <w:szCs w:val="20"/>
        </w:rPr>
        <w:t xml:space="preserve"> approval for culturally specific recruitment materials was received</w:t>
      </w:r>
      <w:r>
        <w:rPr>
          <w:rFonts w:ascii="Arial" w:hAnsi="Arial" w:cs="Arial"/>
          <w:sz w:val="20"/>
          <w:szCs w:val="20"/>
        </w:rPr>
        <w:t xml:space="preserve"> (</w:t>
      </w:r>
      <w:r w:rsidRPr="001E5A1E">
        <w:rPr>
          <w:rFonts w:ascii="Arial" w:hAnsi="Arial" w:cs="Arial"/>
          <w:sz w:val="20"/>
          <w:szCs w:val="20"/>
        </w:rPr>
        <w:t>10</w:t>
      </w:r>
      <w:r>
        <w:rPr>
          <w:rFonts w:ascii="Arial" w:hAnsi="Arial" w:cs="Arial"/>
          <w:sz w:val="20"/>
          <w:szCs w:val="20"/>
        </w:rPr>
        <w:t xml:space="preserve"> May 2022). </w:t>
      </w:r>
      <w:r w:rsidRPr="007673E3">
        <w:rPr>
          <w:rFonts w:ascii="Arial" w:hAnsi="Arial" w:cs="Arial"/>
          <w:sz w:val="20"/>
          <w:szCs w:val="20"/>
        </w:rPr>
        <w:t>To date</w:t>
      </w:r>
      <w:r>
        <w:rPr>
          <w:rFonts w:ascii="Arial" w:hAnsi="Arial" w:cs="Arial"/>
          <w:sz w:val="20"/>
          <w:szCs w:val="20"/>
        </w:rPr>
        <w:t>,</w:t>
      </w:r>
      <w:r w:rsidRPr="007673E3">
        <w:rPr>
          <w:rFonts w:ascii="Arial" w:hAnsi="Arial" w:cs="Arial"/>
          <w:sz w:val="20"/>
          <w:szCs w:val="20"/>
        </w:rPr>
        <w:t xml:space="preserve"> we have launched recruitment campaigns on social media (Facebook</w:t>
      </w:r>
      <w:r>
        <w:rPr>
          <w:rFonts w:ascii="Arial" w:hAnsi="Arial" w:cs="Arial"/>
          <w:sz w:val="20"/>
          <w:szCs w:val="20"/>
        </w:rPr>
        <w:t>,</w:t>
      </w:r>
      <w:r w:rsidRPr="007673E3">
        <w:rPr>
          <w:rFonts w:ascii="Arial" w:hAnsi="Arial" w:cs="Arial"/>
          <w:sz w:val="20"/>
          <w:szCs w:val="20"/>
        </w:rPr>
        <w:t xml:space="preserve"> Twitter</w:t>
      </w:r>
      <w:r>
        <w:rPr>
          <w:rFonts w:ascii="Arial" w:hAnsi="Arial" w:cs="Arial"/>
          <w:sz w:val="20"/>
          <w:szCs w:val="20"/>
        </w:rPr>
        <w:t>, Instagram, and LinkedIn</w:t>
      </w:r>
      <w:r w:rsidRPr="007673E3">
        <w:rPr>
          <w:rFonts w:ascii="Arial" w:hAnsi="Arial" w:cs="Arial"/>
          <w:sz w:val="20"/>
          <w:szCs w:val="20"/>
        </w:rPr>
        <w:t xml:space="preserve">), </w:t>
      </w:r>
      <w:r>
        <w:rPr>
          <w:rFonts w:ascii="Arial" w:hAnsi="Arial" w:cs="Arial"/>
          <w:sz w:val="20"/>
          <w:szCs w:val="20"/>
        </w:rPr>
        <w:t>engaged with traditional media (radio, newspapers), contacted</w:t>
      </w:r>
      <w:r w:rsidRPr="007673E3">
        <w:rPr>
          <w:rFonts w:ascii="Arial" w:hAnsi="Arial" w:cs="Arial"/>
          <w:sz w:val="20"/>
          <w:szCs w:val="20"/>
        </w:rPr>
        <w:t xml:space="preserve"> more than 300 community and religious organisations</w:t>
      </w:r>
      <w:r>
        <w:rPr>
          <w:rFonts w:ascii="Arial" w:hAnsi="Arial" w:cs="Arial"/>
          <w:sz w:val="20"/>
          <w:szCs w:val="20"/>
        </w:rPr>
        <w:t xml:space="preserve"> to share recruitment materials through their networks</w:t>
      </w:r>
      <w:r w:rsidRPr="007673E3">
        <w:rPr>
          <w:rFonts w:ascii="Arial" w:hAnsi="Arial" w:cs="Arial"/>
          <w:sz w:val="20"/>
          <w:szCs w:val="20"/>
        </w:rPr>
        <w:t>, distributed information through personal and professional networks</w:t>
      </w:r>
      <w:r>
        <w:rPr>
          <w:rFonts w:ascii="Arial" w:hAnsi="Arial" w:cs="Arial"/>
          <w:sz w:val="20"/>
          <w:szCs w:val="20"/>
        </w:rPr>
        <w:t>,</w:t>
      </w:r>
      <w:r w:rsidRPr="007673E3">
        <w:rPr>
          <w:rFonts w:ascii="Arial" w:hAnsi="Arial" w:cs="Arial"/>
          <w:sz w:val="20"/>
          <w:szCs w:val="20"/>
        </w:rPr>
        <w:t xml:space="preserve"> and emailed existing ALSWH </w:t>
      </w:r>
      <w:r>
        <w:rPr>
          <w:rFonts w:ascii="Arial" w:hAnsi="Arial" w:cs="Arial"/>
          <w:sz w:val="20"/>
          <w:szCs w:val="20"/>
        </w:rPr>
        <w:t>participants requesting they share recruitment materials through their networks</w:t>
      </w:r>
      <w:r w:rsidRPr="007673E3">
        <w:rPr>
          <w:rFonts w:ascii="Arial" w:hAnsi="Arial" w:cs="Arial"/>
          <w:sz w:val="20"/>
          <w:szCs w:val="20"/>
        </w:rPr>
        <w:t xml:space="preserve">. We have translated the recruitment materials into 6 different languages (Mandarin, Cantonese, Tamil, Hindi, </w:t>
      </w:r>
      <w:proofErr w:type="gramStart"/>
      <w:r w:rsidRPr="007673E3">
        <w:rPr>
          <w:rFonts w:ascii="Arial" w:hAnsi="Arial" w:cs="Arial"/>
          <w:sz w:val="20"/>
          <w:szCs w:val="20"/>
        </w:rPr>
        <w:t>Singhalese</w:t>
      </w:r>
      <w:proofErr w:type="gramEnd"/>
      <w:r w:rsidRPr="007673E3">
        <w:rPr>
          <w:rFonts w:ascii="Arial" w:hAnsi="Arial" w:cs="Arial"/>
          <w:sz w:val="20"/>
          <w:szCs w:val="20"/>
        </w:rPr>
        <w:t xml:space="preserve"> and Vietnamese). We have also reconnected with some of the women we interviewed in 2021 to discuss barriers and challenges and potential solutions and strategies. </w:t>
      </w:r>
    </w:p>
    <w:p w14:paraId="536B849F" w14:textId="77777777" w:rsidR="00BE58C5" w:rsidRPr="00901558" w:rsidRDefault="00BE58C5" w:rsidP="00901558">
      <w:pPr>
        <w:pStyle w:val="Heading4"/>
      </w:pPr>
      <w:r w:rsidRPr="00901558">
        <w:t>Response rates</w:t>
      </w:r>
    </w:p>
    <w:p w14:paraId="5ECBB65B" w14:textId="69D10013" w:rsidR="00BE58C5" w:rsidRDefault="00BE58C5" w:rsidP="00BE58C5">
      <w:pPr>
        <w:pStyle w:val="NoSpacing"/>
        <w:spacing w:line="360" w:lineRule="auto"/>
        <w:jc w:val="both"/>
        <w:rPr>
          <w:rFonts w:ascii="Arial" w:hAnsi="Arial" w:cs="Arial"/>
          <w:sz w:val="20"/>
          <w:szCs w:val="20"/>
        </w:rPr>
      </w:pPr>
      <w:proofErr w:type="gramStart"/>
      <w:r w:rsidRPr="00901558">
        <w:rPr>
          <w:rFonts w:ascii="Arial" w:hAnsi="Arial" w:cs="Arial"/>
          <w:sz w:val="20"/>
          <w:szCs w:val="20"/>
        </w:rPr>
        <w:t>At</w:t>
      </w:r>
      <w:proofErr w:type="gramEnd"/>
      <w:r w:rsidRPr="00901558">
        <w:rPr>
          <w:rFonts w:ascii="Arial" w:hAnsi="Arial" w:cs="Arial"/>
          <w:sz w:val="20"/>
          <w:szCs w:val="20"/>
        </w:rPr>
        <w:t xml:space="preserve"> </w:t>
      </w:r>
      <w:r w:rsidR="002715E9" w:rsidRPr="00901558">
        <w:rPr>
          <w:rFonts w:ascii="Arial" w:hAnsi="Arial" w:cs="Arial"/>
          <w:sz w:val="20"/>
          <w:szCs w:val="20"/>
        </w:rPr>
        <w:t>9 November</w:t>
      </w:r>
      <w:r w:rsidRPr="00901558">
        <w:rPr>
          <w:rFonts w:ascii="Arial" w:hAnsi="Arial" w:cs="Arial"/>
          <w:sz w:val="20"/>
          <w:szCs w:val="20"/>
        </w:rPr>
        <w:t xml:space="preserve"> 2022, </w:t>
      </w:r>
      <w:r w:rsidR="002715E9" w:rsidRPr="00901558">
        <w:rPr>
          <w:rFonts w:ascii="Arial" w:hAnsi="Arial" w:cs="Arial"/>
          <w:sz w:val="20"/>
          <w:szCs w:val="20"/>
        </w:rPr>
        <w:t xml:space="preserve">342 </w:t>
      </w:r>
      <w:r w:rsidRPr="00901558">
        <w:rPr>
          <w:rFonts w:ascii="Arial" w:hAnsi="Arial" w:cs="Arial"/>
          <w:sz w:val="20"/>
          <w:szCs w:val="20"/>
        </w:rPr>
        <w:t>women have</w:t>
      </w:r>
      <w:r>
        <w:rPr>
          <w:rFonts w:ascii="Arial" w:hAnsi="Arial" w:cs="Arial"/>
          <w:sz w:val="20"/>
          <w:szCs w:val="20"/>
        </w:rPr>
        <w:t xml:space="preserve"> completed the survey and provided sufficient information for data linkage, </w:t>
      </w:r>
      <w:r w:rsidRPr="00586FC1">
        <w:rPr>
          <w:rFonts w:ascii="Arial" w:hAnsi="Arial" w:cs="Arial"/>
          <w:sz w:val="20"/>
          <w:szCs w:val="20"/>
        </w:rPr>
        <w:t>and 3</w:t>
      </w:r>
      <w:r w:rsidR="002715E9" w:rsidRPr="00586FC1">
        <w:rPr>
          <w:rFonts w:ascii="Arial" w:hAnsi="Arial" w:cs="Arial"/>
          <w:sz w:val="20"/>
          <w:szCs w:val="20"/>
        </w:rPr>
        <w:t>8</w:t>
      </w:r>
      <w:r w:rsidRPr="00586FC1">
        <w:rPr>
          <w:rFonts w:ascii="Arial" w:hAnsi="Arial" w:cs="Arial"/>
          <w:sz w:val="20"/>
          <w:szCs w:val="20"/>
        </w:rPr>
        <w:t xml:space="preserve"> of these</w:t>
      </w:r>
      <w:r>
        <w:rPr>
          <w:rFonts w:ascii="Arial" w:hAnsi="Arial" w:cs="Arial"/>
          <w:sz w:val="20"/>
          <w:szCs w:val="20"/>
        </w:rPr>
        <w:t xml:space="preserve"> women are from the targeted countries.</w:t>
      </w:r>
    </w:p>
    <w:p w14:paraId="481F9ECB" w14:textId="77777777" w:rsidR="00BE58C5" w:rsidRPr="006E7364" w:rsidRDefault="00BE58C5" w:rsidP="00BE58C5">
      <w:pPr>
        <w:pStyle w:val="Heading3"/>
      </w:pPr>
      <w:bookmarkStart w:id="553" w:name="_Toc124762773"/>
      <w:proofErr w:type="gramStart"/>
      <w:r>
        <w:t>Future plans</w:t>
      </w:r>
      <w:bookmarkEnd w:id="553"/>
      <w:proofErr w:type="gramEnd"/>
    </w:p>
    <w:p w14:paraId="001BB481" w14:textId="29F1EC85" w:rsidR="00BE58C5" w:rsidRDefault="00BE58C5" w:rsidP="00BE58C5">
      <w:pPr>
        <w:pStyle w:val="NoSpacing"/>
        <w:spacing w:line="360" w:lineRule="auto"/>
        <w:jc w:val="both"/>
        <w:rPr>
          <w:rFonts w:ascii="Arial" w:hAnsi="Arial" w:cs="Arial"/>
          <w:sz w:val="20"/>
          <w:szCs w:val="20"/>
        </w:rPr>
      </w:pPr>
      <w:r w:rsidRPr="007673E3">
        <w:rPr>
          <w:rFonts w:ascii="Arial" w:hAnsi="Arial" w:cs="Arial"/>
          <w:sz w:val="20"/>
          <w:szCs w:val="20"/>
        </w:rPr>
        <w:t xml:space="preserve">We have taken an iterative approach to recruitment, where we trial strategies, reflect on what has and has not worked, and use those learnings to </w:t>
      </w:r>
      <w:r>
        <w:rPr>
          <w:rFonts w:ascii="Arial" w:hAnsi="Arial" w:cs="Arial"/>
          <w:sz w:val="20"/>
          <w:szCs w:val="20"/>
        </w:rPr>
        <w:t xml:space="preserve">adapt existing strategies and </w:t>
      </w:r>
      <w:r w:rsidRPr="007673E3">
        <w:rPr>
          <w:rFonts w:ascii="Arial" w:hAnsi="Arial" w:cs="Arial"/>
          <w:sz w:val="20"/>
          <w:szCs w:val="20"/>
        </w:rPr>
        <w:t xml:space="preserve">trial new approaches. </w:t>
      </w:r>
      <w:r>
        <w:rPr>
          <w:rFonts w:ascii="Arial" w:hAnsi="Arial" w:cs="Arial"/>
          <w:sz w:val="20"/>
          <w:szCs w:val="20"/>
        </w:rPr>
        <w:t>In addition to the recruitment strategies outlined above, w</w:t>
      </w:r>
      <w:r w:rsidRPr="007673E3">
        <w:rPr>
          <w:rFonts w:ascii="Arial" w:hAnsi="Arial" w:cs="Arial"/>
          <w:sz w:val="20"/>
          <w:szCs w:val="20"/>
        </w:rPr>
        <w:t xml:space="preserve">e are currently </w:t>
      </w:r>
      <w:r>
        <w:rPr>
          <w:rFonts w:ascii="Arial" w:hAnsi="Arial" w:cs="Arial"/>
          <w:sz w:val="20"/>
          <w:szCs w:val="20"/>
        </w:rPr>
        <w:t>pilot testing</w:t>
      </w:r>
      <w:r w:rsidRPr="007673E3">
        <w:rPr>
          <w:rFonts w:ascii="Arial" w:hAnsi="Arial" w:cs="Arial"/>
          <w:sz w:val="20"/>
          <w:szCs w:val="20"/>
        </w:rPr>
        <w:t xml:space="preserve"> contacting community organisations in their language (for example, Chinese </w:t>
      </w:r>
      <w:r>
        <w:rPr>
          <w:rFonts w:ascii="Arial" w:hAnsi="Arial" w:cs="Arial"/>
          <w:sz w:val="20"/>
          <w:szCs w:val="20"/>
        </w:rPr>
        <w:t>ALSWH staff are</w:t>
      </w:r>
      <w:r w:rsidRPr="007673E3">
        <w:rPr>
          <w:rFonts w:ascii="Arial" w:hAnsi="Arial" w:cs="Arial"/>
          <w:sz w:val="20"/>
          <w:szCs w:val="20"/>
        </w:rPr>
        <w:t xml:space="preserve"> contacting Chinese organisations in Mandarin or Cantonese). </w:t>
      </w:r>
      <w:r>
        <w:rPr>
          <w:rFonts w:ascii="Arial" w:hAnsi="Arial" w:cs="Arial"/>
          <w:sz w:val="20"/>
          <w:szCs w:val="20"/>
        </w:rPr>
        <w:t xml:space="preserve">Once this strategy has been trialled and modified as needed, we plan to </w:t>
      </w:r>
      <w:r w:rsidRPr="007673E3">
        <w:rPr>
          <w:rFonts w:ascii="Arial" w:hAnsi="Arial" w:cs="Arial"/>
          <w:sz w:val="20"/>
          <w:szCs w:val="20"/>
        </w:rPr>
        <w:t xml:space="preserve">expand this to other </w:t>
      </w:r>
      <w:r>
        <w:rPr>
          <w:rFonts w:ascii="Arial" w:hAnsi="Arial" w:cs="Arial"/>
          <w:sz w:val="20"/>
          <w:szCs w:val="20"/>
        </w:rPr>
        <w:t>communities</w:t>
      </w:r>
      <w:r w:rsidRPr="007673E3">
        <w:rPr>
          <w:rFonts w:ascii="Arial" w:hAnsi="Arial" w:cs="Arial"/>
          <w:sz w:val="20"/>
          <w:szCs w:val="20"/>
        </w:rPr>
        <w:t xml:space="preserve"> (e.g.</w:t>
      </w:r>
      <w:r>
        <w:rPr>
          <w:rFonts w:ascii="Arial" w:hAnsi="Arial" w:cs="Arial"/>
          <w:sz w:val="20"/>
          <w:szCs w:val="20"/>
        </w:rPr>
        <w:t>,</w:t>
      </w:r>
      <w:r w:rsidRPr="007673E3">
        <w:rPr>
          <w:rFonts w:ascii="Arial" w:hAnsi="Arial" w:cs="Arial"/>
          <w:sz w:val="20"/>
          <w:szCs w:val="20"/>
        </w:rPr>
        <w:t xml:space="preserve"> Indian</w:t>
      </w:r>
      <w:r>
        <w:rPr>
          <w:rFonts w:ascii="Arial" w:hAnsi="Arial" w:cs="Arial"/>
          <w:sz w:val="20"/>
          <w:szCs w:val="20"/>
        </w:rPr>
        <w:t xml:space="preserve"> organisations</w:t>
      </w:r>
      <w:r w:rsidRPr="007673E3">
        <w:rPr>
          <w:rFonts w:ascii="Arial" w:hAnsi="Arial" w:cs="Arial"/>
          <w:sz w:val="20"/>
          <w:szCs w:val="20"/>
        </w:rPr>
        <w:t xml:space="preserve">). </w:t>
      </w:r>
      <w:r>
        <w:rPr>
          <w:rFonts w:ascii="Arial" w:hAnsi="Arial" w:cs="Arial"/>
          <w:sz w:val="20"/>
          <w:szCs w:val="20"/>
        </w:rPr>
        <w:t>We are also focusing on making personal connections with community leaders. For example, w</w:t>
      </w:r>
      <w:r w:rsidRPr="007673E3">
        <w:rPr>
          <w:rFonts w:ascii="Arial" w:hAnsi="Arial" w:cs="Arial"/>
          <w:sz w:val="20"/>
          <w:szCs w:val="20"/>
        </w:rPr>
        <w:t xml:space="preserve">e have connected with an Indian community leader in Brisbane who has agreed to facilitate contact with his network. </w:t>
      </w:r>
      <w:r>
        <w:rPr>
          <w:rFonts w:ascii="Arial" w:hAnsi="Arial" w:cs="Arial"/>
          <w:sz w:val="20"/>
          <w:szCs w:val="20"/>
        </w:rPr>
        <w:t>In addition, w</w:t>
      </w:r>
      <w:r w:rsidRPr="007673E3">
        <w:rPr>
          <w:rFonts w:ascii="Arial" w:hAnsi="Arial" w:cs="Arial"/>
          <w:sz w:val="20"/>
          <w:szCs w:val="20"/>
        </w:rPr>
        <w:t>e are in the process of organising face-to-face meetings with local multicultural organisations and planning to attend relevant festivals (e.g.</w:t>
      </w:r>
      <w:r>
        <w:rPr>
          <w:rFonts w:ascii="Arial" w:hAnsi="Arial" w:cs="Arial"/>
          <w:sz w:val="20"/>
          <w:szCs w:val="20"/>
        </w:rPr>
        <w:t>,</w:t>
      </w:r>
      <w:r w:rsidRPr="007673E3">
        <w:rPr>
          <w:rFonts w:ascii="Arial" w:hAnsi="Arial" w:cs="Arial"/>
          <w:sz w:val="20"/>
          <w:szCs w:val="20"/>
        </w:rPr>
        <w:t xml:space="preserve"> Diwali, Chinese New Year)</w:t>
      </w:r>
      <w:r>
        <w:rPr>
          <w:rFonts w:ascii="Arial" w:hAnsi="Arial" w:cs="Arial"/>
          <w:sz w:val="20"/>
          <w:szCs w:val="20"/>
        </w:rPr>
        <w:t xml:space="preserve"> where appropriate</w:t>
      </w:r>
      <w:r w:rsidRPr="007673E3">
        <w:rPr>
          <w:rFonts w:ascii="Arial" w:hAnsi="Arial" w:cs="Arial"/>
          <w:sz w:val="20"/>
          <w:szCs w:val="20"/>
        </w:rPr>
        <w:t>.</w:t>
      </w:r>
    </w:p>
    <w:p w14:paraId="0EE13CA4" w14:textId="77777777" w:rsidR="00BE58C5" w:rsidRDefault="00BE58C5" w:rsidP="00BE58C5">
      <w:pPr>
        <w:pStyle w:val="Heading3"/>
      </w:pPr>
      <w:bookmarkStart w:id="554" w:name="_Toc124762774"/>
      <w:r>
        <w:t>References</w:t>
      </w:r>
      <w:bookmarkEnd w:id="554"/>
    </w:p>
    <w:p w14:paraId="71E01C0B" w14:textId="77777777" w:rsidR="00BE58C5" w:rsidRPr="00A55D71" w:rsidRDefault="00BE58C5" w:rsidP="00BE58C5">
      <w:r w:rsidRPr="0073032B">
        <w:t>Brown WJ, Dobson AJ, Bryson L &amp; Byles JE.</w:t>
      </w:r>
      <w:r>
        <w:t xml:space="preserve"> </w:t>
      </w:r>
      <w:r w:rsidRPr="00A55D71">
        <w:t>Women's Health Australia: On the progress of the main cohort studies</w:t>
      </w:r>
      <w:r>
        <w:t xml:space="preserve">. </w:t>
      </w:r>
      <w:r w:rsidRPr="00A55D71">
        <w:t xml:space="preserve"> </w:t>
      </w:r>
      <w:r w:rsidRPr="00A55D71">
        <w:rPr>
          <w:i/>
          <w:iCs/>
        </w:rPr>
        <w:t>Journal of Women's Health and Gender-based Medicine</w:t>
      </w:r>
      <w:r w:rsidRPr="00A55D71">
        <w:t>, 1999; 8(5): 681-688</w:t>
      </w:r>
    </w:p>
    <w:p w14:paraId="3DA0C23D" w14:textId="77777777" w:rsidR="00BE58C5" w:rsidRPr="00A55D71" w:rsidRDefault="00BE58C5" w:rsidP="00BE58C5">
      <w:r w:rsidRPr="00566BB0">
        <w:t>Mishra GD, Hockey R, Powers J, Loxton D, Tooth L, Rowlands I, Byles J &amp; Dobson A.</w:t>
      </w:r>
      <w:r>
        <w:t xml:space="preserve"> </w:t>
      </w:r>
      <w:r w:rsidRPr="00A55D71">
        <w:t>Recruitment via the internet and social networking sites: The 1989-1995 cohort of the Australian Longitudinal Study on Women's Health</w:t>
      </w:r>
      <w:r>
        <w:t xml:space="preserve">. </w:t>
      </w:r>
      <w:r w:rsidRPr="00A55D71">
        <w:t xml:space="preserve"> </w:t>
      </w:r>
      <w:r w:rsidRPr="00A55D71">
        <w:rPr>
          <w:i/>
          <w:iCs/>
        </w:rPr>
        <w:t>Journal of Medical Internet Research</w:t>
      </w:r>
      <w:r w:rsidRPr="00A55D71">
        <w:t>, 2014; 16(12): e279</w:t>
      </w:r>
      <w:r>
        <w:t xml:space="preserve">. </w:t>
      </w:r>
    </w:p>
    <w:p w14:paraId="36248CCC" w14:textId="6E0738E5" w:rsidR="009717CF" w:rsidRDefault="00BE58C5" w:rsidP="00327D59">
      <w:pPr>
        <w:rPr>
          <w:rFonts w:eastAsiaTheme="majorEastAsia" w:cstheme="majorBidi"/>
          <w:b/>
          <w:bCs/>
          <w:sz w:val="24"/>
          <w:szCs w:val="26"/>
        </w:rPr>
      </w:pPr>
      <w:r w:rsidRPr="006938D2">
        <w:t>Dobson A, Hockey R, Brown W, Byles J, Loxton D, McLaughlin D, Tooth L &amp; Mishra G</w:t>
      </w:r>
      <w:r>
        <w:t xml:space="preserve">. </w:t>
      </w:r>
      <w:r w:rsidRPr="00A55D71">
        <w:t>Cohort Profile Update: Australian Longitudinal Study on Women’s Health</w:t>
      </w:r>
      <w:r>
        <w:t>.</w:t>
      </w:r>
      <w:r w:rsidRPr="00A55D71">
        <w:t xml:space="preserve"> </w:t>
      </w:r>
      <w:r w:rsidRPr="005E5A78">
        <w:t>International Journal of Epidemiology</w:t>
      </w:r>
      <w:r w:rsidRPr="00A55D71">
        <w:t xml:space="preserve">, 2015; 44(5): 1547a-1547f </w:t>
      </w:r>
      <w:r w:rsidR="009717CF">
        <w:br w:type="page"/>
      </w:r>
    </w:p>
    <w:p w14:paraId="2E46EC80" w14:textId="6372589D" w:rsidR="001F7EB2" w:rsidRPr="005102A6" w:rsidRDefault="006B4887" w:rsidP="00355892">
      <w:pPr>
        <w:pStyle w:val="Heading1"/>
        <w:spacing w:line="276" w:lineRule="auto"/>
        <w:rPr>
          <w:rFonts w:cs="Arial"/>
        </w:rPr>
      </w:pPr>
      <w:bookmarkStart w:id="555" w:name="_Toc124762775"/>
      <w:r>
        <w:rPr>
          <w:rFonts w:cs="Arial"/>
        </w:rPr>
        <w:lastRenderedPageBreak/>
        <w:t xml:space="preserve">Maintenance of </w:t>
      </w:r>
      <w:r w:rsidR="005102A6" w:rsidRPr="00E03A8D">
        <w:rPr>
          <w:rFonts w:cs="Arial"/>
        </w:rPr>
        <w:t>cohorts</w:t>
      </w:r>
      <w:bookmarkStart w:id="556" w:name="_Toc46314650"/>
      <w:bookmarkStart w:id="557" w:name="_Toc46318559"/>
      <w:bookmarkStart w:id="558" w:name="_Toc46314651"/>
      <w:bookmarkStart w:id="559" w:name="_Toc46318560"/>
      <w:bookmarkStart w:id="560" w:name="_Toc46314652"/>
      <w:bookmarkStart w:id="561" w:name="_Toc46318561"/>
      <w:bookmarkStart w:id="562" w:name="_Toc46314653"/>
      <w:bookmarkStart w:id="563" w:name="_Toc46318562"/>
      <w:bookmarkStart w:id="564" w:name="_Toc46314654"/>
      <w:bookmarkStart w:id="565" w:name="_Toc46318563"/>
      <w:bookmarkStart w:id="566" w:name="_Toc46314655"/>
      <w:bookmarkStart w:id="567" w:name="_Toc46318564"/>
      <w:bookmarkStart w:id="568" w:name="_Toc46314656"/>
      <w:bookmarkStart w:id="569" w:name="_Toc46318565"/>
      <w:bookmarkStart w:id="570" w:name="_Toc46314657"/>
      <w:bookmarkStart w:id="571" w:name="_Toc46318566"/>
      <w:bookmarkStart w:id="572" w:name="_Toc46314658"/>
      <w:bookmarkStart w:id="573" w:name="_Toc46318567"/>
      <w:bookmarkStart w:id="574" w:name="_Toc46314659"/>
      <w:bookmarkStart w:id="575" w:name="_Toc46318568"/>
      <w:bookmarkStart w:id="576" w:name="_Toc46314660"/>
      <w:bookmarkStart w:id="577" w:name="_Toc46318569"/>
      <w:bookmarkStart w:id="578" w:name="_Toc46314661"/>
      <w:bookmarkStart w:id="579" w:name="_Toc46318570"/>
      <w:bookmarkStart w:id="580" w:name="_Toc46314662"/>
      <w:bookmarkStart w:id="581" w:name="_Toc46318571"/>
      <w:bookmarkStart w:id="582" w:name="_Toc46314663"/>
      <w:bookmarkStart w:id="583" w:name="_Toc46318572"/>
      <w:bookmarkStart w:id="584" w:name="_Toc46314664"/>
      <w:bookmarkStart w:id="585" w:name="_Toc46318573"/>
      <w:bookmarkStart w:id="586" w:name="_Toc46314665"/>
      <w:bookmarkStart w:id="587" w:name="_Toc46318574"/>
      <w:bookmarkStart w:id="588" w:name="_Toc46314666"/>
      <w:bookmarkStart w:id="589" w:name="_Toc46318575"/>
      <w:bookmarkStart w:id="590" w:name="_Toc46314667"/>
      <w:bookmarkStart w:id="591" w:name="_Toc46318576"/>
      <w:bookmarkStart w:id="592" w:name="_Toc46314668"/>
      <w:bookmarkStart w:id="593" w:name="_Toc46318577"/>
      <w:bookmarkStart w:id="594" w:name="_Toc46314669"/>
      <w:bookmarkStart w:id="595" w:name="_Toc46318578"/>
      <w:bookmarkStart w:id="596" w:name="_Toc46314670"/>
      <w:bookmarkStart w:id="597" w:name="_Toc46318579"/>
      <w:bookmarkStart w:id="598" w:name="_Toc46314671"/>
      <w:bookmarkStart w:id="599" w:name="_Toc46318580"/>
      <w:bookmarkStart w:id="600" w:name="_Toc46314672"/>
      <w:bookmarkStart w:id="601" w:name="_Toc46318581"/>
      <w:bookmarkStart w:id="602" w:name="_Toc46314673"/>
      <w:bookmarkStart w:id="603" w:name="_Toc46318582"/>
      <w:bookmarkStart w:id="604" w:name="_Toc46314674"/>
      <w:bookmarkStart w:id="605" w:name="_Toc46318583"/>
      <w:bookmarkStart w:id="606" w:name="_Toc46314675"/>
      <w:bookmarkStart w:id="607" w:name="_Toc46318584"/>
      <w:bookmarkStart w:id="608" w:name="_Toc46314676"/>
      <w:bookmarkStart w:id="609" w:name="_Toc46318585"/>
      <w:bookmarkStart w:id="610" w:name="_Ref529278994"/>
      <w:bookmarkStart w:id="611" w:name="_Toc46314677"/>
      <w:bookmarkStart w:id="612" w:name="_Toc46318586"/>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555"/>
    </w:p>
    <w:p w14:paraId="7A966D9E" w14:textId="474AA683" w:rsidR="00A72F4E" w:rsidRDefault="00A72F4E">
      <w:pPr>
        <w:spacing w:before="0" w:after="0"/>
        <w:rPr>
          <w:rFonts w:eastAsiaTheme="majorEastAsia"/>
        </w:rPr>
      </w:pPr>
    </w:p>
    <w:p w14:paraId="2C823E8C" w14:textId="77777777" w:rsidR="00327D59" w:rsidRPr="00431897" w:rsidRDefault="00327D59" w:rsidP="00327D59">
      <w:pPr>
        <w:pStyle w:val="Heading2"/>
        <w:spacing w:line="240" w:lineRule="auto"/>
        <w:ind w:left="576" w:hanging="576"/>
        <w:jc w:val="left"/>
      </w:pPr>
      <w:bookmarkStart w:id="613" w:name="_Ref491784213"/>
      <w:bookmarkStart w:id="614" w:name="_Toc492995438"/>
      <w:bookmarkStart w:id="615" w:name="_Ref491784217"/>
      <w:bookmarkStart w:id="616" w:name="_Toc492995439"/>
      <w:bookmarkStart w:id="617" w:name="_Toc466637836"/>
      <w:bookmarkStart w:id="618" w:name="_Toc498091962"/>
      <w:bookmarkStart w:id="619" w:name="_Toc524019417"/>
      <w:bookmarkStart w:id="620" w:name="_Toc87012452"/>
      <w:bookmarkStart w:id="621" w:name="_Toc124762776"/>
      <w:bookmarkStart w:id="622" w:name="_Toc466637837"/>
      <w:bookmarkStart w:id="623" w:name="_Toc491786557"/>
      <w:bookmarkStart w:id="624" w:name="_Toc521319370"/>
      <w:bookmarkStart w:id="625" w:name="_Toc524019418"/>
      <w:bookmarkStart w:id="626" w:name="_Toc466637841"/>
      <w:bookmarkStart w:id="627" w:name="_Toc498091972"/>
      <w:bookmarkStart w:id="628" w:name="_Toc524019424"/>
      <w:bookmarkEnd w:id="613"/>
      <w:bookmarkEnd w:id="614"/>
      <w:bookmarkEnd w:id="615"/>
      <w:bookmarkEnd w:id="616"/>
      <w:r w:rsidRPr="00431897">
        <w:t xml:space="preserve">Update of </w:t>
      </w:r>
      <w:r>
        <w:t>cohorts</w:t>
      </w:r>
      <w:r w:rsidRPr="00431897">
        <w:t xml:space="preserve"> and response rates</w:t>
      </w:r>
      <w:bookmarkEnd w:id="617"/>
      <w:bookmarkEnd w:id="618"/>
      <w:bookmarkEnd w:id="619"/>
      <w:bookmarkEnd w:id="620"/>
      <w:bookmarkEnd w:id="621"/>
    </w:p>
    <w:p w14:paraId="1BA6389C" w14:textId="77777777" w:rsidR="00327D59" w:rsidRPr="00431897" w:rsidRDefault="00327D59" w:rsidP="00327D59">
      <w:pPr>
        <w:pStyle w:val="Heading3"/>
        <w:spacing w:line="240" w:lineRule="auto"/>
        <w:jc w:val="left"/>
      </w:pPr>
      <w:bookmarkStart w:id="629" w:name="_Toc87012453"/>
      <w:bookmarkStart w:id="630" w:name="_Toc124762777"/>
      <w:r w:rsidRPr="00431897">
        <w:t>First survey of the 1973-78, 1946-51 and 1921-26 cohorts in 1996.</w:t>
      </w:r>
      <w:bookmarkEnd w:id="622"/>
      <w:bookmarkEnd w:id="623"/>
      <w:bookmarkEnd w:id="624"/>
      <w:bookmarkEnd w:id="625"/>
      <w:bookmarkEnd w:id="629"/>
      <w:bookmarkEnd w:id="630"/>
    </w:p>
    <w:bookmarkEnd w:id="626"/>
    <w:bookmarkEnd w:id="627"/>
    <w:bookmarkEnd w:id="628"/>
    <w:p w14:paraId="52D6718B" w14:textId="41FA40C7" w:rsidR="00327D59" w:rsidRPr="00A72F4E" w:rsidRDefault="00327D59" w:rsidP="00327D59">
      <w:r w:rsidRPr="00A72F4E">
        <w:t>More than 40,000 women responded to the first survey of the original ALSWH cohorts in 1996. Due to uncertainties about the accuracy of the Medicare database (which was used as the sampling frame for the stratified random samples), response rates for this first survey cannot be exactly specified. However, it is estimated that 41-42% of the 1973-78 cohort, 53-56% of the 1946-51 cohort and 37-40% of the 1921-26 cohort responded to the initial invitation to participate</w:t>
      </w:r>
      <w:r w:rsidR="00306719">
        <w:t xml:space="preserve"> (Brown et al; 1999)</w:t>
      </w:r>
      <w:r w:rsidRPr="00A72F4E">
        <w:t>. Confidentiality restrictions meant that the names of the selected women were unknown to researchers and usual methods of encouraging participation (e.g.</w:t>
      </w:r>
      <w:r>
        <w:t>,</w:t>
      </w:r>
      <w:r w:rsidRPr="00A72F4E">
        <w:t xml:space="preserve"> by telephone) could not be used. </w:t>
      </w:r>
    </w:p>
    <w:p w14:paraId="07CEB62B" w14:textId="3893EC0F" w:rsidR="00327D59" w:rsidRPr="00A72F4E" w:rsidRDefault="00327D59" w:rsidP="00327D59">
      <w:pPr>
        <w:rPr>
          <w:rFonts w:cs="Arial"/>
        </w:rPr>
      </w:pPr>
      <w:r w:rsidRPr="00A72F4E">
        <w:t xml:space="preserve">Some participants completed Survey 1 in 1996 and did not provide any contact details (532 women from the 1973-78 cohort, 383 women from the 1946-52 cohort, and 508 women from the 1921-26 cohort). Also, a very small number of women have </w:t>
      </w:r>
      <w:r>
        <w:t xml:space="preserve">since </w:t>
      </w:r>
      <w:r w:rsidRPr="00A72F4E">
        <w:t>alerted the study that they were not eligible by their birth date</w:t>
      </w:r>
      <w:r>
        <w:t>,</w:t>
      </w:r>
      <w:r w:rsidRPr="00A72F4E">
        <w:t xml:space="preserve"> and they have been removed. Hence the </w:t>
      </w:r>
      <w:r>
        <w:t xml:space="preserve">official </w:t>
      </w:r>
      <w:r w:rsidRPr="00A72F4E">
        <w:t>numbers of women enrolled in the study were 14,247 women in the 1973-78 cohort, 13,714 women in the 1946-51 cohort and 12,432 women in the 1921-26 cohort</w:t>
      </w:r>
      <w:r w:rsidR="00306719">
        <w:t xml:space="preserve"> (Lee et al; 2005)</w:t>
      </w:r>
      <w:r w:rsidRPr="00A72F4E">
        <w:t>.</w:t>
      </w:r>
    </w:p>
    <w:p w14:paraId="51A396F1" w14:textId="77777777" w:rsidR="00327D59" w:rsidRPr="00A72F4E" w:rsidRDefault="00327D59" w:rsidP="00327D59">
      <w:pPr>
        <w:pStyle w:val="Heading3"/>
        <w:spacing w:line="240" w:lineRule="auto"/>
        <w:jc w:val="left"/>
      </w:pPr>
      <w:bookmarkStart w:id="631" w:name="_Toc491786558"/>
      <w:bookmarkStart w:id="632" w:name="_Toc521319371"/>
      <w:bookmarkStart w:id="633" w:name="_Toc34753630"/>
      <w:bookmarkStart w:id="634" w:name="_Toc87012454"/>
      <w:bookmarkStart w:id="635" w:name="_Toc124762778"/>
      <w:r w:rsidRPr="00A72F4E">
        <w:t>1973-78 cohort</w:t>
      </w:r>
      <w:bookmarkEnd w:id="631"/>
      <w:bookmarkEnd w:id="632"/>
      <w:bookmarkEnd w:id="633"/>
      <w:bookmarkEnd w:id="634"/>
      <w:bookmarkEnd w:id="635"/>
    </w:p>
    <w:p w14:paraId="0BE2764B" w14:textId="6BA5C9BF" w:rsidR="00327D59" w:rsidRDefault="00327D59" w:rsidP="00327D59">
      <w:bookmarkStart w:id="636" w:name="_Hlk118209725"/>
      <w:r>
        <w:t xml:space="preserve">Among the 1973-78 cohort, 69% responded to Survey 2 in 2000, 66% to Survey 3 in 2003, 68% responded to Survey 4 in 2006, 62% to Survey 5 in 2009, 62% to Survey 6 in 2012, and 57% responded to Survey 7 in 2015 and to Survey 8 in 2018 (See </w:t>
      </w:r>
      <w:r>
        <w:fldChar w:fldCharType="begin"/>
      </w:r>
      <w:r>
        <w:instrText xml:space="preserve"> REF _Ref113717204 \h </w:instrText>
      </w:r>
      <w:r>
        <w:fldChar w:fldCharType="separate"/>
      </w:r>
      <w:r w:rsidR="007D19D7">
        <w:t xml:space="preserve">Table </w:t>
      </w:r>
      <w:r w:rsidR="007D19D7">
        <w:rPr>
          <w:noProof/>
        </w:rPr>
        <w:t>4</w:t>
      </w:r>
      <w:r w:rsidR="007D19D7">
        <w:noBreakHyphen/>
      </w:r>
      <w:r w:rsidR="007D19D7">
        <w:rPr>
          <w:noProof/>
        </w:rPr>
        <w:t>1</w:t>
      </w:r>
      <w:r>
        <w:fldChar w:fldCharType="end"/>
      </w:r>
      <w:r>
        <w:t>). The ninth survey for this cohort was deployed in 2021, with data collection due to close in 2022.</w:t>
      </w:r>
    </w:p>
    <w:p w14:paraId="155AEAEF" w14:textId="5331AC08" w:rsidR="00284EDE" w:rsidRDefault="00327D59" w:rsidP="00327D59">
      <w:r>
        <w:t xml:space="preserve">Retention compares well with other surveys of this highly mobile age group. The major reason for non-response among the 1973-78 cohort is that that the research team has been unable to contact the women (between 21% and 33% of the cohort at subsequent surveys), despite using all possible methods of maintaining contact. Women in their twenties and thirties are characterised by high levels of mobility, change of surnames on marriage, often not having telephone listings, not being registered to vote, and making extended trips outside Australia for work, education, or recreation. </w:t>
      </w:r>
      <w:r w:rsidR="007A1E4F">
        <w:t xml:space="preserve">Although the women in this cohort are now in their late forties, the impact of high mobility in their younger years remains an influence on the response rate. </w:t>
      </w:r>
      <w:r>
        <w:t>Despite these losses, modelling has shown that there is no serious bias in estimates of associations between risk factors and health outcomes in longitudinal models</w:t>
      </w:r>
      <w:r w:rsidR="00306719">
        <w:t xml:space="preserve"> (Powers &amp; Loxton</w:t>
      </w:r>
      <w:r w:rsidR="00284EDE">
        <w:t>,</w:t>
      </w:r>
      <w:r w:rsidR="00306719">
        <w:t xml:space="preserve"> 2010). </w:t>
      </w:r>
    </w:p>
    <w:bookmarkEnd w:id="636"/>
    <w:p w14:paraId="0E8C4BE2" w14:textId="77777777" w:rsidR="00284EDE" w:rsidRDefault="00284EDE" w:rsidP="00327D59"/>
    <w:p w14:paraId="19184B18" w14:textId="77777777" w:rsidR="00284EDE" w:rsidRDefault="00284EDE" w:rsidP="00327D59"/>
    <w:p w14:paraId="09E0CD74" w14:textId="5B9909C2" w:rsidR="00327D59" w:rsidRDefault="00327D59" w:rsidP="00327D59">
      <w:r>
        <w:t xml:space="preserve"> </w:t>
      </w:r>
    </w:p>
    <w:p w14:paraId="10368315" w14:textId="77777777" w:rsidR="00327D59" w:rsidRDefault="00327D59" w:rsidP="00327D59">
      <w:pPr>
        <w:pStyle w:val="2012TechReportBodytext"/>
        <w:sectPr w:rsidR="00327D59" w:rsidSect="001608F9">
          <w:headerReference w:type="default" r:id="rId33"/>
          <w:footerReference w:type="default" r:id="rId34"/>
          <w:pgSz w:w="11906" w:h="16838"/>
          <w:pgMar w:top="1440" w:right="1440" w:bottom="1440" w:left="1440" w:header="708" w:footer="708" w:gutter="0"/>
          <w:cols w:space="720"/>
          <w:docGrid w:linePitch="272"/>
        </w:sectPr>
      </w:pPr>
    </w:p>
    <w:p w14:paraId="164F68FD" w14:textId="77777777" w:rsidR="00327D59" w:rsidRPr="00A72F4E" w:rsidRDefault="00327D59" w:rsidP="00327D59">
      <w:pPr>
        <w:spacing w:before="0" w:after="0"/>
      </w:pPr>
    </w:p>
    <w:p w14:paraId="7F7B79C3" w14:textId="3FA20F3B" w:rsidR="00327D59" w:rsidRPr="00A72F4E" w:rsidRDefault="00327D59" w:rsidP="00327D59">
      <w:pPr>
        <w:pStyle w:val="Caption"/>
        <w:rPr>
          <w:b w:val="0"/>
          <w:bCs w:val="0"/>
        </w:rPr>
      </w:pPr>
      <w:bookmarkStart w:id="637" w:name="_Ref113717204"/>
      <w:bookmarkStart w:id="638" w:name="_Toc492995407"/>
      <w:bookmarkStart w:id="639" w:name="_Toc18931512"/>
      <w:bookmarkStart w:id="640" w:name="_Toc56156862"/>
      <w:bookmarkStart w:id="641" w:name="_Toc87869416"/>
      <w:bookmarkStart w:id="642" w:name="_Hlk118209752"/>
      <w:r>
        <w:t xml:space="preserve">Table </w:t>
      </w:r>
      <w:fldSimple w:instr=" STYLEREF 1 \s ">
        <w:r w:rsidR="007D19D7">
          <w:rPr>
            <w:noProof/>
          </w:rPr>
          <w:t>4</w:t>
        </w:r>
      </w:fldSimple>
      <w:r>
        <w:noBreakHyphen/>
      </w:r>
      <w:fldSimple w:instr=" SEQ Table \* ARABIC \s 1 ">
        <w:r w:rsidR="007D19D7">
          <w:rPr>
            <w:noProof/>
          </w:rPr>
          <w:t>1</w:t>
        </w:r>
      </w:fldSimple>
      <w:bookmarkEnd w:id="637"/>
      <w:r>
        <w:t xml:space="preserve"> </w:t>
      </w:r>
      <w:r w:rsidRPr="00A72F4E">
        <w:t xml:space="preserve">Participation and retention of 14,247 women in the 1973-78 cohort of women who </w:t>
      </w:r>
      <w:r>
        <w:t>w</w:t>
      </w:r>
      <w:r w:rsidRPr="00A72F4E">
        <w:t>ere 18-23 years old at the first survey in 1996*</w:t>
      </w:r>
      <w:bookmarkEnd w:id="638"/>
      <w:bookmarkEnd w:id="639"/>
      <w:bookmarkEnd w:id="640"/>
      <w:bookmarkEnd w:id="641"/>
    </w:p>
    <w:tbl>
      <w:tblPr>
        <w:tblW w:w="0" w:type="auto"/>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381"/>
        <w:gridCol w:w="1134"/>
        <w:gridCol w:w="1134"/>
        <w:gridCol w:w="1134"/>
        <w:gridCol w:w="1134"/>
        <w:gridCol w:w="1134"/>
        <w:gridCol w:w="1134"/>
        <w:gridCol w:w="1134"/>
      </w:tblGrid>
      <w:tr w:rsidR="00327D59" w:rsidRPr="00A72F4E" w14:paraId="07D81310" w14:textId="77777777" w:rsidTr="00032B54">
        <w:trPr>
          <w:cantSplit/>
          <w:tblHeader/>
        </w:trPr>
        <w:tc>
          <w:tcPr>
            <w:tcW w:w="2381" w:type="dxa"/>
            <w:tcBorders>
              <w:top w:val="single" w:sz="4" w:space="0" w:color="auto"/>
              <w:left w:val="nil"/>
              <w:bottom w:val="single" w:sz="4" w:space="0" w:color="auto"/>
              <w:right w:val="nil"/>
            </w:tcBorders>
            <w:shd w:val="clear" w:color="auto" w:fill="E5DFEC"/>
            <w:tcMar>
              <w:left w:w="60" w:type="dxa"/>
              <w:right w:w="60" w:type="dxa"/>
            </w:tcMar>
            <w:vAlign w:val="bottom"/>
          </w:tcPr>
          <w:p w14:paraId="3EFB3576" w14:textId="77777777" w:rsidR="00327D59" w:rsidRPr="00767CE4" w:rsidRDefault="00327D59" w:rsidP="00032B54">
            <w:pPr>
              <w:spacing w:before="0" w:after="0"/>
              <w:jc w:val="right"/>
              <w:rPr>
                <w:rFonts w:eastAsiaTheme="minorHAnsi"/>
                <w:b/>
                <w:lang w:eastAsia="en-US"/>
              </w:rPr>
            </w:pPr>
            <w:r w:rsidRPr="00767CE4">
              <w:rPr>
                <w:rFonts w:eastAsiaTheme="minorHAnsi"/>
                <w:b/>
                <w:lang w:eastAsia="en-US"/>
              </w:rPr>
              <w:t>Year</w:t>
            </w:r>
          </w:p>
          <w:p w14:paraId="463EC104" w14:textId="77777777" w:rsidR="00327D59" w:rsidRPr="00767CE4" w:rsidRDefault="00327D59" w:rsidP="00032B54">
            <w:pPr>
              <w:spacing w:before="0" w:after="0"/>
              <w:jc w:val="right"/>
              <w:rPr>
                <w:rFonts w:eastAsiaTheme="minorHAnsi"/>
                <w:b/>
                <w:lang w:eastAsia="en-US"/>
              </w:rPr>
            </w:pPr>
            <w:r w:rsidRPr="00767CE4">
              <w:rPr>
                <w:rFonts w:eastAsiaTheme="minorHAnsi"/>
                <w:b/>
                <w:lang w:eastAsia="en-US"/>
              </w:rPr>
              <w:t>Survey</w:t>
            </w:r>
          </w:p>
          <w:p w14:paraId="707F856D" w14:textId="77777777" w:rsidR="00327D59" w:rsidRPr="00A72F4E" w:rsidRDefault="00327D59" w:rsidP="00032B54">
            <w:pPr>
              <w:spacing w:before="0" w:after="0"/>
              <w:jc w:val="right"/>
              <w:rPr>
                <w:rFonts w:eastAsiaTheme="minorHAnsi"/>
                <w:lang w:eastAsia="en-US"/>
              </w:rPr>
            </w:pPr>
            <w:r w:rsidRPr="00767CE4">
              <w:rPr>
                <w:rFonts w:eastAsiaTheme="minorHAnsi"/>
                <w:b/>
                <w:lang w:eastAsia="en-US"/>
              </w:rPr>
              <w:t>(</w:t>
            </w:r>
            <w:proofErr w:type="gramStart"/>
            <w:r w:rsidRPr="00767CE4">
              <w:rPr>
                <w:rFonts w:eastAsiaTheme="minorHAnsi"/>
                <w:b/>
                <w:lang w:eastAsia="en-US"/>
              </w:rPr>
              <w:t>age</w:t>
            </w:r>
            <w:proofErr w:type="gramEnd"/>
            <w:r w:rsidRPr="00767CE4">
              <w:rPr>
                <w:rFonts w:eastAsiaTheme="minorHAnsi"/>
                <w:b/>
                <w:lang w:eastAsia="en-US"/>
              </w:rPr>
              <w:t xml:space="preserve"> range)</w:t>
            </w:r>
          </w:p>
        </w:tc>
        <w:tc>
          <w:tcPr>
            <w:tcW w:w="1134" w:type="dxa"/>
            <w:tcBorders>
              <w:top w:val="single" w:sz="4" w:space="0" w:color="auto"/>
              <w:left w:val="nil"/>
              <w:bottom w:val="single" w:sz="4" w:space="0" w:color="auto"/>
              <w:right w:val="nil"/>
            </w:tcBorders>
            <w:shd w:val="clear" w:color="auto" w:fill="E5DFEC"/>
            <w:tcMar>
              <w:left w:w="60" w:type="dxa"/>
              <w:right w:w="60" w:type="dxa"/>
            </w:tcMar>
            <w:vAlign w:val="bottom"/>
          </w:tcPr>
          <w:p w14:paraId="672E91AB" w14:textId="77777777" w:rsidR="00327D59" w:rsidRDefault="00327D59" w:rsidP="00032B54">
            <w:pPr>
              <w:spacing w:before="0" w:after="0"/>
              <w:jc w:val="center"/>
              <w:rPr>
                <w:rFonts w:eastAsiaTheme="minorHAnsi"/>
                <w:b/>
                <w:lang w:eastAsia="en-US"/>
              </w:rPr>
            </w:pPr>
            <w:r>
              <w:rPr>
                <w:rFonts w:eastAsiaTheme="minorHAnsi"/>
                <w:b/>
                <w:lang w:eastAsia="en-US"/>
              </w:rPr>
              <w:t>2000</w:t>
            </w:r>
          </w:p>
          <w:p w14:paraId="00973CB2" w14:textId="77777777" w:rsidR="00327D59" w:rsidRDefault="00327D59" w:rsidP="00032B54">
            <w:pPr>
              <w:spacing w:before="0" w:after="0"/>
              <w:jc w:val="center"/>
              <w:rPr>
                <w:rFonts w:eastAsiaTheme="minorHAnsi"/>
                <w:b/>
                <w:lang w:eastAsia="en-US"/>
              </w:rPr>
            </w:pPr>
            <w:r>
              <w:rPr>
                <w:rFonts w:eastAsiaTheme="minorHAnsi"/>
                <w:b/>
                <w:lang w:eastAsia="en-US"/>
              </w:rPr>
              <w:t>Survey 2</w:t>
            </w:r>
          </w:p>
          <w:p w14:paraId="45001789" w14:textId="77777777" w:rsidR="00327D59" w:rsidRPr="00A72F4E" w:rsidRDefault="00327D59" w:rsidP="00032B54">
            <w:pPr>
              <w:spacing w:before="0" w:after="0"/>
              <w:jc w:val="center"/>
              <w:rPr>
                <w:rFonts w:eastAsiaTheme="minorHAnsi"/>
                <w:b/>
                <w:lang w:eastAsia="en-US"/>
              </w:rPr>
            </w:pPr>
            <w:r w:rsidRPr="00A72F4E">
              <w:rPr>
                <w:rFonts w:eastAsiaTheme="minorHAnsi"/>
                <w:b/>
                <w:lang w:eastAsia="en-US"/>
              </w:rPr>
              <w:t>(22-27)</w:t>
            </w:r>
          </w:p>
        </w:tc>
        <w:tc>
          <w:tcPr>
            <w:tcW w:w="1134" w:type="dxa"/>
            <w:tcBorders>
              <w:top w:val="single" w:sz="4" w:space="0" w:color="auto"/>
              <w:left w:val="nil"/>
              <w:bottom w:val="single" w:sz="4" w:space="0" w:color="auto"/>
              <w:right w:val="nil"/>
            </w:tcBorders>
            <w:shd w:val="clear" w:color="auto" w:fill="E5DFEC"/>
            <w:tcMar>
              <w:left w:w="60" w:type="dxa"/>
              <w:right w:w="60" w:type="dxa"/>
            </w:tcMar>
            <w:vAlign w:val="bottom"/>
          </w:tcPr>
          <w:p w14:paraId="2F93B651" w14:textId="77777777" w:rsidR="00327D59" w:rsidRDefault="00327D59" w:rsidP="00032B54">
            <w:pPr>
              <w:spacing w:before="0" w:after="0"/>
              <w:jc w:val="center"/>
              <w:rPr>
                <w:rFonts w:eastAsiaTheme="minorHAnsi"/>
                <w:b/>
                <w:lang w:eastAsia="en-US"/>
              </w:rPr>
            </w:pPr>
            <w:r>
              <w:rPr>
                <w:rFonts w:eastAsiaTheme="minorHAnsi"/>
                <w:b/>
                <w:lang w:eastAsia="en-US"/>
              </w:rPr>
              <w:t>2003</w:t>
            </w:r>
          </w:p>
          <w:p w14:paraId="50C614AC" w14:textId="77777777" w:rsidR="00327D59" w:rsidRDefault="00327D59" w:rsidP="00032B54">
            <w:pPr>
              <w:spacing w:before="0" w:after="0"/>
              <w:jc w:val="center"/>
              <w:rPr>
                <w:rFonts w:eastAsiaTheme="minorHAnsi"/>
                <w:b/>
                <w:lang w:eastAsia="en-US"/>
              </w:rPr>
            </w:pPr>
            <w:r>
              <w:rPr>
                <w:rFonts w:eastAsiaTheme="minorHAnsi"/>
                <w:b/>
                <w:lang w:eastAsia="en-US"/>
              </w:rPr>
              <w:t>Survey 3</w:t>
            </w:r>
          </w:p>
          <w:p w14:paraId="5A13DCC1" w14:textId="77777777" w:rsidR="00327D59" w:rsidRPr="00A72F4E" w:rsidRDefault="00327D59" w:rsidP="00032B54">
            <w:pPr>
              <w:spacing w:before="0" w:after="0"/>
              <w:jc w:val="center"/>
              <w:rPr>
                <w:rFonts w:eastAsiaTheme="minorHAnsi"/>
                <w:b/>
                <w:lang w:eastAsia="en-US"/>
              </w:rPr>
            </w:pPr>
            <w:r w:rsidRPr="00A72F4E">
              <w:rPr>
                <w:rFonts w:eastAsiaTheme="minorHAnsi"/>
                <w:b/>
                <w:lang w:eastAsia="en-US"/>
              </w:rPr>
              <w:t>(25-30)</w:t>
            </w:r>
          </w:p>
        </w:tc>
        <w:tc>
          <w:tcPr>
            <w:tcW w:w="1134" w:type="dxa"/>
            <w:tcBorders>
              <w:top w:val="single" w:sz="4" w:space="0" w:color="auto"/>
              <w:left w:val="nil"/>
              <w:bottom w:val="single" w:sz="4" w:space="0" w:color="auto"/>
              <w:right w:val="nil"/>
            </w:tcBorders>
            <w:shd w:val="clear" w:color="auto" w:fill="E5DFEC"/>
            <w:tcMar>
              <w:left w:w="60" w:type="dxa"/>
              <w:right w:w="60" w:type="dxa"/>
            </w:tcMar>
            <w:vAlign w:val="bottom"/>
          </w:tcPr>
          <w:p w14:paraId="4708C2E3" w14:textId="77777777" w:rsidR="00327D59" w:rsidRDefault="00327D59" w:rsidP="00032B54">
            <w:pPr>
              <w:spacing w:before="0" w:after="0"/>
              <w:jc w:val="center"/>
              <w:rPr>
                <w:rFonts w:eastAsiaTheme="minorHAnsi"/>
                <w:b/>
                <w:lang w:eastAsia="en-US"/>
              </w:rPr>
            </w:pPr>
            <w:r>
              <w:rPr>
                <w:rFonts w:eastAsiaTheme="minorHAnsi"/>
                <w:b/>
                <w:lang w:eastAsia="en-US"/>
              </w:rPr>
              <w:t>2006</w:t>
            </w:r>
          </w:p>
          <w:p w14:paraId="36295216" w14:textId="77777777" w:rsidR="00327D59" w:rsidRDefault="00327D59" w:rsidP="00032B54">
            <w:pPr>
              <w:spacing w:before="0" w:after="0"/>
              <w:jc w:val="center"/>
              <w:rPr>
                <w:rFonts w:eastAsiaTheme="minorHAnsi"/>
                <w:b/>
                <w:lang w:eastAsia="en-US"/>
              </w:rPr>
            </w:pPr>
            <w:r w:rsidRPr="00A72F4E">
              <w:rPr>
                <w:rFonts w:eastAsiaTheme="minorHAnsi"/>
                <w:b/>
                <w:lang w:eastAsia="en-US"/>
              </w:rPr>
              <w:t>Survey 4</w:t>
            </w:r>
          </w:p>
          <w:p w14:paraId="6A3EE4BD" w14:textId="77777777" w:rsidR="00327D59" w:rsidRPr="00A72F4E" w:rsidRDefault="00327D59" w:rsidP="00032B54">
            <w:pPr>
              <w:spacing w:before="0" w:after="0"/>
              <w:jc w:val="center"/>
              <w:rPr>
                <w:rFonts w:eastAsiaTheme="minorHAnsi"/>
                <w:b/>
                <w:lang w:eastAsia="en-US"/>
              </w:rPr>
            </w:pPr>
            <w:r w:rsidRPr="00A72F4E">
              <w:rPr>
                <w:rFonts w:eastAsiaTheme="minorHAnsi"/>
                <w:b/>
                <w:lang w:eastAsia="en-US"/>
              </w:rPr>
              <w:t>(28-33)</w:t>
            </w:r>
          </w:p>
        </w:tc>
        <w:tc>
          <w:tcPr>
            <w:tcW w:w="1134" w:type="dxa"/>
            <w:tcBorders>
              <w:top w:val="single" w:sz="4" w:space="0" w:color="auto"/>
              <w:left w:val="nil"/>
              <w:bottom w:val="single" w:sz="4" w:space="0" w:color="auto"/>
              <w:right w:val="nil"/>
            </w:tcBorders>
            <w:shd w:val="clear" w:color="auto" w:fill="E5DFEC"/>
            <w:tcMar>
              <w:left w:w="60" w:type="dxa"/>
              <w:right w:w="60" w:type="dxa"/>
            </w:tcMar>
            <w:vAlign w:val="bottom"/>
          </w:tcPr>
          <w:p w14:paraId="09DA2332" w14:textId="77777777" w:rsidR="00327D59" w:rsidRDefault="00327D59" w:rsidP="00032B54">
            <w:pPr>
              <w:spacing w:before="0" w:after="0"/>
              <w:jc w:val="center"/>
              <w:rPr>
                <w:rFonts w:eastAsiaTheme="minorHAnsi"/>
                <w:b/>
                <w:lang w:eastAsia="en-US"/>
              </w:rPr>
            </w:pPr>
            <w:r>
              <w:rPr>
                <w:rFonts w:eastAsiaTheme="minorHAnsi"/>
                <w:b/>
                <w:lang w:eastAsia="en-US"/>
              </w:rPr>
              <w:t>2009</w:t>
            </w:r>
          </w:p>
          <w:p w14:paraId="1084E44C" w14:textId="77777777" w:rsidR="00327D59" w:rsidRDefault="00327D59" w:rsidP="00032B54">
            <w:pPr>
              <w:spacing w:before="0" w:after="0"/>
              <w:jc w:val="center"/>
              <w:rPr>
                <w:rFonts w:eastAsiaTheme="minorHAnsi"/>
                <w:b/>
                <w:lang w:eastAsia="en-US"/>
              </w:rPr>
            </w:pPr>
            <w:r w:rsidRPr="00A72F4E">
              <w:rPr>
                <w:rFonts w:eastAsiaTheme="minorHAnsi"/>
                <w:b/>
                <w:lang w:eastAsia="en-US"/>
              </w:rPr>
              <w:t>Survey 5</w:t>
            </w:r>
          </w:p>
          <w:p w14:paraId="5536F4C0" w14:textId="77777777" w:rsidR="00327D59" w:rsidRPr="00A72F4E" w:rsidRDefault="00327D59" w:rsidP="00032B54">
            <w:pPr>
              <w:spacing w:before="0" w:after="0"/>
              <w:jc w:val="center"/>
              <w:rPr>
                <w:rFonts w:eastAsiaTheme="minorHAnsi"/>
                <w:b/>
                <w:lang w:eastAsia="en-US"/>
              </w:rPr>
            </w:pPr>
            <w:r w:rsidRPr="00A72F4E">
              <w:rPr>
                <w:rFonts w:eastAsiaTheme="minorHAnsi"/>
                <w:b/>
                <w:lang w:eastAsia="en-US"/>
              </w:rPr>
              <w:t>(31-36)</w:t>
            </w:r>
          </w:p>
        </w:tc>
        <w:tc>
          <w:tcPr>
            <w:tcW w:w="1134" w:type="dxa"/>
            <w:tcBorders>
              <w:top w:val="single" w:sz="4" w:space="0" w:color="auto"/>
              <w:left w:val="nil"/>
              <w:bottom w:val="single" w:sz="4" w:space="0" w:color="auto"/>
              <w:right w:val="nil"/>
            </w:tcBorders>
            <w:shd w:val="clear" w:color="auto" w:fill="E5DFEC"/>
            <w:tcMar>
              <w:left w:w="60" w:type="dxa"/>
              <w:right w:w="60" w:type="dxa"/>
            </w:tcMar>
            <w:vAlign w:val="bottom"/>
          </w:tcPr>
          <w:p w14:paraId="38584BFB" w14:textId="77777777" w:rsidR="00327D59" w:rsidRDefault="00327D59" w:rsidP="00032B54">
            <w:pPr>
              <w:spacing w:before="0" w:after="0"/>
              <w:jc w:val="center"/>
              <w:rPr>
                <w:rFonts w:eastAsiaTheme="minorHAnsi"/>
                <w:b/>
                <w:lang w:eastAsia="en-US"/>
              </w:rPr>
            </w:pPr>
            <w:r>
              <w:rPr>
                <w:rFonts w:eastAsiaTheme="minorHAnsi"/>
                <w:b/>
                <w:lang w:eastAsia="en-US"/>
              </w:rPr>
              <w:t>2012</w:t>
            </w:r>
          </w:p>
          <w:p w14:paraId="2E67BB0B" w14:textId="77777777" w:rsidR="00327D59" w:rsidRDefault="00327D59" w:rsidP="00032B54">
            <w:pPr>
              <w:spacing w:before="0" w:after="0"/>
              <w:jc w:val="center"/>
              <w:rPr>
                <w:rFonts w:eastAsiaTheme="minorHAnsi"/>
                <w:b/>
                <w:lang w:eastAsia="en-US"/>
              </w:rPr>
            </w:pPr>
            <w:r w:rsidRPr="00A72F4E">
              <w:rPr>
                <w:rFonts w:eastAsiaTheme="minorHAnsi"/>
                <w:b/>
                <w:lang w:eastAsia="en-US"/>
              </w:rPr>
              <w:t>Survey 6</w:t>
            </w:r>
          </w:p>
          <w:p w14:paraId="5C7F6D2F" w14:textId="77777777" w:rsidR="00327D59" w:rsidRPr="00A72F4E" w:rsidRDefault="00327D59" w:rsidP="00032B54">
            <w:pPr>
              <w:spacing w:before="0" w:after="0"/>
              <w:jc w:val="center"/>
              <w:rPr>
                <w:rFonts w:eastAsiaTheme="minorHAnsi"/>
                <w:b/>
                <w:lang w:eastAsia="en-US"/>
              </w:rPr>
            </w:pPr>
            <w:r w:rsidRPr="00A72F4E">
              <w:rPr>
                <w:rFonts w:eastAsiaTheme="minorHAnsi"/>
                <w:b/>
                <w:lang w:eastAsia="en-US"/>
              </w:rPr>
              <w:t>(34-39)</w:t>
            </w:r>
          </w:p>
        </w:tc>
        <w:tc>
          <w:tcPr>
            <w:tcW w:w="1134" w:type="dxa"/>
            <w:tcBorders>
              <w:top w:val="single" w:sz="4" w:space="0" w:color="auto"/>
              <w:left w:val="nil"/>
              <w:bottom w:val="single" w:sz="4" w:space="0" w:color="auto"/>
              <w:right w:val="nil"/>
            </w:tcBorders>
            <w:shd w:val="clear" w:color="auto" w:fill="E5DFEC"/>
            <w:tcMar>
              <w:left w:w="60" w:type="dxa"/>
              <w:right w:w="60" w:type="dxa"/>
            </w:tcMar>
            <w:vAlign w:val="bottom"/>
          </w:tcPr>
          <w:p w14:paraId="1F8C9C43" w14:textId="77777777" w:rsidR="00327D59" w:rsidRDefault="00327D59" w:rsidP="00032B54">
            <w:pPr>
              <w:spacing w:before="0" w:after="0"/>
              <w:jc w:val="center"/>
              <w:rPr>
                <w:rFonts w:eastAsiaTheme="minorHAnsi"/>
                <w:b/>
                <w:lang w:eastAsia="en-US"/>
              </w:rPr>
            </w:pPr>
            <w:r>
              <w:rPr>
                <w:rFonts w:eastAsiaTheme="minorHAnsi"/>
                <w:b/>
                <w:lang w:eastAsia="en-US"/>
              </w:rPr>
              <w:t>2015</w:t>
            </w:r>
          </w:p>
          <w:p w14:paraId="7053774D" w14:textId="77777777" w:rsidR="00327D59" w:rsidRDefault="00327D59" w:rsidP="00032B54">
            <w:pPr>
              <w:spacing w:before="0" w:after="0"/>
              <w:jc w:val="center"/>
              <w:rPr>
                <w:rFonts w:eastAsiaTheme="minorHAnsi"/>
                <w:b/>
                <w:lang w:eastAsia="en-US"/>
              </w:rPr>
            </w:pPr>
            <w:r w:rsidRPr="00A72F4E">
              <w:rPr>
                <w:rFonts w:eastAsiaTheme="minorHAnsi"/>
                <w:b/>
                <w:lang w:eastAsia="en-US"/>
              </w:rPr>
              <w:t xml:space="preserve">Survey 7 </w:t>
            </w:r>
          </w:p>
          <w:p w14:paraId="4D14B152" w14:textId="77777777" w:rsidR="00327D59" w:rsidRPr="00A72F4E" w:rsidRDefault="00327D59" w:rsidP="00032B54">
            <w:pPr>
              <w:spacing w:before="0" w:after="0"/>
              <w:jc w:val="center"/>
              <w:rPr>
                <w:rFonts w:eastAsiaTheme="minorHAnsi"/>
                <w:b/>
                <w:lang w:eastAsia="en-US"/>
              </w:rPr>
            </w:pPr>
            <w:r w:rsidRPr="00A72F4E">
              <w:rPr>
                <w:rFonts w:eastAsiaTheme="minorHAnsi"/>
                <w:b/>
                <w:lang w:eastAsia="en-US"/>
              </w:rPr>
              <w:t>(</w:t>
            </w:r>
            <w:r>
              <w:rPr>
                <w:rFonts w:eastAsiaTheme="minorHAnsi"/>
                <w:b/>
                <w:lang w:eastAsia="en-US"/>
              </w:rPr>
              <w:t>37</w:t>
            </w:r>
            <w:r w:rsidRPr="00A72F4E">
              <w:rPr>
                <w:rFonts w:eastAsiaTheme="minorHAnsi"/>
                <w:b/>
                <w:lang w:eastAsia="en-US"/>
              </w:rPr>
              <w:t>-42)</w:t>
            </w:r>
          </w:p>
        </w:tc>
        <w:tc>
          <w:tcPr>
            <w:tcW w:w="1134" w:type="dxa"/>
            <w:tcBorders>
              <w:top w:val="single" w:sz="4" w:space="0" w:color="auto"/>
              <w:left w:val="nil"/>
              <w:bottom w:val="single" w:sz="4" w:space="0" w:color="auto"/>
              <w:right w:val="nil"/>
            </w:tcBorders>
            <w:shd w:val="clear" w:color="auto" w:fill="E5DFEC"/>
          </w:tcPr>
          <w:p w14:paraId="2DE36371" w14:textId="77777777" w:rsidR="00327D59" w:rsidRDefault="00327D59" w:rsidP="00032B54">
            <w:pPr>
              <w:spacing w:before="0" w:after="0"/>
              <w:jc w:val="center"/>
              <w:rPr>
                <w:rFonts w:eastAsiaTheme="minorHAnsi"/>
                <w:b/>
                <w:lang w:eastAsia="en-US"/>
              </w:rPr>
            </w:pPr>
            <w:r>
              <w:rPr>
                <w:rFonts w:eastAsiaTheme="minorHAnsi"/>
                <w:b/>
                <w:lang w:eastAsia="en-US"/>
              </w:rPr>
              <w:t>2018</w:t>
            </w:r>
          </w:p>
          <w:p w14:paraId="076AB8ED" w14:textId="77777777" w:rsidR="00327D59" w:rsidRDefault="00327D59" w:rsidP="00032B54">
            <w:pPr>
              <w:spacing w:before="0" w:after="0"/>
              <w:jc w:val="center"/>
              <w:rPr>
                <w:rFonts w:eastAsiaTheme="minorHAnsi"/>
                <w:b/>
                <w:lang w:eastAsia="en-US"/>
              </w:rPr>
            </w:pPr>
            <w:r w:rsidRPr="00A72F4E">
              <w:rPr>
                <w:rFonts w:eastAsiaTheme="minorHAnsi"/>
                <w:b/>
                <w:lang w:eastAsia="en-US"/>
              </w:rPr>
              <w:t xml:space="preserve">Survey </w:t>
            </w:r>
            <w:r>
              <w:rPr>
                <w:rFonts w:eastAsiaTheme="minorHAnsi"/>
                <w:b/>
                <w:lang w:eastAsia="en-US"/>
              </w:rPr>
              <w:t>8</w:t>
            </w:r>
            <w:r w:rsidRPr="00A72F4E">
              <w:rPr>
                <w:rFonts w:eastAsiaTheme="minorHAnsi"/>
                <w:b/>
                <w:lang w:eastAsia="en-US"/>
              </w:rPr>
              <w:t xml:space="preserve"> </w:t>
            </w:r>
          </w:p>
          <w:p w14:paraId="24450B87" w14:textId="77777777" w:rsidR="00327D59" w:rsidRDefault="00327D59" w:rsidP="00032B54">
            <w:pPr>
              <w:spacing w:before="0" w:after="0"/>
              <w:jc w:val="center"/>
              <w:rPr>
                <w:rFonts w:eastAsiaTheme="minorHAnsi"/>
                <w:b/>
                <w:lang w:eastAsia="en-US"/>
              </w:rPr>
            </w:pPr>
            <w:r w:rsidRPr="00A72F4E">
              <w:rPr>
                <w:rFonts w:eastAsiaTheme="minorHAnsi"/>
                <w:b/>
                <w:lang w:eastAsia="en-US"/>
              </w:rPr>
              <w:t>(</w:t>
            </w:r>
            <w:r>
              <w:rPr>
                <w:rFonts w:eastAsiaTheme="minorHAnsi"/>
                <w:b/>
                <w:lang w:eastAsia="en-US"/>
              </w:rPr>
              <w:t>40</w:t>
            </w:r>
            <w:r w:rsidRPr="00A72F4E">
              <w:rPr>
                <w:rFonts w:eastAsiaTheme="minorHAnsi"/>
                <w:b/>
                <w:lang w:eastAsia="en-US"/>
              </w:rPr>
              <w:t>-4</w:t>
            </w:r>
            <w:r>
              <w:rPr>
                <w:rFonts w:eastAsiaTheme="minorHAnsi"/>
                <w:b/>
                <w:lang w:eastAsia="en-US"/>
              </w:rPr>
              <w:t>5</w:t>
            </w:r>
            <w:r w:rsidRPr="00A72F4E">
              <w:rPr>
                <w:rFonts w:eastAsiaTheme="minorHAnsi"/>
                <w:b/>
                <w:lang w:eastAsia="en-US"/>
              </w:rPr>
              <w:t>)</w:t>
            </w:r>
          </w:p>
        </w:tc>
      </w:tr>
      <w:tr w:rsidR="00327D59" w:rsidRPr="00A72F4E" w14:paraId="5A3270CC" w14:textId="77777777" w:rsidTr="00032B54">
        <w:trPr>
          <w:cantSplit/>
        </w:trPr>
        <w:tc>
          <w:tcPr>
            <w:tcW w:w="2381" w:type="dxa"/>
            <w:tcBorders>
              <w:top w:val="single" w:sz="4" w:space="0" w:color="auto"/>
              <w:left w:val="nil"/>
              <w:bottom w:val="nil"/>
              <w:right w:val="nil"/>
            </w:tcBorders>
            <w:shd w:val="clear" w:color="auto" w:fill="FFFFFF" w:themeFill="background1"/>
            <w:tcMar>
              <w:left w:w="60" w:type="dxa"/>
              <w:right w:w="60" w:type="dxa"/>
            </w:tcMar>
          </w:tcPr>
          <w:p w14:paraId="075FF833" w14:textId="77777777" w:rsidR="00327D59" w:rsidRPr="001372BB" w:rsidRDefault="00327D59" w:rsidP="00032B54">
            <w:pPr>
              <w:spacing w:before="0" w:after="0"/>
              <w:rPr>
                <w:rFonts w:eastAsiaTheme="minorHAnsi" w:cs="Arial"/>
                <w:szCs w:val="20"/>
                <w:lang w:eastAsia="en-US"/>
              </w:rPr>
            </w:pPr>
            <w:r w:rsidRPr="001372BB">
              <w:rPr>
                <w:rFonts w:eastAsiaTheme="minorHAnsi" w:cs="Arial"/>
                <w:szCs w:val="20"/>
                <w:lang w:eastAsia="en-US"/>
              </w:rPr>
              <w:t>Deceased</w:t>
            </w:r>
          </w:p>
        </w:tc>
        <w:tc>
          <w:tcPr>
            <w:tcW w:w="1134" w:type="dxa"/>
            <w:tcBorders>
              <w:top w:val="single" w:sz="4" w:space="0" w:color="auto"/>
              <w:left w:val="nil"/>
              <w:right w:val="nil"/>
            </w:tcBorders>
            <w:shd w:val="clear" w:color="auto" w:fill="FFFFFF" w:themeFill="background1"/>
            <w:tcMar>
              <w:left w:w="60" w:type="dxa"/>
              <w:right w:w="60" w:type="dxa"/>
            </w:tcMar>
          </w:tcPr>
          <w:p w14:paraId="07C17687" w14:textId="77777777" w:rsidR="00327D59" w:rsidRPr="00767CE4" w:rsidRDefault="00327D59" w:rsidP="00032B54">
            <w:pPr>
              <w:adjustRightInd w:val="0"/>
              <w:spacing w:before="0" w:after="0"/>
              <w:jc w:val="center"/>
              <w:rPr>
                <w:rFonts w:cs="Arial"/>
                <w:color w:val="000000"/>
                <w:szCs w:val="20"/>
              </w:rPr>
            </w:pPr>
            <w:r>
              <w:rPr>
                <w:color w:val="000000"/>
              </w:rPr>
              <w:t>22</w:t>
            </w:r>
          </w:p>
        </w:tc>
        <w:tc>
          <w:tcPr>
            <w:tcW w:w="1134" w:type="dxa"/>
            <w:tcBorders>
              <w:top w:val="single" w:sz="4" w:space="0" w:color="auto"/>
              <w:left w:val="nil"/>
              <w:right w:val="nil"/>
            </w:tcBorders>
            <w:shd w:val="clear" w:color="auto" w:fill="FFFFFF" w:themeFill="background1"/>
            <w:tcMar>
              <w:left w:w="60" w:type="dxa"/>
              <w:right w:w="60" w:type="dxa"/>
            </w:tcMar>
          </w:tcPr>
          <w:p w14:paraId="23ECBCC9" w14:textId="77777777" w:rsidR="00327D59" w:rsidRPr="00767CE4" w:rsidRDefault="00327D59" w:rsidP="00032B54">
            <w:pPr>
              <w:adjustRightInd w:val="0"/>
              <w:spacing w:before="0" w:after="0"/>
              <w:jc w:val="center"/>
              <w:rPr>
                <w:rFonts w:cs="Arial"/>
                <w:color w:val="000000"/>
                <w:szCs w:val="20"/>
              </w:rPr>
            </w:pPr>
            <w:r>
              <w:rPr>
                <w:color w:val="000000"/>
              </w:rPr>
              <w:t>33</w:t>
            </w:r>
          </w:p>
        </w:tc>
        <w:tc>
          <w:tcPr>
            <w:tcW w:w="1134" w:type="dxa"/>
            <w:tcBorders>
              <w:top w:val="single" w:sz="4" w:space="0" w:color="auto"/>
              <w:left w:val="nil"/>
              <w:right w:val="nil"/>
            </w:tcBorders>
            <w:shd w:val="clear" w:color="auto" w:fill="FFFFFF" w:themeFill="background1"/>
            <w:tcMar>
              <w:left w:w="60" w:type="dxa"/>
              <w:right w:w="60" w:type="dxa"/>
            </w:tcMar>
          </w:tcPr>
          <w:p w14:paraId="4C133725" w14:textId="77777777" w:rsidR="00327D59" w:rsidRPr="00767CE4" w:rsidRDefault="00327D59" w:rsidP="00032B54">
            <w:pPr>
              <w:adjustRightInd w:val="0"/>
              <w:spacing w:before="0" w:after="0"/>
              <w:jc w:val="center"/>
              <w:rPr>
                <w:rFonts w:cs="Arial"/>
                <w:color w:val="000000"/>
                <w:szCs w:val="20"/>
              </w:rPr>
            </w:pPr>
            <w:r>
              <w:rPr>
                <w:color w:val="000000"/>
              </w:rPr>
              <w:t>51</w:t>
            </w:r>
          </w:p>
        </w:tc>
        <w:tc>
          <w:tcPr>
            <w:tcW w:w="1134" w:type="dxa"/>
            <w:tcBorders>
              <w:top w:val="single" w:sz="4" w:space="0" w:color="auto"/>
              <w:left w:val="nil"/>
              <w:right w:val="nil"/>
            </w:tcBorders>
            <w:shd w:val="clear" w:color="auto" w:fill="FFFFFF" w:themeFill="background1"/>
            <w:tcMar>
              <w:left w:w="60" w:type="dxa"/>
              <w:right w:w="60" w:type="dxa"/>
            </w:tcMar>
          </w:tcPr>
          <w:p w14:paraId="18377543" w14:textId="77777777" w:rsidR="00327D59" w:rsidRPr="00767CE4" w:rsidRDefault="00327D59" w:rsidP="00032B54">
            <w:pPr>
              <w:adjustRightInd w:val="0"/>
              <w:spacing w:before="0" w:after="0"/>
              <w:jc w:val="center"/>
              <w:rPr>
                <w:rFonts w:cs="Arial"/>
                <w:color w:val="000000"/>
                <w:szCs w:val="20"/>
              </w:rPr>
            </w:pPr>
            <w:r>
              <w:rPr>
                <w:color w:val="000000"/>
              </w:rPr>
              <w:t>59</w:t>
            </w:r>
          </w:p>
        </w:tc>
        <w:tc>
          <w:tcPr>
            <w:tcW w:w="1134" w:type="dxa"/>
            <w:tcBorders>
              <w:top w:val="single" w:sz="4" w:space="0" w:color="auto"/>
              <w:left w:val="nil"/>
              <w:right w:val="nil"/>
            </w:tcBorders>
            <w:shd w:val="clear" w:color="auto" w:fill="FFFFFF" w:themeFill="background1"/>
            <w:tcMar>
              <w:left w:w="60" w:type="dxa"/>
              <w:right w:w="60" w:type="dxa"/>
            </w:tcMar>
          </w:tcPr>
          <w:p w14:paraId="229A579E" w14:textId="77777777" w:rsidR="00327D59" w:rsidRPr="00767CE4" w:rsidRDefault="00327D59" w:rsidP="00032B54">
            <w:pPr>
              <w:adjustRightInd w:val="0"/>
              <w:spacing w:before="0" w:after="0"/>
              <w:jc w:val="center"/>
              <w:rPr>
                <w:rFonts w:cs="Arial"/>
                <w:color w:val="000000"/>
                <w:szCs w:val="20"/>
              </w:rPr>
            </w:pPr>
            <w:r>
              <w:rPr>
                <w:color w:val="000000"/>
              </w:rPr>
              <w:t>80</w:t>
            </w:r>
          </w:p>
        </w:tc>
        <w:tc>
          <w:tcPr>
            <w:tcW w:w="1134" w:type="dxa"/>
            <w:tcBorders>
              <w:top w:val="single" w:sz="4" w:space="0" w:color="auto"/>
              <w:left w:val="nil"/>
              <w:bottom w:val="nil"/>
              <w:right w:val="nil"/>
            </w:tcBorders>
            <w:shd w:val="clear" w:color="auto" w:fill="FFFFFF" w:themeFill="background1"/>
            <w:tcMar>
              <w:left w:w="60" w:type="dxa"/>
              <w:right w:w="60" w:type="dxa"/>
            </w:tcMar>
          </w:tcPr>
          <w:p w14:paraId="16201ECB" w14:textId="77777777" w:rsidR="00327D59" w:rsidRPr="00767CE4" w:rsidRDefault="00327D59" w:rsidP="00032B54">
            <w:pPr>
              <w:adjustRightInd w:val="0"/>
              <w:spacing w:before="0" w:after="0"/>
              <w:jc w:val="center"/>
              <w:rPr>
                <w:rFonts w:cs="Arial"/>
                <w:color w:val="000000"/>
              </w:rPr>
            </w:pPr>
            <w:r>
              <w:rPr>
                <w:color w:val="000000"/>
              </w:rPr>
              <w:t>104</w:t>
            </w:r>
          </w:p>
        </w:tc>
        <w:tc>
          <w:tcPr>
            <w:tcW w:w="1134" w:type="dxa"/>
            <w:tcBorders>
              <w:top w:val="single" w:sz="4" w:space="0" w:color="auto"/>
              <w:left w:val="nil"/>
              <w:bottom w:val="nil"/>
              <w:right w:val="nil"/>
            </w:tcBorders>
            <w:shd w:val="clear" w:color="auto" w:fill="FFFFFF" w:themeFill="background1"/>
          </w:tcPr>
          <w:p w14:paraId="694A15C7" w14:textId="77777777" w:rsidR="00327D59" w:rsidRPr="00767CE4" w:rsidRDefault="00327D59" w:rsidP="00032B54">
            <w:pPr>
              <w:adjustRightInd w:val="0"/>
              <w:spacing w:before="0" w:after="0"/>
              <w:jc w:val="center"/>
              <w:rPr>
                <w:rFonts w:cs="Arial"/>
                <w:color w:val="000000"/>
              </w:rPr>
            </w:pPr>
            <w:r>
              <w:rPr>
                <w:color w:val="000000"/>
              </w:rPr>
              <w:t>126</w:t>
            </w:r>
          </w:p>
        </w:tc>
      </w:tr>
      <w:tr w:rsidR="00327D59" w:rsidRPr="00A72F4E" w14:paraId="6D66CA76" w14:textId="77777777" w:rsidTr="00032B54">
        <w:trPr>
          <w:cantSplit/>
        </w:trPr>
        <w:tc>
          <w:tcPr>
            <w:tcW w:w="2381" w:type="dxa"/>
            <w:tcBorders>
              <w:top w:val="nil"/>
              <w:left w:val="nil"/>
              <w:bottom w:val="nil"/>
              <w:right w:val="nil"/>
            </w:tcBorders>
            <w:shd w:val="clear" w:color="auto" w:fill="FFFFFF" w:themeFill="background1"/>
            <w:tcMar>
              <w:left w:w="60" w:type="dxa"/>
              <w:right w:w="60" w:type="dxa"/>
            </w:tcMar>
          </w:tcPr>
          <w:p w14:paraId="5C1E2577" w14:textId="77777777" w:rsidR="00327D59" w:rsidRPr="001372BB" w:rsidRDefault="00327D59" w:rsidP="00032B54">
            <w:pPr>
              <w:spacing w:before="0" w:after="0"/>
              <w:rPr>
                <w:rFonts w:eastAsiaTheme="minorHAnsi" w:cs="Arial"/>
                <w:szCs w:val="20"/>
                <w:lang w:eastAsia="en-US"/>
              </w:rPr>
            </w:pPr>
            <w:r w:rsidRPr="001372BB">
              <w:rPr>
                <w:rFonts w:eastAsiaTheme="minorHAnsi" w:cs="Arial"/>
                <w:szCs w:val="20"/>
                <w:lang w:eastAsia="en-US"/>
              </w:rPr>
              <w:t>Frail</w:t>
            </w:r>
          </w:p>
        </w:tc>
        <w:tc>
          <w:tcPr>
            <w:tcW w:w="1134" w:type="dxa"/>
            <w:tcBorders>
              <w:left w:val="nil"/>
              <w:right w:val="nil"/>
            </w:tcBorders>
            <w:shd w:val="clear" w:color="auto" w:fill="FFFFFF" w:themeFill="background1"/>
            <w:tcMar>
              <w:left w:w="60" w:type="dxa"/>
              <w:right w:w="60" w:type="dxa"/>
            </w:tcMar>
          </w:tcPr>
          <w:p w14:paraId="0B901A87" w14:textId="77777777" w:rsidR="00327D59" w:rsidRPr="00767CE4" w:rsidRDefault="00327D59" w:rsidP="00032B54">
            <w:pPr>
              <w:adjustRightInd w:val="0"/>
              <w:spacing w:before="0" w:after="0"/>
              <w:jc w:val="center"/>
              <w:rPr>
                <w:rFonts w:cs="Arial"/>
                <w:color w:val="000000"/>
                <w:szCs w:val="20"/>
              </w:rPr>
            </w:pPr>
            <w:r>
              <w:rPr>
                <w:color w:val="000000"/>
              </w:rPr>
              <w:t>3</w:t>
            </w:r>
          </w:p>
        </w:tc>
        <w:tc>
          <w:tcPr>
            <w:tcW w:w="1134" w:type="dxa"/>
            <w:tcBorders>
              <w:left w:val="nil"/>
              <w:right w:val="nil"/>
            </w:tcBorders>
            <w:shd w:val="clear" w:color="auto" w:fill="FFFFFF" w:themeFill="background1"/>
            <w:tcMar>
              <w:left w:w="60" w:type="dxa"/>
              <w:right w:w="60" w:type="dxa"/>
            </w:tcMar>
          </w:tcPr>
          <w:p w14:paraId="32566DC8" w14:textId="77777777" w:rsidR="00327D59" w:rsidRPr="00767CE4" w:rsidRDefault="00327D59" w:rsidP="00032B54">
            <w:pPr>
              <w:adjustRightInd w:val="0"/>
              <w:spacing w:before="0" w:after="0"/>
              <w:jc w:val="center"/>
              <w:rPr>
                <w:rFonts w:cs="Arial"/>
                <w:color w:val="000000"/>
                <w:szCs w:val="20"/>
              </w:rPr>
            </w:pPr>
            <w:r>
              <w:rPr>
                <w:color w:val="000000"/>
              </w:rPr>
              <w:t>9</w:t>
            </w:r>
          </w:p>
        </w:tc>
        <w:tc>
          <w:tcPr>
            <w:tcW w:w="1134" w:type="dxa"/>
            <w:tcBorders>
              <w:left w:val="nil"/>
              <w:right w:val="nil"/>
            </w:tcBorders>
            <w:shd w:val="clear" w:color="auto" w:fill="FFFFFF" w:themeFill="background1"/>
            <w:tcMar>
              <w:left w:w="60" w:type="dxa"/>
              <w:right w:w="60" w:type="dxa"/>
            </w:tcMar>
          </w:tcPr>
          <w:p w14:paraId="38BE6919" w14:textId="77777777" w:rsidR="00327D59" w:rsidRPr="00767CE4" w:rsidRDefault="00327D59" w:rsidP="00032B54">
            <w:pPr>
              <w:adjustRightInd w:val="0"/>
              <w:spacing w:before="0" w:after="0"/>
              <w:jc w:val="center"/>
              <w:rPr>
                <w:rFonts w:cs="Arial"/>
                <w:color w:val="000000"/>
                <w:szCs w:val="20"/>
              </w:rPr>
            </w:pPr>
            <w:r>
              <w:rPr>
                <w:color w:val="000000"/>
              </w:rPr>
              <w:t>12</w:t>
            </w:r>
          </w:p>
        </w:tc>
        <w:tc>
          <w:tcPr>
            <w:tcW w:w="1134" w:type="dxa"/>
            <w:tcBorders>
              <w:left w:val="nil"/>
              <w:right w:val="nil"/>
            </w:tcBorders>
            <w:shd w:val="clear" w:color="auto" w:fill="FFFFFF" w:themeFill="background1"/>
            <w:tcMar>
              <w:left w:w="60" w:type="dxa"/>
              <w:right w:w="60" w:type="dxa"/>
            </w:tcMar>
          </w:tcPr>
          <w:p w14:paraId="7BD2BCF2" w14:textId="77777777" w:rsidR="00327D59" w:rsidRPr="00767CE4" w:rsidRDefault="00327D59" w:rsidP="00032B54">
            <w:pPr>
              <w:adjustRightInd w:val="0"/>
              <w:spacing w:before="0" w:after="0"/>
              <w:jc w:val="center"/>
              <w:rPr>
                <w:rFonts w:cs="Arial"/>
                <w:color w:val="000000"/>
                <w:szCs w:val="20"/>
              </w:rPr>
            </w:pPr>
            <w:r>
              <w:rPr>
                <w:color w:val="000000"/>
              </w:rPr>
              <w:t>15</w:t>
            </w:r>
          </w:p>
        </w:tc>
        <w:tc>
          <w:tcPr>
            <w:tcW w:w="1134" w:type="dxa"/>
            <w:tcBorders>
              <w:left w:val="nil"/>
              <w:right w:val="nil"/>
            </w:tcBorders>
            <w:shd w:val="clear" w:color="auto" w:fill="FFFFFF" w:themeFill="background1"/>
            <w:tcMar>
              <w:left w:w="60" w:type="dxa"/>
              <w:right w:w="60" w:type="dxa"/>
            </w:tcMar>
          </w:tcPr>
          <w:p w14:paraId="5EA77A16" w14:textId="77777777" w:rsidR="00327D59" w:rsidRPr="00767CE4" w:rsidRDefault="00327D59" w:rsidP="00032B54">
            <w:pPr>
              <w:adjustRightInd w:val="0"/>
              <w:spacing w:before="0" w:after="0"/>
              <w:jc w:val="center"/>
              <w:rPr>
                <w:rFonts w:cs="Arial"/>
                <w:color w:val="000000"/>
                <w:szCs w:val="20"/>
              </w:rPr>
            </w:pPr>
            <w:r>
              <w:rPr>
                <w:color w:val="000000"/>
              </w:rPr>
              <w:t>16</w:t>
            </w:r>
          </w:p>
        </w:tc>
        <w:tc>
          <w:tcPr>
            <w:tcW w:w="1134" w:type="dxa"/>
            <w:tcBorders>
              <w:top w:val="nil"/>
              <w:left w:val="nil"/>
              <w:bottom w:val="nil"/>
              <w:right w:val="nil"/>
            </w:tcBorders>
            <w:shd w:val="clear" w:color="auto" w:fill="FFFFFF" w:themeFill="background1"/>
            <w:tcMar>
              <w:left w:w="60" w:type="dxa"/>
              <w:right w:w="60" w:type="dxa"/>
            </w:tcMar>
          </w:tcPr>
          <w:p w14:paraId="5A0386AA" w14:textId="77777777" w:rsidR="00327D59" w:rsidRPr="00767CE4" w:rsidRDefault="00327D59" w:rsidP="00032B54">
            <w:pPr>
              <w:adjustRightInd w:val="0"/>
              <w:spacing w:before="0" w:after="0"/>
              <w:jc w:val="center"/>
              <w:rPr>
                <w:rFonts w:cs="Arial"/>
                <w:color w:val="000000"/>
                <w:szCs w:val="20"/>
              </w:rPr>
            </w:pPr>
            <w:r>
              <w:rPr>
                <w:color w:val="000000"/>
              </w:rPr>
              <w:t>16</w:t>
            </w:r>
          </w:p>
        </w:tc>
        <w:tc>
          <w:tcPr>
            <w:tcW w:w="1134" w:type="dxa"/>
            <w:tcBorders>
              <w:top w:val="nil"/>
              <w:left w:val="nil"/>
              <w:bottom w:val="nil"/>
              <w:right w:val="nil"/>
            </w:tcBorders>
            <w:shd w:val="clear" w:color="auto" w:fill="FFFFFF" w:themeFill="background1"/>
          </w:tcPr>
          <w:p w14:paraId="54521E71" w14:textId="77777777" w:rsidR="00327D59" w:rsidRPr="00767CE4" w:rsidRDefault="00327D59" w:rsidP="00032B54">
            <w:pPr>
              <w:adjustRightInd w:val="0"/>
              <w:spacing w:before="0" w:after="0"/>
              <w:jc w:val="center"/>
              <w:rPr>
                <w:rFonts w:cs="Arial"/>
                <w:color w:val="000000"/>
              </w:rPr>
            </w:pPr>
            <w:r>
              <w:rPr>
                <w:color w:val="000000"/>
              </w:rPr>
              <w:t>16</w:t>
            </w:r>
          </w:p>
        </w:tc>
      </w:tr>
      <w:tr w:rsidR="00327D59" w:rsidRPr="00A72F4E" w14:paraId="36C6E8B1" w14:textId="77777777" w:rsidTr="00032B54">
        <w:trPr>
          <w:cantSplit/>
        </w:trPr>
        <w:tc>
          <w:tcPr>
            <w:tcW w:w="2381" w:type="dxa"/>
            <w:tcBorders>
              <w:top w:val="nil"/>
              <w:left w:val="nil"/>
              <w:bottom w:val="nil"/>
              <w:right w:val="nil"/>
            </w:tcBorders>
            <w:shd w:val="clear" w:color="auto" w:fill="FFFFFF" w:themeFill="background1"/>
            <w:tcMar>
              <w:left w:w="60" w:type="dxa"/>
              <w:right w:w="60" w:type="dxa"/>
            </w:tcMar>
          </w:tcPr>
          <w:p w14:paraId="1B7202E9" w14:textId="77777777" w:rsidR="00327D59" w:rsidRPr="001372BB" w:rsidRDefault="00327D59" w:rsidP="00032B54">
            <w:pPr>
              <w:spacing w:before="0" w:after="0"/>
              <w:rPr>
                <w:rFonts w:eastAsiaTheme="minorHAnsi" w:cs="Arial"/>
                <w:szCs w:val="20"/>
                <w:lang w:eastAsia="en-US"/>
              </w:rPr>
            </w:pPr>
            <w:r w:rsidRPr="001372BB">
              <w:rPr>
                <w:rFonts w:eastAsiaTheme="minorHAnsi" w:cs="Arial"/>
                <w:szCs w:val="20"/>
                <w:lang w:eastAsia="en-US"/>
              </w:rPr>
              <w:t>Withdrawn</w:t>
            </w:r>
          </w:p>
        </w:tc>
        <w:tc>
          <w:tcPr>
            <w:tcW w:w="1134" w:type="dxa"/>
            <w:tcBorders>
              <w:left w:val="nil"/>
              <w:bottom w:val="nil"/>
              <w:right w:val="nil"/>
            </w:tcBorders>
            <w:shd w:val="clear" w:color="auto" w:fill="FFFFFF" w:themeFill="background1"/>
            <w:tcMar>
              <w:left w:w="60" w:type="dxa"/>
              <w:right w:w="60" w:type="dxa"/>
            </w:tcMar>
          </w:tcPr>
          <w:p w14:paraId="7FE669CD" w14:textId="77777777" w:rsidR="00327D59" w:rsidRPr="00767CE4" w:rsidRDefault="00327D59" w:rsidP="00032B54">
            <w:pPr>
              <w:adjustRightInd w:val="0"/>
              <w:spacing w:before="0" w:after="0"/>
              <w:jc w:val="center"/>
              <w:rPr>
                <w:rFonts w:cs="Arial"/>
                <w:color w:val="000000"/>
                <w:szCs w:val="20"/>
              </w:rPr>
            </w:pPr>
            <w:r>
              <w:rPr>
                <w:color w:val="000000"/>
              </w:rPr>
              <w:t>230</w:t>
            </w:r>
          </w:p>
        </w:tc>
        <w:tc>
          <w:tcPr>
            <w:tcW w:w="1134" w:type="dxa"/>
            <w:tcBorders>
              <w:left w:val="nil"/>
              <w:bottom w:val="nil"/>
              <w:right w:val="nil"/>
            </w:tcBorders>
            <w:shd w:val="clear" w:color="auto" w:fill="FFFFFF" w:themeFill="background1"/>
            <w:tcMar>
              <w:left w:w="60" w:type="dxa"/>
              <w:right w:w="60" w:type="dxa"/>
            </w:tcMar>
          </w:tcPr>
          <w:p w14:paraId="4575D06A" w14:textId="77777777" w:rsidR="00327D59" w:rsidRPr="00767CE4" w:rsidRDefault="00327D59" w:rsidP="00032B54">
            <w:pPr>
              <w:adjustRightInd w:val="0"/>
              <w:spacing w:before="0" w:after="0"/>
              <w:jc w:val="center"/>
              <w:rPr>
                <w:rFonts w:cs="Arial"/>
                <w:color w:val="000000"/>
                <w:szCs w:val="20"/>
              </w:rPr>
            </w:pPr>
            <w:r>
              <w:rPr>
                <w:color w:val="000000"/>
              </w:rPr>
              <w:t>518</w:t>
            </w:r>
          </w:p>
        </w:tc>
        <w:tc>
          <w:tcPr>
            <w:tcW w:w="1134" w:type="dxa"/>
            <w:tcBorders>
              <w:left w:val="nil"/>
              <w:bottom w:val="nil"/>
              <w:right w:val="nil"/>
            </w:tcBorders>
            <w:shd w:val="clear" w:color="auto" w:fill="FFFFFF" w:themeFill="background1"/>
            <w:tcMar>
              <w:left w:w="60" w:type="dxa"/>
              <w:right w:w="60" w:type="dxa"/>
            </w:tcMar>
          </w:tcPr>
          <w:p w14:paraId="53C93E8F" w14:textId="77777777" w:rsidR="00327D59" w:rsidRPr="00767CE4" w:rsidRDefault="00327D59" w:rsidP="00032B54">
            <w:pPr>
              <w:adjustRightInd w:val="0"/>
              <w:spacing w:before="0" w:after="0"/>
              <w:jc w:val="center"/>
              <w:rPr>
                <w:rFonts w:cs="Arial"/>
                <w:color w:val="000000"/>
                <w:szCs w:val="20"/>
              </w:rPr>
            </w:pPr>
            <w:r>
              <w:rPr>
                <w:color w:val="000000"/>
              </w:rPr>
              <w:t>800</w:t>
            </w:r>
          </w:p>
        </w:tc>
        <w:tc>
          <w:tcPr>
            <w:tcW w:w="1134" w:type="dxa"/>
            <w:tcBorders>
              <w:left w:val="nil"/>
              <w:bottom w:val="nil"/>
              <w:right w:val="nil"/>
            </w:tcBorders>
            <w:shd w:val="clear" w:color="auto" w:fill="FFFFFF" w:themeFill="background1"/>
            <w:tcMar>
              <w:left w:w="60" w:type="dxa"/>
              <w:right w:w="60" w:type="dxa"/>
            </w:tcMar>
          </w:tcPr>
          <w:p w14:paraId="6A71DBCC" w14:textId="77777777" w:rsidR="00327D59" w:rsidRPr="00767CE4" w:rsidRDefault="00327D59" w:rsidP="00032B54">
            <w:pPr>
              <w:adjustRightInd w:val="0"/>
              <w:spacing w:before="0" w:after="0"/>
              <w:jc w:val="center"/>
              <w:rPr>
                <w:rFonts w:cs="Arial"/>
                <w:color w:val="000000"/>
                <w:szCs w:val="20"/>
              </w:rPr>
            </w:pPr>
            <w:r>
              <w:rPr>
                <w:color w:val="000000"/>
              </w:rPr>
              <w:t>951</w:t>
            </w:r>
          </w:p>
        </w:tc>
        <w:tc>
          <w:tcPr>
            <w:tcW w:w="1134" w:type="dxa"/>
            <w:tcBorders>
              <w:left w:val="nil"/>
              <w:bottom w:val="nil"/>
              <w:right w:val="nil"/>
            </w:tcBorders>
            <w:shd w:val="clear" w:color="auto" w:fill="FFFFFF" w:themeFill="background1"/>
            <w:tcMar>
              <w:left w:w="60" w:type="dxa"/>
              <w:right w:w="60" w:type="dxa"/>
            </w:tcMar>
          </w:tcPr>
          <w:p w14:paraId="2D0A17DF" w14:textId="77777777" w:rsidR="00327D59" w:rsidRPr="00767CE4" w:rsidRDefault="00327D59" w:rsidP="00032B54">
            <w:pPr>
              <w:adjustRightInd w:val="0"/>
              <w:spacing w:before="0" w:after="0"/>
              <w:jc w:val="center"/>
              <w:rPr>
                <w:rFonts w:cs="Arial"/>
                <w:color w:val="000000"/>
                <w:szCs w:val="20"/>
              </w:rPr>
            </w:pPr>
            <w:r>
              <w:rPr>
                <w:color w:val="000000"/>
              </w:rPr>
              <w:t>1,156</w:t>
            </w:r>
          </w:p>
        </w:tc>
        <w:tc>
          <w:tcPr>
            <w:tcW w:w="1134" w:type="dxa"/>
            <w:tcBorders>
              <w:top w:val="nil"/>
              <w:left w:val="nil"/>
              <w:bottom w:val="nil"/>
              <w:right w:val="nil"/>
            </w:tcBorders>
            <w:shd w:val="clear" w:color="auto" w:fill="FFFFFF" w:themeFill="background1"/>
            <w:tcMar>
              <w:left w:w="60" w:type="dxa"/>
              <w:right w:w="60" w:type="dxa"/>
            </w:tcMar>
          </w:tcPr>
          <w:p w14:paraId="77429C07" w14:textId="77777777" w:rsidR="00327D59" w:rsidRPr="00767CE4" w:rsidRDefault="00327D59" w:rsidP="00032B54">
            <w:pPr>
              <w:adjustRightInd w:val="0"/>
              <w:spacing w:before="0" w:after="0"/>
              <w:jc w:val="center"/>
              <w:rPr>
                <w:rFonts w:cs="Arial"/>
                <w:color w:val="000000"/>
                <w:szCs w:val="20"/>
              </w:rPr>
            </w:pPr>
            <w:r>
              <w:rPr>
                <w:color w:val="000000"/>
              </w:rPr>
              <w:t>1,435</w:t>
            </w:r>
          </w:p>
        </w:tc>
        <w:tc>
          <w:tcPr>
            <w:tcW w:w="1134" w:type="dxa"/>
            <w:tcBorders>
              <w:top w:val="nil"/>
              <w:left w:val="nil"/>
              <w:bottom w:val="nil"/>
              <w:right w:val="nil"/>
            </w:tcBorders>
            <w:shd w:val="clear" w:color="auto" w:fill="FFFFFF" w:themeFill="background1"/>
          </w:tcPr>
          <w:p w14:paraId="5168A676" w14:textId="77777777" w:rsidR="00327D59" w:rsidRPr="00767CE4" w:rsidRDefault="00327D59" w:rsidP="00032B54">
            <w:pPr>
              <w:adjustRightInd w:val="0"/>
              <w:spacing w:before="0" w:after="0"/>
              <w:jc w:val="center"/>
              <w:rPr>
                <w:rFonts w:cs="Arial"/>
                <w:color w:val="000000"/>
              </w:rPr>
            </w:pPr>
            <w:r>
              <w:rPr>
                <w:color w:val="000000"/>
              </w:rPr>
              <w:t>1,670</w:t>
            </w:r>
          </w:p>
        </w:tc>
      </w:tr>
      <w:tr w:rsidR="00327D59" w:rsidRPr="00767CE4" w14:paraId="29475528" w14:textId="77777777" w:rsidTr="00032B54">
        <w:trPr>
          <w:cantSplit/>
        </w:trPr>
        <w:tc>
          <w:tcPr>
            <w:tcW w:w="2381" w:type="dxa"/>
            <w:tcBorders>
              <w:top w:val="nil"/>
              <w:left w:val="nil"/>
              <w:bottom w:val="single" w:sz="4" w:space="0" w:color="auto"/>
              <w:right w:val="nil"/>
            </w:tcBorders>
            <w:shd w:val="clear" w:color="auto" w:fill="FFFFFF" w:themeFill="background1"/>
            <w:tcMar>
              <w:left w:w="60" w:type="dxa"/>
              <w:right w:w="60" w:type="dxa"/>
            </w:tcMar>
          </w:tcPr>
          <w:p w14:paraId="07D99064" w14:textId="77777777" w:rsidR="00327D59" w:rsidRPr="001372BB" w:rsidRDefault="00327D59" w:rsidP="00032B54">
            <w:pPr>
              <w:spacing w:before="0" w:after="0"/>
              <w:rPr>
                <w:rFonts w:eastAsiaTheme="minorHAnsi" w:cs="Arial"/>
                <w:b/>
                <w:szCs w:val="20"/>
                <w:lang w:eastAsia="en-US"/>
              </w:rPr>
            </w:pPr>
            <w:r w:rsidRPr="001372BB">
              <w:rPr>
                <w:rFonts w:eastAsiaTheme="minorHAnsi" w:cs="Arial"/>
                <w:b/>
                <w:szCs w:val="20"/>
                <w:lang w:eastAsia="en-US"/>
              </w:rPr>
              <w:t>TOTAL INELIGIBLE</w:t>
            </w:r>
          </w:p>
        </w:tc>
        <w:tc>
          <w:tcPr>
            <w:tcW w:w="1134" w:type="dxa"/>
            <w:tcBorders>
              <w:top w:val="nil"/>
              <w:left w:val="nil"/>
              <w:bottom w:val="single" w:sz="4" w:space="0" w:color="auto"/>
              <w:right w:val="nil"/>
            </w:tcBorders>
            <w:shd w:val="clear" w:color="auto" w:fill="FFFFFF" w:themeFill="background1"/>
            <w:tcMar>
              <w:left w:w="60" w:type="dxa"/>
              <w:right w:w="60" w:type="dxa"/>
            </w:tcMar>
          </w:tcPr>
          <w:p w14:paraId="408507BF" w14:textId="77777777" w:rsidR="00327D59" w:rsidRPr="004F5D19" w:rsidRDefault="00327D59" w:rsidP="00032B54">
            <w:pPr>
              <w:adjustRightInd w:val="0"/>
              <w:spacing w:before="0" w:after="0"/>
              <w:jc w:val="center"/>
              <w:rPr>
                <w:rFonts w:cs="Arial"/>
                <w:b/>
                <w:bCs/>
                <w:color w:val="000000"/>
                <w:szCs w:val="20"/>
              </w:rPr>
            </w:pPr>
            <w:r w:rsidRPr="004F5D19">
              <w:rPr>
                <w:b/>
                <w:bCs/>
                <w:color w:val="000000"/>
              </w:rPr>
              <w:t>255</w:t>
            </w:r>
          </w:p>
        </w:tc>
        <w:tc>
          <w:tcPr>
            <w:tcW w:w="1134" w:type="dxa"/>
            <w:tcBorders>
              <w:top w:val="nil"/>
              <w:left w:val="nil"/>
              <w:bottom w:val="single" w:sz="4" w:space="0" w:color="auto"/>
              <w:right w:val="nil"/>
            </w:tcBorders>
            <w:shd w:val="clear" w:color="auto" w:fill="FFFFFF" w:themeFill="background1"/>
            <w:tcMar>
              <w:left w:w="60" w:type="dxa"/>
              <w:right w:w="60" w:type="dxa"/>
            </w:tcMar>
          </w:tcPr>
          <w:p w14:paraId="4A8705CD" w14:textId="77777777" w:rsidR="00327D59" w:rsidRPr="004F5D19" w:rsidRDefault="00327D59" w:rsidP="00032B54">
            <w:pPr>
              <w:adjustRightInd w:val="0"/>
              <w:spacing w:before="0" w:after="0"/>
              <w:jc w:val="center"/>
              <w:rPr>
                <w:rFonts w:cs="Arial"/>
                <w:b/>
                <w:bCs/>
                <w:color w:val="000000"/>
                <w:szCs w:val="20"/>
              </w:rPr>
            </w:pPr>
            <w:r w:rsidRPr="004F5D19">
              <w:rPr>
                <w:b/>
                <w:bCs/>
                <w:color w:val="000000"/>
              </w:rPr>
              <w:t>560</w:t>
            </w:r>
          </w:p>
        </w:tc>
        <w:tc>
          <w:tcPr>
            <w:tcW w:w="1134" w:type="dxa"/>
            <w:tcBorders>
              <w:top w:val="nil"/>
              <w:left w:val="nil"/>
              <w:bottom w:val="single" w:sz="4" w:space="0" w:color="auto"/>
              <w:right w:val="nil"/>
            </w:tcBorders>
            <w:shd w:val="clear" w:color="auto" w:fill="FFFFFF" w:themeFill="background1"/>
            <w:tcMar>
              <w:left w:w="60" w:type="dxa"/>
              <w:right w:w="60" w:type="dxa"/>
            </w:tcMar>
          </w:tcPr>
          <w:p w14:paraId="38F65407" w14:textId="77777777" w:rsidR="00327D59" w:rsidRPr="004F5D19" w:rsidRDefault="00327D59" w:rsidP="00032B54">
            <w:pPr>
              <w:adjustRightInd w:val="0"/>
              <w:spacing w:before="0" w:after="0"/>
              <w:jc w:val="center"/>
              <w:rPr>
                <w:rFonts w:cs="Arial"/>
                <w:b/>
                <w:bCs/>
                <w:color w:val="000000"/>
                <w:szCs w:val="20"/>
              </w:rPr>
            </w:pPr>
            <w:r w:rsidRPr="004F5D19">
              <w:rPr>
                <w:b/>
                <w:bCs/>
                <w:color w:val="000000"/>
              </w:rPr>
              <w:t>863</w:t>
            </w:r>
          </w:p>
        </w:tc>
        <w:tc>
          <w:tcPr>
            <w:tcW w:w="1134" w:type="dxa"/>
            <w:tcBorders>
              <w:top w:val="nil"/>
              <w:left w:val="nil"/>
              <w:bottom w:val="single" w:sz="4" w:space="0" w:color="auto"/>
              <w:right w:val="nil"/>
            </w:tcBorders>
            <w:shd w:val="clear" w:color="auto" w:fill="FFFFFF" w:themeFill="background1"/>
            <w:tcMar>
              <w:left w:w="60" w:type="dxa"/>
              <w:right w:w="60" w:type="dxa"/>
            </w:tcMar>
          </w:tcPr>
          <w:p w14:paraId="5D02601E" w14:textId="77777777" w:rsidR="00327D59" w:rsidRPr="004F5D19" w:rsidRDefault="00327D59" w:rsidP="00032B54">
            <w:pPr>
              <w:adjustRightInd w:val="0"/>
              <w:spacing w:before="0" w:after="0"/>
              <w:jc w:val="center"/>
              <w:rPr>
                <w:rFonts w:cs="Arial"/>
                <w:b/>
                <w:bCs/>
                <w:color w:val="000000"/>
                <w:szCs w:val="20"/>
              </w:rPr>
            </w:pPr>
            <w:r w:rsidRPr="004F5D19">
              <w:rPr>
                <w:b/>
                <w:bCs/>
                <w:color w:val="000000"/>
              </w:rPr>
              <w:t>1</w:t>
            </w:r>
            <w:r>
              <w:rPr>
                <w:b/>
                <w:bCs/>
                <w:color w:val="000000"/>
              </w:rPr>
              <w:t>,</w:t>
            </w:r>
            <w:r w:rsidRPr="004F5D19">
              <w:rPr>
                <w:b/>
                <w:bCs/>
                <w:color w:val="000000"/>
              </w:rPr>
              <w:t>025</w:t>
            </w:r>
          </w:p>
        </w:tc>
        <w:tc>
          <w:tcPr>
            <w:tcW w:w="1134" w:type="dxa"/>
            <w:tcBorders>
              <w:top w:val="nil"/>
              <w:left w:val="nil"/>
              <w:bottom w:val="single" w:sz="4" w:space="0" w:color="auto"/>
              <w:right w:val="nil"/>
            </w:tcBorders>
            <w:shd w:val="clear" w:color="auto" w:fill="FFFFFF" w:themeFill="background1"/>
            <w:tcMar>
              <w:left w:w="60" w:type="dxa"/>
              <w:right w:w="60" w:type="dxa"/>
            </w:tcMar>
          </w:tcPr>
          <w:p w14:paraId="3F2E34FE" w14:textId="77777777" w:rsidR="00327D59" w:rsidRPr="004F5D19" w:rsidRDefault="00327D59" w:rsidP="00032B54">
            <w:pPr>
              <w:adjustRightInd w:val="0"/>
              <w:spacing w:before="0" w:after="0"/>
              <w:jc w:val="center"/>
              <w:rPr>
                <w:rFonts w:cs="Arial"/>
                <w:b/>
                <w:bCs/>
                <w:color w:val="000000"/>
                <w:szCs w:val="20"/>
              </w:rPr>
            </w:pPr>
            <w:r w:rsidRPr="004F5D19">
              <w:rPr>
                <w:b/>
                <w:bCs/>
                <w:color w:val="000000"/>
              </w:rPr>
              <w:t>1</w:t>
            </w:r>
            <w:r>
              <w:rPr>
                <w:b/>
                <w:bCs/>
                <w:color w:val="000000"/>
              </w:rPr>
              <w:t>,</w:t>
            </w:r>
            <w:r w:rsidRPr="004F5D19">
              <w:rPr>
                <w:b/>
                <w:bCs/>
                <w:color w:val="000000"/>
              </w:rPr>
              <w:t>252</w:t>
            </w:r>
          </w:p>
        </w:tc>
        <w:tc>
          <w:tcPr>
            <w:tcW w:w="1134" w:type="dxa"/>
            <w:tcBorders>
              <w:top w:val="nil"/>
              <w:left w:val="nil"/>
              <w:bottom w:val="single" w:sz="4" w:space="0" w:color="auto"/>
              <w:right w:val="nil"/>
            </w:tcBorders>
            <w:shd w:val="clear" w:color="auto" w:fill="FFFFFF" w:themeFill="background1"/>
            <w:tcMar>
              <w:left w:w="60" w:type="dxa"/>
              <w:right w:w="60" w:type="dxa"/>
            </w:tcMar>
          </w:tcPr>
          <w:p w14:paraId="6AB3C2CC" w14:textId="77777777" w:rsidR="00327D59" w:rsidRPr="004F5D19" w:rsidRDefault="00327D59" w:rsidP="00032B54">
            <w:pPr>
              <w:adjustRightInd w:val="0"/>
              <w:spacing w:before="0" w:after="0"/>
              <w:jc w:val="center"/>
              <w:rPr>
                <w:rFonts w:cs="Arial"/>
                <w:b/>
                <w:bCs/>
                <w:color w:val="000000"/>
              </w:rPr>
            </w:pPr>
            <w:r w:rsidRPr="004F5D19">
              <w:rPr>
                <w:b/>
                <w:bCs/>
                <w:color w:val="000000"/>
              </w:rPr>
              <w:t>1</w:t>
            </w:r>
            <w:r>
              <w:rPr>
                <w:b/>
                <w:bCs/>
                <w:color w:val="000000"/>
              </w:rPr>
              <w:t>,</w:t>
            </w:r>
            <w:r w:rsidRPr="004F5D19">
              <w:rPr>
                <w:b/>
                <w:bCs/>
                <w:color w:val="000000"/>
              </w:rPr>
              <w:t>555</w:t>
            </w:r>
          </w:p>
        </w:tc>
        <w:tc>
          <w:tcPr>
            <w:tcW w:w="1134" w:type="dxa"/>
            <w:tcBorders>
              <w:top w:val="nil"/>
              <w:left w:val="nil"/>
              <w:bottom w:val="single" w:sz="4" w:space="0" w:color="auto"/>
              <w:right w:val="nil"/>
            </w:tcBorders>
            <w:shd w:val="clear" w:color="auto" w:fill="FFFFFF" w:themeFill="background1"/>
          </w:tcPr>
          <w:p w14:paraId="0D44F3BD" w14:textId="77777777" w:rsidR="00327D59" w:rsidRPr="004F5D19" w:rsidRDefault="00327D59" w:rsidP="00032B54">
            <w:pPr>
              <w:adjustRightInd w:val="0"/>
              <w:spacing w:before="0" w:after="0"/>
              <w:jc w:val="center"/>
              <w:rPr>
                <w:rFonts w:cs="Arial"/>
                <w:b/>
                <w:bCs/>
                <w:color w:val="000000"/>
              </w:rPr>
            </w:pPr>
            <w:r w:rsidRPr="004F5D19">
              <w:rPr>
                <w:b/>
                <w:bCs/>
                <w:color w:val="000000"/>
              </w:rPr>
              <w:t>1</w:t>
            </w:r>
            <w:r>
              <w:rPr>
                <w:b/>
                <w:bCs/>
                <w:color w:val="000000"/>
              </w:rPr>
              <w:t>,</w:t>
            </w:r>
            <w:r w:rsidRPr="004F5D19">
              <w:rPr>
                <w:b/>
                <w:bCs/>
                <w:color w:val="000000"/>
              </w:rPr>
              <w:t>812</w:t>
            </w:r>
          </w:p>
        </w:tc>
      </w:tr>
      <w:tr w:rsidR="00327D59" w:rsidRPr="00A72F4E" w14:paraId="2B9CEC60" w14:textId="77777777" w:rsidTr="00032B54">
        <w:trPr>
          <w:cantSplit/>
        </w:trPr>
        <w:tc>
          <w:tcPr>
            <w:tcW w:w="2381" w:type="dxa"/>
            <w:tcBorders>
              <w:top w:val="single" w:sz="4" w:space="0" w:color="auto"/>
              <w:left w:val="nil"/>
              <w:bottom w:val="nil"/>
              <w:right w:val="nil"/>
            </w:tcBorders>
            <w:shd w:val="clear" w:color="auto" w:fill="FFFFFF" w:themeFill="background1"/>
            <w:tcMar>
              <w:left w:w="60" w:type="dxa"/>
              <w:right w:w="60" w:type="dxa"/>
            </w:tcMar>
          </w:tcPr>
          <w:p w14:paraId="309A9B8D" w14:textId="77777777" w:rsidR="00327D59" w:rsidRPr="001372BB" w:rsidRDefault="00327D59" w:rsidP="00032B54">
            <w:pPr>
              <w:spacing w:before="0" w:after="0"/>
              <w:rPr>
                <w:rFonts w:eastAsiaTheme="minorHAnsi" w:cs="Arial"/>
                <w:szCs w:val="20"/>
                <w:lang w:eastAsia="en-US"/>
              </w:rPr>
            </w:pPr>
            <w:r w:rsidRPr="001372BB">
              <w:rPr>
                <w:rFonts w:eastAsiaTheme="minorHAnsi" w:cs="Arial"/>
                <w:szCs w:val="20"/>
                <w:lang w:eastAsia="en-US"/>
              </w:rPr>
              <w:t>Did not do survey</w:t>
            </w:r>
          </w:p>
        </w:tc>
        <w:tc>
          <w:tcPr>
            <w:tcW w:w="1134" w:type="dxa"/>
            <w:tcBorders>
              <w:top w:val="single" w:sz="4" w:space="0" w:color="auto"/>
              <w:left w:val="nil"/>
              <w:right w:val="nil"/>
            </w:tcBorders>
            <w:shd w:val="clear" w:color="auto" w:fill="FFFFFF" w:themeFill="background1"/>
            <w:tcMar>
              <w:left w:w="60" w:type="dxa"/>
              <w:right w:w="60" w:type="dxa"/>
            </w:tcMar>
          </w:tcPr>
          <w:p w14:paraId="364E36A8" w14:textId="77777777" w:rsidR="00327D59" w:rsidRPr="00767CE4" w:rsidRDefault="00327D59" w:rsidP="00032B54">
            <w:pPr>
              <w:adjustRightInd w:val="0"/>
              <w:spacing w:before="0" w:after="0"/>
              <w:jc w:val="center"/>
              <w:rPr>
                <w:rFonts w:cs="Arial"/>
                <w:color w:val="000000"/>
                <w:szCs w:val="20"/>
              </w:rPr>
            </w:pPr>
            <w:r>
              <w:rPr>
                <w:color w:val="000000"/>
              </w:rPr>
              <w:t>1,332</w:t>
            </w:r>
          </w:p>
        </w:tc>
        <w:tc>
          <w:tcPr>
            <w:tcW w:w="1134" w:type="dxa"/>
            <w:tcBorders>
              <w:top w:val="single" w:sz="4" w:space="0" w:color="auto"/>
              <w:left w:val="nil"/>
              <w:right w:val="nil"/>
            </w:tcBorders>
            <w:shd w:val="clear" w:color="auto" w:fill="FFFFFF" w:themeFill="background1"/>
            <w:tcMar>
              <w:left w:w="60" w:type="dxa"/>
              <w:right w:w="60" w:type="dxa"/>
            </w:tcMar>
          </w:tcPr>
          <w:p w14:paraId="71939AFA" w14:textId="77777777" w:rsidR="00327D59" w:rsidRPr="00767CE4" w:rsidRDefault="00327D59" w:rsidP="00032B54">
            <w:pPr>
              <w:adjustRightInd w:val="0"/>
              <w:spacing w:before="0" w:after="0"/>
              <w:jc w:val="center"/>
              <w:rPr>
                <w:rFonts w:cs="Arial"/>
                <w:color w:val="000000"/>
                <w:szCs w:val="20"/>
              </w:rPr>
            </w:pPr>
            <w:r>
              <w:rPr>
                <w:color w:val="000000"/>
              </w:rPr>
              <w:t>6,53</w:t>
            </w:r>
          </w:p>
        </w:tc>
        <w:tc>
          <w:tcPr>
            <w:tcW w:w="1134" w:type="dxa"/>
            <w:tcBorders>
              <w:top w:val="single" w:sz="4" w:space="0" w:color="auto"/>
              <w:left w:val="nil"/>
              <w:right w:val="nil"/>
            </w:tcBorders>
            <w:shd w:val="clear" w:color="auto" w:fill="FFFFFF" w:themeFill="background1"/>
            <w:tcMar>
              <w:left w:w="60" w:type="dxa"/>
              <w:right w:w="60" w:type="dxa"/>
            </w:tcMar>
          </w:tcPr>
          <w:p w14:paraId="46AD61C1" w14:textId="77777777" w:rsidR="00327D59" w:rsidRPr="00767CE4" w:rsidRDefault="00327D59" w:rsidP="00032B54">
            <w:pPr>
              <w:adjustRightInd w:val="0"/>
              <w:spacing w:before="0" w:after="0"/>
              <w:jc w:val="center"/>
              <w:rPr>
                <w:rFonts w:cs="Arial"/>
                <w:color w:val="000000"/>
                <w:szCs w:val="20"/>
              </w:rPr>
            </w:pPr>
            <w:r>
              <w:rPr>
                <w:color w:val="000000"/>
              </w:rPr>
              <w:t>1,371</w:t>
            </w:r>
          </w:p>
        </w:tc>
        <w:tc>
          <w:tcPr>
            <w:tcW w:w="1134" w:type="dxa"/>
            <w:tcBorders>
              <w:top w:val="single" w:sz="4" w:space="0" w:color="auto"/>
              <w:left w:val="nil"/>
              <w:right w:val="nil"/>
            </w:tcBorders>
            <w:shd w:val="clear" w:color="auto" w:fill="FFFFFF" w:themeFill="background1"/>
            <w:tcMar>
              <w:left w:w="60" w:type="dxa"/>
              <w:right w:w="60" w:type="dxa"/>
            </w:tcMar>
          </w:tcPr>
          <w:p w14:paraId="048C098D" w14:textId="77777777" w:rsidR="00327D59" w:rsidRPr="00767CE4" w:rsidRDefault="00327D59" w:rsidP="00032B54">
            <w:pPr>
              <w:adjustRightInd w:val="0"/>
              <w:spacing w:before="0" w:after="0"/>
              <w:jc w:val="center"/>
              <w:rPr>
                <w:rFonts w:cs="Arial"/>
                <w:color w:val="000000"/>
                <w:szCs w:val="20"/>
              </w:rPr>
            </w:pPr>
            <w:r>
              <w:rPr>
                <w:color w:val="000000"/>
              </w:rPr>
              <w:t>1,994</w:t>
            </w:r>
          </w:p>
        </w:tc>
        <w:tc>
          <w:tcPr>
            <w:tcW w:w="1134" w:type="dxa"/>
            <w:tcBorders>
              <w:top w:val="single" w:sz="4" w:space="0" w:color="auto"/>
              <w:left w:val="nil"/>
              <w:right w:val="nil"/>
            </w:tcBorders>
            <w:shd w:val="clear" w:color="auto" w:fill="FFFFFF" w:themeFill="background1"/>
            <w:tcMar>
              <w:left w:w="60" w:type="dxa"/>
              <w:right w:w="60" w:type="dxa"/>
            </w:tcMar>
          </w:tcPr>
          <w:p w14:paraId="0B5710EF" w14:textId="77777777" w:rsidR="00327D59" w:rsidRPr="00767CE4" w:rsidRDefault="00327D59" w:rsidP="00032B54">
            <w:pPr>
              <w:adjustRightInd w:val="0"/>
              <w:spacing w:before="0" w:after="0"/>
              <w:jc w:val="center"/>
              <w:rPr>
                <w:rFonts w:cs="Arial"/>
                <w:color w:val="000000"/>
                <w:szCs w:val="20"/>
              </w:rPr>
            </w:pPr>
            <w:r>
              <w:rPr>
                <w:color w:val="000000"/>
              </w:rPr>
              <w:t>1,455</w:t>
            </w:r>
          </w:p>
        </w:tc>
        <w:tc>
          <w:tcPr>
            <w:tcW w:w="1134" w:type="dxa"/>
            <w:tcBorders>
              <w:top w:val="single" w:sz="4" w:space="0" w:color="auto"/>
              <w:left w:val="nil"/>
              <w:bottom w:val="nil"/>
              <w:right w:val="nil"/>
            </w:tcBorders>
            <w:shd w:val="clear" w:color="auto" w:fill="FFFFFF" w:themeFill="background1"/>
            <w:tcMar>
              <w:left w:w="60" w:type="dxa"/>
              <w:right w:w="60" w:type="dxa"/>
            </w:tcMar>
          </w:tcPr>
          <w:p w14:paraId="263168D5" w14:textId="77777777" w:rsidR="00327D59" w:rsidRPr="00767CE4" w:rsidRDefault="00327D59" w:rsidP="00032B54">
            <w:pPr>
              <w:adjustRightInd w:val="0"/>
              <w:spacing w:before="0" w:after="0"/>
              <w:jc w:val="center"/>
              <w:rPr>
                <w:rFonts w:cs="Arial"/>
                <w:color w:val="000000"/>
                <w:szCs w:val="20"/>
              </w:rPr>
            </w:pPr>
            <w:r>
              <w:rPr>
                <w:color w:val="000000"/>
              </w:rPr>
              <w:t>1,399</w:t>
            </w:r>
          </w:p>
        </w:tc>
        <w:tc>
          <w:tcPr>
            <w:tcW w:w="1134" w:type="dxa"/>
            <w:tcBorders>
              <w:top w:val="single" w:sz="4" w:space="0" w:color="auto"/>
              <w:left w:val="nil"/>
              <w:bottom w:val="nil"/>
              <w:right w:val="nil"/>
            </w:tcBorders>
            <w:shd w:val="clear" w:color="auto" w:fill="FFFFFF" w:themeFill="background1"/>
          </w:tcPr>
          <w:p w14:paraId="508F7C35" w14:textId="77777777" w:rsidR="00327D59" w:rsidRPr="00767CE4" w:rsidRDefault="00327D59" w:rsidP="00032B54">
            <w:pPr>
              <w:adjustRightInd w:val="0"/>
              <w:spacing w:before="0" w:after="0"/>
              <w:jc w:val="center"/>
              <w:rPr>
                <w:rFonts w:cs="Arial"/>
                <w:color w:val="000000"/>
              </w:rPr>
            </w:pPr>
            <w:r>
              <w:rPr>
                <w:color w:val="000000"/>
              </w:rPr>
              <w:t>1,268</w:t>
            </w:r>
          </w:p>
        </w:tc>
      </w:tr>
      <w:tr w:rsidR="00327D59" w:rsidRPr="00A72F4E" w14:paraId="4948727C" w14:textId="77777777" w:rsidTr="00032B54">
        <w:trPr>
          <w:cantSplit/>
        </w:trPr>
        <w:tc>
          <w:tcPr>
            <w:tcW w:w="2381" w:type="dxa"/>
            <w:tcBorders>
              <w:top w:val="nil"/>
              <w:left w:val="nil"/>
              <w:bottom w:val="nil"/>
              <w:right w:val="nil"/>
            </w:tcBorders>
            <w:shd w:val="clear" w:color="auto" w:fill="FFFFFF" w:themeFill="background1"/>
            <w:tcMar>
              <w:left w:w="60" w:type="dxa"/>
              <w:right w:w="60" w:type="dxa"/>
            </w:tcMar>
          </w:tcPr>
          <w:p w14:paraId="3E24E0AA" w14:textId="77777777" w:rsidR="00327D59" w:rsidRPr="001372BB" w:rsidRDefault="00327D59" w:rsidP="00032B54">
            <w:pPr>
              <w:spacing w:before="0" w:after="0"/>
              <w:rPr>
                <w:rFonts w:eastAsiaTheme="minorHAnsi" w:cs="Arial"/>
                <w:szCs w:val="20"/>
                <w:lang w:eastAsia="en-US"/>
              </w:rPr>
            </w:pPr>
            <w:r w:rsidRPr="001372BB">
              <w:rPr>
                <w:rFonts w:eastAsiaTheme="minorHAnsi" w:cs="Arial"/>
                <w:szCs w:val="20"/>
                <w:lang w:eastAsia="en-US"/>
              </w:rPr>
              <w:t>No contact</w:t>
            </w:r>
          </w:p>
        </w:tc>
        <w:tc>
          <w:tcPr>
            <w:tcW w:w="1134" w:type="dxa"/>
            <w:tcBorders>
              <w:left w:val="nil"/>
              <w:right w:val="nil"/>
            </w:tcBorders>
            <w:shd w:val="clear" w:color="auto" w:fill="FFFFFF" w:themeFill="background1"/>
            <w:tcMar>
              <w:left w:w="60" w:type="dxa"/>
              <w:right w:w="60" w:type="dxa"/>
            </w:tcMar>
          </w:tcPr>
          <w:p w14:paraId="27CB9FAB" w14:textId="77777777" w:rsidR="00327D59" w:rsidRPr="00767CE4" w:rsidRDefault="00327D59" w:rsidP="00032B54">
            <w:pPr>
              <w:adjustRightInd w:val="0"/>
              <w:spacing w:before="0" w:after="0"/>
              <w:jc w:val="center"/>
              <w:rPr>
                <w:rFonts w:cs="Arial"/>
                <w:color w:val="000000"/>
                <w:szCs w:val="20"/>
              </w:rPr>
            </w:pPr>
            <w:r>
              <w:rPr>
                <w:color w:val="000000"/>
              </w:rPr>
              <w:t>2,972</w:t>
            </w:r>
          </w:p>
        </w:tc>
        <w:tc>
          <w:tcPr>
            <w:tcW w:w="1134" w:type="dxa"/>
            <w:tcBorders>
              <w:left w:val="nil"/>
              <w:right w:val="nil"/>
            </w:tcBorders>
            <w:shd w:val="clear" w:color="auto" w:fill="FFFFFF" w:themeFill="background1"/>
            <w:tcMar>
              <w:left w:w="60" w:type="dxa"/>
              <w:right w:w="60" w:type="dxa"/>
            </w:tcMar>
          </w:tcPr>
          <w:p w14:paraId="49B928A7" w14:textId="77777777" w:rsidR="00327D59" w:rsidRPr="00767CE4" w:rsidRDefault="00327D59" w:rsidP="00032B54">
            <w:pPr>
              <w:adjustRightInd w:val="0"/>
              <w:spacing w:before="0" w:after="0"/>
              <w:jc w:val="center"/>
              <w:rPr>
                <w:rFonts w:cs="Arial"/>
                <w:color w:val="000000"/>
                <w:szCs w:val="20"/>
              </w:rPr>
            </w:pPr>
            <w:r>
              <w:rPr>
                <w:color w:val="000000"/>
              </w:rPr>
              <w:t>3,953</w:t>
            </w:r>
          </w:p>
        </w:tc>
        <w:tc>
          <w:tcPr>
            <w:tcW w:w="1134" w:type="dxa"/>
            <w:tcBorders>
              <w:left w:val="nil"/>
              <w:right w:val="nil"/>
            </w:tcBorders>
            <w:shd w:val="clear" w:color="auto" w:fill="FFFFFF" w:themeFill="background1"/>
            <w:tcMar>
              <w:left w:w="60" w:type="dxa"/>
              <w:right w:w="60" w:type="dxa"/>
            </w:tcMar>
          </w:tcPr>
          <w:p w14:paraId="5F597E16" w14:textId="77777777" w:rsidR="00327D59" w:rsidRPr="00767CE4" w:rsidRDefault="00327D59" w:rsidP="00032B54">
            <w:pPr>
              <w:adjustRightInd w:val="0"/>
              <w:spacing w:before="0" w:after="0"/>
              <w:jc w:val="center"/>
              <w:rPr>
                <w:rFonts w:cs="Arial"/>
                <w:color w:val="000000"/>
                <w:szCs w:val="20"/>
              </w:rPr>
            </w:pPr>
            <w:r>
              <w:rPr>
                <w:color w:val="000000"/>
              </w:rPr>
              <w:t>2,868</w:t>
            </w:r>
          </w:p>
        </w:tc>
        <w:tc>
          <w:tcPr>
            <w:tcW w:w="1134" w:type="dxa"/>
            <w:tcBorders>
              <w:left w:val="nil"/>
              <w:right w:val="nil"/>
            </w:tcBorders>
            <w:shd w:val="clear" w:color="auto" w:fill="FFFFFF" w:themeFill="background1"/>
            <w:tcMar>
              <w:left w:w="60" w:type="dxa"/>
              <w:right w:w="60" w:type="dxa"/>
            </w:tcMar>
          </w:tcPr>
          <w:p w14:paraId="0746EFA8" w14:textId="77777777" w:rsidR="00327D59" w:rsidRPr="00767CE4" w:rsidRDefault="00327D59" w:rsidP="00032B54">
            <w:pPr>
              <w:adjustRightInd w:val="0"/>
              <w:spacing w:before="0" w:after="0"/>
              <w:jc w:val="center"/>
              <w:rPr>
                <w:rFonts w:cs="Arial"/>
                <w:color w:val="000000"/>
                <w:szCs w:val="20"/>
              </w:rPr>
            </w:pPr>
            <w:r>
              <w:rPr>
                <w:color w:val="000000"/>
              </w:rPr>
              <w:t>3,029</w:t>
            </w:r>
          </w:p>
        </w:tc>
        <w:tc>
          <w:tcPr>
            <w:tcW w:w="1134" w:type="dxa"/>
            <w:tcBorders>
              <w:left w:val="nil"/>
              <w:right w:val="nil"/>
            </w:tcBorders>
            <w:shd w:val="clear" w:color="auto" w:fill="FFFFFF" w:themeFill="background1"/>
            <w:tcMar>
              <w:left w:w="60" w:type="dxa"/>
              <w:right w:w="60" w:type="dxa"/>
            </w:tcMar>
          </w:tcPr>
          <w:p w14:paraId="4764B574" w14:textId="77777777" w:rsidR="00327D59" w:rsidRPr="00767CE4" w:rsidRDefault="00327D59" w:rsidP="00032B54">
            <w:pPr>
              <w:adjustRightInd w:val="0"/>
              <w:spacing w:before="0" w:after="0"/>
              <w:jc w:val="center"/>
              <w:rPr>
                <w:rFonts w:cs="Arial"/>
                <w:color w:val="000000"/>
                <w:szCs w:val="20"/>
              </w:rPr>
            </w:pPr>
            <w:r>
              <w:rPr>
                <w:color w:val="000000"/>
              </w:rPr>
              <w:t>3,531</w:t>
            </w:r>
          </w:p>
        </w:tc>
        <w:tc>
          <w:tcPr>
            <w:tcW w:w="1134" w:type="dxa"/>
            <w:tcBorders>
              <w:top w:val="nil"/>
              <w:left w:val="nil"/>
              <w:bottom w:val="nil"/>
              <w:right w:val="nil"/>
            </w:tcBorders>
            <w:shd w:val="clear" w:color="auto" w:fill="FFFFFF" w:themeFill="background1"/>
            <w:tcMar>
              <w:left w:w="60" w:type="dxa"/>
              <w:right w:w="60" w:type="dxa"/>
            </w:tcMar>
          </w:tcPr>
          <w:p w14:paraId="7D921088" w14:textId="77777777" w:rsidR="00327D59" w:rsidRPr="00767CE4" w:rsidRDefault="00327D59" w:rsidP="00032B54">
            <w:pPr>
              <w:adjustRightInd w:val="0"/>
              <w:spacing w:before="0" w:after="0"/>
              <w:jc w:val="center"/>
              <w:rPr>
                <w:rFonts w:cs="Arial"/>
                <w:color w:val="000000"/>
              </w:rPr>
            </w:pPr>
            <w:r>
              <w:rPr>
                <w:color w:val="000000"/>
              </w:rPr>
              <w:t>4,107</w:t>
            </w:r>
          </w:p>
        </w:tc>
        <w:tc>
          <w:tcPr>
            <w:tcW w:w="1134" w:type="dxa"/>
            <w:tcBorders>
              <w:top w:val="nil"/>
              <w:left w:val="nil"/>
              <w:bottom w:val="nil"/>
              <w:right w:val="nil"/>
            </w:tcBorders>
            <w:shd w:val="clear" w:color="auto" w:fill="FFFFFF" w:themeFill="background1"/>
          </w:tcPr>
          <w:p w14:paraId="67913919" w14:textId="77777777" w:rsidR="00327D59" w:rsidRPr="00767CE4" w:rsidRDefault="00327D59" w:rsidP="00032B54">
            <w:pPr>
              <w:adjustRightInd w:val="0"/>
              <w:spacing w:before="0" w:after="0"/>
              <w:jc w:val="center"/>
              <w:rPr>
                <w:rFonts w:cs="Arial"/>
                <w:color w:val="000000"/>
              </w:rPr>
            </w:pPr>
            <w:r>
              <w:rPr>
                <w:color w:val="000000"/>
              </w:rPr>
              <w:t>4,046</w:t>
            </w:r>
          </w:p>
        </w:tc>
      </w:tr>
      <w:tr w:rsidR="00327D59" w:rsidRPr="00A72F4E" w14:paraId="4F58057F" w14:textId="77777777" w:rsidTr="00032B54">
        <w:trPr>
          <w:cantSplit/>
        </w:trPr>
        <w:tc>
          <w:tcPr>
            <w:tcW w:w="2381" w:type="dxa"/>
            <w:tcBorders>
              <w:top w:val="nil"/>
              <w:left w:val="nil"/>
              <w:bottom w:val="nil"/>
              <w:right w:val="nil"/>
            </w:tcBorders>
            <w:shd w:val="clear" w:color="auto" w:fill="FFFFFF" w:themeFill="background1"/>
            <w:tcMar>
              <w:left w:w="60" w:type="dxa"/>
              <w:right w:w="60" w:type="dxa"/>
            </w:tcMar>
          </w:tcPr>
          <w:p w14:paraId="7B5CE94B" w14:textId="77777777" w:rsidR="00327D59" w:rsidRPr="001372BB" w:rsidRDefault="00327D59" w:rsidP="00032B54">
            <w:pPr>
              <w:spacing w:before="0" w:after="0"/>
              <w:rPr>
                <w:rFonts w:eastAsiaTheme="minorHAnsi" w:cs="Arial"/>
                <w:szCs w:val="20"/>
                <w:lang w:eastAsia="en-US"/>
              </w:rPr>
            </w:pPr>
            <w:r w:rsidRPr="001372BB">
              <w:rPr>
                <w:rFonts w:eastAsiaTheme="minorHAnsi" w:cs="Arial"/>
                <w:szCs w:val="20"/>
                <w:lang w:eastAsia="en-US"/>
              </w:rPr>
              <w:t>Respondent</w:t>
            </w:r>
          </w:p>
        </w:tc>
        <w:tc>
          <w:tcPr>
            <w:tcW w:w="1134" w:type="dxa"/>
            <w:tcBorders>
              <w:left w:val="nil"/>
              <w:bottom w:val="nil"/>
              <w:right w:val="nil"/>
            </w:tcBorders>
            <w:shd w:val="clear" w:color="auto" w:fill="FFFFFF" w:themeFill="background1"/>
            <w:tcMar>
              <w:left w:w="60" w:type="dxa"/>
              <w:right w:w="60" w:type="dxa"/>
            </w:tcMar>
          </w:tcPr>
          <w:p w14:paraId="366ED1D1" w14:textId="77777777" w:rsidR="00327D59" w:rsidRPr="00767CE4" w:rsidRDefault="00327D59" w:rsidP="00032B54">
            <w:pPr>
              <w:adjustRightInd w:val="0"/>
              <w:spacing w:before="0" w:after="0"/>
              <w:jc w:val="center"/>
              <w:rPr>
                <w:rFonts w:cs="Arial"/>
                <w:color w:val="000000"/>
                <w:szCs w:val="20"/>
              </w:rPr>
            </w:pPr>
            <w:r>
              <w:rPr>
                <w:color w:val="000000"/>
              </w:rPr>
              <w:t>9,688</w:t>
            </w:r>
          </w:p>
        </w:tc>
        <w:tc>
          <w:tcPr>
            <w:tcW w:w="1134" w:type="dxa"/>
            <w:tcBorders>
              <w:left w:val="nil"/>
              <w:bottom w:val="nil"/>
              <w:right w:val="nil"/>
            </w:tcBorders>
            <w:shd w:val="clear" w:color="auto" w:fill="FFFFFF" w:themeFill="background1"/>
            <w:tcMar>
              <w:left w:w="60" w:type="dxa"/>
              <w:right w:w="60" w:type="dxa"/>
            </w:tcMar>
          </w:tcPr>
          <w:p w14:paraId="5474043C" w14:textId="77777777" w:rsidR="00327D59" w:rsidRPr="00767CE4" w:rsidRDefault="00327D59" w:rsidP="00032B54">
            <w:pPr>
              <w:adjustRightInd w:val="0"/>
              <w:spacing w:before="0" w:after="0"/>
              <w:jc w:val="center"/>
              <w:rPr>
                <w:rFonts w:cs="Arial"/>
                <w:color w:val="000000"/>
                <w:szCs w:val="20"/>
              </w:rPr>
            </w:pPr>
            <w:r>
              <w:rPr>
                <w:color w:val="000000"/>
              </w:rPr>
              <w:t>9,081</w:t>
            </w:r>
          </w:p>
        </w:tc>
        <w:tc>
          <w:tcPr>
            <w:tcW w:w="1134" w:type="dxa"/>
            <w:tcBorders>
              <w:left w:val="nil"/>
              <w:bottom w:val="nil"/>
              <w:right w:val="nil"/>
            </w:tcBorders>
            <w:shd w:val="clear" w:color="auto" w:fill="FFFFFF" w:themeFill="background1"/>
            <w:tcMar>
              <w:left w:w="60" w:type="dxa"/>
              <w:right w:w="60" w:type="dxa"/>
            </w:tcMar>
          </w:tcPr>
          <w:p w14:paraId="01D34C50" w14:textId="77777777" w:rsidR="00327D59" w:rsidRPr="00767CE4" w:rsidRDefault="00327D59" w:rsidP="00032B54">
            <w:pPr>
              <w:adjustRightInd w:val="0"/>
              <w:spacing w:before="0" w:after="0"/>
              <w:jc w:val="center"/>
              <w:rPr>
                <w:rFonts w:cs="Arial"/>
                <w:color w:val="000000"/>
                <w:szCs w:val="20"/>
              </w:rPr>
            </w:pPr>
            <w:r>
              <w:rPr>
                <w:color w:val="000000"/>
              </w:rPr>
              <w:t>9,145</w:t>
            </w:r>
          </w:p>
        </w:tc>
        <w:tc>
          <w:tcPr>
            <w:tcW w:w="1134" w:type="dxa"/>
            <w:tcBorders>
              <w:left w:val="nil"/>
              <w:bottom w:val="nil"/>
              <w:right w:val="nil"/>
            </w:tcBorders>
            <w:shd w:val="clear" w:color="auto" w:fill="FFFFFF" w:themeFill="background1"/>
            <w:tcMar>
              <w:left w:w="60" w:type="dxa"/>
              <w:right w:w="60" w:type="dxa"/>
            </w:tcMar>
          </w:tcPr>
          <w:p w14:paraId="22235CBA" w14:textId="77777777" w:rsidR="00327D59" w:rsidRPr="00767CE4" w:rsidRDefault="00327D59" w:rsidP="00032B54">
            <w:pPr>
              <w:adjustRightInd w:val="0"/>
              <w:spacing w:before="0" w:after="0"/>
              <w:jc w:val="center"/>
              <w:rPr>
                <w:rFonts w:cs="Arial"/>
                <w:color w:val="000000"/>
                <w:szCs w:val="20"/>
              </w:rPr>
            </w:pPr>
            <w:r>
              <w:rPr>
                <w:color w:val="000000"/>
              </w:rPr>
              <w:t>8,199</w:t>
            </w:r>
          </w:p>
        </w:tc>
        <w:tc>
          <w:tcPr>
            <w:tcW w:w="1134" w:type="dxa"/>
            <w:tcBorders>
              <w:left w:val="nil"/>
              <w:bottom w:val="nil"/>
              <w:right w:val="nil"/>
            </w:tcBorders>
            <w:shd w:val="clear" w:color="auto" w:fill="FFFFFF" w:themeFill="background1"/>
            <w:tcMar>
              <w:left w:w="60" w:type="dxa"/>
              <w:right w:w="60" w:type="dxa"/>
            </w:tcMar>
          </w:tcPr>
          <w:p w14:paraId="41A8FFDF" w14:textId="77777777" w:rsidR="00327D59" w:rsidRPr="00767CE4" w:rsidRDefault="00327D59" w:rsidP="00032B54">
            <w:pPr>
              <w:adjustRightInd w:val="0"/>
              <w:spacing w:before="0" w:after="0"/>
              <w:jc w:val="center"/>
              <w:rPr>
                <w:rFonts w:cs="Arial"/>
                <w:color w:val="000000"/>
                <w:szCs w:val="20"/>
              </w:rPr>
            </w:pPr>
            <w:r>
              <w:rPr>
                <w:color w:val="000000"/>
              </w:rPr>
              <w:t>8,009</w:t>
            </w:r>
          </w:p>
        </w:tc>
        <w:tc>
          <w:tcPr>
            <w:tcW w:w="1134" w:type="dxa"/>
            <w:tcBorders>
              <w:top w:val="nil"/>
              <w:left w:val="nil"/>
              <w:bottom w:val="nil"/>
              <w:right w:val="nil"/>
            </w:tcBorders>
            <w:shd w:val="clear" w:color="auto" w:fill="FFFFFF" w:themeFill="background1"/>
            <w:tcMar>
              <w:left w:w="60" w:type="dxa"/>
              <w:right w:w="60" w:type="dxa"/>
            </w:tcMar>
          </w:tcPr>
          <w:p w14:paraId="0B6CF69D" w14:textId="77777777" w:rsidR="00327D59" w:rsidRPr="00767CE4" w:rsidRDefault="00327D59" w:rsidP="00032B54">
            <w:pPr>
              <w:adjustRightInd w:val="0"/>
              <w:spacing w:before="0" w:after="0"/>
              <w:jc w:val="center"/>
              <w:rPr>
                <w:rFonts w:cs="Arial"/>
                <w:color w:val="000000"/>
                <w:szCs w:val="20"/>
              </w:rPr>
            </w:pPr>
            <w:r>
              <w:rPr>
                <w:color w:val="000000"/>
              </w:rPr>
              <w:t>7,186</w:t>
            </w:r>
          </w:p>
        </w:tc>
        <w:tc>
          <w:tcPr>
            <w:tcW w:w="1134" w:type="dxa"/>
            <w:tcBorders>
              <w:top w:val="nil"/>
              <w:left w:val="nil"/>
              <w:bottom w:val="nil"/>
              <w:right w:val="nil"/>
            </w:tcBorders>
            <w:shd w:val="clear" w:color="auto" w:fill="FFFFFF" w:themeFill="background1"/>
          </w:tcPr>
          <w:p w14:paraId="6E3DAE63" w14:textId="77777777" w:rsidR="00327D59" w:rsidRPr="00767CE4" w:rsidRDefault="00327D59" w:rsidP="00032B54">
            <w:pPr>
              <w:adjustRightInd w:val="0"/>
              <w:spacing w:before="0" w:after="0"/>
              <w:jc w:val="center"/>
              <w:rPr>
                <w:rFonts w:cs="Arial"/>
                <w:color w:val="000000"/>
              </w:rPr>
            </w:pPr>
            <w:r>
              <w:rPr>
                <w:color w:val="000000"/>
              </w:rPr>
              <w:t>7,121</w:t>
            </w:r>
          </w:p>
        </w:tc>
      </w:tr>
      <w:tr w:rsidR="00327D59" w:rsidRPr="00A72F4E" w14:paraId="2929B201" w14:textId="77777777" w:rsidTr="00032B54">
        <w:trPr>
          <w:cantSplit/>
        </w:trPr>
        <w:tc>
          <w:tcPr>
            <w:tcW w:w="2381" w:type="dxa"/>
            <w:tcBorders>
              <w:top w:val="nil"/>
              <w:left w:val="nil"/>
              <w:bottom w:val="single" w:sz="4" w:space="0" w:color="auto"/>
              <w:right w:val="nil"/>
            </w:tcBorders>
            <w:shd w:val="clear" w:color="auto" w:fill="FFFFFF" w:themeFill="background1"/>
            <w:tcMar>
              <w:left w:w="60" w:type="dxa"/>
              <w:right w:w="60" w:type="dxa"/>
            </w:tcMar>
          </w:tcPr>
          <w:p w14:paraId="7ED7CAF3" w14:textId="77777777" w:rsidR="00327D59" w:rsidRPr="001372BB" w:rsidRDefault="00327D59" w:rsidP="00032B54">
            <w:pPr>
              <w:spacing w:before="0" w:after="0"/>
              <w:rPr>
                <w:rFonts w:eastAsiaTheme="minorHAnsi" w:cs="Arial"/>
                <w:b/>
                <w:szCs w:val="20"/>
                <w:lang w:eastAsia="en-US"/>
              </w:rPr>
            </w:pPr>
            <w:r w:rsidRPr="001372BB">
              <w:rPr>
                <w:rFonts w:eastAsiaTheme="minorHAnsi" w:cs="Arial"/>
                <w:b/>
                <w:szCs w:val="20"/>
                <w:lang w:eastAsia="en-US"/>
              </w:rPr>
              <w:t>TOTAL ELIGIBLE</w:t>
            </w:r>
          </w:p>
        </w:tc>
        <w:tc>
          <w:tcPr>
            <w:tcW w:w="1134" w:type="dxa"/>
            <w:tcBorders>
              <w:top w:val="nil"/>
              <w:left w:val="nil"/>
              <w:bottom w:val="single" w:sz="4" w:space="0" w:color="auto"/>
              <w:right w:val="nil"/>
            </w:tcBorders>
            <w:shd w:val="clear" w:color="auto" w:fill="FFFFFF" w:themeFill="background1"/>
            <w:tcMar>
              <w:left w:w="60" w:type="dxa"/>
              <w:right w:w="60" w:type="dxa"/>
            </w:tcMar>
          </w:tcPr>
          <w:p w14:paraId="3791C91C" w14:textId="77777777" w:rsidR="00327D59" w:rsidRPr="004F5D19" w:rsidRDefault="00327D59" w:rsidP="00032B54">
            <w:pPr>
              <w:keepNext/>
              <w:adjustRightInd w:val="0"/>
              <w:spacing w:before="0" w:after="0"/>
              <w:jc w:val="center"/>
              <w:rPr>
                <w:rFonts w:cs="Arial"/>
                <w:b/>
                <w:bCs/>
                <w:color w:val="000000"/>
                <w:szCs w:val="20"/>
              </w:rPr>
            </w:pPr>
            <w:r w:rsidRPr="004F5D19">
              <w:rPr>
                <w:b/>
                <w:bCs/>
                <w:color w:val="000000"/>
              </w:rPr>
              <w:t>13</w:t>
            </w:r>
            <w:r>
              <w:rPr>
                <w:b/>
                <w:bCs/>
                <w:color w:val="000000"/>
              </w:rPr>
              <w:t>,</w:t>
            </w:r>
            <w:r w:rsidRPr="004F5D19">
              <w:rPr>
                <w:b/>
                <w:bCs/>
                <w:color w:val="000000"/>
              </w:rPr>
              <w:t>992</w:t>
            </w:r>
          </w:p>
        </w:tc>
        <w:tc>
          <w:tcPr>
            <w:tcW w:w="1134" w:type="dxa"/>
            <w:tcBorders>
              <w:top w:val="nil"/>
              <w:left w:val="nil"/>
              <w:bottom w:val="single" w:sz="4" w:space="0" w:color="auto"/>
              <w:right w:val="nil"/>
            </w:tcBorders>
            <w:shd w:val="clear" w:color="auto" w:fill="FFFFFF" w:themeFill="background1"/>
            <w:tcMar>
              <w:left w:w="60" w:type="dxa"/>
              <w:right w:w="60" w:type="dxa"/>
            </w:tcMar>
          </w:tcPr>
          <w:p w14:paraId="6EDD0253" w14:textId="77777777" w:rsidR="00327D59" w:rsidRPr="004F5D19" w:rsidRDefault="00327D59" w:rsidP="00032B54">
            <w:pPr>
              <w:keepNext/>
              <w:adjustRightInd w:val="0"/>
              <w:spacing w:before="0" w:after="0"/>
              <w:jc w:val="center"/>
              <w:rPr>
                <w:rFonts w:cs="Arial"/>
                <w:b/>
                <w:bCs/>
                <w:color w:val="000000"/>
                <w:szCs w:val="20"/>
              </w:rPr>
            </w:pPr>
            <w:r w:rsidRPr="004F5D19">
              <w:rPr>
                <w:b/>
                <w:bCs/>
                <w:color w:val="000000"/>
              </w:rPr>
              <w:t>13</w:t>
            </w:r>
            <w:r>
              <w:rPr>
                <w:b/>
                <w:bCs/>
                <w:color w:val="000000"/>
              </w:rPr>
              <w:t>,</w:t>
            </w:r>
            <w:r w:rsidRPr="004F5D19">
              <w:rPr>
                <w:b/>
                <w:bCs/>
                <w:color w:val="000000"/>
              </w:rPr>
              <w:t>687</w:t>
            </w:r>
          </w:p>
        </w:tc>
        <w:tc>
          <w:tcPr>
            <w:tcW w:w="1134" w:type="dxa"/>
            <w:tcBorders>
              <w:top w:val="nil"/>
              <w:left w:val="nil"/>
              <w:bottom w:val="single" w:sz="4" w:space="0" w:color="auto"/>
              <w:right w:val="nil"/>
            </w:tcBorders>
            <w:shd w:val="clear" w:color="auto" w:fill="FFFFFF" w:themeFill="background1"/>
            <w:tcMar>
              <w:left w:w="60" w:type="dxa"/>
              <w:right w:w="60" w:type="dxa"/>
            </w:tcMar>
          </w:tcPr>
          <w:p w14:paraId="2FAF0B1C" w14:textId="77777777" w:rsidR="00327D59" w:rsidRPr="004F5D19" w:rsidRDefault="00327D59" w:rsidP="00032B54">
            <w:pPr>
              <w:keepNext/>
              <w:adjustRightInd w:val="0"/>
              <w:spacing w:before="0" w:after="0"/>
              <w:jc w:val="center"/>
              <w:rPr>
                <w:rFonts w:cs="Arial"/>
                <w:b/>
                <w:bCs/>
                <w:color w:val="000000"/>
                <w:szCs w:val="20"/>
              </w:rPr>
            </w:pPr>
            <w:r w:rsidRPr="004F5D19">
              <w:rPr>
                <w:b/>
                <w:bCs/>
                <w:color w:val="000000"/>
              </w:rPr>
              <w:t>13</w:t>
            </w:r>
            <w:r>
              <w:rPr>
                <w:b/>
                <w:bCs/>
                <w:color w:val="000000"/>
              </w:rPr>
              <w:t>,</w:t>
            </w:r>
            <w:r w:rsidRPr="004F5D19">
              <w:rPr>
                <w:b/>
                <w:bCs/>
                <w:color w:val="000000"/>
              </w:rPr>
              <w:t>384</w:t>
            </w:r>
          </w:p>
        </w:tc>
        <w:tc>
          <w:tcPr>
            <w:tcW w:w="1134" w:type="dxa"/>
            <w:tcBorders>
              <w:top w:val="nil"/>
              <w:left w:val="nil"/>
              <w:bottom w:val="single" w:sz="4" w:space="0" w:color="auto"/>
              <w:right w:val="nil"/>
            </w:tcBorders>
            <w:shd w:val="clear" w:color="auto" w:fill="FFFFFF" w:themeFill="background1"/>
            <w:tcMar>
              <w:left w:w="60" w:type="dxa"/>
              <w:right w:w="60" w:type="dxa"/>
            </w:tcMar>
          </w:tcPr>
          <w:p w14:paraId="694A0CCF" w14:textId="77777777" w:rsidR="00327D59" w:rsidRPr="004F5D19" w:rsidRDefault="00327D59" w:rsidP="00032B54">
            <w:pPr>
              <w:keepNext/>
              <w:adjustRightInd w:val="0"/>
              <w:spacing w:before="0" w:after="0"/>
              <w:jc w:val="center"/>
              <w:rPr>
                <w:rFonts w:cs="Arial"/>
                <w:b/>
                <w:bCs/>
                <w:color w:val="000000"/>
                <w:szCs w:val="20"/>
              </w:rPr>
            </w:pPr>
            <w:r w:rsidRPr="004F5D19">
              <w:rPr>
                <w:b/>
                <w:bCs/>
                <w:color w:val="000000"/>
              </w:rPr>
              <w:t>13</w:t>
            </w:r>
            <w:r>
              <w:rPr>
                <w:b/>
                <w:bCs/>
                <w:color w:val="000000"/>
              </w:rPr>
              <w:t>,</w:t>
            </w:r>
            <w:r w:rsidRPr="004F5D19">
              <w:rPr>
                <w:b/>
                <w:bCs/>
                <w:color w:val="000000"/>
              </w:rPr>
              <w:t>222</w:t>
            </w:r>
          </w:p>
        </w:tc>
        <w:tc>
          <w:tcPr>
            <w:tcW w:w="1134" w:type="dxa"/>
            <w:tcBorders>
              <w:top w:val="nil"/>
              <w:left w:val="nil"/>
              <w:bottom w:val="single" w:sz="4" w:space="0" w:color="auto"/>
              <w:right w:val="nil"/>
            </w:tcBorders>
            <w:shd w:val="clear" w:color="auto" w:fill="FFFFFF" w:themeFill="background1"/>
            <w:tcMar>
              <w:left w:w="60" w:type="dxa"/>
              <w:right w:w="60" w:type="dxa"/>
            </w:tcMar>
          </w:tcPr>
          <w:p w14:paraId="58DA40A8" w14:textId="77777777" w:rsidR="00327D59" w:rsidRPr="004F5D19" w:rsidRDefault="00327D59" w:rsidP="00032B54">
            <w:pPr>
              <w:keepNext/>
              <w:adjustRightInd w:val="0"/>
              <w:spacing w:before="0" w:after="0"/>
              <w:jc w:val="center"/>
              <w:rPr>
                <w:rFonts w:cs="Arial"/>
                <w:b/>
                <w:bCs/>
                <w:color w:val="000000"/>
                <w:szCs w:val="20"/>
              </w:rPr>
            </w:pPr>
            <w:r w:rsidRPr="004F5D19">
              <w:rPr>
                <w:b/>
                <w:bCs/>
                <w:color w:val="000000"/>
              </w:rPr>
              <w:t>12</w:t>
            </w:r>
            <w:r>
              <w:rPr>
                <w:b/>
                <w:bCs/>
                <w:color w:val="000000"/>
              </w:rPr>
              <w:t>,</w:t>
            </w:r>
            <w:r w:rsidRPr="004F5D19">
              <w:rPr>
                <w:b/>
                <w:bCs/>
                <w:color w:val="000000"/>
              </w:rPr>
              <w:t>995</w:t>
            </w:r>
          </w:p>
        </w:tc>
        <w:tc>
          <w:tcPr>
            <w:tcW w:w="1134" w:type="dxa"/>
            <w:tcBorders>
              <w:top w:val="nil"/>
              <w:left w:val="nil"/>
              <w:bottom w:val="single" w:sz="4" w:space="0" w:color="auto"/>
              <w:right w:val="nil"/>
            </w:tcBorders>
            <w:shd w:val="clear" w:color="auto" w:fill="FFFFFF" w:themeFill="background1"/>
            <w:tcMar>
              <w:left w:w="60" w:type="dxa"/>
              <w:right w:w="60" w:type="dxa"/>
            </w:tcMar>
          </w:tcPr>
          <w:p w14:paraId="47EF569B" w14:textId="77777777" w:rsidR="00327D59" w:rsidRPr="004F5D19" w:rsidRDefault="00327D59" w:rsidP="00032B54">
            <w:pPr>
              <w:keepNext/>
              <w:adjustRightInd w:val="0"/>
              <w:spacing w:before="0" w:after="0"/>
              <w:jc w:val="center"/>
              <w:rPr>
                <w:rFonts w:cs="Arial"/>
                <w:b/>
                <w:bCs/>
                <w:color w:val="000000"/>
              </w:rPr>
            </w:pPr>
            <w:r w:rsidRPr="004F5D19">
              <w:rPr>
                <w:b/>
                <w:bCs/>
                <w:color w:val="000000"/>
              </w:rPr>
              <w:t>12</w:t>
            </w:r>
            <w:r>
              <w:rPr>
                <w:b/>
                <w:bCs/>
                <w:color w:val="000000"/>
              </w:rPr>
              <w:t>,</w:t>
            </w:r>
            <w:r w:rsidRPr="004F5D19">
              <w:rPr>
                <w:b/>
                <w:bCs/>
                <w:color w:val="000000"/>
              </w:rPr>
              <w:t>692</w:t>
            </w:r>
          </w:p>
        </w:tc>
        <w:tc>
          <w:tcPr>
            <w:tcW w:w="1134" w:type="dxa"/>
            <w:tcBorders>
              <w:top w:val="nil"/>
              <w:left w:val="nil"/>
              <w:bottom w:val="single" w:sz="4" w:space="0" w:color="auto"/>
              <w:right w:val="nil"/>
            </w:tcBorders>
            <w:shd w:val="clear" w:color="auto" w:fill="FFFFFF" w:themeFill="background1"/>
          </w:tcPr>
          <w:p w14:paraId="43DA4F86" w14:textId="77777777" w:rsidR="00327D59" w:rsidRPr="004F5D19" w:rsidRDefault="00327D59" w:rsidP="00032B54">
            <w:pPr>
              <w:keepNext/>
              <w:adjustRightInd w:val="0"/>
              <w:spacing w:before="0" w:after="0"/>
              <w:jc w:val="center"/>
              <w:rPr>
                <w:rFonts w:cs="Arial"/>
                <w:b/>
                <w:bCs/>
                <w:color w:val="000000"/>
              </w:rPr>
            </w:pPr>
            <w:r w:rsidRPr="004F5D19">
              <w:rPr>
                <w:b/>
                <w:bCs/>
                <w:color w:val="000000"/>
              </w:rPr>
              <w:t>12</w:t>
            </w:r>
            <w:r>
              <w:rPr>
                <w:b/>
                <w:bCs/>
                <w:color w:val="000000"/>
              </w:rPr>
              <w:t>,</w:t>
            </w:r>
            <w:r w:rsidRPr="004F5D19">
              <w:rPr>
                <w:b/>
                <w:bCs/>
                <w:color w:val="000000"/>
              </w:rPr>
              <w:t>435</w:t>
            </w:r>
          </w:p>
        </w:tc>
      </w:tr>
      <w:tr w:rsidR="00327D59" w:rsidRPr="00A72F4E" w14:paraId="01B3E336" w14:textId="77777777" w:rsidTr="00032B54">
        <w:trPr>
          <w:cantSplit/>
        </w:trPr>
        <w:tc>
          <w:tcPr>
            <w:tcW w:w="2381" w:type="dxa"/>
            <w:tcBorders>
              <w:top w:val="single" w:sz="4" w:space="0" w:color="auto"/>
              <w:left w:val="nil"/>
              <w:bottom w:val="single" w:sz="4" w:space="0" w:color="auto"/>
              <w:right w:val="nil"/>
            </w:tcBorders>
            <w:shd w:val="clear" w:color="auto" w:fill="FFFFFF" w:themeFill="background1"/>
            <w:tcMar>
              <w:left w:w="60" w:type="dxa"/>
              <w:right w:w="60" w:type="dxa"/>
            </w:tcMar>
          </w:tcPr>
          <w:p w14:paraId="3F9EA089" w14:textId="77777777" w:rsidR="00327D59" w:rsidRPr="001372BB" w:rsidRDefault="00327D59" w:rsidP="00032B54">
            <w:pPr>
              <w:spacing w:before="0" w:after="0"/>
              <w:rPr>
                <w:rFonts w:eastAsiaTheme="minorHAnsi" w:cs="Arial"/>
                <w:b/>
                <w:szCs w:val="20"/>
                <w:lang w:eastAsia="en-US"/>
              </w:rPr>
            </w:pPr>
            <w:r w:rsidRPr="001372BB">
              <w:rPr>
                <w:rFonts w:eastAsiaTheme="minorHAnsi" w:cs="Arial"/>
                <w:b/>
                <w:szCs w:val="20"/>
                <w:lang w:eastAsia="en-US"/>
              </w:rPr>
              <w:t>RESPONSE RATE (%)</w:t>
            </w:r>
          </w:p>
        </w:tc>
        <w:tc>
          <w:tcPr>
            <w:tcW w:w="1134" w:type="dxa"/>
            <w:tcBorders>
              <w:top w:val="single" w:sz="4" w:space="0" w:color="auto"/>
              <w:left w:val="nil"/>
              <w:bottom w:val="single" w:sz="4" w:space="0" w:color="auto"/>
              <w:right w:val="nil"/>
            </w:tcBorders>
            <w:shd w:val="clear" w:color="auto" w:fill="FFFFFF" w:themeFill="background1"/>
            <w:tcMar>
              <w:left w:w="60" w:type="dxa"/>
              <w:right w:w="60" w:type="dxa"/>
            </w:tcMar>
          </w:tcPr>
          <w:p w14:paraId="43818F3F" w14:textId="77777777" w:rsidR="00327D59" w:rsidRPr="004F5D19" w:rsidRDefault="00327D59" w:rsidP="00032B54">
            <w:pPr>
              <w:adjustRightInd w:val="0"/>
              <w:spacing w:before="0" w:after="0"/>
              <w:jc w:val="center"/>
              <w:rPr>
                <w:rFonts w:cs="Arial"/>
                <w:b/>
                <w:bCs/>
                <w:color w:val="000000"/>
                <w:szCs w:val="20"/>
              </w:rPr>
            </w:pPr>
            <w:r w:rsidRPr="004F5D19">
              <w:rPr>
                <w:b/>
                <w:bCs/>
                <w:color w:val="000000"/>
              </w:rPr>
              <w:t>69.2%</w:t>
            </w:r>
          </w:p>
        </w:tc>
        <w:tc>
          <w:tcPr>
            <w:tcW w:w="1134" w:type="dxa"/>
            <w:tcBorders>
              <w:top w:val="single" w:sz="4" w:space="0" w:color="auto"/>
              <w:left w:val="nil"/>
              <w:bottom w:val="single" w:sz="4" w:space="0" w:color="auto"/>
              <w:right w:val="nil"/>
            </w:tcBorders>
            <w:shd w:val="clear" w:color="auto" w:fill="FFFFFF" w:themeFill="background1"/>
            <w:tcMar>
              <w:left w:w="60" w:type="dxa"/>
              <w:right w:w="60" w:type="dxa"/>
            </w:tcMar>
          </w:tcPr>
          <w:p w14:paraId="5C6137CE" w14:textId="77777777" w:rsidR="00327D59" w:rsidRPr="004F5D19" w:rsidRDefault="00327D59" w:rsidP="00032B54">
            <w:pPr>
              <w:adjustRightInd w:val="0"/>
              <w:spacing w:before="0" w:after="0"/>
              <w:jc w:val="center"/>
              <w:rPr>
                <w:rFonts w:cs="Arial"/>
                <w:b/>
                <w:bCs/>
                <w:color w:val="000000"/>
                <w:szCs w:val="20"/>
              </w:rPr>
            </w:pPr>
            <w:r w:rsidRPr="004F5D19">
              <w:rPr>
                <w:b/>
                <w:bCs/>
                <w:color w:val="000000"/>
              </w:rPr>
              <w:t>66.3%</w:t>
            </w:r>
          </w:p>
        </w:tc>
        <w:tc>
          <w:tcPr>
            <w:tcW w:w="1134" w:type="dxa"/>
            <w:tcBorders>
              <w:top w:val="single" w:sz="4" w:space="0" w:color="auto"/>
              <w:left w:val="nil"/>
              <w:bottom w:val="single" w:sz="4" w:space="0" w:color="auto"/>
              <w:right w:val="nil"/>
            </w:tcBorders>
            <w:shd w:val="clear" w:color="auto" w:fill="FFFFFF" w:themeFill="background1"/>
            <w:tcMar>
              <w:left w:w="60" w:type="dxa"/>
              <w:right w:w="60" w:type="dxa"/>
            </w:tcMar>
          </w:tcPr>
          <w:p w14:paraId="18A6C476" w14:textId="77777777" w:rsidR="00327D59" w:rsidRPr="004F5D19" w:rsidRDefault="00327D59" w:rsidP="00032B54">
            <w:pPr>
              <w:adjustRightInd w:val="0"/>
              <w:spacing w:before="0" w:after="0"/>
              <w:jc w:val="center"/>
              <w:rPr>
                <w:rFonts w:cs="Arial"/>
                <w:b/>
                <w:bCs/>
                <w:color w:val="000000"/>
                <w:szCs w:val="20"/>
              </w:rPr>
            </w:pPr>
            <w:r w:rsidRPr="004F5D19">
              <w:rPr>
                <w:b/>
                <w:bCs/>
                <w:color w:val="000000"/>
              </w:rPr>
              <w:t>68.3%</w:t>
            </w:r>
          </w:p>
        </w:tc>
        <w:tc>
          <w:tcPr>
            <w:tcW w:w="1134" w:type="dxa"/>
            <w:tcBorders>
              <w:top w:val="single" w:sz="4" w:space="0" w:color="auto"/>
              <w:left w:val="nil"/>
              <w:bottom w:val="single" w:sz="4" w:space="0" w:color="auto"/>
              <w:right w:val="nil"/>
            </w:tcBorders>
            <w:shd w:val="clear" w:color="auto" w:fill="FFFFFF" w:themeFill="background1"/>
            <w:tcMar>
              <w:left w:w="60" w:type="dxa"/>
              <w:right w:w="60" w:type="dxa"/>
            </w:tcMar>
          </w:tcPr>
          <w:p w14:paraId="50CBA88D" w14:textId="77777777" w:rsidR="00327D59" w:rsidRPr="004F5D19" w:rsidRDefault="00327D59" w:rsidP="00032B54">
            <w:pPr>
              <w:adjustRightInd w:val="0"/>
              <w:spacing w:before="0" w:after="0"/>
              <w:jc w:val="center"/>
              <w:rPr>
                <w:rFonts w:cs="Arial"/>
                <w:b/>
                <w:bCs/>
                <w:color w:val="000000"/>
                <w:szCs w:val="20"/>
              </w:rPr>
            </w:pPr>
            <w:r w:rsidRPr="004F5D19">
              <w:rPr>
                <w:b/>
                <w:bCs/>
                <w:color w:val="000000"/>
              </w:rPr>
              <w:t>62.0%</w:t>
            </w:r>
          </w:p>
        </w:tc>
        <w:tc>
          <w:tcPr>
            <w:tcW w:w="1134" w:type="dxa"/>
            <w:tcBorders>
              <w:top w:val="single" w:sz="4" w:space="0" w:color="auto"/>
              <w:left w:val="nil"/>
              <w:bottom w:val="single" w:sz="4" w:space="0" w:color="auto"/>
              <w:right w:val="nil"/>
            </w:tcBorders>
            <w:shd w:val="clear" w:color="auto" w:fill="FFFFFF" w:themeFill="background1"/>
            <w:tcMar>
              <w:left w:w="60" w:type="dxa"/>
              <w:right w:w="60" w:type="dxa"/>
            </w:tcMar>
          </w:tcPr>
          <w:p w14:paraId="300E0037" w14:textId="77777777" w:rsidR="00327D59" w:rsidRPr="004F5D19" w:rsidRDefault="00327D59" w:rsidP="00032B54">
            <w:pPr>
              <w:adjustRightInd w:val="0"/>
              <w:spacing w:before="0" w:after="0"/>
              <w:jc w:val="center"/>
              <w:rPr>
                <w:rFonts w:cs="Arial"/>
                <w:b/>
                <w:bCs/>
                <w:color w:val="000000"/>
                <w:szCs w:val="20"/>
              </w:rPr>
            </w:pPr>
            <w:r w:rsidRPr="004F5D19">
              <w:rPr>
                <w:b/>
                <w:bCs/>
                <w:color w:val="000000"/>
              </w:rPr>
              <w:t>61.6%</w:t>
            </w:r>
          </w:p>
        </w:tc>
        <w:tc>
          <w:tcPr>
            <w:tcW w:w="1134" w:type="dxa"/>
            <w:tcBorders>
              <w:top w:val="single" w:sz="4" w:space="0" w:color="auto"/>
              <w:left w:val="nil"/>
              <w:bottom w:val="single" w:sz="4" w:space="0" w:color="auto"/>
              <w:right w:val="nil"/>
            </w:tcBorders>
            <w:shd w:val="clear" w:color="auto" w:fill="FFFFFF" w:themeFill="background1"/>
            <w:tcMar>
              <w:left w:w="60" w:type="dxa"/>
              <w:right w:w="60" w:type="dxa"/>
            </w:tcMar>
          </w:tcPr>
          <w:p w14:paraId="242B1367" w14:textId="77777777" w:rsidR="00327D59" w:rsidRPr="004F5D19" w:rsidRDefault="00327D59" w:rsidP="00032B54">
            <w:pPr>
              <w:adjustRightInd w:val="0"/>
              <w:spacing w:before="0" w:after="0"/>
              <w:jc w:val="center"/>
              <w:rPr>
                <w:rFonts w:cs="Arial"/>
                <w:b/>
                <w:bCs/>
                <w:color w:val="000000"/>
                <w:szCs w:val="20"/>
              </w:rPr>
            </w:pPr>
            <w:r w:rsidRPr="004F5D19">
              <w:rPr>
                <w:b/>
                <w:bCs/>
                <w:color w:val="000000"/>
              </w:rPr>
              <w:t>56.6%</w:t>
            </w:r>
          </w:p>
        </w:tc>
        <w:tc>
          <w:tcPr>
            <w:tcW w:w="1134" w:type="dxa"/>
            <w:tcBorders>
              <w:top w:val="single" w:sz="4" w:space="0" w:color="auto"/>
              <w:left w:val="nil"/>
              <w:bottom w:val="single" w:sz="4" w:space="0" w:color="auto"/>
              <w:right w:val="nil"/>
            </w:tcBorders>
            <w:shd w:val="clear" w:color="auto" w:fill="FFFFFF" w:themeFill="background1"/>
          </w:tcPr>
          <w:p w14:paraId="23940C98" w14:textId="77777777" w:rsidR="00327D59" w:rsidRPr="004F5D19" w:rsidRDefault="00327D59" w:rsidP="00032B54">
            <w:pPr>
              <w:adjustRightInd w:val="0"/>
              <w:spacing w:before="0" w:after="0"/>
              <w:jc w:val="center"/>
              <w:rPr>
                <w:rFonts w:cs="Arial"/>
                <w:b/>
                <w:bCs/>
                <w:color w:val="000000"/>
              </w:rPr>
            </w:pPr>
            <w:r w:rsidRPr="004F5D19">
              <w:rPr>
                <w:b/>
                <w:bCs/>
                <w:color w:val="000000"/>
              </w:rPr>
              <w:t>57.3%</w:t>
            </w:r>
          </w:p>
        </w:tc>
      </w:tr>
    </w:tbl>
    <w:p w14:paraId="6D2046BC" w14:textId="77777777" w:rsidR="00327D59" w:rsidRPr="00A72F4E" w:rsidRDefault="00327D59" w:rsidP="00327D59">
      <w:pPr>
        <w:spacing w:before="0" w:line="240" w:lineRule="auto"/>
      </w:pPr>
      <w:r w:rsidRPr="00901558">
        <w:t>*</w:t>
      </w:r>
      <w:proofErr w:type="gramStart"/>
      <w:r w:rsidRPr="00901558">
        <w:t>as</w:t>
      </w:r>
      <w:proofErr w:type="gramEnd"/>
      <w:r w:rsidRPr="00901558">
        <w:t xml:space="preserve"> at 27 July 2022</w:t>
      </w:r>
      <w:r>
        <w:t xml:space="preserve"> </w:t>
      </w:r>
    </w:p>
    <w:p w14:paraId="0A469C61" w14:textId="77777777" w:rsidR="00327D59" w:rsidRDefault="00327D59" w:rsidP="00327D59">
      <w:pPr>
        <w:spacing w:before="0" w:after="40"/>
        <w:rPr>
          <w:rFonts w:cs="Arial"/>
        </w:rPr>
        <w:sectPr w:rsidR="00327D59" w:rsidSect="00BF6319">
          <w:type w:val="continuous"/>
          <w:pgSz w:w="11906" w:h="16838"/>
          <w:pgMar w:top="720" w:right="720" w:bottom="720" w:left="720" w:header="708" w:footer="708" w:gutter="0"/>
          <w:cols w:space="720"/>
          <w:docGrid w:linePitch="272"/>
        </w:sectPr>
      </w:pPr>
    </w:p>
    <w:p w14:paraId="51E9E604" w14:textId="77777777" w:rsidR="00327D59" w:rsidRPr="00A72F4E" w:rsidRDefault="00327D59" w:rsidP="00327D59">
      <w:pPr>
        <w:spacing w:before="0" w:after="40"/>
        <w:rPr>
          <w:rFonts w:cs="Arial"/>
        </w:rPr>
      </w:pPr>
    </w:p>
    <w:bookmarkEnd w:id="642"/>
    <w:p w14:paraId="152A0AD0" w14:textId="77777777" w:rsidR="00327D59" w:rsidRDefault="00327D59" w:rsidP="00327D59">
      <w:pPr>
        <w:spacing w:before="0" w:after="0"/>
        <w:rPr>
          <w:rFonts w:cs="Arial"/>
          <w:b/>
          <w:u w:val="single"/>
        </w:rPr>
        <w:sectPr w:rsidR="00327D59" w:rsidSect="006C5F4A">
          <w:type w:val="continuous"/>
          <w:pgSz w:w="11906" w:h="16838"/>
          <w:pgMar w:top="1440" w:right="1440" w:bottom="1440" w:left="1440" w:header="708" w:footer="708" w:gutter="0"/>
          <w:cols w:space="720"/>
          <w:docGrid w:linePitch="272"/>
        </w:sectPr>
      </w:pPr>
      <w:r w:rsidRPr="00A72F4E">
        <w:rPr>
          <w:rFonts w:cs="Arial"/>
          <w:b/>
          <w:u w:val="single"/>
        </w:rPr>
        <w:br w:type="page"/>
      </w:r>
    </w:p>
    <w:p w14:paraId="08ED7B7F" w14:textId="77777777" w:rsidR="00327D59" w:rsidRPr="00A72F4E" w:rsidRDefault="00327D59" w:rsidP="00327D59">
      <w:pPr>
        <w:pStyle w:val="Heading3"/>
        <w:spacing w:line="240" w:lineRule="auto"/>
        <w:jc w:val="left"/>
      </w:pPr>
      <w:bookmarkStart w:id="643" w:name="_Toc491786559"/>
      <w:bookmarkStart w:id="644" w:name="_Toc521319372"/>
      <w:bookmarkStart w:id="645" w:name="_Toc34753631"/>
      <w:bookmarkStart w:id="646" w:name="_Toc87012455"/>
      <w:bookmarkStart w:id="647" w:name="_Toc124762779"/>
      <w:bookmarkStart w:id="648" w:name="_Hlk118209944"/>
      <w:r w:rsidRPr="00A72F4E">
        <w:lastRenderedPageBreak/>
        <w:t>1946-51 cohort</w:t>
      </w:r>
      <w:bookmarkEnd w:id="643"/>
      <w:bookmarkEnd w:id="644"/>
      <w:bookmarkEnd w:id="645"/>
      <w:bookmarkEnd w:id="646"/>
      <w:bookmarkEnd w:id="647"/>
    </w:p>
    <w:p w14:paraId="19A777E1" w14:textId="2764FB61" w:rsidR="00327D59" w:rsidRDefault="00327D59" w:rsidP="00327D59">
      <w:r>
        <w:t xml:space="preserve">Retention has been much higher among the 1946-51 cohort of women: 92% responded to Survey 2 in 1998, 85% responded to Survey 3 in 2001, Survey 4 in 2004 and Survey 5 in 2007, 83% </w:t>
      </w:r>
      <w:r w:rsidRPr="002B4232">
        <w:t xml:space="preserve">responded to Survey 6 in 2010, 81% responded to Survey 7 in 2013, 80% responded to Survey 8 in 2016, with 77% responding to the ninth survey deployed in 2019 (See </w:t>
      </w:r>
      <w:r w:rsidRPr="00327D59">
        <w:fldChar w:fldCharType="begin"/>
      </w:r>
      <w:r w:rsidRPr="00327D59">
        <w:instrText xml:space="preserve"> REF _Ref113717220 \h  \* MERGEFORMAT </w:instrText>
      </w:r>
      <w:r w:rsidRPr="00327D59">
        <w:fldChar w:fldCharType="separate"/>
      </w:r>
      <w:r w:rsidR="007D19D7" w:rsidRPr="007D19D7">
        <w:t xml:space="preserve">Table </w:t>
      </w:r>
      <w:r w:rsidR="007D19D7" w:rsidRPr="007D19D7">
        <w:rPr>
          <w:noProof/>
        </w:rPr>
        <w:t>4</w:t>
      </w:r>
      <w:r w:rsidR="007D19D7" w:rsidRPr="007D19D7">
        <w:rPr>
          <w:noProof/>
        </w:rPr>
        <w:noBreakHyphen/>
        <w:t>2</w:t>
      </w:r>
      <w:r w:rsidRPr="00327D59">
        <w:fldChar w:fldCharType="end"/>
      </w:r>
      <w:r w:rsidRPr="00327D59">
        <w:t>).</w:t>
      </w:r>
      <w:r>
        <w:t xml:space="preserve"> </w:t>
      </w:r>
      <w:r w:rsidRPr="002B4232">
        <w:t>The major reason for non-response among the 1946-51 cohort has been that the research team has been unable to contact the women (6% to 16% of eligible women between Survey 2 and Survey 9).</w:t>
      </w:r>
      <w:bookmarkStart w:id="649" w:name="_Ref491781650"/>
      <w:bookmarkStart w:id="650" w:name="_Toc492995408"/>
      <w:bookmarkStart w:id="651" w:name="_Toc18931513"/>
      <w:bookmarkStart w:id="652" w:name="_Toc56156863"/>
    </w:p>
    <w:p w14:paraId="48AEA3D1" w14:textId="77777777" w:rsidR="00327D59" w:rsidRPr="002B4232" w:rsidRDefault="00327D59" w:rsidP="00327D59">
      <w:r>
        <w:t>The tenth survey for this cohort was deployed in mid-2022, with data collection anticipated to close in 2023.</w:t>
      </w:r>
    </w:p>
    <w:p w14:paraId="6ECF61CA" w14:textId="77777777" w:rsidR="00327D59" w:rsidRDefault="00327D59" w:rsidP="00327D59">
      <w:pPr>
        <w:pStyle w:val="2012TechReportBodytext"/>
        <w:rPr>
          <w:b/>
          <w:bCs/>
          <w:szCs w:val="20"/>
        </w:rPr>
      </w:pPr>
    </w:p>
    <w:p w14:paraId="24E76C8F" w14:textId="649D8843" w:rsidR="00327D59" w:rsidRPr="00327D59" w:rsidRDefault="00327D59" w:rsidP="00327D59">
      <w:pPr>
        <w:rPr>
          <w:b/>
          <w:bCs/>
        </w:rPr>
      </w:pPr>
      <w:bookmarkStart w:id="653" w:name="_Ref113717220"/>
      <w:bookmarkStart w:id="654" w:name="_Toc87869417"/>
      <w:bookmarkEnd w:id="649"/>
      <w:r w:rsidRPr="00327D59">
        <w:rPr>
          <w:b/>
          <w:bCs/>
        </w:rPr>
        <w:t xml:space="preserve">Table </w:t>
      </w:r>
      <w:r>
        <w:rPr>
          <w:b/>
          <w:bCs/>
        </w:rPr>
        <w:fldChar w:fldCharType="begin"/>
      </w:r>
      <w:r>
        <w:rPr>
          <w:b/>
          <w:bCs/>
        </w:rPr>
        <w:instrText xml:space="preserve"> STYLEREF 1 \s </w:instrText>
      </w:r>
      <w:r>
        <w:rPr>
          <w:b/>
          <w:bCs/>
        </w:rPr>
        <w:fldChar w:fldCharType="separate"/>
      </w:r>
      <w:r w:rsidR="007D19D7">
        <w:rPr>
          <w:b/>
          <w:bCs/>
          <w:noProof/>
        </w:rPr>
        <w:t>4</w:t>
      </w:r>
      <w:r>
        <w:rPr>
          <w:b/>
          <w:bCs/>
        </w:rPr>
        <w:fldChar w:fldCharType="end"/>
      </w:r>
      <w:r>
        <w:rPr>
          <w:b/>
          <w:bCs/>
        </w:rPr>
        <w:noBreakHyphen/>
      </w:r>
      <w:r>
        <w:rPr>
          <w:b/>
          <w:bCs/>
        </w:rPr>
        <w:fldChar w:fldCharType="begin"/>
      </w:r>
      <w:r>
        <w:rPr>
          <w:b/>
          <w:bCs/>
        </w:rPr>
        <w:instrText xml:space="preserve"> SEQ Table \* ARABIC \s 1 </w:instrText>
      </w:r>
      <w:r>
        <w:rPr>
          <w:b/>
          <w:bCs/>
        </w:rPr>
        <w:fldChar w:fldCharType="separate"/>
      </w:r>
      <w:r w:rsidR="007D19D7">
        <w:rPr>
          <w:b/>
          <w:bCs/>
          <w:noProof/>
        </w:rPr>
        <w:t>2</w:t>
      </w:r>
      <w:r>
        <w:rPr>
          <w:b/>
          <w:bCs/>
        </w:rPr>
        <w:fldChar w:fldCharType="end"/>
      </w:r>
      <w:bookmarkEnd w:id="653"/>
      <w:r w:rsidRPr="00327D59">
        <w:rPr>
          <w:b/>
          <w:bCs/>
        </w:rPr>
        <w:t xml:space="preserve"> Participation and retention of 13,714 women in the 1946-51 cohort of women who were 45-50 years old at the first survey in 1996*</w:t>
      </w:r>
      <w:bookmarkEnd w:id="650"/>
      <w:bookmarkEnd w:id="651"/>
      <w:bookmarkEnd w:id="652"/>
      <w:bookmarkEnd w:id="654"/>
    </w:p>
    <w:tbl>
      <w:tblPr>
        <w:tblW w:w="13750" w:type="dxa"/>
        <w:tblBorders>
          <w:top w:val="single" w:sz="4" w:space="0" w:color="auto"/>
          <w:bottom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127"/>
        <w:gridCol w:w="1452"/>
        <w:gridCol w:w="1453"/>
        <w:gridCol w:w="1453"/>
        <w:gridCol w:w="1453"/>
        <w:gridCol w:w="1453"/>
        <w:gridCol w:w="1453"/>
        <w:gridCol w:w="1453"/>
        <w:gridCol w:w="1453"/>
      </w:tblGrid>
      <w:tr w:rsidR="00327D59" w:rsidRPr="00A72F4E" w14:paraId="6233D7EB" w14:textId="77777777" w:rsidTr="00032B54">
        <w:trPr>
          <w:cantSplit/>
          <w:tblHeader/>
        </w:trPr>
        <w:tc>
          <w:tcPr>
            <w:tcW w:w="2127" w:type="dxa"/>
            <w:tcBorders>
              <w:top w:val="single" w:sz="4" w:space="0" w:color="auto"/>
              <w:bottom w:val="single" w:sz="4" w:space="0" w:color="auto"/>
            </w:tcBorders>
            <w:shd w:val="clear" w:color="auto" w:fill="E5DFEC"/>
            <w:tcMar>
              <w:left w:w="60" w:type="dxa"/>
              <w:right w:w="60" w:type="dxa"/>
            </w:tcMar>
            <w:vAlign w:val="bottom"/>
          </w:tcPr>
          <w:p w14:paraId="5D3C6C42" w14:textId="77777777" w:rsidR="00327D59" w:rsidRPr="00767CE4" w:rsidRDefault="00327D59" w:rsidP="00032B54">
            <w:pPr>
              <w:spacing w:before="0" w:after="0"/>
              <w:jc w:val="right"/>
              <w:rPr>
                <w:rFonts w:eastAsiaTheme="minorHAnsi"/>
                <w:b/>
                <w:lang w:eastAsia="en-US"/>
              </w:rPr>
            </w:pPr>
            <w:r w:rsidRPr="00767CE4">
              <w:rPr>
                <w:rFonts w:eastAsiaTheme="minorHAnsi"/>
                <w:b/>
                <w:lang w:eastAsia="en-US"/>
              </w:rPr>
              <w:t>Year</w:t>
            </w:r>
          </w:p>
          <w:p w14:paraId="721216A9" w14:textId="77777777" w:rsidR="00327D59" w:rsidRPr="00767CE4" w:rsidRDefault="00327D59" w:rsidP="00032B54">
            <w:pPr>
              <w:spacing w:before="0" w:after="0"/>
              <w:jc w:val="right"/>
              <w:rPr>
                <w:rFonts w:eastAsiaTheme="minorHAnsi"/>
                <w:b/>
                <w:lang w:eastAsia="en-US"/>
              </w:rPr>
            </w:pPr>
            <w:r w:rsidRPr="00767CE4">
              <w:rPr>
                <w:rFonts w:eastAsiaTheme="minorHAnsi"/>
                <w:b/>
                <w:lang w:eastAsia="en-US"/>
              </w:rPr>
              <w:t>Survey</w:t>
            </w:r>
          </w:p>
          <w:p w14:paraId="3AFC46CF" w14:textId="77777777" w:rsidR="00327D59" w:rsidRPr="00A72F4E" w:rsidRDefault="00327D59" w:rsidP="00032B54">
            <w:pPr>
              <w:keepNext/>
              <w:adjustRightInd w:val="0"/>
              <w:spacing w:before="0" w:after="0"/>
              <w:jc w:val="right"/>
              <w:rPr>
                <w:rFonts w:eastAsiaTheme="minorHAnsi" w:cs="Arial"/>
                <w:b/>
                <w:bCs/>
                <w:color w:val="000000"/>
                <w:szCs w:val="20"/>
                <w:lang w:eastAsia="en-US"/>
              </w:rPr>
            </w:pPr>
            <w:r w:rsidRPr="00767CE4">
              <w:rPr>
                <w:rFonts w:eastAsiaTheme="minorHAnsi"/>
                <w:b/>
                <w:lang w:eastAsia="en-US"/>
              </w:rPr>
              <w:t>(</w:t>
            </w:r>
            <w:proofErr w:type="gramStart"/>
            <w:r w:rsidRPr="00767CE4">
              <w:rPr>
                <w:rFonts w:eastAsiaTheme="minorHAnsi"/>
                <w:b/>
                <w:lang w:eastAsia="en-US"/>
              </w:rPr>
              <w:t>age</w:t>
            </w:r>
            <w:proofErr w:type="gramEnd"/>
            <w:r w:rsidRPr="00767CE4">
              <w:rPr>
                <w:rFonts w:eastAsiaTheme="minorHAnsi"/>
                <w:b/>
                <w:lang w:eastAsia="en-US"/>
              </w:rPr>
              <w:t xml:space="preserve"> range)</w:t>
            </w:r>
          </w:p>
        </w:tc>
        <w:tc>
          <w:tcPr>
            <w:tcW w:w="1452" w:type="dxa"/>
            <w:tcBorders>
              <w:top w:val="single" w:sz="4" w:space="0" w:color="auto"/>
              <w:bottom w:val="single" w:sz="4" w:space="0" w:color="auto"/>
            </w:tcBorders>
            <w:shd w:val="clear" w:color="auto" w:fill="E5DFEC"/>
            <w:tcMar>
              <w:left w:w="60" w:type="dxa"/>
              <w:right w:w="60" w:type="dxa"/>
            </w:tcMar>
            <w:vAlign w:val="bottom"/>
          </w:tcPr>
          <w:p w14:paraId="7B353EF3" w14:textId="77777777" w:rsidR="00327D59" w:rsidRDefault="00327D59" w:rsidP="00032B54">
            <w:pPr>
              <w:keepNext/>
              <w:adjustRightInd w:val="0"/>
              <w:spacing w:before="0" w:after="0"/>
              <w:jc w:val="center"/>
              <w:rPr>
                <w:rFonts w:eastAsiaTheme="minorHAnsi" w:cs="Arial"/>
                <w:b/>
                <w:bCs/>
                <w:color w:val="000000"/>
                <w:szCs w:val="20"/>
                <w:lang w:eastAsia="en-US"/>
              </w:rPr>
            </w:pPr>
            <w:r>
              <w:rPr>
                <w:rFonts w:eastAsiaTheme="minorHAnsi" w:cs="Arial"/>
                <w:b/>
                <w:bCs/>
                <w:color w:val="000000"/>
                <w:szCs w:val="20"/>
                <w:lang w:eastAsia="en-US"/>
              </w:rPr>
              <w:t>1998</w:t>
            </w:r>
          </w:p>
          <w:p w14:paraId="44BCE29E" w14:textId="77777777" w:rsidR="00327D59"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 xml:space="preserve">Survey 2 </w:t>
            </w:r>
          </w:p>
          <w:p w14:paraId="1D4EA86F" w14:textId="77777777" w:rsidR="00327D59" w:rsidRPr="00A72F4E"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(47-52)</w:t>
            </w:r>
          </w:p>
        </w:tc>
        <w:tc>
          <w:tcPr>
            <w:tcW w:w="1453" w:type="dxa"/>
            <w:tcBorders>
              <w:top w:val="single" w:sz="4" w:space="0" w:color="auto"/>
              <w:bottom w:val="single" w:sz="4" w:space="0" w:color="auto"/>
            </w:tcBorders>
            <w:shd w:val="clear" w:color="auto" w:fill="E5DFEC"/>
            <w:tcMar>
              <w:left w:w="60" w:type="dxa"/>
              <w:right w:w="60" w:type="dxa"/>
            </w:tcMar>
            <w:vAlign w:val="bottom"/>
          </w:tcPr>
          <w:p w14:paraId="6DA0666A" w14:textId="77777777" w:rsidR="00327D59" w:rsidRDefault="00327D59" w:rsidP="00032B54">
            <w:pPr>
              <w:keepNext/>
              <w:adjustRightInd w:val="0"/>
              <w:spacing w:before="0" w:after="0"/>
              <w:jc w:val="center"/>
              <w:rPr>
                <w:rFonts w:eastAsiaTheme="minorHAnsi" w:cs="Arial"/>
                <w:b/>
                <w:bCs/>
                <w:color w:val="000000"/>
                <w:szCs w:val="20"/>
                <w:lang w:eastAsia="en-US"/>
              </w:rPr>
            </w:pPr>
            <w:r>
              <w:rPr>
                <w:rFonts w:eastAsiaTheme="minorHAnsi" w:cs="Arial"/>
                <w:b/>
                <w:bCs/>
                <w:color w:val="000000"/>
                <w:szCs w:val="20"/>
                <w:lang w:eastAsia="en-US"/>
              </w:rPr>
              <w:t>2001</w:t>
            </w:r>
          </w:p>
          <w:p w14:paraId="3D85E446" w14:textId="77777777" w:rsidR="00327D59"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 xml:space="preserve">Survey 3 </w:t>
            </w:r>
          </w:p>
          <w:p w14:paraId="54931D55" w14:textId="77777777" w:rsidR="00327D59" w:rsidRPr="00A72F4E"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(50-55)</w:t>
            </w:r>
          </w:p>
        </w:tc>
        <w:tc>
          <w:tcPr>
            <w:tcW w:w="1453" w:type="dxa"/>
            <w:tcBorders>
              <w:top w:val="single" w:sz="4" w:space="0" w:color="auto"/>
              <w:bottom w:val="single" w:sz="4" w:space="0" w:color="auto"/>
            </w:tcBorders>
            <w:shd w:val="clear" w:color="auto" w:fill="E5DFEC"/>
            <w:tcMar>
              <w:left w:w="60" w:type="dxa"/>
              <w:right w:w="60" w:type="dxa"/>
            </w:tcMar>
            <w:vAlign w:val="bottom"/>
          </w:tcPr>
          <w:p w14:paraId="2AD91FCB" w14:textId="77777777" w:rsidR="00327D59" w:rsidRDefault="00327D59" w:rsidP="00032B54">
            <w:pPr>
              <w:keepNext/>
              <w:adjustRightInd w:val="0"/>
              <w:spacing w:before="0" w:after="0"/>
              <w:jc w:val="center"/>
              <w:rPr>
                <w:rFonts w:eastAsiaTheme="minorHAnsi" w:cs="Arial"/>
                <w:b/>
                <w:bCs/>
                <w:color w:val="000000"/>
                <w:szCs w:val="20"/>
                <w:lang w:eastAsia="en-US"/>
              </w:rPr>
            </w:pPr>
            <w:r>
              <w:rPr>
                <w:rFonts w:eastAsiaTheme="minorHAnsi" w:cs="Arial"/>
                <w:b/>
                <w:bCs/>
                <w:color w:val="000000"/>
                <w:szCs w:val="20"/>
                <w:lang w:eastAsia="en-US"/>
              </w:rPr>
              <w:t>2004</w:t>
            </w:r>
          </w:p>
          <w:p w14:paraId="66A58762" w14:textId="77777777" w:rsidR="00327D59"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 xml:space="preserve">Survey 4 </w:t>
            </w:r>
          </w:p>
          <w:p w14:paraId="7747B63B" w14:textId="77777777" w:rsidR="00327D59" w:rsidRPr="00A72F4E"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(53-58)</w:t>
            </w:r>
          </w:p>
        </w:tc>
        <w:tc>
          <w:tcPr>
            <w:tcW w:w="1453" w:type="dxa"/>
            <w:tcBorders>
              <w:top w:val="single" w:sz="4" w:space="0" w:color="auto"/>
              <w:bottom w:val="single" w:sz="4" w:space="0" w:color="auto"/>
            </w:tcBorders>
            <w:shd w:val="clear" w:color="auto" w:fill="E5DFEC"/>
            <w:tcMar>
              <w:left w:w="60" w:type="dxa"/>
              <w:right w:w="60" w:type="dxa"/>
            </w:tcMar>
            <w:vAlign w:val="bottom"/>
          </w:tcPr>
          <w:p w14:paraId="1526EA66" w14:textId="77777777" w:rsidR="00327D59" w:rsidRDefault="00327D59" w:rsidP="00032B54">
            <w:pPr>
              <w:keepNext/>
              <w:adjustRightInd w:val="0"/>
              <w:spacing w:before="0" w:after="0"/>
              <w:jc w:val="center"/>
              <w:rPr>
                <w:rFonts w:eastAsiaTheme="minorHAnsi" w:cs="Arial"/>
                <w:b/>
                <w:bCs/>
                <w:color w:val="000000"/>
                <w:szCs w:val="20"/>
                <w:lang w:eastAsia="en-US"/>
              </w:rPr>
            </w:pPr>
            <w:r>
              <w:rPr>
                <w:rFonts w:eastAsiaTheme="minorHAnsi" w:cs="Arial"/>
                <w:b/>
                <w:bCs/>
                <w:color w:val="000000"/>
                <w:szCs w:val="20"/>
                <w:lang w:eastAsia="en-US"/>
              </w:rPr>
              <w:t>2007</w:t>
            </w:r>
          </w:p>
          <w:p w14:paraId="10FB135D" w14:textId="77777777" w:rsidR="00327D59"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 xml:space="preserve">Survey 5 </w:t>
            </w:r>
          </w:p>
          <w:p w14:paraId="0B229521" w14:textId="77777777" w:rsidR="00327D59" w:rsidRPr="00A72F4E"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(56-61)</w:t>
            </w:r>
          </w:p>
        </w:tc>
        <w:tc>
          <w:tcPr>
            <w:tcW w:w="1453" w:type="dxa"/>
            <w:tcBorders>
              <w:top w:val="single" w:sz="4" w:space="0" w:color="auto"/>
              <w:bottom w:val="single" w:sz="4" w:space="0" w:color="auto"/>
            </w:tcBorders>
            <w:shd w:val="clear" w:color="auto" w:fill="E5DFEC"/>
            <w:tcMar>
              <w:left w:w="60" w:type="dxa"/>
              <w:right w:w="60" w:type="dxa"/>
            </w:tcMar>
            <w:vAlign w:val="bottom"/>
          </w:tcPr>
          <w:p w14:paraId="48BFCB42" w14:textId="77777777" w:rsidR="00327D59" w:rsidRDefault="00327D59" w:rsidP="00032B54">
            <w:pPr>
              <w:keepNext/>
              <w:adjustRightInd w:val="0"/>
              <w:spacing w:before="0" w:after="0"/>
              <w:jc w:val="center"/>
              <w:rPr>
                <w:rFonts w:eastAsiaTheme="minorHAnsi" w:cs="Arial"/>
                <w:b/>
                <w:bCs/>
                <w:color w:val="000000"/>
                <w:szCs w:val="20"/>
                <w:lang w:eastAsia="en-US"/>
              </w:rPr>
            </w:pPr>
            <w:r>
              <w:rPr>
                <w:rFonts w:eastAsiaTheme="minorHAnsi" w:cs="Arial"/>
                <w:b/>
                <w:bCs/>
                <w:color w:val="000000"/>
                <w:szCs w:val="20"/>
                <w:lang w:eastAsia="en-US"/>
              </w:rPr>
              <w:t>2010</w:t>
            </w:r>
          </w:p>
          <w:p w14:paraId="00E58CA1" w14:textId="77777777" w:rsidR="00327D59"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 xml:space="preserve">Survey 6 </w:t>
            </w:r>
          </w:p>
          <w:p w14:paraId="0150B450" w14:textId="77777777" w:rsidR="00327D59" w:rsidRPr="00A72F4E"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(59-64)</w:t>
            </w:r>
          </w:p>
        </w:tc>
        <w:tc>
          <w:tcPr>
            <w:tcW w:w="1453" w:type="dxa"/>
            <w:tcBorders>
              <w:top w:val="single" w:sz="4" w:space="0" w:color="auto"/>
              <w:bottom w:val="single" w:sz="4" w:space="0" w:color="auto"/>
            </w:tcBorders>
            <w:shd w:val="clear" w:color="auto" w:fill="E5DFEC"/>
            <w:tcMar>
              <w:left w:w="60" w:type="dxa"/>
              <w:right w:w="60" w:type="dxa"/>
            </w:tcMar>
            <w:vAlign w:val="bottom"/>
          </w:tcPr>
          <w:p w14:paraId="102220E8" w14:textId="77777777" w:rsidR="00327D59" w:rsidRDefault="00327D59" w:rsidP="00032B54">
            <w:pPr>
              <w:keepNext/>
              <w:adjustRightInd w:val="0"/>
              <w:spacing w:before="0" w:after="0"/>
              <w:jc w:val="center"/>
              <w:rPr>
                <w:rFonts w:eastAsiaTheme="minorHAnsi" w:cs="Arial"/>
                <w:b/>
                <w:bCs/>
                <w:color w:val="000000"/>
                <w:szCs w:val="20"/>
                <w:lang w:eastAsia="en-US"/>
              </w:rPr>
            </w:pPr>
            <w:r>
              <w:rPr>
                <w:rFonts w:eastAsiaTheme="minorHAnsi" w:cs="Arial"/>
                <w:b/>
                <w:bCs/>
                <w:color w:val="000000"/>
                <w:szCs w:val="20"/>
                <w:lang w:eastAsia="en-US"/>
              </w:rPr>
              <w:t>2013</w:t>
            </w:r>
          </w:p>
          <w:p w14:paraId="085519F8" w14:textId="77777777" w:rsidR="00327D59"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 xml:space="preserve">Survey 7 </w:t>
            </w:r>
          </w:p>
          <w:p w14:paraId="43D1F455" w14:textId="77777777" w:rsidR="00327D59" w:rsidRPr="00A72F4E"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(62-67)</w:t>
            </w:r>
          </w:p>
        </w:tc>
        <w:tc>
          <w:tcPr>
            <w:tcW w:w="1453" w:type="dxa"/>
            <w:tcBorders>
              <w:top w:val="single" w:sz="4" w:space="0" w:color="auto"/>
              <w:bottom w:val="single" w:sz="4" w:space="0" w:color="auto"/>
            </w:tcBorders>
            <w:shd w:val="clear" w:color="auto" w:fill="E5DFEC"/>
          </w:tcPr>
          <w:p w14:paraId="689729AB" w14:textId="77777777" w:rsidR="00327D59" w:rsidRDefault="00327D59" w:rsidP="00032B54">
            <w:pPr>
              <w:keepNext/>
              <w:adjustRightInd w:val="0"/>
              <w:spacing w:before="0" w:after="0"/>
              <w:jc w:val="center"/>
              <w:rPr>
                <w:rFonts w:eastAsiaTheme="minorHAnsi" w:cs="Arial"/>
                <w:b/>
                <w:bCs/>
                <w:color w:val="000000"/>
                <w:szCs w:val="20"/>
                <w:lang w:eastAsia="en-US"/>
              </w:rPr>
            </w:pPr>
            <w:r>
              <w:rPr>
                <w:rFonts w:eastAsiaTheme="minorHAnsi" w:cs="Arial"/>
                <w:b/>
                <w:bCs/>
                <w:color w:val="000000"/>
                <w:szCs w:val="20"/>
                <w:lang w:eastAsia="en-US"/>
              </w:rPr>
              <w:t>2016</w:t>
            </w:r>
          </w:p>
          <w:p w14:paraId="0A2683E7" w14:textId="77777777" w:rsidR="00327D59"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 xml:space="preserve">Survey 8 </w:t>
            </w:r>
          </w:p>
          <w:p w14:paraId="029EF549" w14:textId="77777777" w:rsidR="00327D59" w:rsidRPr="00A72F4E"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(65-70)</w:t>
            </w:r>
          </w:p>
        </w:tc>
        <w:tc>
          <w:tcPr>
            <w:tcW w:w="1453" w:type="dxa"/>
            <w:tcBorders>
              <w:top w:val="single" w:sz="4" w:space="0" w:color="auto"/>
              <w:bottom w:val="single" w:sz="4" w:space="0" w:color="auto"/>
            </w:tcBorders>
            <w:shd w:val="clear" w:color="auto" w:fill="E5DFEC"/>
          </w:tcPr>
          <w:p w14:paraId="2734A61F" w14:textId="77777777" w:rsidR="00327D59" w:rsidRDefault="00327D59" w:rsidP="00032B54">
            <w:pPr>
              <w:keepNext/>
              <w:adjustRightInd w:val="0"/>
              <w:spacing w:before="0" w:after="0"/>
              <w:jc w:val="center"/>
              <w:rPr>
                <w:rFonts w:eastAsiaTheme="minorHAnsi" w:cs="Arial"/>
                <w:b/>
                <w:bCs/>
                <w:color w:val="000000"/>
                <w:szCs w:val="20"/>
                <w:lang w:eastAsia="en-US"/>
              </w:rPr>
            </w:pPr>
            <w:r>
              <w:rPr>
                <w:rFonts w:eastAsiaTheme="minorHAnsi" w:cs="Arial"/>
                <w:b/>
                <w:bCs/>
                <w:color w:val="000000"/>
                <w:szCs w:val="20"/>
                <w:lang w:eastAsia="en-US"/>
              </w:rPr>
              <w:t>2019</w:t>
            </w:r>
          </w:p>
          <w:p w14:paraId="29D5BA5F" w14:textId="77777777" w:rsidR="00327D59" w:rsidRDefault="00327D59" w:rsidP="00032B54">
            <w:pPr>
              <w:keepNext/>
              <w:adjustRightInd w:val="0"/>
              <w:spacing w:before="0" w:after="0"/>
              <w:jc w:val="center"/>
              <w:rPr>
                <w:rFonts w:eastAsiaTheme="minorHAnsi" w:cs="Arial"/>
                <w:b/>
                <w:bCs/>
                <w:color w:val="000000"/>
                <w:szCs w:val="20"/>
                <w:lang w:eastAsia="en-US"/>
              </w:rPr>
            </w:pPr>
            <w:r>
              <w:rPr>
                <w:rFonts w:eastAsiaTheme="minorHAnsi" w:cs="Arial"/>
                <w:b/>
                <w:bCs/>
                <w:color w:val="000000"/>
                <w:szCs w:val="20"/>
                <w:lang w:eastAsia="en-US"/>
              </w:rPr>
              <w:t>Survey 9</w:t>
            </w:r>
          </w:p>
          <w:p w14:paraId="075BA775" w14:textId="77777777" w:rsidR="00327D59" w:rsidRDefault="00327D59" w:rsidP="00032B54">
            <w:pPr>
              <w:keepNext/>
              <w:adjustRightInd w:val="0"/>
              <w:spacing w:before="0" w:after="0"/>
              <w:jc w:val="center"/>
              <w:rPr>
                <w:rFonts w:eastAsiaTheme="minorHAnsi" w:cs="Arial"/>
                <w:b/>
                <w:bCs/>
                <w:color w:val="000000"/>
                <w:szCs w:val="20"/>
                <w:lang w:eastAsia="en-US"/>
              </w:rPr>
            </w:pPr>
            <w:r>
              <w:rPr>
                <w:rFonts w:eastAsiaTheme="minorHAnsi" w:cs="Arial"/>
                <w:b/>
                <w:bCs/>
                <w:color w:val="000000"/>
                <w:szCs w:val="20"/>
                <w:lang w:eastAsia="en-US"/>
              </w:rPr>
              <w:t>(68-73)</w:t>
            </w:r>
          </w:p>
        </w:tc>
      </w:tr>
      <w:tr w:rsidR="00327D59" w:rsidRPr="00A72F4E" w14:paraId="32E4668D" w14:textId="77777777" w:rsidTr="00032B54">
        <w:trPr>
          <w:cantSplit/>
        </w:trPr>
        <w:tc>
          <w:tcPr>
            <w:tcW w:w="2127" w:type="dxa"/>
            <w:tcBorders>
              <w:top w:val="single" w:sz="4" w:space="0" w:color="auto"/>
            </w:tcBorders>
            <w:shd w:val="clear" w:color="auto" w:fill="FFFFFF" w:themeFill="background1"/>
            <w:tcMar>
              <w:left w:w="60" w:type="dxa"/>
              <w:right w:w="60" w:type="dxa"/>
            </w:tcMar>
          </w:tcPr>
          <w:p w14:paraId="79EF36D9" w14:textId="77777777" w:rsidR="00327D59" w:rsidRPr="00A72F4E" w:rsidRDefault="00327D59" w:rsidP="00032B54">
            <w:pPr>
              <w:spacing w:before="0" w:after="0"/>
              <w:rPr>
                <w:rFonts w:eastAsiaTheme="minorHAnsi"/>
                <w:lang w:eastAsia="en-US"/>
              </w:rPr>
            </w:pPr>
            <w:r w:rsidRPr="00A72F4E">
              <w:rPr>
                <w:rFonts w:eastAsiaTheme="minorHAnsi"/>
                <w:lang w:eastAsia="en-US"/>
              </w:rPr>
              <w:t>Deceased</w:t>
            </w:r>
          </w:p>
        </w:tc>
        <w:tc>
          <w:tcPr>
            <w:tcW w:w="1452" w:type="dxa"/>
            <w:tcBorders>
              <w:top w:val="single" w:sz="4" w:space="0" w:color="auto"/>
            </w:tcBorders>
            <w:shd w:val="clear" w:color="auto" w:fill="FFFFFF" w:themeFill="background1"/>
            <w:tcMar>
              <w:left w:w="60" w:type="dxa"/>
              <w:right w:w="60" w:type="dxa"/>
            </w:tcMar>
          </w:tcPr>
          <w:p w14:paraId="691812EC" w14:textId="77777777" w:rsidR="00327D59" w:rsidRPr="007D21AE" w:rsidRDefault="00327D59" w:rsidP="00032B54">
            <w:pPr>
              <w:spacing w:before="0" w:after="0"/>
              <w:jc w:val="center"/>
              <w:rPr>
                <w:rFonts w:cs="Arial"/>
                <w:szCs w:val="20"/>
              </w:rPr>
            </w:pPr>
            <w:r>
              <w:rPr>
                <w:color w:val="000000"/>
              </w:rPr>
              <w:t>50</w:t>
            </w:r>
          </w:p>
        </w:tc>
        <w:tc>
          <w:tcPr>
            <w:tcW w:w="1453" w:type="dxa"/>
            <w:tcBorders>
              <w:top w:val="single" w:sz="4" w:space="0" w:color="auto"/>
            </w:tcBorders>
            <w:shd w:val="clear" w:color="auto" w:fill="FFFFFF" w:themeFill="background1"/>
            <w:tcMar>
              <w:left w:w="60" w:type="dxa"/>
              <w:right w:w="60" w:type="dxa"/>
            </w:tcMar>
          </w:tcPr>
          <w:p w14:paraId="5B9ADDBF" w14:textId="77777777" w:rsidR="00327D59" w:rsidRPr="007D21AE" w:rsidRDefault="00327D59" w:rsidP="00032B54">
            <w:pPr>
              <w:spacing w:before="0" w:after="0"/>
              <w:jc w:val="center"/>
              <w:rPr>
                <w:rFonts w:cs="Arial"/>
                <w:szCs w:val="20"/>
              </w:rPr>
            </w:pPr>
            <w:r>
              <w:rPr>
                <w:color w:val="000000"/>
              </w:rPr>
              <w:t>119</w:t>
            </w:r>
          </w:p>
        </w:tc>
        <w:tc>
          <w:tcPr>
            <w:tcW w:w="1453" w:type="dxa"/>
            <w:tcBorders>
              <w:top w:val="single" w:sz="4" w:space="0" w:color="auto"/>
            </w:tcBorders>
            <w:shd w:val="clear" w:color="auto" w:fill="FFFFFF" w:themeFill="background1"/>
            <w:tcMar>
              <w:left w:w="60" w:type="dxa"/>
              <w:right w:w="60" w:type="dxa"/>
            </w:tcMar>
          </w:tcPr>
          <w:p w14:paraId="5F39C572" w14:textId="77777777" w:rsidR="00327D59" w:rsidRPr="007D21AE" w:rsidRDefault="00327D59" w:rsidP="00032B54">
            <w:pPr>
              <w:spacing w:before="0" w:after="0"/>
              <w:jc w:val="center"/>
              <w:rPr>
                <w:rFonts w:cs="Arial"/>
                <w:szCs w:val="20"/>
              </w:rPr>
            </w:pPr>
            <w:r>
              <w:rPr>
                <w:color w:val="000000"/>
              </w:rPr>
              <w:t>216</w:t>
            </w:r>
          </w:p>
        </w:tc>
        <w:tc>
          <w:tcPr>
            <w:tcW w:w="1453" w:type="dxa"/>
            <w:tcBorders>
              <w:top w:val="single" w:sz="4" w:space="0" w:color="auto"/>
            </w:tcBorders>
            <w:shd w:val="clear" w:color="auto" w:fill="FFFFFF" w:themeFill="background1"/>
            <w:tcMar>
              <w:left w:w="60" w:type="dxa"/>
              <w:right w:w="60" w:type="dxa"/>
            </w:tcMar>
          </w:tcPr>
          <w:p w14:paraId="4658972E" w14:textId="77777777" w:rsidR="00327D59" w:rsidRPr="007D21AE" w:rsidRDefault="00327D59" w:rsidP="00032B54">
            <w:pPr>
              <w:spacing w:before="0" w:after="0"/>
              <w:jc w:val="center"/>
              <w:rPr>
                <w:rFonts w:cs="Arial"/>
              </w:rPr>
            </w:pPr>
            <w:r>
              <w:rPr>
                <w:color w:val="000000"/>
              </w:rPr>
              <w:t>329</w:t>
            </w:r>
          </w:p>
        </w:tc>
        <w:tc>
          <w:tcPr>
            <w:tcW w:w="1453" w:type="dxa"/>
            <w:tcBorders>
              <w:top w:val="single" w:sz="4" w:space="0" w:color="auto"/>
            </w:tcBorders>
            <w:shd w:val="clear" w:color="auto" w:fill="FFFFFF" w:themeFill="background1"/>
            <w:tcMar>
              <w:left w:w="60" w:type="dxa"/>
              <w:right w:w="60" w:type="dxa"/>
            </w:tcMar>
          </w:tcPr>
          <w:p w14:paraId="4FACA7B6" w14:textId="77777777" w:rsidR="00327D59" w:rsidRPr="007D21AE" w:rsidRDefault="00327D59" w:rsidP="00032B54">
            <w:pPr>
              <w:spacing w:before="0" w:after="0"/>
              <w:jc w:val="center"/>
              <w:rPr>
                <w:rFonts w:cs="Arial"/>
              </w:rPr>
            </w:pPr>
            <w:r>
              <w:rPr>
                <w:color w:val="000000"/>
              </w:rPr>
              <w:t>475</w:t>
            </w:r>
          </w:p>
        </w:tc>
        <w:tc>
          <w:tcPr>
            <w:tcW w:w="1453" w:type="dxa"/>
            <w:tcBorders>
              <w:top w:val="single" w:sz="4" w:space="0" w:color="auto"/>
            </w:tcBorders>
            <w:shd w:val="clear" w:color="auto" w:fill="FFFFFF" w:themeFill="background1"/>
            <w:tcMar>
              <w:left w:w="60" w:type="dxa"/>
              <w:right w:w="60" w:type="dxa"/>
            </w:tcMar>
          </w:tcPr>
          <w:p w14:paraId="2DAACF74" w14:textId="77777777" w:rsidR="00327D59" w:rsidRPr="007D21AE" w:rsidRDefault="00327D59" w:rsidP="00032B54">
            <w:pPr>
              <w:spacing w:before="0" w:after="0"/>
              <w:jc w:val="center"/>
              <w:rPr>
                <w:rFonts w:cs="Arial"/>
              </w:rPr>
            </w:pPr>
            <w:r>
              <w:rPr>
                <w:color w:val="000000"/>
              </w:rPr>
              <w:t>675</w:t>
            </w:r>
          </w:p>
        </w:tc>
        <w:tc>
          <w:tcPr>
            <w:tcW w:w="1453" w:type="dxa"/>
            <w:tcBorders>
              <w:top w:val="single" w:sz="4" w:space="0" w:color="auto"/>
            </w:tcBorders>
            <w:shd w:val="clear" w:color="auto" w:fill="FFFFFF" w:themeFill="background1"/>
          </w:tcPr>
          <w:p w14:paraId="0CE562EB" w14:textId="77777777" w:rsidR="00327D59" w:rsidRPr="007D21AE" w:rsidRDefault="00327D59" w:rsidP="00032B54">
            <w:pPr>
              <w:spacing w:before="0" w:after="0"/>
              <w:jc w:val="center"/>
              <w:rPr>
                <w:rFonts w:cs="Arial"/>
              </w:rPr>
            </w:pPr>
            <w:r>
              <w:rPr>
                <w:color w:val="000000"/>
              </w:rPr>
              <w:t>878</w:t>
            </w:r>
          </w:p>
        </w:tc>
        <w:tc>
          <w:tcPr>
            <w:tcW w:w="1453" w:type="dxa"/>
            <w:tcBorders>
              <w:top w:val="single" w:sz="4" w:space="0" w:color="auto"/>
            </w:tcBorders>
            <w:shd w:val="clear" w:color="auto" w:fill="FFFFFF" w:themeFill="background1"/>
          </w:tcPr>
          <w:p w14:paraId="571099AD" w14:textId="77777777" w:rsidR="00327D59" w:rsidRPr="007D21AE" w:rsidRDefault="00327D59" w:rsidP="00032B54">
            <w:pPr>
              <w:spacing w:before="0" w:after="0"/>
              <w:jc w:val="center"/>
              <w:rPr>
                <w:rFonts w:cs="Arial"/>
              </w:rPr>
            </w:pPr>
            <w:r>
              <w:rPr>
                <w:color w:val="000000"/>
              </w:rPr>
              <w:t>1,173</w:t>
            </w:r>
          </w:p>
        </w:tc>
      </w:tr>
      <w:tr w:rsidR="00327D59" w:rsidRPr="00A72F4E" w14:paraId="1AD63F94" w14:textId="77777777" w:rsidTr="00032B54">
        <w:trPr>
          <w:cantSplit/>
        </w:trPr>
        <w:tc>
          <w:tcPr>
            <w:tcW w:w="2127" w:type="dxa"/>
            <w:shd w:val="clear" w:color="auto" w:fill="FFFFFF" w:themeFill="background1"/>
            <w:tcMar>
              <w:left w:w="60" w:type="dxa"/>
              <w:right w:w="60" w:type="dxa"/>
            </w:tcMar>
          </w:tcPr>
          <w:p w14:paraId="7F3F0DDB" w14:textId="77777777" w:rsidR="00327D59" w:rsidRPr="00A72F4E" w:rsidRDefault="00327D59" w:rsidP="00032B54">
            <w:pPr>
              <w:spacing w:before="0" w:after="0"/>
              <w:rPr>
                <w:rFonts w:eastAsiaTheme="minorHAnsi"/>
                <w:lang w:eastAsia="en-US"/>
              </w:rPr>
            </w:pPr>
            <w:r w:rsidRPr="00A72F4E">
              <w:rPr>
                <w:rFonts w:eastAsiaTheme="minorHAnsi"/>
                <w:lang w:eastAsia="en-US"/>
              </w:rPr>
              <w:t>Frail</w:t>
            </w:r>
          </w:p>
        </w:tc>
        <w:tc>
          <w:tcPr>
            <w:tcW w:w="1452" w:type="dxa"/>
            <w:shd w:val="clear" w:color="auto" w:fill="FFFFFF" w:themeFill="background1"/>
            <w:tcMar>
              <w:left w:w="60" w:type="dxa"/>
              <w:right w:w="60" w:type="dxa"/>
            </w:tcMar>
          </w:tcPr>
          <w:p w14:paraId="31037435" w14:textId="77777777" w:rsidR="00327D59" w:rsidRPr="007D21AE" w:rsidRDefault="00327D59" w:rsidP="00032B54">
            <w:pPr>
              <w:spacing w:before="0" w:after="0"/>
              <w:jc w:val="center"/>
              <w:rPr>
                <w:rFonts w:cs="Arial"/>
                <w:szCs w:val="20"/>
              </w:rPr>
            </w:pPr>
            <w:r>
              <w:rPr>
                <w:color w:val="000000"/>
              </w:rPr>
              <w:t>7</w:t>
            </w:r>
          </w:p>
        </w:tc>
        <w:tc>
          <w:tcPr>
            <w:tcW w:w="1453" w:type="dxa"/>
            <w:shd w:val="clear" w:color="auto" w:fill="FFFFFF" w:themeFill="background1"/>
            <w:tcMar>
              <w:left w:w="60" w:type="dxa"/>
              <w:right w:w="60" w:type="dxa"/>
            </w:tcMar>
          </w:tcPr>
          <w:p w14:paraId="6C8DF396" w14:textId="77777777" w:rsidR="00327D59" w:rsidRPr="007D21AE" w:rsidRDefault="00327D59" w:rsidP="00032B54">
            <w:pPr>
              <w:spacing w:before="0" w:after="0"/>
              <w:jc w:val="center"/>
              <w:rPr>
                <w:rFonts w:cs="Arial"/>
                <w:szCs w:val="20"/>
              </w:rPr>
            </w:pPr>
            <w:r>
              <w:rPr>
                <w:color w:val="000000"/>
              </w:rPr>
              <w:t>23</w:t>
            </w:r>
          </w:p>
        </w:tc>
        <w:tc>
          <w:tcPr>
            <w:tcW w:w="1453" w:type="dxa"/>
            <w:shd w:val="clear" w:color="auto" w:fill="FFFFFF" w:themeFill="background1"/>
            <w:tcMar>
              <w:left w:w="60" w:type="dxa"/>
              <w:right w:w="60" w:type="dxa"/>
            </w:tcMar>
          </w:tcPr>
          <w:p w14:paraId="1CC6B5A2" w14:textId="77777777" w:rsidR="00327D59" w:rsidRPr="007D21AE" w:rsidRDefault="00327D59" w:rsidP="00032B54">
            <w:pPr>
              <w:spacing w:before="0" w:after="0"/>
              <w:jc w:val="center"/>
              <w:rPr>
                <w:rFonts w:cs="Arial"/>
                <w:szCs w:val="20"/>
              </w:rPr>
            </w:pPr>
            <w:r>
              <w:rPr>
                <w:color w:val="000000"/>
              </w:rPr>
              <w:t>34</w:t>
            </w:r>
          </w:p>
        </w:tc>
        <w:tc>
          <w:tcPr>
            <w:tcW w:w="1453" w:type="dxa"/>
            <w:shd w:val="clear" w:color="auto" w:fill="FFFFFF" w:themeFill="background1"/>
            <w:tcMar>
              <w:left w:w="60" w:type="dxa"/>
              <w:right w:w="60" w:type="dxa"/>
            </w:tcMar>
          </w:tcPr>
          <w:p w14:paraId="0E32D050" w14:textId="77777777" w:rsidR="00327D59" w:rsidRPr="007D21AE" w:rsidRDefault="00327D59" w:rsidP="00032B54">
            <w:pPr>
              <w:spacing w:before="0" w:after="0"/>
              <w:jc w:val="center"/>
              <w:rPr>
                <w:rFonts w:cs="Arial"/>
                <w:szCs w:val="20"/>
              </w:rPr>
            </w:pPr>
            <w:r>
              <w:rPr>
                <w:color w:val="000000"/>
              </w:rPr>
              <w:t>51</w:t>
            </w:r>
          </w:p>
        </w:tc>
        <w:tc>
          <w:tcPr>
            <w:tcW w:w="1453" w:type="dxa"/>
            <w:shd w:val="clear" w:color="auto" w:fill="FFFFFF" w:themeFill="background1"/>
            <w:tcMar>
              <w:left w:w="60" w:type="dxa"/>
              <w:right w:w="60" w:type="dxa"/>
            </w:tcMar>
          </w:tcPr>
          <w:p w14:paraId="4E6E32FA" w14:textId="77777777" w:rsidR="00327D59" w:rsidRPr="007D21AE" w:rsidRDefault="00327D59" w:rsidP="00032B54">
            <w:pPr>
              <w:spacing w:before="0" w:after="0"/>
              <w:jc w:val="center"/>
              <w:rPr>
                <w:rFonts w:cs="Arial"/>
                <w:szCs w:val="20"/>
              </w:rPr>
            </w:pPr>
            <w:r>
              <w:rPr>
                <w:color w:val="000000"/>
              </w:rPr>
              <w:t>70</w:t>
            </w:r>
          </w:p>
        </w:tc>
        <w:tc>
          <w:tcPr>
            <w:tcW w:w="1453" w:type="dxa"/>
            <w:shd w:val="clear" w:color="auto" w:fill="FFFFFF" w:themeFill="background1"/>
            <w:tcMar>
              <w:left w:w="60" w:type="dxa"/>
              <w:right w:w="60" w:type="dxa"/>
            </w:tcMar>
          </w:tcPr>
          <w:p w14:paraId="74A67736" w14:textId="77777777" w:rsidR="00327D59" w:rsidRPr="007D21AE" w:rsidRDefault="00327D59" w:rsidP="00032B54">
            <w:pPr>
              <w:spacing w:before="0" w:after="0"/>
              <w:jc w:val="center"/>
              <w:rPr>
                <w:rFonts w:cs="Arial"/>
                <w:szCs w:val="20"/>
              </w:rPr>
            </w:pPr>
            <w:r>
              <w:rPr>
                <w:color w:val="000000"/>
              </w:rPr>
              <w:t>100</w:t>
            </w:r>
          </w:p>
        </w:tc>
        <w:tc>
          <w:tcPr>
            <w:tcW w:w="1453" w:type="dxa"/>
            <w:shd w:val="clear" w:color="auto" w:fill="FFFFFF" w:themeFill="background1"/>
          </w:tcPr>
          <w:p w14:paraId="31383D04" w14:textId="77777777" w:rsidR="00327D59" w:rsidRPr="007D21AE" w:rsidRDefault="00327D59" w:rsidP="00032B54">
            <w:pPr>
              <w:spacing w:before="0" w:after="0"/>
              <w:jc w:val="center"/>
              <w:rPr>
                <w:rFonts w:cs="Arial"/>
                <w:szCs w:val="20"/>
              </w:rPr>
            </w:pPr>
            <w:r>
              <w:rPr>
                <w:color w:val="000000"/>
              </w:rPr>
              <w:t>120</w:t>
            </w:r>
          </w:p>
        </w:tc>
        <w:tc>
          <w:tcPr>
            <w:tcW w:w="1453" w:type="dxa"/>
            <w:shd w:val="clear" w:color="auto" w:fill="FFFFFF" w:themeFill="background1"/>
          </w:tcPr>
          <w:p w14:paraId="55899998" w14:textId="77777777" w:rsidR="00327D59" w:rsidRPr="007D21AE" w:rsidRDefault="00327D59" w:rsidP="00032B54">
            <w:pPr>
              <w:spacing w:before="0" w:after="0"/>
              <w:jc w:val="center"/>
              <w:rPr>
                <w:rFonts w:cs="Arial"/>
              </w:rPr>
            </w:pPr>
            <w:r>
              <w:rPr>
                <w:color w:val="000000"/>
              </w:rPr>
              <w:t>128</w:t>
            </w:r>
          </w:p>
        </w:tc>
      </w:tr>
      <w:tr w:rsidR="00327D59" w:rsidRPr="00A72F4E" w14:paraId="667745A8" w14:textId="77777777" w:rsidTr="00032B54">
        <w:trPr>
          <w:cantSplit/>
        </w:trPr>
        <w:tc>
          <w:tcPr>
            <w:tcW w:w="2127" w:type="dxa"/>
            <w:tcBorders>
              <w:bottom w:val="nil"/>
            </w:tcBorders>
            <w:shd w:val="clear" w:color="auto" w:fill="FFFFFF" w:themeFill="background1"/>
            <w:tcMar>
              <w:left w:w="60" w:type="dxa"/>
              <w:right w:w="60" w:type="dxa"/>
            </w:tcMar>
          </w:tcPr>
          <w:p w14:paraId="2851BEB3" w14:textId="77777777" w:rsidR="00327D59" w:rsidRPr="00A72F4E" w:rsidRDefault="00327D59" w:rsidP="00032B54">
            <w:pPr>
              <w:spacing w:before="0" w:after="0"/>
              <w:rPr>
                <w:rFonts w:eastAsiaTheme="minorHAnsi"/>
                <w:lang w:eastAsia="en-US"/>
              </w:rPr>
            </w:pPr>
            <w:r w:rsidRPr="00A72F4E">
              <w:rPr>
                <w:rFonts w:eastAsiaTheme="minorHAnsi"/>
                <w:lang w:eastAsia="en-US"/>
              </w:rPr>
              <w:t>Withdrawn</w:t>
            </w:r>
          </w:p>
        </w:tc>
        <w:tc>
          <w:tcPr>
            <w:tcW w:w="1452" w:type="dxa"/>
            <w:tcBorders>
              <w:bottom w:val="nil"/>
            </w:tcBorders>
            <w:shd w:val="clear" w:color="auto" w:fill="FFFFFF" w:themeFill="background1"/>
            <w:tcMar>
              <w:left w:w="60" w:type="dxa"/>
              <w:right w:w="60" w:type="dxa"/>
            </w:tcMar>
          </w:tcPr>
          <w:p w14:paraId="630D99C3" w14:textId="77777777" w:rsidR="00327D59" w:rsidRPr="007D21AE" w:rsidRDefault="00327D59" w:rsidP="00032B54">
            <w:pPr>
              <w:spacing w:before="0" w:after="0"/>
              <w:jc w:val="center"/>
              <w:rPr>
                <w:rFonts w:cs="Arial"/>
                <w:szCs w:val="20"/>
              </w:rPr>
            </w:pPr>
            <w:r>
              <w:rPr>
                <w:color w:val="000000"/>
              </w:rPr>
              <w:t>209</w:t>
            </w:r>
          </w:p>
        </w:tc>
        <w:tc>
          <w:tcPr>
            <w:tcW w:w="1453" w:type="dxa"/>
            <w:tcBorders>
              <w:bottom w:val="nil"/>
            </w:tcBorders>
            <w:shd w:val="clear" w:color="auto" w:fill="FFFFFF" w:themeFill="background1"/>
            <w:tcMar>
              <w:left w:w="60" w:type="dxa"/>
              <w:right w:w="60" w:type="dxa"/>
            </w:tcMar>
          </w:tcPr>
          <w:p w14:paraId="1BD0CBA6" w14:textId="77777777" w:rsidR="00327D59" w:rsidRPr="007D21AE" w:rsidRDefault="00327D59" w:rsidP="00032B54">
            <w:pPr>
              <w:spacing w:before="0" w:after="0"/>
              <w:jc w:val="center"/>
              <w:rPr>
                <w:rFonts w:cs="Arial"/>
                <w:szCs w:val="20"/>
              </w:rPr>
            </w:pPr>
            <w:r>
              <w:rPr>
                <w:color w:val="000000"/>
              </w:rPr>
              <w:t>424</w:t>
            </w:r>
          </w:p>
        </w:tc>
        <w:tc>
          <w:tcPr>
            <w:tcW w:w="1453" w:type="dxa"/>
            <w:tcBorders>
              <w:bottom w:val="nil"/>
            </w:tcBorders>
            <w:shd w:val="clear" w:color="auto" w:fill="FFFFFF" w:themeFill="background1"/>
            <w:tcMar>
              <w:left w:w="60" w:type="dxa"/>
              <w:right w:w="60" w:type="dxa"/>
            </w:tcMar>
          </w:tcPr>
          <w:p w14:paraId="342151CF" w14:textId="77777777" w:rsidR="00327D59" w:rsidRPr="007D21AE" w:rsidRDefault="00327D59" w:rsidP="00032B54">
            <w:pPr>
              <w:spacing w:before="0" w:after="0"/>
              <w:jc w:val="center"/>
              <w:rPr>
                <w:rFonts w:cs="Arial"/>
                <w:szCs w:val="20"/>
              </w:rPr>
            </w:pPr>
            <w:r>
              <w:rPr>
                <w:color w:val="000000"/>
              </w:rPr>
              <w:t>622</w:t>
            </w:r>
          </w:p>
        </w:tc>
        <w:tc>
          <w:tcPr>
            <w:tcW w:w="1453" w:type="dxa"/>
            <w:tcBorders>
              <w:bottom w:val="nil"/>
            </w:tcBorders>
            <w:shd w:val="clear" w:color="auto" w:fill="FFFFFF" w:themeFill="background1"/>
            <w:tcMar>
              <w:left w:w="60" w:type="dxa"/>
              <w:right w:w="60" w:type="dxa"/>
            </w:tcMar>
          </w:tcPr>
          <w:p w14:paraId="7D4C3602" w14:textId="77777777" w:rsidR="00327D59" w:rsidRPr="007D21AE" w:rsidRDefault="00327D59" w:rsidP="00032B54">
            <w:pPr>
              <w:spacing w:before="0" w:after="0"/>
              <w:jc w:val="center"/>
              <w:rPr>
                <w:rFonts w:cs="Arial"/>
              </w:rPr>
            </w:pPr>
            <w:r>
              <w:rPr>
                <w:color w:val="000000"/>
              </w:rPr>
              <w:t>869</w:t>
            </w:r>
          </w:p>
        </w:tc>
        <w:tc>
          <w:tcPr>
            <w:tcW w:w="1453" w:type="dxa"/>
            <w:tcBorders>
              <w:bottom w:val="nil"/>
            </w:tcBorders>
            <w:shd w:val="clear" w:color="auto" w:fill="FFFFFF" w:themeFill="background1"/>
            <w:tcMar>
              <w:left w:w="60" w:type="dxa"/>
              <w:right w:w="60" w:type="dxa"/>
            </w:tcMar>
          </w:tcPr>
          <w:p w14:paraId="6FC0D353" w14:textId="77777777" w:rsidR="00327D59" w:rsidRPr="007D21AE" w:rsidRDefault="00327D59" w:rsidP="00032B54">
            <w:pPr>
              <w:spacing w:before="0" w:after="0"/>
              <w:jc w:val="center"/>
              <w:rPr>
                <w:rFonts w:cs="Arial"/>
              </w:rPr>
            </w:pPr>
            <w:r>
              <w:rPr>
                <w:color w:val="000000"/>
              </w:rPr>
              <w:t>1,107</w:t>
            </w:r>
          </w:p>
        </w:tc>
        <w:tc>
          <w:tcPr>
            <w:tcW w:w="1453" w:type="dxa"/>
            <w:tcBorders>
              <w:bottom w:val="nil"/>
            </w:tcBorders>
            <w:shd w:val="clear" w:color="auto" w:fill="FFFFFF" w:themeFill="background1"/>
            <w:tcMar>
              <w:left w:w="60" w:type="dxa"/>
              <w:right w:w="60" w:type="dxa"/>
            </w:tcMar>
          </w:tcPr>
          <w:p w14:paraId="537806DF" w14:textId="77777777" w:rsidR="00327D59" w:rsidRPr="007D21AE" w:rsidRDefault="00327D59" w:rsidP="00032B54">
            <w:pPr>
              <w:spacing w:before="0" w:after="0"/>
              <w:jc w:val="center"/>
              <w:rPr>
                <w:rFonts w:cs="Arial"/>
              </w:rPr>
            </w:pPr>
            <w:r>
              <w:rPr>
                <w:color w:val="000000"/>
              </w:rPr>
              <w:t>1,649</w:t>
            </w:r>
          </w:p>
        </w:tc>
        <w:tc>
          <w:tcPr>
            <w:tcW w:w="1453" w:type="dxa"/>
            <w:tcBorders>
              <w:bottom w:val="nil"/>
            </w:tcBorders>
            <w:shd w:val="clear" w:color="auto" w:fill="FFFFFF" w:themeFill="background1"/>
          </w:tcPr>
          <w:p w14:paraId="3EAC6C42" w14:textId="77777777" w:rsidR="00327D59" w:rsidRPr="007D21AE" w:rsidRDefault="00327D59" w:rsidP="00032B54">
            <w:pPr>
              <w:spacing w:before="0" w:after="0"/>
              <w:jc w:val="center"/>
              <w:rPr>
                <w:rFonts w:cs="Arial"/>
              </w:rPr>
            </w:pPr>
            <w:r>
              <w:rPr>
                <w:color w:val="000000"/>
              </w:rPr>
              <w:t>2,001</w:t>
            </w:r>
          </w:p>
        </w:tc>
        <w:tc>
          <w:tcPr>
            <w:tcW w:w="1453" w:type="dxa"/>
            <w:tcBorders>
              <w:bottom w:val="nil"/>
            </w:tcBorders>
            <w:shd w:val="clear" w:color="auto" w:fill="FFFFFF" w:themeFill="background1"/>
          </w:tcPr>
          <w:p w14:paraId="77C1F23F" w14:textId="77777777" w:rsidR="00327D59" w:rsidRPr="007D21AE" w:rsidRDefault="00327D59" w:rsidP="00032B54">
            <w:pPr>
              <w:spacing w:before="0" w:after="0"/>
              <w:jc w:val="center"/>
              <w:rPr>
                <w:rFonts w:cs="Arial"/>
              </w:rPr>
            </w:pPr>
            <w:r>
              <w:rPr>
                <w:color w:val="000000"/>
              </w:rPr>
              <w:t>2,081</w:t>
            </w:r>
          </w:p>
        </w:tc>
      </w:tr>
      <w:tr w:rsidR="00327D59" w:rsidRPr="00A72F4E" w14:paraId="25A2362C" w14:textId="77777777" w:rsidTr="00032B54">
        <w:trPr>
          <w:cantSplit/>
        </w:trPr>
        <w:tc>
          <w:tcPr>
            <w:tcW w:w="2127" w:type="dxa"/>
            <w:tcBorders>
              <w:top w:val="nil"/>
              <w:bottom w:val="single" w:sz="4" w:space="0" w:color="auto"/>
            </w:tcBorders>
            <w:shd w:val="clear" w:color="auto" w:fill="FFFFFF" w:themeFill="background1"/>
            <w:tcMar>
              <w:left w:w="60" w:type="dxa"/>
              <w:right w:w="60" w:type="dxa"/>
            </w:tcMar>
          </w:tcPr>
          <w:p w14:paraId="08B83818" w14:textId="77777777" w:rsidR="00327D59" w:rsidRPr="003A200D" w:rsidRDefault="00327D59" w:rsidP="00032B54">
            <w:pPr>
              <w:spacing w:before="0" w:after="0"/>
              <w:rPr>
                <w:rFonts w:eastAsiaTheme="minorHAnsi"/>
                <w:b/>
                <w:sz w:val="18"/>
                <w:szCs w:val="18"/>
                <w:lang w:eastAsia="en-US"/>
              </w:rPr>
            </w:pPr>
            <w:r w:rsidRPr="003A200D">
              <w:rPr>
                <w:rFonts w:eastAsiaTheme="minorHAnsi"/>
                <w:b/>
                <w:sz w:val="18"/>
                <w:szCs w:val="18"/>
                <w:lang w:eastAsia="en-US"/>
              </w:rPr>
              <w:t>TOTAL INELIGIBLE</w:t>
            </w:r>
          </w:p>
        </w:tc>
        <w:tc>
          <w:tcPr>
            <w:tcW w:w="1452" w:type="dxa"/>
            <w:tcBorders>
              <w:top w:val="nil"/>
              <w:bottom w:val="single" w:sz="4" w:space="0" w:color="auto"/>
            </w:tcBorders>
            <w:shd w:val="clear" w:color="auto" w:fill="FFFFFF" w:themeFill="background1"/>
            <w:tcMar>
              <w:left w:w="60" w:type="dxa"/>
              <w:right w:w="60" w:type="dxa"/>
            </w:tcMar>
          </w:tcPr>
          <w:p w14:paraId="1E4CA013" w14:textId="77777777" w:rsidR="00327D59" w:rsidRPr="00824CAE" w:rsidRDefault="00327D59" w:rsidP="00032B54">
            <w:pPr>
              <w:spacing w:before="0" w:after="0"/>
              <w:jc w:val="center"/>
              <w:rPr>
                <w:rFonts w:cs="Arial"/>
                <w:b/>
                <w:bCs/>
                <w:szCs w:val="20"/>
              </w:rPr>
            </w:pPr>
            <w:r w:rsidRPr="00824CAE">
              <w:rPr>
                <w:b/>
                <w:bCs/>
                <w:color w:val="000000"/>
              </w:rPr>
              <w:t>266</w:t>
            </w:r>
          </w:p>
        </w:tc>
        <w:tc>
          <w:tcPr>
            <w:tcW w:w="1453" w:type="dxa"/>
            <w:tcBorders>
              <w:top w:val="nil"/>
              <w:bottom w:val="single" w:sz="4" w:space="0" w:color="auto"/>
            </w:tcBorders>
            <w:shd w:val="clear" w:color="auto" w:fill="FFFFFF" w:themeFill="background1"/>
            <w:tcMar>
              <w:left w:w="60" w:type="dxa"/>
              <w:right w:w="60" w:type="dxa"/>
            </w:tcMar>
          </w:tcPr>
          <w:p w14:paraId="7CA5CAF2" w14:textId="77777777" w:rsidR="00327D59" w:rsidRPr="00824CAE" w:rsidRDefault="00327D59" w:rsidP="00032B54">
            <w:pPr>
              <w:spacing w:before="0" w:after="0"/>
              <w:jc w:val="center"/>
              <w:rPr>
                <w:rFonts w:cs="Arial"/>
                <w:b/>
                <w:bCs/>
                <w:szCs w:val="20"/>
              </w:rPr>
            </w:pPr>
            <w:r w:rsidRPr="00824CAE">
              <w:rPr>
                <w:b/>
                <w:bCs/>
                <w:color w:val="000000"/>
              </w:rPr>
              <w:t>566</w:t>
            </w:r>
          </w:p>
        </w:tc>
        <w:tc>
          <w:tcPr>
            <w:tcW w:w="1453" w:type="dxa"/>
            <w:tcBorders>
              <w:top w:val="nil"/>
              <w:bottom w:val="single" w:sz="4" w:space="0" w:color="auto"/>
            </w:tcBorders>
            <w:shd w:val="clear" w:color="auto" w:fill="FFFFFF" w:themeFill="background1"/>
            <w:tcMar>
              <w:left w:w="60" w:type="dxa"/>
              <w:right w:w="60" w:type="dxa"/>
            </w:tcMar>
          </w:tcPr>
          <w:p w14:paraId="7F67A224" w14:textId="77777777" w:rsidR="00327D59" w:rsidRPr="00824CAE" w:rsidRDefault="00327D59" w:rsidP="00032B54">
            <w:pPr>
              <w:spacing w:before="0" w:after="0"/>
              <w:jc w:val="center"/>
              <w:rPr>
                <w:rFonts w:cs="Arial"/>
                <w:b/>
                <w:bCs/>
                <w:szCs w:val="20"/>
              </w:rPr>
            </w:pPr>
            <w:r w:rsidRPr="00824CAE">
              <w:rPr>
                <w:b/>
                <w:bCs/>
                <w:color w:val="000000"/>
              </w:rPr>
              <w:t>872</w:t>
            </w:r>
          </w:p>
        </w:tc>
        <w:tc>
          <w:tcPr>
            <w:tcW w:w="1453" w:type="dxa"/>
            <w:tcBorders>
              <w:top w:val="nil"/>
              <w:bottom w:val="single" w:sz="4" w:space="0" w:color="auto"/>
            </w:tcBorders>
            <w:shd w:val="clear" w:color="auto" w:fill="FFFFFF" w:themeFill="background1"/>
            <w:tcMar>
              <w:left w:w="60" w:type="dxa"/>
              <w:right w:w="60" w:type="dxa"/>
            </w:tcMar>
          </w:tcPr>
          <w:p w14:paraId="45C44593" w14:textId="77777777" w:rsidR="00327D59" w:rsidRPr="00824CAE" w:rsidRDefault="00327D59" w:rsidP="00032B54">
            <w:pPr>
              <w:spacing w:before="0" w:after="0"/>
              <w:jc w:val="center"/>
              <w:rPr>
                <w:rFonts w:cs="Arial"/>
                <w:b/>
                <w:bCs/>
                <w:szCs w:val="20"/>
              </w:rPr>
            </w:pPr>
            <w:r w:rsidRPr="00824CAE">
              <w:rPr>
                <w:b/>
                <w:bCs/>
                <w:color w:val="000000"/>
              </w:rPr>
              <w:t>1</w:t>
            </w:r>
            <w:r>
              <w:rPr>
                <w:b/>
                <w:bCs/>
                <w:color w:val="000000"/>
              </w:rPr>
              <w:t>,</w:t>
            </w:r>
            <w:r w:rsidRPr="00824CAE">
              <w:rPr>
                <w:b/>
                <w:bCs/>
                <w:color w:val="000000"/>
              </w:rPr>
              <w:t>249</w:t>
            </w:r>
          </w:p>
        </w:tc>
        <w:tc>
          <w:tcPr>
            <w:tcW w:w="1453" w:type="dxa"/>
            <w:tcBorders>
              <w:top w:val="nil"/>
              <w:bottom w:val="single" w:sz="4" w:space="0" w:color="auto"/>
            </w:tcBorders>
            <w:shd w:val="clear" w:color="auto" w:fill="FFFFFF" w:themeFill="background1"/>
            <w:tcMar>
              <w:left w:w="60" w:type="dxa"/>
              <w:right w:w="60" w:type="dxa"/>
            </w:tcMar>
          </w:tcPr>
          <w:p w14:paraId="15ADF40B" w14:textId="77777777" w:rsidR="00327D59" w:rsidRPr="00824CAE" w:rsidRDefault="00327D59" w:rsidP="00032B54">
            <w:pPr>
              <w:spacing w:before="0" w:after="0"/>
              <w:jc w:val="center"/>
              <w:rPr>
                <w:rFonts w:cs="Arial"/>
                <w:b/>
                <w:bCs/>
                <w:szCs w:val="20"/>
              </w:rPr>
            </w:pPr>
            <w:r w:rsidRPr="00824CAE">
              <w:rPr>
                <w:b/>
                <w:bCs/>
                <w:color w:val="000000"/>
              </w:rPr>
              <w:t>1</w:t>
            </w:r>
            <w:r>
              <w:rPr>
                <w:b/>
                <w:bCs/>
                <w:color w:val="000000"/>
              </w:rPr>
              <w:t>,</w:t>
            </w:r>
            <w:r w:rsidRPr="00824CAE">
              <w:rPr>
                <w:b/>
                <w:bCs/>
                <w:color w:val="000000"/>
              </w:rPr>
              <w:t>652</w:t>
            </w:r>
          </w:p>
        </w:tc>
        <w:tc>
          <w:tcPr>
            <w:tcW w:w="1453" w:type="dxa"/>
            <w:tcBorders>
              <w:top w:val="nil"/>
              <w:bottom w:val="single" w:sz="4" w:space="0" w:color="auto"/>
            </w:tcBorders>
            <w:shd w:val="clear" w:color="auto" w:fill="FFFFFF" w:themeFill="background1"/>
            <w:tcMar>
              <w:left w:w="60" w:type="dxa"/>
              <w:right w:w="60" w:type="dxa"/>
            </w:tcMar>
          </w:tcPr>
          <w:p w14:paraId="4D780317" w14:textId="77777777" w:rsidR="00327D59" w:rsidRPr="00824CAE" w:rsidRDefault="00327D59" w:rsidP="00032B54">
            <w:pPr>
              <w:spacing w:before="0" w:after="0"/>
              <w:jc w:val="center"/>
              <w:rPr>
                <w:rFonts w:cs="Arial"/>
                <w:b/>
                <w:bCs/>
              </w:rPr>
            </w:pPr>
            <w:r w:rsidRPr="00824CAE">
              <w:rPr>
                <w:b/>
                <w:bCs/>
                <w:color w:val="000000"/>
              </w:rPr>
              <w:t>2</w:t>
            </w:r>
            <w:r>
              <w:rPr>
                <w:b/>
                <w:bCs/>
                <w:color w:val="000000"/>
              </w:rPr>
              <w:t>,</w:t>
            </w:r>
            <w:r w:rsidRPr="00824CAE">
              <w:rPr>
                <w:b/>
                <w:bCs/>
                <w:color w:val="000000"/>
              </w:rPr>
              <w:t>424</w:t>
            </w:r>
          </w:p>
        </w:tc>
        <w:tc>
          <w:tcPr>
            <w:tcW w:w="1453" w:type="dxa"/>
            <w:tcBorders>
              <w:top w:val="nil"/>
              <w:bottom w:val="single" w:sz="4" w:space="0" w:color="auto"/>
            </w:tcBorders>
            <w:shd w:val="clear" w:color="auto" w:fill="FFFFFF" w:themeFill="background1"/>
          </w:tcPr>
          <w:p w14:paraId="101B72EF" w14:textId="77777777" w:rsidR="00327D59" w:rsidRPr="00824CAE" w:rsidRDefault="00327D59" w:rsidP="00032B54">
            <w:pPr>
              <w:spacing w:before="0" w:after="0"/>
              <w:jc w:val="center"/>
              <w:rPr>
                <w:rFonts w:cs="Arial"/>
                <w:b/>
                <w:bCs/>
                <w:szCs w:val="20"/>
              </w:rPr>
            </w:pPr>
            <w:r w:rsidRPr="00824CAE">
              <w:rPr>
                <w:b/>
                <w:bCs/>
                <w:color w:val="000000"/>
              </w:rPr>
              <w:t>2</w:t>
            </w:r>
            <w:r>
              <w:rPr>
                <w:b/>
                <w:bCs/>
                <w:color w:val="000000"/>
              </w:rPr>
              <w:t>,</w:t>
            </w:r>
            <w:r w:rsidRPr="00824CAE">
              <w:rPr>
                <w:b/>
                <w:bCs/>
                <w:color w:val="000000"/>
              </w:rPr>
              <w:t>999</w:t>
            </w:r>
          </w:p>
        </w:tc>
        <w:tc>
          <w:tcPr>
            <w:tcW w:w="1453" w:type="dxa"/>
            <w:tcBorders>
              <w:top w:val="nil"/>
              <w:bottom w:val="single" w:sz="4" w:space="0" w:color="auto"/>
            </w:tcBorders>
            <w:shd w:val="clear" w:color="auto" w:fill="FFFFFF" w:themeFill="background1"/>
          </w:tcPr>
          <w:p w14:paraId="0814EBAE" w14:textId="77777777" w:rsidR="00327D59" w:rsidRPr="00824CAE" w:rsidRDefault="00327D59" w:rsidP="00032B54">
            <w:pPr>
              <w:spacing w:before="0" w:after="0"/>
              <w:jc w:val="center"/>
              <w:rPr>
                <w:rFonts w:cs="Arial"/>
                <w:b/>
                <w:bCs/>
                <w:szCs w:val="20"/>
              </w:rPr>
            </w:pPr>
            <w:r w:rsidRPr="00824CAE">
              <w:rPr>
                <w:b/>
                <w:bCs/>
                <w:color w:val="000000"/>
              </w:rPr>
              <w:t>3</w:t>
            </w:r>
            <w:r>
              <w:rPr>
                <w:b/>
                <w:bCs/>
                <w:color w:val="000000"/>
              </w:rPr>
              <w:t>,</w:t>
            </w:r>
            <w:r w:rsidRPr="00824CAE">
              <w:rPr>
                <w:b/>
                <w:bCs/>
                <w:color w:val="000000"/>
              </w:rPr>
              <w:t>382</w:t>
            </w:r>
          </w:p>
        </w:tc>
      </w:tr>
      <w:tr w:rsidR="00327D59" w:rsidRPr="00A72F4E" w14:paraId="168B4D61" w14:textId="77777777" w:rsidTr="00032B54">
        <w:trPr>
          <w:cantSplit/>
        </w:trPr>
        <w:tc>
          <w:tcPr>
            <w:tcW w:w="2127" w:type="dxa"/>
            <w:tcBorders>
              <w:top w:val="single" w:sz="4" w:space="0" w:color="auto"/>
            </w:tcBorders>
            <w:shd w:val="clear" w:color="auto" w:fill="FFFFFF" w:themeFill="background1"/>
            <w:tcMar>
              <w:left w:w="60" w:type="dxa"/>
              <w:right w:w="60" w:type="dxa"/>
            </w:tcMar>
          </w:tcPr>
          <w:p w14:paraId="5B050628" w14:textId="77777777" w:rsidR="00327D59" w:rsidRPr="00A72F4E" w:rsidRDefault="00327D59" w:rsidP="00032B54">
            <w:pPr>
              <w:spacing w:before="0" w:after="0"/>
              <w:rPr>
                <w:rFonts w:eastAsiaTheme="minorHAnsi"/>
                <w:lang w:eastAsia="en-US"/>
              </w:rPr>
            </w:pPr>
            <w:r w:rsidRPr="00A72F4E">
              <w:rPr>
                <w:rFonts w:eastAsiaTheme="minorHAnsi"/>
                <w:lang w:eastAsia="en-US"/>
              </w:rPr>
              <w:t>Did not do survey</w:t>
            </w:r>
          </w:p>
        </w:tc>
        <w:tc>
          <w:tcPr>
            <w:tcW w:w="1452" w:type="dxa"/>
            <w:tcBorders>
              <w:top w:val="single" w:sz="4" w:space="0" w:color="auto"/>
            </w:tcBorders>
            <w:shd w:val="clear" w:color="auto" w:fill="FFFFFF" w:themeFill="background1"/>
            <w:tcMar>
              <w:left w:w="60" w:type="dxa"/>
              <w:right w:w="60" w:type="dxa"/>
            </w:tcMar>
          </w:tcPr>
          <w:p w14:paraId="6ACA1401" w14:textId="77777777" w:rsidR="00327D59" w:rsidRPr="007D21AE" w:rsidRDefault="00327D59" w:rsidP="00032B54">
            <w:pPr>
              <w:spacing w:before="0" w:after="0"/>
              <w:jc w:val="center"/>
              <w:rPr>
                <w:rFonts w:cs="Arial"/>
                <w:szCs w:val="20"/>
              </w:rPr>
            </w:pPr>
            <w:r>
              <w:rPr>
                <w:color w:val="000000"/>
              </w:rPr>
              <w:t>254</w:t>
            </w:r>
          </w:p>
        </w:tc>
        <w:tc>
          <w:tcPr>
            <w:tcW w:w="1453" w:type="dxa"/>
            <w:tcBorders>
              <w:top w:val="single" w:sz="4" w:space="0" w:color="auto"/>
            </w:tcBorders>
            <w:shd w:val="clear" w:color="auto" w:fill="FFFFFF" w:themeFill="background1"/>
            <w:tcMar>
              <w:left w:w="60" w:type="dxa"/>
              <w:right w:w="60" w:type="dxa"/>
            </w:tcMar>
          </w:tcPr>
          <w:p w14:paraId="656E64A5" w14:textId="77777777" w:rsidR="00327D59" w:rsidRPr="007D21AE" w:rsidRDefault="00327D59" w:rsidP="00032B54">
            <w:pPr>
              <w:spacing w:before="0" w:after="0"/>
              <w:jc w:val="center"/>
              <w:rPr>
                <w:rFonts w:cs="Arial"/>
                <w:szCs w:val="20"/>
              </w:rPr>
            </w:pPr>
            <w:r>
              <w:rPr>
                <w:color w:val="000000"/>
              </w:rPr>
              <w:t>997</w:t>
            </w:r>
          </w:p>
        </w:tc>
        <w:tc>
          <w:tcPr>
            <w:tcW w:w="1453" w:type="dxa"/>
            <w:tcBorders>
              <w:top w:val="single" w:sz="4" w:space="0" w:color="auto"/>
            </w:tcBorders>
            <w:shd w:val="clear" w:color="auto" w:fill="FFFFFF" w:themeFill="background1"/>
            <w:tcMar>
              <w:left w:w="60" w:type="dxa"/>
              <w:right w:w="60" w:type="dxa"/>
            </w:tcMar>
          </w:tcPr>
          <w:p w14:paraId="5717F890" w14:textId="77777777" w:rsidR="00327D59" w:rsidRPr="007D21AE" w:rsidRDefault="00327D59" w:rsidP="00032B54">
            <w:pPr>
              <w:spacing w:before="0" w:after="0"/>
              <w:jc w:val="center"/>
              <w:rPr>
                <w:rFonts w:cs="Arial"/>
                <w:szCs w:val="20"/>
              </w:rPr>
            </w:pPr>
            <w:r>
              <w:rPr>
                <w:color w:val="000000"/>
              </w:rPr>
              <w:t>886</w:t>
            </w:r>
          </w:p>
        </w:tc>
        <w:tc>
          <w:tcPr>
            <w:tcW w:w="1453" w:type="dxa"/>
            <w:tcBorders>
              <w:top w:val="single" w:sz="4" w:space="0" w:color="auto"/>
            </w:tcBorders>
            <w:shd w:val="clear" w:color="auto" w:fill="FFFFFF" w:themeFill="background1"/>
            <w:tcMar>
              <w:left w:w="60" w:type="dxa"/>
              <w:right w:w="60" w:type="dxa"/>
            </w:tcMar>
          </w:tcPr>
          <w:p w14:paraId="4DA7985C" w14:textId="77777777" w:rsidR="00327D59" w:rsidRPr="007D21AE" w:rsidRDefault="00327D59" w:rsidP="00032B54">
            <w:pPr>
              <w:spacing w:before="0" w:after="0"/>
              <w:jc w:val="center"/>
              <w:rPr>
                <w:rFonts w:cs="Arial"/>
                <w:szCs w:val="20"/>
              </w:rPr>
            </w:pPr>
            <w:r>
              <w:rPr>
                <w:color w:val="000000"/>
              </w:rPr>
              <w:t>995</w:t>
            </w:r>
          </w:p>
        </w:tc>
        <w:tc>
          <w:tcPr>
            <w:tcW w:w="1453" w:type="dxa"/>
            <w:tcBorders>
              <w:top w:val="single" w:sz="4" w:space="0" w:color="auto"/>
            </w:tcBorders>
            <w:shd w:val="clear" w:color="auto" w:fill="FFFFFF" w:themeFill="background1"/>
            <w:tcMar>
              <w:left w:w="60" w:type="dxa"/>
              <w:right w:w="60" w:type="dxa"/>
            </w:tcMar>
          </w:tcPr>
          <w:p w14:paraId="318CD86A" w14:textId="77777777" w:rsidR="00327D59" w:rsidRPr="007D21AE" w:rsidRDefault="00327D59" w:rsidP="00032B54">
            <w:pPr>
              <w:spacing w:before="0" w:after="0"/>
              <w:jc w:val="center"/>
              <w:rPr>
                <w:rFonts w:cs="Arial"/>
                <w:szCs w:val="20"/>
              </w:rPr>
            </w:pPr>
            <w:r>
              <w:rPr>
                <w:color w:val="000000"/>
              </w:rPr>
              <w:t>1148</w:t>
            </w:r>
          </w:p>
        </w:tc>
        <w:tc>
          <w:tcPr>
            <w:tcW w:w="1453" w:type="dxa"/>
            <w:tcBorders>
              <w:top w:val="single" w:sz="4" w:space="0" w:color="auto"/>
            </w:tcBorders>
            <w:shd w:val="clear" w:color="auto" w:fill="FFFFFF" w:themeFill="background1"/>
            <w:tcMar>
              <w:left w:w="60" w:type="dxa"/>
              <w:right w:w="60" w:type="dxa"/>
            </w:tcMar>
          </w:tcPr>
          <w:p w14:paraId="03572FEE" w14:textId="77777777" w:rsidR="00327D59" w:rsidRPr="007D21AE" w:rsidRDefault="00327D59" w:rsidP="00032B54">
            <w:pPr>
              <w:spacing w:before="0" w:after="0"/>
              <w:jc w:val="center"/>
              <w:rPr>
                <w:rFonts w:cs="Arial"/>
                <w:szCs w:val="20"/>
              </w:rPr>
            </w:pPr>
            <w:r>
              <w:rPr>
                <w:color w:val="000000"/>
              </w:rPr>
              <w:t>1051</w:t>
            </w:r>
          </w:p>
        </w:tc>
        <w:tc>
          <w:tcPr>
            <w:tcW w:w="1453" w:type="dxa"/>
            <w:tcBorders>
              <w:top w:val="single" w:sz="4" w:space="0" w:color="auto"/>
            </w:tcBorders>
            <w:shd w:val="clear" w:color="auto" w:fill="FFFFFF" w:themeFill="background1"/>
          </w:tcPr>
          <w:p w14:paraId="42D673A2" w14:textId="77777777" w:rsidR="00327D59" w:rsidRPr="007D21AE" w:rsidRDefault="00327D59" w:rsidP="00032B54">
            <w:pPr>
              <w:spacing w:before="0" w:after="0"/>
              <w:jc w:val="center"/>
              <w:rPr>
                <w:rFonts w:cs="Arial"/>
                <w:szCs w:val="20"/>
              </w:rPr>
            </w:pPr>
            <w:r>
              <w:rPr>
                <w:color w:val="000000"/>
              </w:rPr>
              <w:t>714</w:t>
            </w:r>
          </w:p>
        </w:tc>
        <w:tc>
          <w:tcPr>
            <w:tcW w:w="1453" w:type="dxa"/>
            <w:tcBorders>
              <w:top w:val="single" w:sz="4" w:space="0" w:color="auto"/>
            </w:tcBorders>
            <w:shd w:val="clear" w:color="auto" w:fill="FFFFFF" w:themeFill="background1"/>
          </w:tcPr>
          <w:p w14:paraId="381EF434" w14:textId="77777777" w:rsidR="00327D59" w:rsidRPr="007D21AE" w:rsidRDefault="00327D59" w:rsidP="00032B54">
            <w:pPr>
              <w:spacing w:before="0" w:after="0"/>
              <w:jc w:val="center"/>
              <w:rPr>
                <w:rFonts w:cs="Arial"/>
                <w:szCs w:val="20"/>
              </w:rPr>
            </w:pPr>
            <w:r>
              <w:rPr>
                <w:color w:val="000000"/>
              </w:rPr>
              <w:t>718</w:t>
            </w:r>
          </w:p>
        </w:tc>
      </w:tr>
      <w:tr w:rsidR="00327D59" w:rsidRPr="00A72F4E" w14:paraId="72699BFE" w14:textId="77777777" w:rsidTr="00032B54">
        <w:trPr>
          <w:cantSplit/>
        </w:trPr>
        <w:tc>
          <w:tcPr>
            <w:tcW w:w="2127" w:type="dxa"/>
            <w:shd w:val="clear" w:color="auto" w:fill="FFFFFF" w:themeFill="background1"/>
            <w:tcMar>
              <w:left w:w="60" w:type="dxa"/>
              <w:right w:w="60" w:type="dxa"/>
            </w:tcMar>
          </w:tcPr>
          <w:p w14:paraId="79243796" w14:textId="77777777" w:rsidR="00327D59" w:rsidRPr="00A72F4E" w:rsidRDefault="00327D59" w:rsidP="00032B54">
            <w:pPr>
              <w:spacing w:before="0" w:after="0"/>
              <w:rPr>
                <w:rFonts w:eastAsiaTheme="minorHAnsi"/>
                <w:lang w:eastAsia="en-US"/>
              </w:rPr>
            </w:pPr>
            <w:r w:rsidRPr="00A72F4E">
              <w:rPr>
                <w:rFonts w:eastAsiaTheme="minorHAnsi"/>
                <w:lang w:eastAsia="en-US"/>
              </w:rPr>
              <w:t>No contact</w:t>
            </w:r>
          </w:p>
        </w:tc>
        <w:tc>
          <w:tcPr>
            <w:tcW w:w="1452" w:type="dxa"/>
            <w:shd w:val="clear" w:color="auto" w:fill="FFFFFF" w:themeFill="background1"/>
            <w:tcMar>
              <w:left w:w="60" w:type="dxa"/>
              <w:right w:w="60" w:type="dxa"/>
            </w:tcMar>
          </w:tcPr>
          <w:p w14:paraId="7D755BEA" w14:textId="77777777" w:rsidR="00327D59" w:rsidRPr="007D21AE" w:rsidRDefault="00327D59" w:rsidP="00032B54">
            <w:pPr>
              <w:spacing w:before="0" w:after="0"/>
              <w:jc w:val="center"/>
              <w:rPr>
                <w:rFonts w:cs="Arial"/>
                <w:szCs w:val="20"/>
              </w:rPr>
            </w:pPr>
            <w:r>
              <w:rPr>
                <w:color w:val="000000"/>
              </w:rPr>
              <w:t>856</w:t>
            </w:r>
          </w:p>
        </w:tc>
        <w:tc>
          <w:tcPr>
            <w:tcW w:w="1453" w:type="dxa"/>
            <w:shd w:val="clear" w:color="auto" w:fill="FFFFFF" w:themeFill="background1"/>
            <w:tcMar>
              <w:left w:w="60" w:type="dxa"/>
              <w:right w:w="60" w:type="dxa"/>
            </w:tcMar>
          </w:tcPr>
          <w:p w14:paraId="1A542BE7" w14:textId="77777777" w:rsidR="00327D59" w:rsidRPr="007D21AE" w:rsidRDefault="00327D59" w:rsidP="00032B54">
            <w:pPr>
              <w:spacing w:before="0" w:after="0"/>
              <w:jc w:val="center"/>
              <w:rPr>
                <w:rFonts w:cs="Arial"/>
                <w:szCs w:val="20"/>
              </w:rPr>
            </w:pPr>
            <w:r>
              <w:rPr>
                <w:color w:val="000000"/>
              </w:rPr>
              <w:t>925</w:t>
            </w:r>
          </w:p>
        </w:tc>
        <w:tc>
          <w:tcPr>
            <w:tcW w:w="1453" w:type="dxa"/>
            <w:shd w:val="clear" w:color="auto" w:fill="FFFFFF" w:themeFill="background1"/>
            <w:tcMar>
              <w:left w:w="60" w:type="dxa"/>
              <w:right w:w="60" w:type="dxa"/>
            </w:tcMar>
          </w:tcPr>
          <w:p w14:paraId="2A24F531" w14:textId="77777777" w:rsidR="00327D59" w:rsidRPr="007D21AE" w:rsidRDefault="00327D59" w:rsidP="00032B54">
            <w:pPr>
              <w:spacing w:before="0" w:after="0"/>
              <w:jc w:val="center"/>
              <w:rPr>
                <w:rFonts w:cs="Arial"/>
                <w:szCs w:val="20"/>
              </w:rPr>
            </w:pPr>
            <w:r>
              <w:rPr>
                <w:color w:val="000000"/>
              </w:rPr>
              <w:t>1,051</w:t>
            </w:r>
          </w:p>
        </w:tc>
        <w:tc>
          <w:tcPr>
            <w:tcW w:w="1453" w:type="dxa"/>
            <w:shd w:val="clear" w:color="auto" w:fill="FFFFFF" w:themeFill="background1"/>
            <w:tcMar>
              <w:left w:w="60" w:type="dxa"/>
              <w:right w:w="60" w:type="dxa"/>
            </w:tcMar>
          </w:tcPr>
          <w:p w14:paraId="66DF1C16" w14:textId="77777777" w:rsidR="00327D59" w:rsidRPr="007D21AE" w:rsidRDefault="00327D59" w:rsidP="00032B54">
            <w:pPr>
              <w:spacing w:before="0" w:after="0"/>
              <w:jc w:val="center"/>
              <w:rPr>
                <w:rFonts w:cs="Arial"/>
                <w:szCs w:val="20"/>
              </w:rPr>
            </w:pPr>
            <w:r>
              <w:rPr>
                <w:color w:val="000000"/>
              </w:rPr>
              <w:t>832</w:t>
            </w:r>
          </w:p>
        </w:tc>
        <w:tc>
          <w:tcPr>
            <w:tcW w:w="1453" w:type="dxa"/>
            <w:shd w:val="clear" w:color="auto" w:fill="FFFFFF" w:themeFill="background1"/>
            <w:tcMar>
              <w:left w:w="60" w:type="dxa"/>
              <w:right w:w="60" w:type="dxa"/>
            </w:tcMar>
          </w:tcPr>
          <w:p w14:paraId="1845562E" w14:textId="77777777" w:rsidR="00327D59" w:rsidRPr="007D21AE" w:rsidRDefault="00327D59" w:rsidP="00032B54">
            <w:pPr>
              <w:spacing w:before="0" w:after="0"/>
              <w:jc w:val="center"/>
              <w:rPr>
                <w:rFonts w:cs="Arial"/>
                <w:szCs w:val="20"/>
              </w:rPr>
            </w:pPr>
            <w:r>
              <w:rPr>
                <w:color w:val="000000"/>
              </w:rPr>
              <w:t>903</w:t>
            </w:r>
          </w:p>
        </w:tc>
        <w:tc>
          <w:tcPr>
            <w:tcW w:w="1453" w:type="dxa"/>
            <w:shd w:val="clear" w:color="auto" w:fill="FFFFFF" w:themeFill="background1"/>
            <w:tcMar>
              <w:left w:w="60" w:type="dxa"/>
              <w:right w:w="60" w:type="dxa"/>
            </w:tcMar>
          </w:tcPr>
          <w:p w14:paraId="3707E28D" w14:textId="77777777" w:rsidR="00327D59" w:rsidRPr="007D21AE" w:rsidRDefault="00327D59" w:rsidP="00032B54">
            <w:pPr>
              <w:spacing w:before="0" w:after="0"/>
              <w:jc w:val="center"/>
              <w:rPr>
                <w:rFonts w:cs="Arial"/>
                <w:szCs w:val="20"/>
              </w:rPr>
            </w:pPr>
            <w:r>
              <w:rPr>
                <w:color w:val="000000"/>
              </w:rPr>
              <w:t>1,088</w:t>
            </w:r>
          </w:p>
        </w:tc>
        <w:tc>
          <w:tcPr>
            <w:tcW w:w="1453" w:type="dxa"/>
            <w:shd w:val="clear" w:color="auto" w:fill="FFFFFF" w:themeFill="background1"/>
          </w:tcPr>
          <w:p w14:paraId="448B0BC5" w14:textId="77777777" w:rsidR="00327D59" w:rsidRPr="007D21AE" w:rsidRDefault="00327D59" w:rsidP="00032B54">
            <w:pPr>
              <w:spacing w:before="0" w:after="0"/>
              <w:jc w:val="center"/>
              <w:rPr>
                <w:rFonts w:cs="Arial"/>
                <w:szCs w:val="20"/>
              </w:rPr>
            </w:pPr>
            <w:r>
              <w:rPr>
                <w:color w:val="000000"/>
              </w:rPr>
              <w:t>1,379</w:t>
            </w:r>
          </w:p>
        </w:tc>
        <w:tc>
          <w:tcPr>
            <w:tcW w:w="1453" w:type="dxa"/>
            <w:shd w:val="clear" w:color="auto" w:fill="FFFFFF" w:themeFill="background1"/>
          </w:tcPr>
          <w:p w14:paraId="254F6886" w14:textId="77777777" w:rsidR="00327D59" w:rsidRPr="007D21AE" w:rsidRDefault="00327D59" w:rsidP="00032B54">
            <w:pPr>
              <w:spacing w:before="0" w:after="0"/>
              <w:jc w:val="center"/>
              <w:rPr>
                <w:rFonts w:cs="Arial"/>
                <w:szCs w:val="20"/>
              </w:rPr>
            </w:pPr>
            <w:r>
              <w:rPr>
                <w:color w:val="000000"/>
              </w:rPr>
              <w:t>1,658</w:t>
            </w:r>
          </w:p>
        </w:tc>
      </w:tr>
      <w:tr w:rsidR="00327D59" w:rsidRPr="00A72F4E" w14:paraId="62A18142" w14:textId="77777777" w:rsidTr="00032B54">
        <w:trPr>
          <w:cantSplit/>
        </w:trPr>
        <w:tc>
          <w:tcPr>
            <w:tcW w:w="2127" w:type="dxa"/>
            <w:tcBorders>
              <w:bottom w:val="nil"/>
            </w:tcBorders>
            <w:shd w:val="clear" w:color="auto" w:fill="FFFFFF" w:themeFill="background1"/>
            <w:tcMar>
              <w:left w:w="60" w:type="dxa"/>
              <w:right w:w="60" w:type="dxa"/>
            </w:tcMar>
          </w:tcPr>
          <w:p w14:paraId="58924BC5" w14:textId="77777777" w:rsidR="00327D59" w:rsidRPr="00A72F4E" w:rsidRDefault="00327D59" w:rsidP="00032B54">
            <w:pPr>
              <w:spacing w:before="0" w:after="0"/>
              <w:rPr>
                <w:rFonts w:eastAsiaTheme="minorHAnsi"/>
                <w:lang w:eastAsia="en-US"/>
              </w:rPr>
            </w:pPr>
            <w:r w:rsidRPr="00A72F4E">
              <w:rPr>
                <w:rFonts w:eastAsiaTheme="minorHAnsi"/>
                <w:lang w:eastAsia="en-US"/>
              </w:rPr>
              <w:t>Respondent</w:t>
            </w:r>
          </w:p>
        </w:tc>
        <w:tc>
          <w:tcPr>
            <w:tcW w:w="1452" w:type="dxa"/>
            <w:tcBorders>
              <w:bottom w:val="nil"/>
            </w:tcBorders>
            <w:shd w:val="clear" w:color="auto" w:fill="FFFFFF" w:themeFill="background1"/>
            <w:tcMar>
              <w:left w:w="60" w:type="dxa"/>
              <w:right w:w="60" w:type="dxa"/>
            </w:tcMar>
          </w:tcPr>
          <w:p w14:paraId="7F719F00" w14:textId="77777777" w:rsidR="00327D59" w:rsidRPr="007D21AE" w:rsidRDefault="00327D59" w:rsidP="00032B54">
            <w:pPr>
              <w:spacing w:before="0" w:after="0"/>
              <w:jc w:val="center"/>
              <w:rPr>
                <w:rFonts w:cs="Arial"/>
                <w:szCs w:val="20"/>
              </w:rPr>
            </w:pPr>
            <w:r>
              <w:rPr>
                <w:color w:val="000000"/>
              </w:rPr>
              <w:t>12,338</w:t>
            </w:r>
          </w:p>
        </w:tc>
        <w:tc>
          <w:tcPr>
            <w:tcW w:w="1453" w:type="dxa"/>
            <w:tcBorders>
              <w:bottom w:val="nil"/>
            </w:tcBorders>
            <w:shd w:val="clear" w:color="auto" w:fill="FFFFFF" w:themeFill="background1"/>
            <w:tcMar>
              <w:left w:w="60" w:type="dxa"/>
              <w:right w:w="60" w:type="dxa"/>
            </w:tcMar>
          </w:tcPr>
          <w:p w14:paraId="44EDCC6B" w14:textId="77777777" w:rsidR="00327D59" w:rsidRPr="007D21AE" w:rsidRDefault="00327D59" w:rsidP="00032B54">
            <w:pPr>
              <w:spacing w:before="0" w:after="0"/>
              <w:jc w:val="center"/>
              <w:rPr>
                <w:rFonts w:cs="Arial"/>
                <w:szCs w:val="20"/>
              </w:rPr>
            </w:pPr>
            <w:r>
              <w:rPr>
                <w:color w:val="000000"/>
              </w:rPr>
              <w:t>11,226</w:t>
            </w:r>
          </w:p>
        </w:tc>
        <w:tc>
          <w:tcPr>
            <w:tcW w:w="1453" w:type="dxa"/>
            <w:tcBorders>
              <w:bottom w:val="nil"/>
            </w:tcBorders>
            <w:shd w:val="clear" w:color="auto" w:fill="FFFFFF" w:themeFill="background1"/>
            <w:tcMar>
              <w:left w:w="60" w:type="dxa"/>
              <w:right w:w="60" w:type="dxa"/>
            </w:tcMar>
          </w:tcPr>
          <w:p w14:paraId="71C803CD" w14:textId="77777777" w:rsidR="00327D59" w:rsidRPr="007D21AE" w:rsidRDefault="00327D59" w:rsidP="00032B54">
            <w:pPr>
              <w:spacing w:before="0" w:after="0"/>
              <w:jc w:val="center"/>
              <w:rPr>
                <w:rFonts w:cs="Arial"/>
                <w:szCs w:val="20"/>
              </w:rPr>
            </w:pPr>
            <w:r>
              <w:rPr>
                <w:color w:val="000000"/>
              </w:rPr>
              <w:t>10,905</w:t>
            </w:r>
          </w:p>
        </w:tc>
        <w:tc>
          <w:tcPr>
            <w:tcW w:w="1453" w:type="dxa"/>
            <w:tcBorders>
              <w:bottom w:val="nil"/>
            </w:tcBorders>
            <w:shd w:val="clear" w:color="auto" w:fill="FFFFFF" w:themeFill="background1"/>
            <w:tcMar>
              <w:left w:w="60" w:type="dxa"/>
              <w:right w:w="60" w:type="dxa"/>
            </w:tcMar>
          </w:tcPr>
          <w:p w14:paraId="2146D4FF" w14:textId="77777777" w:rsidR="00327D59" w:rsidRPr="007D21AE" w:rsidRDefault="00327D59" w:rsidP="00032B54">
            <w:pPr>
              <w:spacing w:before="0" w:after="0"/>
              <w:jc w:val="center"/>
              <w:rPr>
                <w:rFonts w:cs="Arial"/>
                <w:szCs w:val="20"/>
              </w:rPr>
            </w:pPr>
            <w:r>
              <w:rPr>
                <w:color w:val="000000"/>
              </w:rPr>
              <w:t>10,638</w:t>
            </w:r>
          </w:p>
        </w:tc>
        <w:tc>
          <w:tcPr>
            <w:tcW w:w="1453" w:type="dxa"/>
            <w:tcBorders>
              <w:bottom w:val="nil"/>
            </w:tcBorders>
            <w:shd w:val="clear" w:color="auto" w:fill="FFFFFF" w:themeFill="background1"/>
            <w:tcMar>
              <w:left w:w="60" w:type="dxa"/>
              <w:right w:w="60" w:type="dxa"/>
            </w:tcMar>
          </w:tcPr>
          <w:p w14:paraId="3566087D" w14:textId="77777777" w:rsidR="00327D59" w:rsidRPr="007D21AE" w:rsidRDefault="00327D59" w:rsidP="00032B54">
            <w:pPr>
              <w:spacing w:before="0" w:after="0"/>
              <w:jc w:val="center"/>
              <w:rPr>
                <w:rFonts w:cs="Arial"/>
                <w:szCs w:val="20"/>
              </w:rPr>
            </w:pPr>
            <w:r>
              <w:rPr>
                <w:color w:val="000000"/>
              </w:rPr>
              <w:t>10,011</w:t>
            </w:r>
          </w:p>
        </w:tc>
        <w:tc>
          <w:tcPr>
            <w:tcW w:w="1453" w:type="dxa"/>
            <w:tcBorders>
              <w:bottom w:val="nil"/>
            </w:tcBorders>
            <w:shd w:val="clear" w:color="auto" w:fill="FFFFFF" w:themeFill="background1"/>
            <w:tcMar>
              <w:left w:w="60" w:type="dxa"/>
              <w:right w:w="60" w:type="dxa"/>
            </w:tcMar>
          </w:tcPr>
          <w:p w14:paraId="266072B0" w14:textId="77777777" w:rsidR="00327D59" w:rsidRPr="007D21AE" w:rsidRDefault="00327D59" w:rsidP="00032B54">
            <w:pPr>
              <w:spacing w:before="0" w:after="0"/>
              <w:jc w:val="center"/>
              <w:rPr>
                <w:rFonts w:cs="Arial"/>
                <w:szCs w:val="20"/>
              </w:rPr>
            </w:pPr>
            <w:r>
              <w:rPr>
                <w:color w:val="000000"/>
              </w:rPr>
              <w:t>9,151</w:t>
            </w:r>
          </w:p>
        </w:tc>
        <w:tc>
          <w:tcPr>
            <w:tcW w:w="1453" w:type="dxa"/>
            <w:tcBorders>
              <w:bottom w:val="nil"/>
            </w:tcBorders>
            <w:shd w:val="clear" w:color="auto" w:fill="FFFFFF" w:themeFill="background1"/>
          </w:tcPr>
          <w:p w14:paraId="5D1C8428" w14:textId="77777777" w:rsidR="00327D59" w:rsidRPr="007D21AE" w:rsidRDefault="00327D59" w:rsidP="00032B54">
            <w:pPr>
              <w:spacing w:before="0" w:after="0"/>
              <w:jc w:val="center"/>
              <w:rPr>
                <w:rFonts w:cs="Arial"/>
                <w:szCs w:val="20"/>
              </w:rPr>
            </w:pPr>
            <w:r>
              <w:rPr>
                <w:color w:val="000000"/>
              </w:rPr>
              <w:t>8,622</w:t>
            </w:r>
          </w:p>
        </w:tc>
        <w:tc>
          <w:tcPr>
            <w:tcW w:w="1453" w:type="dxa"/>
            <w:tcBorders>
              <w:bottom w:val="nil"/>
            </w:tcBorders>
            <w:shd w:val="clear" w:color="auto" w:fill="FFFFFF" w:themeFill="background1"/>
          </w:tcPr>
          <w:p w14:paraId="2A06D18B" w14:textId="77777777" w:rsidR="00327D59" w:rsidRPr="007D21AE" w:rsidRDefault="00327D59" w:rsidP="00032B54">
            <w:pPr>
              <w:spacing w:before="0" w:after="0"/>
              <w:jc w:val="center"/>
              <w:rPr>
                <w:rFonts w:cs="Arial"/>
                <w:szCs w:val="20"/>
              </w:rPr>
            </w:pPr>
            <w:r>
              <w:rPr>
                <w:color w:val="000000"/>
              </w:rPr>
              <w:t>7,956</w:t>
            </w:r>
          </w:p>
        </w:tc>
      </w:tr>
      <w:tr w:rsidR="00327D59" w:rsidRPr="00A72F4E" w14:paraId="22A1A4FA" w14:textId="77777777" w:rsidTr="00032B54">
        <w:trPr>
          <w:cantSplit/>
        </w:trPr>
        <w:tc>
          <w:tcPr>
            <w:tcW w:w="2127" w:type="dxa"/>
            <w:tcBorders>
              <w:top w:val="nil"/>
              <w:bottom w:val="single" w:sz="4" w:space="0" w:color="auto"/>
            </w:tcBorders>
            <w:shd w:val="clear" w:color="auto" w:fill="FFFFFF" w:themeFill="background1"/>
            <w:tcMar>
              <w:left w:w="60" w:type="dxa"/>
              <w:right w:w="60" w:type="dxa"/>
            </w:tcMar>
          </w:tcPr>
          <w:p w14:paraId="68E8B0EB" w14:textId="77777777" w:rsidR="00327D59" w:rsidRPr="003A200D" w:rsidRDefault="00327D59" w:rsidP="00032B54">
            <w:pPr>
              <w:spacing w:before="0" w:after="0"/>
              <w:rPr>
                <w:rFonts w:eastAsiaTheme="minorHAnsi"/>
                <w:b/>
                <w:sz w:val="18"/>
                <w:szCs w:val="18"/>
                <w:lang w:eastAsia="en-US"/>
              </w:rPr>
            </w:pPr>
            <w:r w:rsidRPr="003A200D">
              <w:rPr>
                <w:rFonts w:eastAsiaTheme="minorHAnsi"/>
                <w:b/>
                <w:sz w:val="18"/>
                <w:szCs w:val="18"/>
                <w:lang w:eastAsia="en-US"/>
              </w:rPr>
              <w:t>TOTAL ELIGIBLE</w:t>
            </w:r>
          </w:p>
        </w:tc>
        <w:tc>
          <w:tcPr>
            <w:tcW w:w="1452" w:type="dxa"/>
            <w:tcBorders>
              <w:top w:val="nil"/>
              <w:bottom w:val="single" w:sz="4" w:space="0" w:color="auto"/>
            </w:tcBorders>
            <w:shd w:val="clear" w:color="auto" w:fill="FFFFFF" w:themeFill="background1"/>
            <w:tcMar>
              <w:left w:w="60" w:type="dxa"/>
              <w:right w:w="60" w:type="dxa"/>
            </w:tcMar>
          </w:tcPr>
          <w:p w14:paraId="41D80F72" w14:textId="77777777" w:rsidR="00327D59" w:rsidRPr="00824CAE" w:rsidRDefault="00327D59" w:rsidP="00032B54">
            <w:pPr>
              <w:spacing w:before="0" w:after="0"/>
              <w:jc w:val="center"/>
              <w:rPr>
                <w:rFonts w:cs="Arial"/>
                <w:b/>
                <w:bCs/>
                <w:szCs w:val="20"/>
              </w:rPr>
            </w:pPr>
            <w:r w:rsidRPr="00824CAE">
              <w:rPr>
                <w:b/>
                <w:bCs/>
                <w:color w:val="000000"/>
              </w:rPr>
              <w:t>13</w:t>
            </w:r>
            <w:r>
              <w:rPr>
                <w:b/>
                <w:bCs/>
                <w:color w:val="000000"/>
              </w:rPr>
              <w:t>,</w:t>
            </w:r>
            <w:r w:rsidRPr="00824CAE">
              <w:rPr>
                <w:b/>
                <w:bCs/>
                <w:color w:val="000000"/>
              </w:rPr>
              <w:t>448</w:t>
            </w:r>
          </w:p>
        </w:tc>
        <w:tc>
          <w:tcPr>
            <w:tcW w:w="1453" w:type="dxa"/>
            <w:tcBorders>
              <w:top w:val="nil"/>
              <w:bottom w:val="single" w:sz="4" w:space="0" w:color="auto"/>
            </w:tcBorders>
            <w:shd w:val="clear" w:color="auto" w:fill="FFFFFF" w:themeFill="background1"/>
            <w:tcMar>
              <w:left w:w="60" w:type="dxa"/>
              <w:right w:w="60" w:type="dxa"/>
            </w:tcMar>
          </w:tcPr>
          <w:p w14:paraId="18D56DB8" w14:textId="77777777" w:rsidR="00327D59" w:rsidRPr="00824CAE" w:rsidRDefault="00327D59" w:rsidP="00032B54">
            <w:pPr>
              <w:spacing w:before="0" w:after="0"/>
              <w:jc w:val="center"/>
              <w:rPr>
                <w:rFonts w:cs="Arial"/>
                <w:b/>
                <w:bCs/>
                <w:szCs w:val="20"/>
              </w:rPr>
            </w:pPr>
            <w:r w:rsidRPr="00824CAE">
              <w:rPr>
                <w:b/>
                <w:bCs/>
                <w:color w:val="000000"/>
              </w:rPr>
              <w:t>13</w:t>
            </w:r>
            <w:r>
              <w:rPr>
                <w:b/>
                <w:bCs/>
                <w:color w:val="000000"/>
              </w:rPr>
              <w:t>,</w:t>
            </w:r>
            <w:r w:rsidRPr="00824CAE">
              <w:rPr>
                <w:b/>
                <w:bCs/>
                <w:color w:val="000000"/>
              </w:rPr>
              <w:t>148</w:t>
            </w:r>
          </w:p>
        </w:tc>
        <w:tc>
          <w:tcPr>
            <w:tcW w:w="1453" w:type="dxa"/>
            <w:tcBorders>
              <w:top w:val="nil"/>
              <w:bottom w:val="single" w:sz="4" w:space="0" w:color="auto"/>
            </w:tcBorders>
            <w:shd w:val="clear" w:color="auto" w:fill="FFFFFF" w:themeFill="background1"/>
            <w:tcMar>
              <w:left w:w="60" w:type="dxa"/>
              <w:right w:w="60" w:type="dxa"/>
            </w:tcMar>
          </w:tcPr>
          <w:p w14:paraId="4EDEF57F" w14:textId="77777777" w:rsidR="00327D59" w:rsidRPr="00824CAE" w:rsidRDefault="00327D59" w:rsidP="00032B54">
            <w:pPr>
              <w:spacing w:before="0" w:after="0"/>
              <w:jc w:val="center"/>
              <w:rPr>
                <w:rFonts w:cs="Arial"/>
                <w:b/>
                <w:bCs/>
                <w:szCs w:val="20"/>
              </w:rPr>
            </w:pPr>
            <w:r w:rsidRPr="00824CAE">
              <w:rPr>
                <w:b/>
                <w:bCs/>
                <w:color w:val="000000"/>
              </w:rPr>
              <w:t>12</w:t>
            </w:r>
            <w:r>
              <w:rPr>
                <w:b/>
                <w:bCs/>
                <w:color w:val="000000"/>
              </w:rPr>
              <w:t>,</w:t>
            </w:r>
            <w:r w:rsidRPr="00824CAE">
              <w:rPr>
                <w:b/>
                <w:bCs/>
                <w:color w:val="000000"/>
              </w:rPr>
              <w:t>842</w:t>
            </w:r>
          </w:p>
        </w:tc>
        <w:tc>
          <w:tcPr>
            <w:tcW w:w="1453" w:type="dxa"/>
            <w:tcBorders>
              <w:top w:val="nil"/>
              <w:bottom w:val="single" w:sz="4" w:space="0" w:color="auto"/>
            </w:tcBorders>
            <w:shd w:val="clear" w:color="auto" w:fill="FFFFFF" w:themeFill="background1"/>
            <w:tcMar>
              <w:left w:w="60" w:type="dxa"/>
              <w:right w:w="60" w:type="dxa"/>
            </w:tcMar>
          </w:tcPr>
          <w:p w14:paraId="5A7CF82E" w14:textId="77777777" w:rsidR="00327D59" w:rsidRPr="00824CAE" w:rsidRDefault="00327D59" w:rsidP="00032B54">
            <w:pPr>
              <w:spacing w:before="0" w:after="0"/>
              <w:jc w:val="center"/>
              <w:rPr>
                <w:rFonts w:cs="Arial"/>
                <w:b/>
                <w:bCs/>
                <w:szCs w:val="20"/>
              </w:rPr>
            </w:pPr>
            <w:r w:rsidRPr="00824CAE">
              <w:rPr>
                <w:b/>
                <w:bCs/>
                <w:color w:val="000000"/>
              </w:rPr>
              <w:t>12</w:t>
            </w:r>
            <w:r>
              <w:rPr>
                <w:b/>
                <w:bCs/>
                <w:color w:val="000000"/>
              </w:rPr>
              <w:t>,</w:t>
            </w:r>
            <w:r w:rsidRPr="00824CAE">
              <w:rPr>
                <w:b/>
                <w:bCs/>
                <w:color w:val="000000"/>
              </w:rPr>
              <w:t>465</w:t>
            </w:r>
          </w:p>
        </w:tc>
        <w:tc>
          <w:tcPr>
            <w:tcW w:w="1453" w:type="dxa"/>
            <w:tcBorders>
              <w:top w:val="nil"/>
              <w:bottom w:val="single" w:sz="4" w:space="0" w:color="auto"/>
            </w:tcBorders>
            <w:shd w:val="clear" w:color="auto" w:fill="FFFFFF" w:themeFill="background1"/>
            <w:tcMar>
              <w:left w:w="60" w:type="dxa"/>
              <w:right w:w="60" w:type="dxa"/>
            </w:tcMar>
          </w:tcPr>
          <w:p w14:paraId="0749DDE6" w14:textId="77777777" w:rsidR="00327D59" w:rsidRPr="00824CAE" w:rsidRDefault="00327D59" w:rsidP="00032B54">
            <w:pPr>
              <w:spacing w:before="0" w:after="0"/>
              <w:jc w:val="center"/>
              <w:rPr>
                <w:rFonts w:cs="Arial"/>
                <w:b/>
                <w:bCs/>
                <w:szCs w:val="20"/>
              </w:rPr>
            </w:pPr>
            <w:r w:rsidRPr="00824CAE">
              <w:rPr>
                <w:b/>
                <w:bCs/>
                <w:color w:val="000000"/>
              </w:rPr>
              <w:t>12</w:t>
            </w:r>
            <w:r>
              <w:rPr>
                <w:b/>
                <w:bCs/>
                <w:color w:val="000000"/>
              </w:rPr>
              <w:t>,</w:t>
            </w:r>
            <w:r w:rsidRPr="00824CAE">
              <w:rPr>
                <w:b/>
                <w:bCs/>
                <w:color w:val="000000"/>
              </w:rPr>
              <w:t>062</w:t>
            </w:r>
          </w:p>
        </w:tc>
        <w:tc>
          <w:tcPr>
            <w:tcW w:w="1453" w:type="dxa"/>
            <w:tcBorders>
              <w:top w:val="nil"/>
              <w:bottom w:val="single" w:sz="4" w:space="0" w:color="auto"/>
            </w:tcBorders>
            <w:shd w:val="clear" w:color="auto" w:fill="FFFFFF" w:themeFill="background1"/>
            <w:tcMar>
              <w:left w:w="60" w:type="dxa"/>
              <w:right w:w="60" w:type="dxa"/>
            </w:tcMar>
          </w:tcPr>
          <w:p w14:paraId="37D26439" w14:textId="77777777" w:rsidR="00327D59" w:rsidRPr="00824CAE" w:rsidRDefault="00327D59" w:rsidP="00032B54">
            <w:pPr>
              <w:spacing w:before="0" w:after="0"/>
              <w:jc w:val="center"/>
              <w:rPr>
                <w:rFonts w:cs="Arial"/>
                <w:b/>
                <w:bCs/>
                <w:szCs w:val="20"/>
              </w:rPr>
            </w:pPr>
            <w:r w:rsidRPr="00824CAE">
              <w:rPr>
                <w:b/>
                <w:bCs/>
                <w:color w:val="000000"/>
              </w:rPr>
              <w:t>11</w:t>
            </w:r>
            <w:r>
              <w:rPr>
                <w:b/>
                <w:bCs/>
                <w:color w:val="000000"/>
              </w:rPr>
              <w:t>,</w:t>
            </w:r>
            <w:r w:rsidRPr="00824CAE">
              <w:rPr>
                <w:b/>
                <w:bCs/>
                <w:color w:val="000000"/>
              </w:rPr>
              <w:t>290</w:t>
            </w:r>
          </w:p>
        </w:tc>
        <w:tc>
          <w:tcPr>
            <w:tcW w:w="1453" w:type="dxa"/>
            <w:tcBorders>
              <w:top w:val="nil"/>
              <w:bottom w:val="single" w:sz="4" w:space="0" w:color="auto"/>
            </w:tcBorders>
            <w:shd w:val="clear" w:color="auto" w:fill="FFFFFF" w:themeFill="background1"/>
          </w:tcPr>
          <w:p w14:paraId="1D5BA3DE" w14:textId="77777777" w:rsidR="00327D59" w:rsidRPr="00824CAE" w:rsidRDefault="00327D59" w:rsidP="00032B54">
            <w:pPr>
              <w:spacing w:before="0" w:after="0"/>
              <w:jc w:val="center"/>
              <w:rPr>
                <w:rFonts w:cs="Arial"/>
                <w:b/>
                <w:bCs/>
                <w:szCs w:val="20"/>
              </w:rPr>
            </w:pPr>
            <w:r w:rsidRPr="00824CAE">
              <w:rPr>
                <w:b/>
                <w:bCs/>
                <w:color w:val="000000"/>
              </w:rPr>
              <w:t>10</w:t>
            </w:r>
            <w:r>
              <w:rPr>
                <w:b/>
                <w:bCs/>
                <w:color w:val="000000"/>
              </w:rPr>
              <w:t>,</w:t>
            </w:r>
            <w:r w:rsidRPr="00824CAE">
              <w:rPr>
                <w:b/>
                <w:bCs/>
                <w:color w:val="000000"/>
              </w:rPr>
              <w:t>715</w:t>
            </w:r>
          </w:p>
        </w:tc>
        <w:tc>
          <w:tcPr>
            <w:tcW w:w="1453" w:type="dxa"/>
            <w:tcBorders>
              <w:top w:val="nil"/>
              <w:bottom w:val="single" w:sz="4" w:space="0" w:color="auto"/>
            </w:tcBorders>
            <w:shd w:val="clear" w:color="auto" w:fill="FFFFFF" w:themeFill="background1"/>
          </w:tcPr>
          <w:p w14:paraId="5FAA4839" w14:textId="77777777" w:rsidR="00327D59" w:rsidRPr="00824CAE" w:rsidRDefault="00327D59" w:rsidP="00032B54">
            <w:pPr>
              <w:spacing w:before="0" w:after="0"/>
              <w:jc w:val="center"/>
              <w:rPr>
                <w:rFonts w:cs="Arial"/>
                <w:b/>
                <w:bCs/>
                <w:szCs w:val="20"/>
              </w:rPr>
            </w:pPr>
            <w:r w:rsidRPr="00824CAE">
              <w:rPr>
                <w:b/>
                <w:bCs/>
                <w:color w:val="000000"/>
              </w:rPr>
              <w:t>10</w:t>
            </w:r>
            <w:r>
              <w:rPr>
                <w:b/>
                <w:bCs/>
                <w:color w:val="000000"/>
              </w:rPr>
              <w:t>,</w:t>
            </w:r>
            <w:r w:rsidRPr="00824CAE">
              <w:rPr>
                <w:b/>
                <w:bCs/>
                <w:color w:val="000000"/>
              </w:rPr>
              <w:t>332</w:t>
            </w:r>
          </w:p>
        </w:tc>
      </w:tr>
      <w:tr w:rsidR="00327D59" w:rsidRPr="00A72F4E" w14:paraId="5BD22C42" w14:textId="77777777" w:rsidTr="00032B54">
        <w:trPr>
          <w:cantSplit/>
        </w:trPr>
        <w:tc>
          <w:tcPr>
            <w:tcW w:w="2127" w:type="dxa"/>
            <w:tcBorders>
              <w:top w:val="single" w:sz="4" w:space="0" w:color="auto"/>
            </w:tcBorders>
            <w:shd w:val="clear" w:color="auto" w:fill="FFFFFF" w:themeFill="background1"/>
            <w:tcMar>
              <w:left w:w="60" w:type="dxa"/>
              <w:right w:w="60" w:type="dxa"/>
            </w:tcMar>
          </w:tcPr>
          <w:p w14:paraId="2E42BE5F" w14:textId="77777777" w:rsidR="00327D59" w:rsidRPr="00A72F4E" w:rsidRDefault="00327D59" w:rsidP="00032B54">
            <w:pPr>
              <w:spacing w:before="0" w:after="0"/>
              <w:jc w:val="left"/>
              <w:rPr>
                <w:rFonts w:eastAsiaTheme="minorEastAsia"/>
                <w:b/>
                <w:bCs/>
                <w:lang w:eastAsia="en-US"/>
              </w:rPr>
            </w:pPr>
            <w:r w:rsidRPr="101518C2">
              <w:rPr>
                <w:rFonts w:eastAsiaTheme="minorEastAsia"/>
                <w:b/>
                <w:bCs/>
                <w:sz w:val="18"/>
                <w:szCs w:val="18"/>
                <w:lang w:eastAsia="en-US"/>
              </w:rPr>
              <w:t xml:space="preserve">RESPONSE RATE </w:t>
            </w:r>
            <w:r w:rsidRPr="101518C2">
              <w:rPr>
                <w:rFonts w:eastAsiaTheme="minorEastAsia"/>
                <w:b/>
                <w:bCs/>
                <w:lang w:eastAsia="en-US"/>
              </w:rPr>
              <w:t>(</w:t>
            </w:r>
            <w:r w:rsidRPr="101518C2">
              <w:rPr>
                <w:rFonts w:eastAsiaTheme="minorEastAsia"/>
                <w:b/>
                <w:bCs/>
                <w:sz w:val="18"/>
                <w:szCs w:val="18"/>
                <w:lang w:eastAsia="en-US"/>
              </w:rPr>
              <w:t>%)</w:t>
            </w:r>
          </w:p>
        </w:tc>
        <w:tc>
          <w:tcPr>
            <w:tcW w:w="1452" w:type="dxa"/>
            <w:tcBorders>
              <w:top w:val="single" w:sz="4" w:space="0" w:color="auto"/>
            </w:tcBorders>
            <w:shd w:val="clear" w:color="auto" w:fill="FFFFFF" w:themeFill="background1"/>
            <w:tcMar>
              <w:left w:w="60" w:type="dxa"/>
              <w:right w:w="60" w:type="dxa"/>
            </w:tcMar>
          </w:tcPr>
          <w:p w14:paraId="518E1B27" w14:textId="77777777" w:rsidR="00327D59" w:rsidRPr="00824CAE" w:rsidRDefault="00327D59" w:rsidP="00032B54">
            <w:pPr>
              <w:spacing w:before="0" w:after="0"/>
              <w:jc w:val="center"/>
              <w:rPr>
                <w:rFonts w:cs="Arial"/>
                <w:b/>
                <w:bCs/>
                <w:szCs w:val="20"/>
              </w:rPr>
            </w:pPr>
            <w:r w:rsidRPr="00824CAE">
              <w:rPr>
                <w:b/>
                <w:bCs/>
                <w:color w:val="000000"/>
              </w:rPr>
              <w:t>91.7%</w:t>
            </w:r>
          </w:p>
        </w:tc>
        <w:tc>
          <w:tcPr>
            <w:tcW w:w="1453" w:type="dxa"/>
            <w:tcBorders>
              <w:top w:val="single" w:sz="4" w:space="0" w:color="auto"/>
            </w:tcBorders>
            <w:shd w:val="clear" w:color="auto" w:fill="FFFFFF" w:themeFill="background1"/>
            <w:tcMar>
              <w:left w:w="60" w:type="dxa"/>
              <w:right w:w="60" w:type="dxa"/>
            </w:tcMar>
          </w:tcPr>
          <w:p w14:paraId="53B47C6F" w14:textId="77777777" w:rsidR="00327D59" w:rsidRPr="00824CAE" w:rsidRDefault="00327D59" w:rsidP="00032B54">
            <w:pPr>
              <w:spacing w:before="0" w:after="0"/>
              <w:jc w:val="center"/>
              <w:rPr>
                <w:rFonts w:cs="Arial"/>
                <w:b/>
                <w:bCs/>
                <w:szCs w:val="20"/>
              </w:rPr>
            </w:pPr>
            <w:r w:rsidRPr="00824CAE">
              <w:rPr>
                <w:b/>
                <w:bCs/>
                <w:color w:val="000000"/>
              </w:rPr>
              <w:t>85.4%</w:t>
            </w:r>
          </w:p>
        </w:tc>
        <w:tc>
          <w:tcPr>
            <w:tcW w:w="1453" w:type="dxa"/>
            <w:tcBorders>
              <w:top w:val="single" w:sz="4" w:space="0" w:color="auto"/>
            </w:tcBorders>
            <w:shd w:val="clear" w:color="auto" w:fill="FFFFFF" w:themeFill="background1"/>
            <w:tcMar>
              <w:left w:w="60" w:type="dxa"/>
              <w:right w:w="60" w:type="dxa"/>
            </w:tcMar>
          </w:tcPr>
          <w:p w14:paraId="4E16A349" w14:textId="77777777" w:rsidR="00327D59" w:rsidRPr="00824CAE" w:rsidRDefault="00327D59" w:rsidP="00032B54">
            <w:pPr>
              <w:spacing w:before="0" w:after="0"/>
              <w:jc w:val="center"/>
              <w:rPr>
                <w:rFonts w:cs="Arial"/>
                <w:b/>
                <w:bCs/>
                <w:szCs w:val="20"/>
              </w:rPr>
            </w:pPr>
            <w:r w:rsidRPr="00824CAE">
              <w:rPr>
                <w:b/>
                <w:bCs/>
                <w:color w:val="000000"/>
              </w:rPr>
              <w:t>84.9%</w:t>
            </w:r>
          </w:p>
        </w:tc>
        <w:tc>
          <w:tcPr>
            <w:tcW w:w="1453" w:type="dxa"/>
            <w:tcBorders>
              <w:top w:val="single" w:sz="4" w:space="0" w:color="auto"/>
            </w:tcBorders>
            <w:shd w:val="clear" w:color="auto" w:fill="FFFFFF" w:themeFill="background1"/>
            <w:tcMar>
              <w:left w:w="60" w:type="dxa"/>
              <w:right w:w="60" w:type="dxa"/>
            </w:tcMar>
          </w:tcPr>
          <w:p w14:paraId="5583161D" w14:textId="77777777" w:rsidR="00327D59" w:rsidRPr="00824CAE" w:rsidRDefault="00327D59" w:rsidP="00032B54">
            <w:pPr>
              <w:spacing w:before="0" w:after="0"/>
              <w:jc w:val="center"/>
              <w:rPr>
                <w:rFonts w:cs="Arial"/>
                <w:b/>
                <w:bCs/>
                <w:szCs w:val="20"/>
              </w:rPr>
            </w:pPr>
            <w:r w:rsidRPr="00824CAE">
              <w:rPr>
                <w:b/>
                <w:bCs/>
                <w:color w:val="000000"/>
              </w:rPr>
              <w:t>85.3%</w:t>
            </w:r>
          </w:p>
        </w:tc>
        <w:tc>
          <w:tcPr>
            <w:tcW w:w="1453" w:type="dxa"/>
            <w:tcBorders>
              <w:top w:val="single" w:sz="4" w:space="0" w:color="auto"/>
            </w:tcBorders>
            <w:shd w:val="clear" w:color="auto" w:fill="FFFFFF" w:themeFill="background1"/>
            <w:tcMar>
              <w:left w:w="60" w:type="dxa"/>
              <w:right w:w="60" w:type="dxa"/>
            </w:tcMar>
          </w:tcPr>
          <w:p w14:paraId="20F43446" w14:textId="77777777" w:rsidR="00327D59" w:rsidRPr="00824CAE" w:rsidRDefault="00327D59" w:rsidP="00032B54">
            <w:pPr>
              <w:spacing w:before="0" w:after="0"/>
              <w:jc w:val="center"/>
              <w:rPr>
                <w:rFonts w:cs="Arial"/>
                <w:b/>
                <w:bCs/>
                <w:szCs w:val="20"/>
              </w:rPr>
            </w:pPr>
            <w:r w:rsidRPr="00824CAE">
              <w:rPr>
                <w:b/>
                <w:bCs/>
                <w:color w:val="000000"/>
              </w:rPr>
              <w:t>83.0%</w:t>
            </w:r>
          </w:p>
        </w:tc>
        <w:tc>
          <w:tcPr>
            <w:tcW w:w="1453" w:type="dxa"/>
            <w:tcBorders>
              <w:top w:val="single" w:sz="4" w:space="0" w:color="auto"/>
            </w:tcBorders>
            <w:shd w:val="clear" w:color="auto" w:fill="FFFFFF" w:themeFill="background1"/>
            <w:tcMar>
              <w:left w:w="60" w:type="dxa"/>
              <w:right w:w="60" w:type="dxa"/>
            </w:tcMar>
          </w:tcPr>
          <w:p w14:paraId="53861DD2" w14:textId="77777777" w:rsidR="00327D59" w:rsidRPr="00824CAE" w:rsidRDefault="00327D59" w:rsidP="00032B54">
            <w:pPr>
              <w:spacing w:before="0" w:after="0"/>
              <w:jc w:val="center"/>
              <w:rPr>
                <w:rFonts w:cs="Arial"/>
                <w:b/>
                <w:bCs/>
                <w:szCs w:val="20"/>
              </w:rPr>
            </w:pPr>
            <w:r w:rsidRPr="00824CAE">
              <w:rPr>
                <w:b/>
                <w:bCs/>
                <w:color w:val="000000"/>
              </w:rPr>
              <w:t>81.1%</w:t>
            </w:r>
          </w:p>
        </w:tc>
        <w:tc>
          <w:tcPr>
            <w:tcW w:w="1453" w:type="dxa"/>
            <w:tcBorders>
              <w:top w:val="single" w:sz="4" w:space="0" w:color="auto"/>
            </w:tcBorders>
            <w:shd w:val="clear" w:color="auto" w:fill="FFFFFF" w:themeFill="background1"/>
          </w:tcPr>
          <w:p w14:paraId="5B32EA90" w14:textId="77777777" w:rsidR="00327D59" w:rsidRPr="00824CAE" w:rsidRDefault="00327D59" w:rsidP="00032B54">
            <w:pPr>
              <w:spacing w:before="0" w:after="0"/>
              <w:jc w:val="center"/>
              <w:rPr>
                <w:rFonts w:cs="Arial"/>
                <w:b/>
                <w:bCs/>
                <w:szCs w:val="20"/>
              </w:rPr>
            </w:pPr>
            <w:r w:rsidRPr="00824CAE">
              <w:rPr>
                <w:b/>
                <w:bCs/>
                <w:color w:val="000000"/>
              </w:rPr>
              <w:t>80.5%</w:t>
            </w:r>
          </w:p>
        </w:tc>
        <w:tc>
          <w:tcPr>
            <w:tcW w:w="1453" w:type="dxa"/>
            <w:tcBorders>
              <w:top w:val="single" w:sz="4" w:space="0" w:color="auto"/>
            </w:tcBorders>
            <w:shd w:val="clear" w:color="auto" w:fill="FFFFFF" w:themeFill="background1"/>
          </w:tcPr>
          <w:p w14:paraId="4B5D7805" w14:textId="77777777" w:rsidR="00327D59" w:rsidRPr="00824CAE" w:rsidRDefault="00327D59" w:rsidP="00032B54">
            <w:pPr>
              <w:spacing w:before="0" w:after="0"/>
              <w:jc w:val="center"/>
              <w:rPr>
                <w:rFonts w:cs="Arial"/>
                <w:b/>
                <w:bCs/>
                <w:szCs w:val="20"/>
              </w:rPr>
            </w:pPr>
            <w:r w:rsidRPr="00824CAE">
              <w:rPr>
                <w:b/>
                <w:bCs/>
                <w:color w:val="000000"/>
              </w:rPr>
              <w:t>77.0%</w:t>
            </w:r>
          </w:p>
        </w:tc>
      </w:tr>
    </w:tbl>
    <w:p w14:paraId="28F8D504" w14:textId="77777777" w:rsidR="00327D59" w:rsidRPr="00A72F4E" w:rsidRDefault="00327D59" w:rsidP="00327D59">
      <w:pPr>
        <w:spacing w:before="0" w:line="240" w:lineRule="auto"/>
      </w:pPr>
      <w:r w:rsidRPr="00901558">
        <w:t>*</w:t>
      </w:r>
      <w:proofErr w:type="gramStart"/>
      <w:r w:rsidRPr="00901558">
        <w:t>as</w:t>
      </w:r>
      <w:proofErr w:type="gramEnd"/>
      <w:r w:rsidRPr="00901558">
        <w:t xml:space="preserve"> at 27 July 2022</w:t>
      </w:r>
    </w:p>
    <w:bookmarkEnd w:id="648"/>
    <w:p w14:paraId="6D10C9A6" w14:textId="77777777" w:rsidR="00327D59" w:rsidRDefault="00327D59" w:rsidP="00327D59">
      <w:pPr>
        <w:spacing w:before="0" w:after="0"/>
        <w:sectPr w:rsidR="00327D59" w:rsidSect="006C5F4A">
          <w:pgSz w:w="16838" w:h="11906" w:orient="landscape"/>
          <w:pgMar w:top="1440" w:right="1440" w:bottom="1440" w:left="1440" w:header="708" w:footer="708" w:gutter="0"/>
          <w:cols w:space="720"/>
          <w:docGrid w:linePitch="272"/>
        </w:sectPr>
      </w:pPr>
    </w:p>
    <w:p w14:paraId="3814E548" w14:textId="77777777" w:rsidR="00327D59" w:rsidRPr="00A72F4E" w:rsidRDefault="00327D59" w:rsidP="00327D59">
      <w:pPr>
        <w:pStyle w:val="Heading3"/>
        <w:spacing w:line="240" w:lineRule="auto"/>
        <w:jc w:val="left"/>
      </w:pPr>
      <w:bookmarkStart w:id="655" w:name="_Toc491786560"/>
      <w:bookmarkStart w:id="656" w:name="_Toc521319373"/>
      <w:bookmarkStart w:id="657" w:name="_Toc34753632"/>
      <w:bookmarkStart w:id="658" w:name="_Toc87012456"/>
      <w:bookmarkStart w:id="659" w:name="_Toc124762780"/>
      <w:r w:rsidRPr="00A72F4E">
        <w:lastRenderedPageBreak/>
        <w:t>1921-26 cohort</w:t>
      </w:r>
      <w:bookmarkEnd w:id="655"/>
      <w:bookmarkEnd w:id="656"/>
      <w:bookmarkEnd w:id="657"/>
      <w:bookmarkEnd w:id="658"/>
      <w:bookmarkEnd w:id="659"/>
    </w:p>
    <w:p w14:paraId="14ACDE4A" w14:textId="4F28BDDF" w:rsidR="00327D59" w:rsidRPr="00A72F4E" w:rsidRDefault="00327D59" w:rsidP="00327D59">
      <w:r w:rsidRPr="00A72F4E">
        <w:t xml:space="preserve">Of women from the 1921-26 cohort, 93% responded to Survey 2 in 1999, 88% to Survey 3 in 2002, 87% to Survey 4 in 2005, 81% to Survey 5 in 2008, and 81% to Survey 6 in </w:t>
      </w:r>
      <w:r w:rsidRPr="00431897">
        <w:t>2011 (See</w:t>
      </w:r>
      <w:r>
        <w:t xml:space="preserve"> </w:t>
      </w:r>
      <w:r>
        <w:rPr>
          <w:highlight w:val="cyan"/>
        </w:rPr>
        <w:fldChar w:fldCharType="begin"/>
      </w:r>
      <w:r>
        <w:rPr>
          <w:highlight w:val="cyan"/>
        </w:rPr>
        <w:instrText xml:space="preserve"> REF _Ref113717244 \h </w:instrText>
      </w:r>
      <w:r>
        <w:rPr>
          <w:highlight w:val="cyan"/>
        </w:rPr>
      </w:r>
      <w:r>
        <w:rPr>
          <w:highlight w:val="cyan"/>
        </w:rPr>
        <w:fldChar w:fldCharType="separate"/>
      </w:r>
      <w:r w:rsidR="007D19D7">
        <w:t xml:space="preserve">Table </w:t>
      </w:r>
      <w:r w:rsidR="007D19D7">
        <w:rPr>
          <w:noProof/>
        </w:rPr>
        <w:t>4</w:t>
      </w:r>
      <w:r w:rsidR="007D19D7">
        <w:noBreakHyphen/>
      </w:r>
      <w:r w:rsidR="007D19D7">
        <w:rPr>
          <w:noProof/>
        </w:rPr>
        <w:t>3</w:t>
      </w:r>
      <w:r>
        <w:rPr>
          <w:highlight w:val="cyan"/>
        </w:rPr>
        <w:fldChar w:fldCharType="end"/>
      </w:r>
      <w:r w:rsidRPr="00431897">
        <w:t>). The</w:t>
      </w:r>
      <w:r w:rsidRPr="00A72F4E">
        <w:t xml:space="preserve"> major reason for non-response among the 1921-26 cohort was the non-return of the questionnaire, rising from 4% at Survey 2 to 17% at Survey 6, although up to 9% of participants could not be contacted. Non-respondent women tended to report poorer self-rated health at Survey 1 than respondents. The effects of these losses were evaluated in terms of losses due to death and non-death. </w:t>
      </w:r>
      <w:proofErr w:type="spellStart"/>
      <w:r w:rsidRPr="00A72F4E">
        <w:t>Brilleman</w:t>
      </w:r>
      <w:proofErr w:type="spellEnd"/>
      <w:r w:rsidRPr="00A72F4E">
        <w:t xml:space="preserve"> and colleagues </w:t>
      </w:r>
      <w:r w:rsidR="00284EDE">
        <w:t xml:space="preserve">(2010) </w:t>
      </w:r>
      <w:r w:rsidRPr="00A72F4E">
        <w:t>concluded that non-death losses were potentially a greater source of bias than effects of death.</w:t>
      </w:r>
    </w:p>
    <w:p w14:paraId="46D87C46" w14:textId="77777777" w:rsidR="00327D59" w:rsidRPr="00A72F4E" w:rsidRDefault="00327D59" w:rsidP="00327D59">
      <w:pPr>
        <w:spacing w:before="0" w:after="0"/>
      </w:pPr>
    </w:p>
    <w:p w14:paraId="7A245687" w14:textId="4CAE79EF" w:rsidR="00327D59" w:rsidRPr="00A72F4E" w:rsidRDefault="00327D59" w:rsidP="00327D59">
      <w:pPr>
        <w:pStyle w:val="Caption"/>
      </w:pPr>
      <w:bookmarkStart w:id="660" w:name="_Ref113717244"/>
      <w:bookmarkStart w:id="661" w:name="_Toc492995409"/>
      <w:bookmarkStart w:id="662" w:name="_Toc18931514"/>
      <w:bookmarkStart w:id="663" w:name="_Toc56156864"/>
      <w:bookmarkStart w:id="664" w:name="_Toc87869418"/>
      <w:r>
        <w:t xml:space="preserve">Table </w:t>
      </w:r>
      <w:fldSimple w:instr=" STYLEREF 1 \s ">
        <w:r w:rsidR="007D19D7">
          <w:rPr>
            <w:noProof/>
          </w:rPr>
          <w:t>4</w:t>
        </w:r>
      </w:fldSimple>
      <w:r>
        <w:noBreakHyphen/>
      </w:r>
      <w:fldSimple w:instr=" SEQ Table \* ARABIC \s 1 ">
        <w:r w:rsidR="007D19D7">
          <w:rPr>
            <w:noProof/>
          </w:rPr>
          <w:t>3</w:t>
        </w:r>
      </w:fldSimple>
      <w:bookmarkEnd w:id="660"/>
      <w:r>
        <w:t xml:space="preserve"> </w:t>
      </w:r>
      <w:r w:rsidRPr="00A72F4E">
        <w:t>Participation and retention of 12,432 women in the 1921-26 cohort of women who were aged 70-75 years at Survey 1 in 1996*</w:t>
      </w:r>
      <w:bookmarkEnd w:id="661"/>
      <w:bookmarkEnd w:id="662"/>
      <w:bookmarkEnd w:id="663"/>
      <w:bookmarkEnd w:id="664"/>
    </w:p>
    <w:tbl>
      <w:tblPr>
        <w:tblW w:w="9072" w:type="dxa"/>
        <w:tblBorders>
          <w:top w:val="single" w:sz="4" w:space="0" w:color="auto"/>
          <w:bottom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127"/>
        <w:gridCol w:w="1389"/>
        <w:gridCol w:w="1389"/>
        <w:gridCol w:w="1389"/>
        <w:gridCol w:w="1389"/>
        <w:gridCol w:w="1389"/>
      </w:tblGrid>
      <w:tr w:rsidR="00327D59" w:rsidRPr="00A72F4E" w14:paraId="2FF4EC3A" w14:textId="77777777" w:rsidTr="00032B54">
        <w:trPr>
          <w:cantSplit/>
          <w:tblHeader/>
        </w:trPr>
        <w:tc>
          <w:tcPr>
            <w:tcW w:w="2127" w:type="dxa"/>
            <w:tcBorders>
              <w:top w:val="single" w:sz="4" w:space="0" w:color="auto"/>
              <w:bottom w:val="single" w:sz="4" w:space="0" w:color="auto"/>
              <w:right w:val="nil"/>
            </w:tcBorders>
            <w:shd w:val="clear" w:color="auto" w:fill="E5DFEC"/>
            <w:tcMar>
              <w:left w:w="60" w:type="dxa"/>
              <w:right w:w="60" w:type="dxa"/>
            </w:tcMar>
            <w:vAlign w:val="bottom"/>
          </w:tcPr>
          <w:p w14:paraId="5F1875B9" w14:textId="77777777" w:rsidR="00327D59" w:rsidRPr="00767CE4" w:rsidRDefault="00327D59" w:rsidP="00032B54">
            <w:pPr>
              <w:spacing w:before="0" w:after="0"/>
              <w:jc w:val="right"/>
              <w:rPr>
                <w:rFonts w:eastAsiaTheme="minorHAnsi"/>
                <w:b/>
                <w:lang w:eastAsia="en-US"/>
              </w:rPr>
            </w:pPr>
            <w:r w:rsidRPr="00767CE4">
              <w:rPr>
                <w:rFonts w:eastAsiaTheme="minorHAnsi"/>
                <w:b/>
                <w:lang w:eastAsia="en-US"/>
              </w:rPr>
              <w:t>Year</w:t>
            </w:r>
          </w:p>
          <w:p w14:paraId="48691DA3" w14:textId="77777777" w:rsidR="00327D59" w:rsidRPr="00767CE4" w:rsidRDefault="00327D59" w:rsidP="00032B54">
            <w:pPr>
              <w:spacing w:before="0" w:after="0"/>
              <w:jc w:val="right"/>
              <w:rPr>
                <w:rFonts w:eastAsiaTheme="minorHAnsi"/>
                <w:b/>
                <w:lang w:eastAsia="en-US"/>
              </w:rPr>
            </w:pPr>
            <w:r w:rsidRPr="00767CE4">
              <w:rPr>
                <w:rFonts w:eastAsiaTheme="minorHAnsi"/>
                <w:b/>
                <w:lang w:eastAsia="en-US"/>
              </w:rPr>
              <w:t>Survey</w:t>
            </w:r>
          </w:p>
          <w:p w14:paraId="03A2D17B" w14:textId="77777777" w:rsidR="00327D59" w:rsidRPr="00A72F4E" w:rsidRDefault="00327D59" w:rsidP="00032B54">
            <w:pPr>
              <w:keepNext/>
              <w:adjustRightInd w:val="0"/>
              <w:spacing w:before="0" w:after="0"/>
              <w:jc w:val="right"/>
              <w:rPr>
                <w:rFonts w:eastAsiaTheme="minorHAnsi" w:cs="Arial"/>
                <w:b/>
                <w:bCs/>
                <w:color w:val="000000"/>
                <w:szCs w:val="20"/>
                <w:lang w:eastAsia="en-US"/>
              </w:rPr>
            </w:pPr>
            <w:r w:rsidRPr="00767CE4">
              <w:rPr>
                <w:rFonts w:eastAsiaTheme="minorHAnsi"/>
                <w:b/>
                <w:lang w:eastAsia="en-US"/>
              </w:rPr>
              <w:t>(</w:t>
            </w:r>
            <w:proofErr w:type="gramStart"/>
            <w:r w:rsidRPr="00767CE4">
              <w:rPr>
                <w:rFonts w:eastAsiaTheme="minorHAnsi"/>
                <w:b/>
                <w:lang w:eastAsia="en-US"/>
              </w:rPr>
              <w:t>age</w:t>
            </w:r>
            <w:proofErr w:type="gramEnd"/>
            <w:r w:rsidRPr="00767CE4">
              <w:rPr>
                <w:rFonts w:eastAsiaTheme="minorHAnsi"/>
                <w:b/>
                <w:lang w:eastAsia="en-US"/>
              </w:rPr>
              <w:t xml:space="preserve"> range)</w:t>
            </w:r>
          </w:p>
        </w:tc>
        <w:tc>
          <w:tcPr>
            <w:tcW w:w="1389" w:type="dxa"/>
            <w:tcBorders>
              <w:top w:val="single" w:sz="4" w:space="0" w:color="auto"/>
              <w:left w:val="nil"/>
              <w:bottom w:val="single" w:sz="4" w:space="0" w:color="auto"/>
              <w:right w:val="nil"/>
            </w:tcBorders>
            <w:shd w:val="clear" w:color="auto" w:fill="E5DFEC"/>
            <w:tcMar>
              <w:left w:w="60" w:type="dxa"/>
              <w:right w:w="60" w:type="dxa"/>
            </w:tcMar>
            <w:vAlign w:val="bottom"/>
          </w:tcPr>
          <w:p w14:paraId="184B184E" w14:textId="77777777" w:rsidR="00327D59" w:rsidRDefault="00327D59" w:rsidP="00032B54">
            <w:pPr>
              <w:keepNext/>
              <w:adjustRightInd w:val="0"/>
              <w:spacing w:before="0" w:after="0"/>
              <w:jc w:val="center"/>
              <w:rPr>
                <w:rFonts w:eastAsiaTheme="minorHAnsi" w:cs="Arial"/>
                <w:b/>
                <w:bCs/>
                <w:color w:val="000000"/>
                <w:szCs w:val="20"/>
                <w:lang w:eastAsia="en-US"/>
              </w:rPr>
            </w:pPr>
            <w:r>
              <w:rPr>
                <w:rFonts w:eastAsiaTheme="minorHAnsi" w:cs="Arial"/>
                <w:b/>
                <w:bCs/>
                <w:color w:val="000000"/>
                <w:szCs w:val="20"/>
                <w:lang w:eastAsia="en-US"/>
              </w:rPr>
              <w:t>1999</w:t>
            </w:r>
          </w:p>
          <w:p w14:paraId="13F019CB" w14:textId="77777777" w:rsidR="00327D59"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 xml:space="preserve">Survey 2 </w:t>
            </w:r>
          </w:p>
          <w:p w14:paraId="7D1A2FB9" w14:textId="77777777" w:rsidR="00327D59" w:rsidRPr="00A72F4E"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(73-78)</w:t>
            </w:r>
          </w:p>
        </w:tc>
        <w:tc>
          <w:tcPr>
            <w:tcW w:w="1389" w:type="dxa"/>
            <w:tcBorders>
              <w:top w:val="single" w:sz="4" w:space="0" w:color="auto"/>
              <w:left w:val="nil"/>
              <w:bottom w:val="single" w:sz="4" w:space="0" w:color="auto"/>
              <w:right w:val="nil"/>
            </w:tcBorders>
            <w:shd w:val="clear" w:color="auto" w:fill="E5DFEC"/>
            <w:tcMar>
              <w:left w:w="60" w:type="dxa"/>
              <w:right w:w="60" w:type="dxa"/>
            </w:tcMar>
            <w:vAlign w:val="bottom"/>
          </w:tcPr>
          <w:p w14:paraId="70A5C823" w14:textId="77777777" w:rsidR="00327D59" w:rsidRDefault="00327D59" w:rsidP="00032B54">
            <w:pPr>
              <w:keepNext/>
              <w:adjustRightInd w:val="0"/>
              <w:spacing w:before="0" w:after="0"/>
              <w:jc w:val="center"/>
              <w:rPr>
                <w:rFonts w:eastAsiaTheme="minorHAnsi" w:cs="Arial"/>
                <w:b/>
                <w:bCs/>
                <w:color w:val="000000"/>
                <w:szCs w:val="20"/>
                <w:lang w:eastAsia="en-US"/>
              </w:rPr>
            </w:pPr>
            <w:r>
              <w:rPr>
                <w:rFonts w:eastAsiaTheme="minorHAnsi" w:cs="Arial"/>
                <w:b/>
                <w:bCs/>
                <w:color w:val="000000"/>
                <w:szCs w:val="20"/>
                <w:lang w:eastAsia="en-US"/>
              </w:rPr>
              <w:t>2002</w:t>
            </w:r>
          </w:p>
          <w:p w14:paraId="22FBD157" w14:textId="77777777" w:rsidR="00327D59"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 xml:space="preserve">Survey 3 </w:t>
            </w:r>
          </w:p>
          <w:p w14:paraId="319ABC5D" w14:textId="77777777" w:rsidR="00327D59" w:rsidRPr="00A72F4E"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(76-81)</w:t>
            </w:r>
          </w:p>
        </w:tc>
        <w:tc>
          <w:tcPr>
            <w:tcW w:w="1389" w:type="dxa"/>
            <w:tcBorders>
              <w:top w:val="single" w:sz="4" w:space="0" w:color="auto"/>
              <w:left w:val="nil"/>
              <w:bottom w:val="single" w:sz="4" w:space="0" w:color="auto"/>
              <w:right w:val="nil"/>
            </w:tcBorders>
            <w:shd w:val="clear" w:color="auto" w:fill="E5DFEC"/>
            <w:tcMar>
              <w:left w:w="60" w:type="dxa"/>
              <w:right w:w="60" w:type="dxa"/>
            </w:tcMar>
            <w:vAlign w:val="bottom"/>
          </w:tcPr>
          <w:p w14:paraId="183919BF" w14:textId="77777777" w:rsidR="00327D59" w:rsidRDefault="00327D59" w:rsidP="00032B54">
            <w:pPr>
              <w:keepNext/>
              <w:adjustRightInd w:val="0"/>
              <w:spacing w:before="0" w:after="0"/>
              <w:jc w:val="center"/>
              <w:rPr>
                <w:rFonts w:eastAsiaTheme="minorHAnsi" w:cs="Arial"/>
                <w:b/>
                <w:bCs/>
                <w:color w:val="000000"/>
                <w:szCs w:val="20"/>
                <w:lang w:eastAsia="en-US"/>
              </w:rPr>
            </w:pPr>
            <w:r>
              <w:rPr>
                <w:rFonts w:eastAsiaTheme="minorHAnsi" w:cs="Arial"/>
                <w:b/>
                <w:bCs/>
                <w:color w:val="000000"/>
                <w:szCs w:val="20"/>
                <w:lang w:eastAsia="en-US"/>
              </w:rPr>
              <w:t>2005</w:t>
            </w:r>
          </w:p>
          <w:p w14:paraId="619D85AF" w14:textId="77777777" w:rsidR="00327D59"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 xml:space="preserve">Survey 4 </w:t>
            </w:r>
          </w:p>
          <w:p w14:paraId="731E677C" w14:textId="77777777" w:rsidR="00327D59" w:rsidRPr="00A72F4E"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(79-84)</w:t>
            </w:r>
          </w:p>
        </w:tc>
        <w:tc>
          <w:tcPr>
            <w:tcW w:w="1389" w:type="dxa"/>
            <w:tcBorders>
              <w:top w:val="single" w:sz="4" w:space="0" w:color="auto"/>
              <w:left w:val="nil"/>
              <w:bottom w:val="single" w:sz="4" w:space="0" w:color="auto"/>
              <w:right w:val="nil"/>
            </w:tcBorders>
            <w:shd w:val="clear" w:color="auto" w:fill="E5DFEC"/>
            <w:tcMar>
              <w:left w:w="60" w:type="dxa"/>
              <w:right w:w="60" w:type="dxa"/>
            </w:tcMar>
            <w:vAlign w:val="bottom"/>
          </w:tcPr>
          <w:p w14:paraId="7074E2E0" w14:textId="77777777" w:rsidR="00327D59" w:rsidRDefault="00327D59" w:rsidP="00032B54">
            <w:pPr>
              <w:keepNext/>
              <w:adjustRightInd w:val="0"/>
              <w:spacing w:before="0" w:after="0"/>
              <w:jc w:val="center"/>
              <w:rPr>
                <w:rFonts w:eastAsiaTheme="minorHAnsi" w:cs="Arial"/>
                <w:b/>
                <w:bCs/>
                <w:color w:val="000000"/>
                <w:szCs w:val="20"/>
                <w:lang w:eastAsia="en-US"/>
              </w:rPr>
            </w:pPr>
            <w:r>
              <w:rPr>
                <w:rFonts w:eastAsiaTheme="minorHAnsi" w:cs="Arial"/>
                <w:b/>
                <w:bCs/>
                <w:color w:val="000000"/>
                <w:szCs w:val="20"/>
                <w:lang w:eastAsia="en-US"/>
              </w:rPr>
              <w:t>2008</w:t>
            </w:r>
          </w:p>
          <w:p w14:paraId="4F309BB1" w14:textId="77777777" w:rsidR="00327D59"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 xml:space="preserve">Survey 5 </w:t>
            </w:r>
          </w:p>
          <w:p w14:paraId="16D1B9EF" w14:textId="77777777" w:rsidR="00327D59" w:rsidRPr="00A72F4E"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(82-87)</w:t>
            </w:r>
          </w:p>
        </w:tc>
        <w:tc>
          <w:tcPr>
            <w:tcW w:w="1389" w:type="dxa"/>
            <w:tcBorders>
              <w:top w:val="single" w:sz="4" w:space="0" w:color="auto"/>
              <w:left w:val="nil"/>
              <w:bottom w:val="single" w:sz="4" w:space="0" w:color="auto"/>
            </w:tcBorders>
            <w:shd w:val="clear" w:color="auto" w:fill="E5DFEC"/>
            <w:tcMar>
              <w:left w:w="60" w:type="dxa"/>
              <w:right w:w="60" w:type="dxa"/>
            </w:tcMar>
            <w:vAlign w:val="bottom"/>
          </w:tcPr>
          <w:p w14:paraId="06D6B721" w14:textId="77777777" w:rsidR="00327D59" w:rsidRDefault="00327D59" w:rsidP="00032B54">
            <w:pPr>
              <w:keepNext/>
              <w:adjustRightInd w:val="0"/>
              <w:spacing w:before="0" w:after="0"/>
              <w:jc w:val="center"/>
              <w:rPr>
                <w:rFonts w:eastAsiaTheme="minorHAnsi" w:cs="Arial"/>
                <w:b/>
                <w:bCs/>
                <w:color w:val="000000"/>
                <w:szCs w:val="20"/>
                <w:lang w:eastAsia="en-US"/>
              </w:rPr>
            </w:pPr>
            <w:r>
              <w:rPr>
                <w:rFonts w:eastAsiaTheme="minorHAnsi" w:cs="Arial"/>
                <w:b/>
                <w:bCs/>
                <w:color w:val="000000"/>
                <w:szCs w:val="20"/>
                <w:lang w:eastAsia="en-US"/>
              </w:rPr>
              <w:t>2011</w:t>
            </w:r>
          </w:p>
          <w:p w14:paraId="763C3464" w14:textId="77777777" w:rsidR="00327D59"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 xml:space="preserve">Survey 6 </w:t>
            </w:r>
          </w:p>
          <w:p w14:paraId="7EB2E480" w14:textId="77777777" w:rsidR="00327D59" w:rsidRPr="00A72F4E" w:rsidRDefault="00327D59" w:rsidP="00032B54">
            <w:pPr>
              <w:keepNext/>
              <w:adjustRightInd w:val="0"/>
              <w:spacing w:before="0" w:after="0"/>
              <w:jc w:val="center"/>
              <w:rPr>
                <w:rFonts w:eastAsiaTheme="minorHAnsi" w:cs="Arial"/>
                <w:b/>
                <w:bCs/>
                <w:color w:val="000000"/>
                <w:szCs w:val="20"/>
                <w:lang w:eastAsia="en-US"/>
              </w:rPr>
            </w:pPr>
            <w:r w:rsidRPr="00A72F4E">
              <w:rPr>
                <w:rFonts w:eastAsiaTheme="minorHAnsi" w:cs="Arial"/>
                <w:b/>
                <w:bCs/>
                <w:color w:val="000000"/>
                <w:szCs w:val="20"/>
                <w:lang w:eastAsia="en-US"/>
              </w:rPr>
              <w:t>(85-90)</w:t>
            </w:r>
          </w:p>
        </w:tc>
      </w:tr>
      <w:tr w:rsidR="00327D59" w:rsidRPr="00A72F4E" w14:paraId="17950D66" w14:textId="77777777" w:rsidTr="00032B54">
        <w:trPr>
          <w:cantSplit/>
        </w:trPr>
        <w:tc>
          <w:tcPr>
            <w:tcW w:w="2127" w:type="dxa"/>
            <w:tcBorders>
              <w:top w:val="single" w:sz="4" w:space="0" w:color="auto"/>
              <w:right w:val="nil"/>
            </w:tcBorders>
            <w:shd w:val="clear" w:color="auto" w:fill="FFFFFF" w:themeFill="background1"/>
            <w:tcMar>
              <w:left w:w="60" w:type="dxa"/>
              <w:right w:w="60" w:type="dxa"/>
            </w:tcMar>
          </w:tcPr>
          <w:p w14:paraId="62172BEF" w14:textId="77777777" w:rsidR="00327D59" w:rsidRPr="00A72F4E" w:rsidRDefault="00327D59" w:rsidP="00032B54">
            <w:pPr>
              <w:spacing w:before="0" w:after="0"/>
              <w:rPr>
                <w:rFonts w:eastAsiaTheme="minorHAnsi"/>
                <w:lang w:eastAsia="en-US"/>
              </w:rPr>
            </w:pPr>
            <w:r w:rsidRPr="00A72F4E">
              <w:rPr>
                <w:rFonts w:eastAsiaTheme="minorHAnsi"/>
                <w:lang w:eastAsia="en-US"/>
              </w:rPr>
              <w:t>Deceased</w:t>
            </w:r>
          </w:p>
        </w:tc>
        <w:tc>
          <w:tcPr>
            <w:tcW w:w="1389" w:type="dxa"/>
            <w:tcBorders>
              <w:top w:val="single" w:sz="4" w:space="0" w:color="auto"/>
              <w:left w:val="nil"/>
              <w:right w:val="nil"/>
            </w:tcBorders>
            <w:shd w:val="clear" w:color="auto" w:fill="FFFFFF" w:themeFill="background1"/>
            <w:tcMar>
              <w:left w:w="60" w:type="dxa"/>
              <w:right w:w="60" w:type="dxa"/>
            </w:tcMar>
          </w:tcPr>
          <w:p w14:paraId="2DFD58E0" w14:textId="77777777" w:rsidR="00327D59" w:rsidRDefault="00327D59" w:rsidP="00032B54">
            <w:pPr>
              <w:adjustRightInd w:val="0"/>
              <w:spacing w:before="0" w:after="0"/>
              <w:jc w:val="center"/>
              <w:rPr>
                <w:color w:val="000000"/>
              </w:rPr>
            </w:pPr>
            <w:r>
              <w:rPr>
                <w:color w:val="000000"/>
              </w:rPr>
              <w:t>549</w:t>
            </w:r>
          </w:p>
        </w:tc>
        <w:tc>
          <w:tcPr>
            <w:tcW w:w="1389" w:type="dxa"/>
            <w:tcBorders>
              <w:top w:val="single" w:sz="4" w:space="0" w:color="auto"/>
              <w:left w:val="nil"/>
              <w:right w:val="nil"/>
            </w:tcBorders>
            <w:shd w:val="clear" w:color="auto" w:fill="FFFFFF" w:themeFill="background1"/>
            <w:tcMar>
              <w:left w:w="60" w:type="dxa"/>
              <w:right w:w="60" w:type="dxa"/>
            </w:tcMar>
          </w:tcPr>
          <w:p w14:paraId="6B47562D" w14:textId="77777777" w:rsidR="00327D59" w:rsidRDefault="00327D59" w:rsidP="00032B54">
            <w:pPr>
              <w:adjustRightInd w:val="0"/>
              <w:spacing w:before="0" w:after="0"/>
              <w:jc w:val="center"/>
              <w:rPr>
                <w:color w:val="000000"/>
              </w:rPr>
            </w:pPr>
            <w:r>
              <w:rPr>
                <w:color w:val="000000"/>
              </w:rPr>
              <w:t>1,237</w:t>
            </w:r>
          </w:p>
        </w:tc>
        <w:tc>
          <w:tcPr>
            <w:tcW w:w="1389" w:type="dxa"/>
            <w:tcBorders>
              <w:top w:val="single" w:sz="4" w:space="0" w:color="auto"/>
              <w:left w:val="nil"/>
              <w:right w:val="nil"/>
            </w:tcBorders>
            <w:shd w:val="clear" w:color="auto" w:fill="FFFFFF" w:themeFill="background1"/>
            <w:tcMar>
              <w:left w:w="60" w:type="dxa"/>
              <w:right w:w="60" w:type="dxa"/>
            </w:tcMar>
          </w:tcPr>
          <w:p w14:paraId="2AC1DD28" w14:textId="77777777" w:rsidR="00327D59" w:rsidRDefault="00327D59" w:rsidP="00032B54">
            <w:pPr>
              <w:adjustRightInd w:val="0"/>
              <w:spacing w:before="0" w:after="0"/>
              <w:jc w:val="center"/>
              <w:rPr>
                <w:color w:val="000000"/>
              </w:rPr>
            </w:pPr>
            <w:r>
              <w:rPr>
                <w:color w:val="000000"/>
              </w:rPr>
              <w:t>2,290</w:t>
            </w:r>
          </w:p>
        </w:tc>
        <w:tc>
          <w:tcPr>
            <w:tcW w:w="1389" w:type="dxa"/>
            <w:tcBorders>
              <w:top w:val="single" w:sz="4" w:space="0" w:color="auto"/>
              <w:left w:val="nil"/>
              <w:right w:val="nil"/>
            </w:tcBorders>
            <w:shd w:val="clear" w:color="auto" w:fill="FFFFFF" w:themeFill="background1"/>
            <w:tcMar>
              <w:left w:w="60" w:type="dxa"/>
              <w:right w:w="60" w:type="dxa"/>
            </w:tcMar>
          </w:tcPr>
          <w:p w14:paraId="6A4E1514" w14:textId="77777777" w:rsidR="00327D59" w:rsidRDefault="00327D59" w:rsidP="00032B54">
            <w:pPr>
              <w:adjustRightInd w:val="0"/>
              <w:spacing w:before="0" w:after="0"/>
              <w:jc w:val="center"/>
              <w:rPr>
                <w:color w:val="000000"/>
              </w:rPr>
            </w:pPr>
            <w:r>
              <w:rPr>
                <w:color w:val="000000"/>
              </w:rPr>
              <w:t>3,632</w:t>
            </w:r>
          </w:p>
        </w:tc>
        <w:tc>
          <w:tcPr>
            <w:tcW w:w="1389" w:type="dxa"/>
            <w:tcBorders>
              <w:top w:val="single" w:sz="4" w:space="0" w:color="auto"/>
              <w:left w:val="nil"/>
            </w:tcBorders>
            <w:shd w:val="clear" w:color="auto" w:fill="FFFFFF" w:themeFill="background1"/>
            <w:tcMar>
              <w:left w:w="60" w:type="dxa"/>
              <w:right w:w="60" w:type="dxa"/>
            </w:tcMar>
          </w:tcPr>
          <w:p w14:paraId="508BA064" w14:textId="77777777" w:rsidR="00327D59" w:rsidRDefault="00327D59" w:rsidP="00032B54">
            <w:pPr>
              <w:adjustRightInd w:val="0"/>
              <w:spacing w:before="0" w:after="0"/>
              <w:jc w:val="center"/>
              <w:rPr>
                <w:color w:val="000000"/>
              </w:rPr>
            </w:pPr>
            <w:r>
              <w:rPr>
                <w:color w:val="000000"/>
              </w:rPr>
              <w:t>5,295</w:t>
            </w:r>
          </w:p>
        </w:tc>
      </w:tr>
      <w:tr w:rsidR="00327D59" w:rsidRPr="00A72F4E" w14:paraId="1E9B0A2C" w14:textId="77777777" w:rsidTr="00032B54">
        <w:trPr>
          <w:cantSplit/>
        </w:trPr>
        <w:tc>
          <w:tcPr>
            <w:tcW w:w="2127" w:type="dxa"/>
            <w:tcBorders>
              <w:right w:val="nil"/>
            </w:tcBorders>
            <w:shd w:val="clear" w:color="auto" w:fill="FFFFFF" w:themeFill="background1"/>
            <w:tcMar>
              <w:left w:w="60" w:type="dxa"/>
              <w:right w:w="60" w:type="dxa"/>
            </w:tcMar>
          </w:tcPr>
          <w:p w14:paraId="4C2FB934" w14:textId="77777777" w:rsidR="00327D59" w:rsidRPr="00A72F4E" w:rsidRDefault="00327D59" w:rsidP="00032B54">
            <w:pPr>
              <w:spacing w:before="0" w:after="0"/>
              <w:rPr>
                <w:rFonts w:eastAsiaTheme="minorHAnsi"/>
                <w:lang w:eastAsia="en-US"/>
              </w:rPr>
            </w:pPr>
            <w:r w:rsidRPr="00A72F4E">
              <w:rPr>
                <w:rFonts w:eastAsiaTheme="minorHAnsi"/>
                <w:lang w:eastAsia="en-US"/>
              </w:rPr>
              <w:t>Frail</w:t>
            </w:r>
          </w:p>
        </w:tc>
        <w:tc>
          <w:tcPr>
            <w:tcW w:w="1389" w:type="dxa"/>
            <w:tcBorders>
              <w:left w:val="nil"/>
              <w:right w:val="nil"/>
            </w:tcBorders>
            <w:shd w:val="clear" w:color="auto" w:fill="FFFFFF" w:themeFill="background1"/>
            <w:tcMar>
              <w:left w:w="60" w:type="dxa"/>
              <w:right w:w="60" w:type="dxa"/>
            </w:tcMar>
          </w:tcPr>
          <w:p w14:paraId="5DE0CDBD" w14:textId="77777777" w:rsidR="00327D59" w:rsidRDefault="00327D59" w:rsidP="00032B54">
            <w:pPr>
              <w:adjustRightInd w:val="0"/>
              <w:spacing w:before="0" w:after="0"/>
              <w:jc w:val="center"/>
              <w:rPr>
                <w:color w:val="000000"/>
              </w:rPr>
            </w:pPr>
            <w:r>
              <w:rPr>
                <w:color w:val="000000"/>
              </w:rPr>
              <w:t>95</w:t>
            </w:r>
          </w:p>
        </w:tc>
        <w:tc>
          <w:tcPr>
            <w:tcW w:w="1389" w:type="dxa"/>
            <w:tcBorders>
              <w:left w:val="nil"/>
              <w:right w:val="nil"/>
            </w:tcBorders>
            <w:shd w:val="clear" w:color="auto" w:fill="FFFFFF" w:themeFill="background1"/>
            <w:tcMar>
              <w:left w:w="60" w:type="dxa"/>
              <w:right w:w="60" w:type="dxa"/>
            </w:tcMar>
          </w:tcPr>
          <w:p w14:paraId="1441C14D" w14:textId="77777777" w:rsidR="00327D59" w:rsidRDefault="00327D59" w:rsidP="00032B54">
            <w:pPr>
              <w:adjustRightInd w:val="0"/>
              <w:spacing w:before="0" w:after="0"/>
              <w:jc w:val="center"/>
              <w:rPr>
                <w:color w:val="000000"/>
              </w:rPr>
            </w:pPr>
            <w:r>
              <w:rPr>
                <w:color w:val="000000"/>
              </w:rPr>
              <w:t>303</w:t>
            </w:r>
          </w:p>
        </w:tc>
        <w:tc>
          <w:tcPr>
            <w:tcW w:w="1389" w:type="dxa"/>
            <w:tcBorders>
              <w:left w:val="nil"/>
              <w:right w:val="nil"/>
            </w:tcBorders>
            <w:shd w:val="clear" w:color="auto" w:fill="FFFFFF" w:themeFill="background1"/>
            <w:tcMar>
              <w:left w:w="60" w:type="dxa"/>
              <w:right w:w="60" w:type="dxa"/>
            </w:tcMar>
          </w:tcPr>
          <w:p w14:paraId="39A16131" w14:textId="77777777" w:rsidR="00327D59" w:rsidRDefault="00327D59" w:rsidP="00032B54">
            <w:pPr>
              <w:adjustRightInd w:val="0"/>
              <w:spacing w:before="0" w:after="0"/>
              <w:jc w:val="center"/>
              <w:rPr>
                <w:color w:val="000000"/>
              </w:rPr>
            </w:pPr>
            <w:r>
              <w:rPr>
                <w:color w:val="000000"/>
              </w:rPr>
              <w:t>524</w:t>
            </w:r>
          </w:p>
        </w:tc>
        <w:tc>
          <w:tcPr>
            <w:tcW w:w="1389" w:type="dxa"/>
            <w:tcBorders>
              <w:left w:val="nil"/>
              <w:right w:val="nil"/>
            </w:tcBorders>
            <w:shd w:val="clear" w:color="auto" w:fill="FFFFFF" w:themeFill="background1"/>
            <w:tcMar>
              <w:left w:w="60" w:type="dxa"/>
              <w:right w:w="60" w:type="dxa"/>
            </w:tcMar>
          </w:tcPr>
          <w:p w14:paraId="7F1A73CE" w14:textId="77777777" w:rsidR="00327D59" w:rsidRDefault="00327D59" w:rsidP="00032B54">
            <w:pPr>
              <w:adjustRightInd w:val="0"/>
              <w:spacing w:before="0" w:after="0"/>
              <w:jc w:val="center"/>
              <w:rPr>
                <w:color w:val="000000"/>
              </w:rPr>
            </w:pPr>
            <w:r>
              <w:rPr>
                <w:color w:val="000000"/>
              </w:rPr>
              <w:t>593</w:t>
            </w:r>
          </w:p>
        </w:tc>
        <w:tc>
          <w:tcPr>
            <w:tcW w:w="1389" w:type="dxa"/>
            <w:tcBorders>
              <w:left w:val="nil"/>
            </w:tcBorders>
            <w:shd w:val="clear" w:color="auto" w:fill="FFFFFF" w:themeFill="background1"/>
            <w:tcMar>
              <w:left w:w="60" w:type="dxa"/>
              <w:right w:w="60" w:type="dxa"/>
            </w:tcMar>
          </w:tcPr>
          <w:p w14:paraId="34D9B254" w14:textId="77777777" w:rsidR="00327D59" w:rsidRDefault="00327D59" w:rsidP="00032B54">
            <w:pPr>
              <w:adjustRightInd w:val="0"/>
              <w:spacing w:before="0" w:after="0"/>
              <w:jc w:val="center"/>
              <w:rPr>
                <w:color w:val="000000"/>
              </w:rPr>
            </w:pPr>
            <w:r>
              <w:rPr>
                <w:color w:val="000000"/>
              </w:rPr>
              <w:t>788</w:t>
            </w:r>
          </w:p>
        </w:tc>
      </w:tr>
      <w:tr w:rsidR="00327D59" w:rsidRPr="00A72F4E" w14:paraId="25174439" w14:textId="77777777" w:rsidTr="00032B54">
        <w:trPr>
          <w:cantSplit/>
        </w:trPr>
        <w:tc>
          <w:tcPr>
            <w:tcW w:w="2127" w:type="dxa"/>
            <w:tcBorders>
              <w:bottom w:val="nil"/>
              <w:right w:val="nil"/>
            </w:tcBorders>
            <w:shd w:val="clear" w:color="auto" w:fill="FFFFFF" w:themeFill="background1"/>
            <w:tcMar>
              <w:left w:w="60" w:type="dxa"/>
              <w:right w:w="60" w:type="dxa"/>
            </w:tcMar>
          </w:tcPr>
          <w:p w14:paraId="3CE202AA" w14:textId="77777777" w:rsidR="00327D59" w:rsidRPr="00A72F4E" w:rsidRDefault="00327D59" w:rsidP="00032B54">
            <w:pPr>
              <w:spacing w:before="0" w:after="0"/>
              <w:rPr>
                <w:rFonts w:eastAsiaTheme="minorHAnsi"/>
                <w:lang w:eastAsia="en-US"/>
              </w:rPr>
            </w:pPr>
            <w:r w:rsidRPr="00A72F4E">
              <w:rPr>
                <w:rFonts w:eastAsiaTheme="minorHAnsi"/>
                <w:lang w:eastAsia="en-US"/>
              </w:rPr>
              <w:t>Withdrawn</w:t>
            </w:r>
          </w:p>
        </w:tc>
        <w:tc>
          <w:tcPr>
            <w:tcW w:w="1389" w:type="dxa"/>
            <w:tcBorders>
              <w:left w:val="nil"/>
              <w:bottom w:val="nil"/>
              <w:right w:val="nil"/>
            </w:tcBorders>
            <w:shd w:val="clear" w:color="auto" w:fill="FFFFFF" w:themeFill="background1"/>
            <w:tcMar>
              <w:left w:w="60" w:type="dxa"/>
              <w:right w:w="60" w:type="dxa"/>
            </w:tcMar>
          </w:tcPr>
          <w:p w14:paraId="458D14F1" w14:textId="77777777" w:rsidR="00327D59" w:rsidRDefault="00327D59" w:rsidP="00032B54">
            <w:pPr>
              <w:adjustRightInd w:val="0"/>
              <w:spacing w:before="0" w:after="0"/>
              <w:jc w:val="center"/>
              <w:rPr>
                <w:color w:val="000000"/>
              </w:rPr>
            </w:pPr>
            <w:r>
              <w:rPr>
                <w:color w:val="000000"/>
              </w:rPr>
              <w:t>563</w:t>
            </w:r>
          </w:p>
        </w:tc>
        <w:tc>
          <w:tcPr>
            <w:tcW w:w="1389" w:type="dxa"/>
            <w:tcBorders>
              <w:left w:val="nil"/>
              <w:bottom w:val="nil"/>
              <w:right w:val="nil"/>
            </w:tcBorders>
            <w:shd w:val="clear" w:color="auto" w:fill="FFFFFF" w:themeFill="background1"/>
            <w:tcMar>
              <w:left w:w="60" w:type="dxa"/>
              <w:right w:w="60" w:type="dxa"/>
            </w:tcMar>
          </w:tcPr>
          <w:p w14:paraId="50692B94" w14:textId="77777777" w:rsidR="00327D59" w:rsidRDefault="00327D59" w:rsidP="00032B54">
            <w:pPr>
              <w:adjustRightInd w:val="0"/>
              <w:spacing w:before="0" w:after="0"/>
              <w:jc w:val="center"/>
              <w:rPr>
                <w:color w:val="000000"/>
              </w:rPr>
            </w:pPr>
            <w:r>
              <w:rPr>
                <w:color w:val="000000"/>
              </w:rPr>
              <w:t>1,090</w:t>
            </w:r>
          </w:p>
        </w:tc>
        <w:tc>
          <w:tcPr>
            <w:tcW w:w="1389" w:type="dxa"/>
            <w:tcBorders>
              <w:left w:val="nil"/>
              <w:bottom w:val="nil"/>
              <w:right w:val="nil"/>
            </w:tcBorders>
            <w:shd w:val="clear" w:color="auto" w:fill="FFFFFF" w:themeFill="background1"/>
            <w:tcMar>
              <w:left w:w="60" w:type="dxa"/>
              <w:right w:w="60" w:type="dxa"/>
            </w:tcMar>
          </w:tcPr>
          <w:p w14:paraId="6DB9B849" w14:textId="77777777" w:rsidR="00327D59" w:rsidRDefault="00327D59" w:rsidP="00032B54">
            <w:pPr>
              <w:adjustRightInd w:val="0"/>
              <w:spacing w:before="0" w:after="0"/>
              <w:jc w:val="center"/>
              <w:rPr>
                <w:color w:val="000000"/>
              </w:rPr>
            </w:pPr>
            <w:r>
              <w:rPr>
                <w:color w:val="000000"/>
              </w:rPr>
              <w:t>1,359</w:t>
            </w:r>
          </w:p>
        </w:tc>
        <w:tc>
          <w:tcPr>
            <w:tcW w:w="1389" w:type="dxa"/>
            <w:tcBorders>
              <w:left w:val="nil"/>
              <w:bottom w:val="nil"/>
              <w:right w:val="nil"/>
            </w:tcBorders>
            <w:shd w:val="clear" w:color="auto" w:fill="FFFFFF" w:themeFill="background1"/>
            <w:tcMar>
              <w:left w:w="60" w:type="dxa"/>
              <w:right w:w="60" w:type="dxa"/>
            </w:tcMar>
          </w:tcPr>
          <w:p w14:paraId="08DFBB77" w14:textId="77777777" w:rsidR="00327D59" w:rsidRDefault="00327D59" w:rsidP="00032B54">
            <w:pPr>
              <w:adjustRightInd w:val="0"/>
              <w:spacing w:before="0" w:after="0"/>
              <w:jc w:val="center"/>
              <w:rPr>
                <w:color w:val="000000"/>
              </w:rPr>
            </w:pPr>
            <w:r>
              <w:rPr>
                <w:color w:val="000000"/>
              </w:rPr>
              <w:t>1,367</w:t>
            </w:r>
          </w:p>
        </w:tc>
        <w:tc>
          <w:tcPr>
            <w:tcW w:w="1389" w:type="dxa"/>
            <w:tcBorders>
              <w:left w:val="nil"/>
              <w:bottom w:val="nil"/>
            </w:tcBorders>
            <w:shd w:val="clear" w:color="auto" w:fill="FFFFFF" w:themeFill="background1"/>
            <w:tcMar>
              <w:left w:w="60" w:type="dxa"/>
              <w:right w:w="60" w:type="dxa"/>
            </w:tcMar>
          </w:tcPr>
          <w:p w14:paraId="0A2769EC" w14:textId="77777777" w:rsidR="00327D59" w:rsidRDefault="00327D59" w:rsidP="00032B54">
            <w:pPr>
              <w:adjustRightInd w:val="0"/>
              <w:spacing w:before="0" w:after="0"/>
              <w:jc w:val="center"/>
              <w:rPr>
                <w:color w:val="000000"/>
              </w:rPr>
            </w:pPr>
            <w:r>
              <w:rPr>
                <w:color w:val="000000"/>
              </w:rPr>
              <w:t>1,336</w:t>
            </w:r>
          </w:p>
        </w:tc>
      </w:tr>
      <w:tr w:rsidR="00327D59" w:rsidRPr="00A72F4E" w14:paraId="24059A75" w14:textId="77777777" w:rsidTr="00032B54">
        <w:trPr>
          <w:cantSplit/>
        </w:trPr>
        <w:tc>
          <w:tcPr>
            <w:tcW w:w="2127" w:type="dxa"/>
            <w:tcBorders>
              <w:top w:val="nil"/>
              <w:bottom w:val="single" w:sz="4" w:space="0" w:color="auto"/>
              <w:right w:val="nil"/>
            </w:tcBorders>
            <w:shd w:val="clear" w:color="auto" w:fill="FFFFFF" w:themeFill="background1"/>
            <w:tcMar>
              <w:left w:w="60" w:type="dxa"/>
              <w:right w:w="60" w:type="dxa"/>
            </w:tcMar>
          </w:tcPr>
          <w:p w14:paraId="08A10F1C" w14:textId="77777777" w:rsidR="00327D59" w:rsidRPr="003A200D" w:rsidRDefault="00327D59" w:rsidP="00032B54">
            <w:pPr>
              <w:spacing w:before="0" w:after="0"/>
              <w:rPr>
                <w:rFonts w:eastAsiaTheme="minorHAnsi"/>
                <w:b/>
                <w:sz w:val="18"/>
                <w:szCs w:val="18"/>
                <w:lang w:eastAsia="en-US"/>
              </w:rPr>
            </w:pPr>
            <w:r w:rsidRPr="003A200D">
              <w:rPr>
                <w:rFonts w:eastAsiaTheme="minorHAnsi"/>
                <w:b/>
                <w:sz w:val="18"/>
                <w:szCs w:val="18"/>
                <w:lang w:eastAsia="en-US"/>
              </w:rPr>
              <w:t>TOTAL INELIGIBLE</w:t>
            </w:r>
          </w:p>
        </w:tc>
        <w:tc>
          <w:tcPr>
            <w:tcW w:w="1389" w:type="dxa"/>
            <w:tcBorders>
              <w:top w:val="nil"/>
              <w:left w:val="nil"/>
              <w:bottom w:val="single" w:sz="4" w:space="0" w:color="auto"/>
              <w:right w:val="nil"/>
            </w:tcBorders>
            <w:shd w:val="clear" w:color="auto" w:fill="FFFFFF" w:themeFill="background1"/>
            <w:tcMar>
              <w:left w:w="60" w:type="dxa"/>
              <w:right w:w="60" w:type="dxa"/>
            </w:tcMar>
          </w:tcPr>
          <w:p w14:paraId="25CD54D4" w14:textId="77777777" w:rsidR="00327D59" w:rsidRPr="000256E5" w:rsidRDefault="00327D59" w:rsidP="00032B54">
            <w:pPr>
              <w:adjustRightInd w:val="0"/>
              <w:spacing w:before="0" w:after="0"/>
              <w:jc w:val="center"/>
              <w:rPr>
                <w:b/>
                <w:bCs/>
                <w:color w:val="000000"/>
              </w:rPr>
            </w:pPr>
            <w:r w:rsidRPr="000256E5">
              <w:rPr>
                <w:b/>
                <w:bCs/>
                <w:color w:val="000000"/>
              </w:rPr>
              <w:t>1,207</w:t>
            </w:r>
          </w:p>
        </w:tc>
        <w:tc>
          <w:tcPr>
            <w:tcW w:w="1389" w:type="dxa"/>
            <w:tcBorders>
              <w:top w:val="nil"/>
              <w:left w:val="nil"/>
              <w:bottom w:val="single" w:sz="4" w:space="0" w:color="auto"/>
              <w:right w:val="nil"/>
            </w:tcBorders>
            <w:shd w:val="clear" w:color="auto" w:fill="FFFFFF" w:themeFill="background1"/>
            <w:tcMar>
              <w:left w:w="60" w:type="dxa"/>
              <w:right w:w="60" w:type="dxa"/>
            </w:tcMar>
          </w:tcPr>
          <w:p w14:paraId="513C1092" w14:textId="77777777" w:rsidR="00327D59" w:rsidRPr="000256E5" w:rsidRDefault="00327D59" w:rsidP="00032B54">
            <w:pPr>
              <w:adjustRightInd w:val="0"/>
              <w:spacing w:before="0" w:after="0"/>
              <w:jc w:val="center"/>
              <w:rPr>
                <w:b/>
                <w:bCs/>
                <w:color w:val="000000"/>
              </w:rPr>
            </w:pPr>
            <w:r w:rsidRPr="000256E5">
              <w:rPr>
                <w:b/>
                <w:bCs/>
                <w:color w:val="000000"/>
              </w:rPr>
              <w:t>2,630</w:t>
            </w:r>
          </w:p>
        </w:tc>
        <w:tc>
          <w:tcPr>
            <w:tcW w:w="1389" w:type="dxa"/>
            <w:tcBorders>
              <w:top w:val="nil"/>
              <w:left w:val="nil"/>
              <w:bottom w:val="single" w:sz="4" w:space="0" w:color="auto"/>
              <w:right w:val="nil"/>
            </w:tcBorders>
            <w:shd w:val="clear" w:color="auto" w:fill="FFFFFF" w:themeFill="background1"/>
            <w:tcMar>
              <w:left w:w="60" w:type="dxa"/>
              <w:right w:w="60" w:type="dxa"/>
            </w:tcMar>
          </w:tcPr>
          <w:p w14:paraId="08549CCA" w14:textId="77777777" w:rsidR="00327D59" w:rsidRPr="000256E5" w:rsidRDefault="00327D59" w:rsidP="00032B54">
            <w:pPr>
              <w:adjustRightInd w:val="0"/>
              <w:spacing w:before="0" w:after="0"/>
              <w:jc w:val="center"/>
              <w:rPr>
                <w:b/>
                <w:bCs/>
                <w:color w:val="000000"/>
              </w:rPr>
            </w:pPr>
            <w:r w:rsidRPr="000256E5">
              <w:rPr>
                <w:b/>
                <w:bCs/>
                <w:color w:val="000000"/>
              </w:rPr>
              <w:t>4,173</w:t>
            </w:r>
          </w:p>
        </w:tc>
        <w:tc>
          <w:tcPr>
            <w:tcW w:w="1389" w:type="dxa"/>
            <w:tcBorders>
              <w:top w:val="nil"/>
              <w:left w:val="nil"/>
              <w:bottom w:val="single" w:sz="4" w:space="0" w:color="auto"/>
              <w:right w:val="nil"/>
            </w:tcBorders>
            <w:shd w:val="clear" w:color="auto" w:fill="FFFFFF" w:themeFill="background1"/>
            <w:tcMar>
              <w:left w:w="60" w:type="dxa"/>
              <w:right w:w="60" w:type="dxa"/>
            </w:tcMar>
          </w:tcPr>
          <w:p w14:paraId="310FAC81" w14:textId="77777777" w:rsidR="00327D59" w:rsidRPr="000256E5" w:rsidRDefault="00327D59" w:rsidP="00032B54">
            <w:pPr>
              <w:adjustRightInd w:val="0"/>
              <w:spacing w:before="0" w:after="0"/>
              <w:jc w:val="center"/>
              <w:rPr>
                <w:b/>
                <w:bCs/>
                <w:color w:val="000000"/>
              </w:rPr>
            </w:pPr>
            <w:r w:rsidRPr="000256E5">
              <w:rPr>
                <w:b/>
                <w:bCs/>
                <w:color w:val="000000"/>
              </w:rPr>
              <w:t>5,592</w:t>
            </w:r>
          </w:p>
        </w:tc>
        <w:tc>
          <w:tcPr>
            <w:tcW w:w="1389" w:type="dxa"/>
            <w:tcBorders>
              <w:top w:val="nil"/>
              <w:left w:val="nil"/>
              <w:bottom w:val="single" w:sz="4" w:space="0" w:color="auto"/>
            </w:tcBorders>
            <w:shd w:val="clear" w:color="auto" w:fill="FFFFFF" w:themeFill="background1"/>
            <w:tcMar>
              <w:left w:w="60" w:type="dxa"/>
              <w:right w:w="60" w:type="dxa"/>
            </w:tcMar>
          </w:tcPr>
          <w:p w14:paraId="41599067" w14:textId="77777777" w:rsidR="00327D59" w:rsidRPr="000256E5" w:rsidRDefault="00327D59" w:rsidP="00032B54">
            <w:pPr>
              <w:adjustRightInd w:val="0"/>
              <w:spacing w:before="0" w:after="0"/>
              <w:jc w:val="center"/>
              <w:rPr>
                <w:b/>
                <w:bCs/>
                <w:color w:val="000000"/>
              </w:rPr>
            </w:pPr>
            <w:r w:rsidRPr="000256E5">
              <w:rPr>
                <w:b/>
                <w:bCs/>
                <w:color w:val="000000"/>
              </w:rPr>
              <w:t>7,419</w:t>
            </w:r>
          </w:p>
        </w:tc>
      </w:tr>
      <w:tr w:rsidR="00327D59" w:rsidRPr="00A72F4E" w14:paraId="6CABEC96" w14:textId="77777777" w:rsidTr="00032B54">
        <w:trPr>
          <w:cantSplit/>
        </w:trPr>
        <w:tc>
          <w:tcPr>
            <w:tcW w:w="2127" w:type="dxa"/>
            <w:tcBorders>
              <w:top w:val="single" w:sz="4" w:space="0" w:color="auto"/>
              <w:right w:val="nil"/>
            </w:tcBorders>
            <w:shd w:val="clear" w:color="auto" w:fill="FFFFFF" w:themeFill="background1"/>
            <w:tcMar>
              <w:left w:w="60" w:type="dxa"/>
              <w:right w:w="60" w:type="dxa"/>
            </w:tcMar>
          </w:tcPr>
          <w:p w14:paraId="06034895" w14:textId="77777777" w:rsidR="00327D59" w:rsidRPr="00A72F4E" w:rsidRDefault="00327D59" w:rsidP="00032B54">
            <w:pPr>
              <w:spacing w:before="0" w:after="0"/>
              <w:rPr>
                <w:rFonts w:eastAsiaTheme="minorHAnsi"/>
                <w:lang w:eastAsia="en-US"/>
              </w:rPr>
            </w:pPr>
            <w:r w:rsidRPr="00A72F4E">
              <w:rPr>
                <w:rFonts w:eastAsiaTheme="minorHAnsi"/>
                <w:lang w:eastAsia="en-US"/>
              </w:rPr>
              <w:t>Did not do survey</w:t>
            </w:r>
          </w:p>
        </w:tc>
        <w:tc>
          <w:tcPr>
            <w:tcW w:w="1389" w:type="dxa"/>
            <w:tcBorders>
              <w:top w:val="single" w:sz="4" w:space="0" w:color="auto"/>
              <w:left w:val="nil"/>
              <w:right w:val="nil"/>
            </w:tcBorders>
            <w:shd w:val="clear" w:color="auto" w:fill="FFFFFF" w:themeFill="background1"/>
            <w:tcMar>
              <w:left w:w="60" w:type="dxa"/>
              <w:right w:w="60" w:type="dxa"/>
            </w:tcMar>
          </w:tcPr>
          <w:p w14:paraId="470439F2" w14:textId="77777777" w:rsidR="00327D59" w:rsidRDefault="00327D59" w:rsidP="00032B54">
            <w:pPr>
              <w:adjustRightInd w:val="0"/>
              <w:spacing w:before="0" w:after="0"/>
              <w:jc w:val="center"/>
              <w:rPr>
                <w:color w:val="000000"/>
              </w:rPr>
            </w:pPr>
            <w:r>
              <w:rPr>
                <w:color w:val="000000"/>
              </w:rPr>
              <w:t>481</w:t>
            </w:r>
          </w:p>
        </w:tc>
        <w:tc>
          <w:tcPr>
            <w:tcW w:w="1389" w:type="dxa"/>
            <w:tcBorders>
              <w:top w:val="single" w:sz="4" w:space="0" w:color="auto"/>
              <w:left w:val="nil"/>
              <w:right w:val="nil"/>
            </w:tcBorders>
            <w:shd w:val="clear" w:color="auto" w:fill="FFFFFF" w:themeFill="background1"/>
            <w:tcMar>
              <w:left w:w="60" w:type="dxa"/>
              <w:right w:w="60" w:type="dxa"/>
            </w:tcMar>
          </w:tcPr>
          <w:p w14:paraId="082FCD23" w14:textId="77777777" w:rsidR="00327D59" w:rsidRDefault="00327D59" w:rsidP="00032B54">
            <w:pPr>
              <w:adjustRightInd w:val="0"/>
              <w:spacing w:before="0" w:after="0"/>
              <w:jc w:val="center"/>
              <w:rPr>
                <w:color w:val="000000"/>
              </w:rPr>
            </w:pPr>
            <w:r>
              <w:rPr>
                <w:color w:val="000000"/>
              </w:rPr>
              <w:t>861</w:t>
            </w:r>
          </w:p>
        </w:tc>
        <w:tc>
          <w:tcPr>
            <w:tcW w:w="1389" w:type="dxa"/>
            <w:tcBorders>
              <w:top w:val="single" w:sz="4" w:space="0" w:color="auto"/>
              <w:left w:val="nil"/>
              <w:right w:val="nil"/>
            </w:tcBorders>
            <w:shd w:val="clear" w:color="auto" w:fill="FFFFFF" w:themeFill="background1"/>
            <w:tcMar>
              <w:left w:w="60" w:type="dxa"/>
              <w:right w:w="60" w:type="dxa"/>
            </w:tcMar>
          </w:tcPr>
          <w:p w14:paraId="2CDD717C" w14:textId="77777777" w:rsidR="00327D59" w:rsidRDefault="00327D59" w:rsidP="00032B54">
            <w:pPr>
              <w:adjustRightInd w:val="0"/>
              <w:spacing w:before="0" w:after="0"/>
              <w:jc w:val="center"/>
              <w:rPr>
                <w:color w:val="000000"/>
              </w:rPr>
            </w:pPr>
            <w:r>
              <w:rPr>
                <w:color w:val="000000"/>
              </w:rPr>
              <w:t>592</w:t>
            </w:r>
          </w:p>
        </w:tc>
        <w:tc>
          <w:tcPr>
            <w:tcW w:w="1389" w:type="dxa"/>
            <w:tcBorders>
              <w:top w:val="single" w:sz="4" w:space="0" w:color="auto"/>
              <w:left w:val="nil"/>
              <w:right w:val="nil"/>
            </w:tcBorders>
            <w:shd w:val="clear" w:color="auto" w:fill="FFFFFF" w:themeFill="background1"/>
            <w:tcMar>
              <w:left w:w="60" w:type="dxa"/>
              <w:right w:w="60" w:type="dxa"/>
            </w:tcMar>
          </w:tcPr>
          <w:p w14:paraId="46577D9C" w14:textId="77777777" w:rsidR="00327D59" w:rsidRDefault="00327D59" w:rsidP="00032B54">
            <w:pPr>
              <w:adjustRightInd w:val="0"/>
              <w:spacing w:before="0" w:after="0"/>
              <w:jc w:val="center"/>
              <w:rPr>
                <w:color w:val="000000"/>
              </w:rPr>
            </w:pPr>
            <w:r>
              <w:rPr>
                <w:color w:val="000000"/>
              </w:rPr>
              <w:t>640</w:t>
            </w:r>
          </w:p>
        </w:tc>
        <w:tc>
          <w:tcPr>
            <w:tcW w:w="1389" w:type="dxa"/>
            <w:tcBorders>
              <w:top w:val="single" w:sz="4" w:space="0" w:color="auto"/>
              <w:left w:val="nil"/>
            </w:tcBorders>
            <w:shd w:val="clear" w:color="auto" w:fill="FFFFFF" w:themeFill="background1"/>
            <w:tcMar>
              <w:left w:w="60" w:type="dxa"/>
              <w:right w:w="60" w:type="dxa"/>
            </w:tcMar>
          </w:tcPr>
          <w:p w14:paraId="257AA22A" w14:textId="77777777" w:rsidR="00327D59" w:rsidRDefault="00327D59" w:rsidP="00032B54">
            <w:pPr>
              <w:adjustRightInd w:val="0"/>
              <w:spacing w:before="0" w:after="0"/>
              <w:jc w:val="center"/>
              <w:rPr>
                <w:color w:val="000000"/>
              </w:rPr>
            </w:pPr>
            <w:r>
              <w:rPr>
                <w:color w:val="000000"/>
              </w:rPr>
              <w:t>862</w:t>
            </w:r>
          </w:p>
        </w:tc>
      </w:tr>
      <w:tr w:rsidR="00327D59" w:rsidRPr="00A72F4E" w14:paraId="418B3C5B" w14:textId="77777777" w:rsidTr="00032B54">
        <w:trPr>
          <w:cantSplit/>
        </w:trPr>
        <w:tc>
          <w:tcPr>
            <w:tcW w:w="2127" w:type="dxa"/>
            <w:tcBorders>
              <w:right w:val="nil"/>
            </w:tcBorders>
            <w:shd w:val="clear" w:color="auto" w:fill="FFFFFF" w:themeFill="background1"/>
            <w:tcMar>
              <w:left w:w="60" w:type="dxa"/>
              <w:right w:w="60" w:type="dxa"/>
            </w:tcMar>
          </w:tcPr>
          <w:p w14:paraId="1AA033B3" w14:textId="77777777" w:rsidR="00327D59" w:rsidRPr="00A72F4E" w:rsidRDefault="00327D59" w:rsidP="00032B54">
            <w:pPr>
              <w:spacing w:before="0" w:after="0"/>
              <w:rPr>
                <w:rFonts w:eastAsiaTheme="minorHAnsi"/>
                <w:lang w:eastAsia="en-US"/>
              </w:rPr>
            </w:pPr>
            <w:r w:rsidRPr="00A72F4E">
              <w:rPr>
                <w:rFonts w:eastAsiaTheme="minorHAnsi"/>
                <w:lang w:eastAsia="en-US"/>
              </w:rPr>
              <w:t>No contact</w:t>
            </w:r>
          </w:p>
        </w:tc>
        <w:tc>
          <w:tcPr>
            <w:tcW w:w="1389" w:type="dxa"/>
            <w:tcBorders>
              <w:left w:val="nil"/>
              <w:right w:val="nil"/>
            </w:tcBorders>
            <w:shd w:val="clear" w:color="auto" w:fill="FFFFFF" w:themeFill="background1"/>
            <w:tcMar>
              <w:left w:w="60" w:type="dxa"/>
              <w:right w:w="60" w:type="dxa"/>
            </w:tcMar>
          </w:tcPr>
          <w:p w14:paraId="0EEC2196" w14:textId="77777777" w:rsidR="00327D59" w:rsidRDefault="00327D59" w:rsidP="00032B54">
            <w:pPr>
              <w:adjustRightInd w:val="0"/>
              <w:spacing w:before="0" w:after="0"/>
              <w:jc w:val="center"/>
              <w:rPr>
                <w:color w:val="000000"/>
              </w:rPr>
            </w:pPr>
            <w:r>
              <w:rPr>
                <w:color w:val="000000"/>
              </w:rPr>
              <w:t>310</w:t>
            </w:r>
          </w:p>
        </w:tc>
        <w:tc>
          <w:tcPr>
            <w:tcW w:w="1389" w:type="dxa"/>
            <w:tcBorders>
              <w:left w:val="nil"/>
              <w:right w:val="nil"/>
            </w:tcBorders>
            <w:shd w:val="clear" w:color="auto" w:fill="FFFFFF" w:themeFill="background1"/>
            <w:tcMar>
              <w:left w:w="60" w:type="dxa"/>
              <w:right w:w="60" w:type="dxa"/>
            </w:tcMar>
          </w:tcPr>
          <w:p w14:paraId="13D13CE1" w14:textId="77777777" w:rsidR="00327D59" w:rsidRDefault="00327D59" w:rsidP="00032B54">
            <w:pPr>
              <w:adjustRightInd w:val="0"/>
              <w:spacing w:before="0" w:after="0"/>
              <w:jc w:val="center"/>
              <w:rPr>
                <w:color w:val="000000"/>
              </w:rPr>
            </w:pPr>
            <w:r>
              <w:rPr>
                <w:color w:val="000000"/>
              </w:rPr>
              <w:t>295</w:t>
            </w:r>
          </w:p>
        </w:tc>
        <w:tc>
          <w:tcPr>
            <w:tcW w:w="1389" w:type="dxa"/>
            <w:tcBorders>
              <w:left w:val="nil"/>
              <w:right w:val="nil"/>
            </w:tcBorders>
            <w:shd w:val="clear" w:color="auto" w:fill="FFFFFF" w:themeFill="background1"/>
            <w:tcMar>
              <w:left w:w="60" w:type="dxa"/>
              <w:right w:w="60" w:type="dxa"/>
            </w:tcMar>
          </w:tcPr>
          <w:p w14:paraId="5D193EDB" w14:textId="77777777" w:rsidR="00327D59" w:rsidRDefault="00327D59" w:rsidP="00032B54">
            <w:pPr>
              <w:adjustRightInd w:val="0"/>
              <w:spacing w:before="0" w:after="0"/>
              <w:jc w:val="center"/>
              <w:rPr>
                <w:color w:val="000000"/>
              </w:rPr>
            </w:pPr>
            <w:r>
              <w:rPr>
                <w:color w:val="000000"/>
              </w:rPr>
              <w:t>509</w:t>
            </w:r>
          </w:p>
        </w:tc>
        <w:tc>
          <w:tcPr>
            <w:tcW w:w="1389" w:type="dxa"/>
            <w:tcBorders>
              <w:left w:val="nil"/>
              <w:right w:val="nil"/>
            </w:tcBorders>
            <w:shd w:val="clear" w:color="auto" w:fill="FFFFFF" w:themeFill="background1"/>
            <w:tcMar>
              <w:left w:w="60" w:type="dxa"/>
              <w:right w:w="60" w:type="dxa"/>
            </w:tcMar>
          </w:tcPr>
          <w:p w14:paraId="2C8D3D76" w14:textId="77777777" w:rsidR="00327D59" w:rsidRDefault="00327D59" w:rsidP="00032B54">
            <w:pPr>
              <w:adjustRightInd w:val="0"/>
              <w:spacing w:before="0" w:after="0"/>
              <w:jc w:val="center"/>
              <w:rPr>
                <w:color w:val="000000"/>
              </w:rPr>
            </w:pPr>
            <w:r>
              <w:rPr>
                <w:color w:val="000000"/>
              </w:rPr>
              <w:t>640</w:t>
            </w:r>
          </w:p>
        </w:tc>
        <w:tc>
          <w:tcPr>
            <w:tcW w:w="1389" w:type="dxa"/>
            <w:tcBorders>
              <w:left w:val="nil"/>
            </w:tcBorders>
            <w:shd w:val="clear" w:color="auto" w:fill="FFFFFF" w:themeFill="background1"/>
            <w:tcMar>
              <w:left w:w="60" w:type="dxa"/>
              <w:right w:w="60" w:type="dxa"/>
            </w:tcMar>
          </w:tcPr>
          <w:p w14:paraId="417BB2E8" w14:textId="77777777" w:rsidR="00327D59" w:rsidRDefault="00327D59" w:rsidP="00032B54">
            <w:pPr>
              <w:adjustRightInd w:val="0"/>
              <w:spacing w:before="0" w:after="0"/>
              <w:jc w:val="center"/>
              <w:rPr>
                <w:color w:val="000000"/>
              </w:rPr>
            </w:pPr>
            <w:r>
              <w:rPr>
                <w:color w:val="000000"/>
              </w:rPr>
              <w:t>96</w:t>
            </w:r>
          </w:p>
        </w:tc>
      </w:tr>
      <w:tr w:rsidR="00327D59" w:rsidRPr="00A72F4E" w14:paraId="33819C06" w14:textId="77777777" w:rsidTr="00032B54">
        <w:trPr>
          <w:cantSplit/>
        </w:trPr>
        <w:tc>
          <w:tcPr>
            <w:tcW w:w="2127" w:type="dxa"/>
            <w:tcBorders>
              <w:bottom w:val="nil"/>
              <w:right w:val="nil"/>
            </w:tcBorders>
            <w:shd w:val="clear" w:color="auto" w:fill="FFFFFF" w:themeFill="background1"/>
            <w:tcMar>
              <w:left w:w="60" w:type="dxa"/>
              <w:right w:w="60" w:type="dxa"/>
            </w:tcMar>
          </w:tcPr>
          <w:p w14:paraId="1597533E" w14:textId="77777777" w:rsidR="00327D59" w:rsidRPr="00A72F4E" w:rsidRDefault="00327D59" w:rsidP="00032B54">
            <w:pPr>
              <w:spacing w:before="0" w:after="0"/>
              <w:rPr>
                <w:rFonts w:eastAsiaTheme="minorHAnsi"/>
                <w:lang w:eastAsia="en-US"/>
              </w:rPr>
            </w:pPr>
            <w:r w:rsidRPr="00A72F4E">
              <w:rPr>
                <w:rFonts w:eastAsiaTheme="minorHAnsi"/>
                <w:lang w:eastAsia="en-US"/>
              </w:rPr>
              <w:t>Respondent</w:t>
            </w:r>
          </w:p>
        </w:tc>
        <w:tc>
          <w:tcPr>
            <w:tcW w:w="1389" w:type="dxa"/>
            <w:tcBorders>
              <w:left w:val="nil"/>
              <w:bottom w:val="nil"/>
              <w:right w:val="nil"/>
            </w:tcBorders>
            <w:shd w:val="clear" w:color="auto" w:fill="FFFFFF" w:themeFill="background1"/>
            <w:tcMar>
              <w:left w:w="60" w:type="dxa"/>
              <w:right w:w="60" w:type="dxa"/>
            </w:tcMar>
          </w:tcPr>
          <w:p w14:paraId="69611F61" w14:textId="77777777" w:rsidR="00327D59" w:rsidRDefault="00327D59" w:rsidP="00032B54">
            <w:pPr>
              <w:adjustRightInd w:val="0"/>
              <w:spacing w:before="0" w:after="0"/>
              <w:jc w:val="center"/>
              <w:rPr>
                <w:color w:val="000000"/>
              </w:rPr>
            </w:pPr>
            <w:r>
              <w:rPr>
                <w:color w:val="000000"/>
              </w:rPr>
              <w:t>10,434</w:t>
            </w:r>
          </w:p>
        </w:tc>
        <w:tc>
          <w:tcPr>
            <w:tcW w:w="1389" w:type="dxa"/>
            <w:tcBorders>
              <w:left w:val="nil"/>
              <w:bottom w:val="nil"/>
              <w:right w:val="nil"/>
            </w:tcBorders>
            <w:shd w:val="clear" w:color="auto" w:fill="FFFFFF" w:themeFill="background1"/>
            <w:tcMar>
              <w:left w:w="60" w:type="dxa"/>
              <w:right w:w="60" w:type="dxa"/>
            </w:tcMar>
          </w:tcPr>
          <w:p w14:paraId="4DFDAC5F" w14:textId="77777777" w:rsidR="00327D59" w:rsidRDefault="00327D59" w:rsidP="00032B54">
            <w:pPr>
              <w:adjustRightInd w:val="0"/>
              <w:spacing w:before="0" w:after="0"/>
              <w:jc w:val="center"/>
              <w:rPr>
                <w:color w:val="000000"/>
              </w:rPr>
            </w:pPr>
            <w:r>
              <w:rPr>
                <w:color w:val="000000"/>
              </w:rPr>
              <w:t>8,646</w:t>
            </w:r>
          </w:p>
        </w:tc>
        <w:tc>
          <w:tcPr>
            <w:tcW w:w="1389" w:type="dxa"/>
            <w:tcBorders>
              <w:left w:val="nil"/>
              <w:bottom w:val="nil"/>
              <w:right w:val="nil"/>
            </w:tcBorders>
            <w:shd w:val="clear" w:color="auto" w:fill="FFFFFF" w:themeFill="background1"/>
            <w:tcMar>
              <w:left w:w="60" w:type="dxa"/>
              <w:right w:w="60" w:type="dxa"/>
            </w:tcMar>
          </w:tcPr>
          <w:p w14:paraId="17CA9414" w14:textId="77777777" w:rsidR="00327D59" w:rsidRDefault="00327D59" w:rsidP="00032B54">
            <w:pPr>
              <w:adjustRightInd w:val="0"/>
              <w:spacing w:before="0" w:after="0"/>
              <w:jc w:val="center"/>
              <w:rPr>
                <w:color w:val="000000"/>
              </w:rPr>
            </w:pPr>
            <w:r>
              <w:rPr>
                <w:color w:val="000000"/>
              </w:rPr>
              <w:t>7,158</w:t>
            </w:r>
          </w:p>
        </w:tc>
        <w:tc>
          <w:tcPr>
            <w:tcW w:w="1389" w:type="dxa"/>
            <w:tcBorders>
              <w:left w:val="nil"/>
              <w:bottom w:val="nil"/>
              <w:right w:val="nil"/>
            </w:tcBorders>
            <w:shd w:val="clear" w:color="auto" w:fill="FFFFFF" w:themeFill="background1"/>
            <w:tcMar>
              <w:left w:w="60" w:type="dxa"/>
              <w:right w:w="60" w:type="dxa"/>
            </w:tcMar>
          </w:tcPr>
          <w:p w14:paraId="519F7564" w14:textId="77777777" w:rsidR="00327D59" w:rsidRDefault="00327D59" w:rsidP="00032B54">
            <w:pPr>
              <w:adjustRightInd w:val="0"/>
              <w:spacing w:before="0" w:after="0"/>
              <w:jc w:val="center"/>
              <w:rPr>
                <w:color w:val="000000"/>
              </w:rPr>
            </w:pPr>
            <w:r>
              <w:rPr>
                <w:color w:val="000000"/>
              </w:rPr>
              <w:t>5,560</w:t>
            </w:r>
          </w:p>
        </w:tc>
        <w:tc>
          <w:tcPr>
            <w:tcW w:w="1389" w:type="dxa"/>
            <w:tcBorders>
              <w:left w:val="nil"/>
              <w:bottom w:val="nil"/>
            </w:tcBorders>
            <w:shd w:val="clear" w:color="auto" w:fill="FFFFFF" w:themeFill="background1"/>
            <w:tcMar>
              <w:left w:w="60" w:type="dxa"/>
              <w:right w:w="60" w:type="dxa"/>
            </w:tcMar>
          </w:tcPr>
          <w:p w14:paraId="6D676B05" w14:textId="77777777" w:rsidR="00327D59" w:rsidRDefault="00327D59" w:rsidP="00032B54">
            <w:pPr>
              <w:adjustRightInd w:val="0"/>
              <w:spacing w:before="0" w:after="0"/>
              <w:jc w:val="center"/>
              <w:rPr>
                <w:color w:val="000000"/>
              </w:rPr>
            </w:pPr>
            <w:r>
              <w:rPr>
                <w:color w:val="000000"/>
              </w:rPr>
              <w:t>4,055</w:t>
            </w:r>
          </w:p>
        </w:tc>
      </w:tr>
      <w:tr w:rsidR="00327D59" w:rsidRPr="00A72F4E" w14:paraId="2712CF40" w14:textId="77777777" w:rsidTr="00032B54">
        <w:trPr>
          <w:cantSplit/>
        </w:trPr>
        <w:tc>
          <w:tcPr>
            <w:tcW w:w="2127" w:type="dxa"/>
            <w:tcBorders>
              <w:top w:val="nil"/>
              <w:bottom w:val="single" w:sz="4" w:space="0" w:color="auto"/>
              <w:right w:val="nil"/>
            </w:tcBorders>
            <w:shd w:val="clear" w:color="auto" w:fill="FFFFFF" w:themeFill="background1"/>
            <w:tcMar>
              <w:left w:w="60" w:type="dxa"/>
              <w:right w:w="60" w:type="dxa"/>
            </w:tcMar>
          </w:tcPr>
          <w:p w14:paraId="0E4B59BD" w14:textId="77777777" w:rsidR="00327D59" w:rsidRPr="003A200D" w:rsidRDefault="00327D59" w:rsidP="00032B54">
            <w:pPr>
              <w:spacing w:before="0" w:after="0"/>
              <w:rPr>
                <w:rFonts w:eastAsiaTheme="minorHAnsi"/>
                <w:b/>
                <w:sz w:val="18"/>
                <w:szCs w:val="18"/>
                <w:lang w:eastAsia="en-US"/>
              </w:rPr>
            </w:pPr>
            <w:r w:rsidRPr="003A200D">
              <w:rPr>
                <w:rFonts w:eastAsiaTheme="minorHAnsi"/>
                <w:b/>
                <w:sz w:val="18"/>
                <w:szCs w:val="18"/>
                <w:lang w:eastAsia="en-US"/>
              </w:rPr>
              <w:t>TOTAL ELIGIBLE</w:t>
            </w:r>
          </w:p>
        </w:tc>
        <w:tc>
          <w:tcPr>
            <w:tcW w:w="1389" w:type="dxa"/>
            <w:tcBorders>
              <w:top w:val="nil"/>
              <w:left w:val="nil"/>
              <w:bottom w:val="single" w:sz="4" w:space="0" w:color="auto"/>
              <w:right w:val="nil"/>
            </w:tcBorders>
            <w:shd w:val="clear" w:color="auto" w:fill="FFFFFF" w:themeFill="background1"/>
            <w:tcMar>
              <w:left w:w="60" w:type="dxa"/>
              <w:right w:w="60" w:type="dxa"/>
            </w:tcMar>
          </w:tcPr>
          <w:p w14:paraId="7BBE6D0A" w14:textId="77777777" w:rsidR="00327D59" w:rsidRPr="000256E5" w:rsidRDefault="00327D59" w:rsidP="00032B54">
            <w:pPr>
              <w:keepNext/>
              <w:adjustRightInd w:val="0"/>
              <w:spacing w:before="0" w:after="0"/>
              <w:jc w:val="center"/>
              <w:rPr>
                <w:b/>
                <w:bCs/>
                <w:color w:val="000000"/>
              </w:rPr>
            </w:pPr>
            <w:r w:rsidRPr="000256E5">
              <w:rPr>
                <w:b/>
                <w:bCs/>
                <w:color w:val="000000"/>
              </w:rPr>
              <w:t>11,225</w:t>
            </w:r>
          </w:p>
        </w:tc>
        <w:tc>
          <w:tcPr>
            <w:tcW w:w="1389" w:type="dxa"/>
            <w:tcBorders>
              <w:top w:val="nil"/>
              <w:left w:val="nil"/>
              <w:bottom w:val="single" w:sz="4" w:space="0" w:color="auto"/>
              <w:right w:val="nil"/>
            </w:tcBorders>
            <w:shd w:val="clear" w:color="auto" w:fill="FFFFFF" w:themeFill="background1"/>
            <w:tcMar>
              <w:left w:w="60" w:type="dxa"/>
              <w:right w:w="60" w:type="dxa"/>
            </w:tcMar>
          </w:tcPr>
          <w:p w14:paraId="536A207A" w14:textId="77777777" w:rsidR="00327D59" w:rsidRPr="000256E5" w:rsidRDefault="00327D59" w:rsidP="00032B54">
            <w:pPr>
              <w:keepNext/>
              <w:adjustRightInd w:val="0"/>
              <w:spacing w:before="0" w:after="0"/>
              <w:jc w:val="center"/>
              <w:rPr>
                <w:b/>
                <w:bCs/>
                <w:color w:val="000000"/>
              </w:rPr>
            </w:pPr>
            <w:r w:rsidRPr="000256E5">
              <w:rPr>
                <w:b/>
                <w:bCs/>
                <w:color w:val="000000"/>
              </w:rPr>
              <w:t>9,802</w:t>
            </w:r>
          </w:p>
        </w:tc>
        <w:tc>
          <w:tcPr>
            <w:tcW w:w="1389" w:type="dxa"/>
            <w:tcBorders>
              <w:top w:val="nil"/>
              <w:left w:val="nil"/>
              <w:bottom w:val="single" w:sz="4" w:space="0" w:color="auto"/>
              <w:right w:val="nil"/>
            </w:tcBorders>
            <w:shd w:val="clear" w:color="auto" w:fill="FFFFFF" w:themeFill="background1"/>
            <w:tcMar>
              <w:left w:w="60" w:type="dxa"/>
              <w:right w:w="60" w:type="dxa"/>
            </w:tcMar>
          </w:tcPr>
          <w:p w14:paraId="296CCE4D" w14:textId="77777777" w:rsidR="00327D59" w:rsidRPr="000256E5" w:rsidRDefault="00327D59" w:rsidP="00032B54">
            <w:pPr>
              <w:keepNext/>
              <w:adjustRightInd w:val="0"/>
              <w:spacing w:before="0" w:after="0"/>
              <w:jc w:val="center"/>
              <w:rPr>
                <w:b/>
                <w:bCs/>
                <w:color w:val="000000"/>
              </w:rPr>
            </w:pPr>
            <w:r w:rsidRPr="000256E5">
              <w:rPr>
                <w:b/>
                <w:bCs/>
                <w:color w:val="000000"/>
              </w:rPr>
              <w:t>8,259</w:t>
            </w:r>
          </w:p>
        </w:tc>
        <w:tc>
          <w:tcPr>
            <w:tcW w:w="1389" w:type="dxa"/>
            <w:tcBorders>
              <w:top w:val="nil"/>
              <w:left w:val="nil"/>
              <w:bottom w:val="single" w:sz="4" w:space="0" w:color="auto"/>
              <w:right w:val="nil"/>
            </w:tcBorders>
            <w:shd w:val="clear" w:color="auto" w:fill="FFFFFF" w:themeFill="background1"/>
            <w:tcMar>
              <w:left w:w="60" w:type="dxa"/>
              <w:right w:w="60" w:type="dxa"/>
            </w:tcMar>
          </w:tcPr>
          <w:p w14:paraId="4E331B9D" w14:textId="77777777" w:rsidR="00327D59" w:rsidRPr="000256E5" w:rsidRDefault="00327D59" w:rsidP="00032B54">
            <w:pPr>
              <w:keepNext/>
              <w:adjustRightInd w:val="0"/>
              <w:spacing w:before="0" w:after="0"/>
              <w:jc w:val="center"/>
              <w:rPr>
                <w:b/>
                <w:bCs/>
                <w:color w:val="000000"/>
              </w:rPr>
            </w:pPr>
            <w:r w:rsidRPr="000256E5">
              <w:rPr>
                <w:b/>
                <w:bCs/>
                <w:color w:val="000000"/>
              </w:rPr>
              <w:t>6,840</w:t>
            </w:r>
          </w:p>
        </w:tc>
        <w:tc>
          <w:tcPr>
            <w:tcW w:w="1389" w:type="dxa"/>
            <w:tcBorders>
              <w:top w:val="nil"/>
              <w:left w:val="nil"/>
              <w:bottom w:val="single" w:sz="4" w:space="0" w:color="auto"/>
            </w:tcBorders>
            <w:shd w:val="clear" w:color="auto" w:fill="FFFFFF" w:themeFill="background1"/>
            <w:tcMar>
              <w:left w:w="60" w:type="dxa"/>
              <w:right w:w="60" w:type="dxa"/>
            </w:tcMar>
          </w:tcPr>
          <w:p w14:paraId="19B7465B" w14:textId="77777777" w:rsidR="00327D59" w:rsidRPr="000256E5" w:rsidRDefault="00327D59" w:rsidP="00032B54">
            <w:pPr>
              <w:keepNext/>
              <w:adjustRightInd w:val="0"/>
              <w:spacing w:before="0" w:after="0"/>
              <w:jc w:val="center"/>
              <w:rPr>
                <w:b/>
                <w:bCs/>
                <w:color w:val="000000"/>
              </w:rPr>
            </w:pPr>
            <w:r w:rsidRPr="000256E5">
              <w:rPr>
                <w:b/>
                <w:bCs/>
                <w:color w:val="000000"/>
              </w:rPr>
              <w:t>5,013</w:t>
            </w:r>
          </w:p>
        </w:tc>
      </w:tr>
      <w:tr w:rsidR="00327D59" w:rsidRPr="00A72F4E" w14:paraId="7C650B84" w14:textId="77777777" w:rsidTr="00032B54">
        <w:trPr>
          <w:cantSplit/>
        </w:trPr>
        <w:tc>
          <w:tcPr>
            <w:tcW w:w="2127" w:type="dxa"/>
            <w:tcBorders>
              <w:top w:val="single" w:sz="4" w:space="0" w:color="auto"/>
              <w:bottom w:val="single" w:sz="4" w:space="0" w:color="auto"/>
              <w:right w:val="nil"/>
            </w:tcBorders>
            <w:shd w:val="clear" w:color="auto" w:fill="FFFFFF" w:themeFill="background1"/>
            <w:tcMar>
              <w:left w:w="60" w:type="dxa"/>
              <w:right w:w="60" w:type="dxa"/>
            </w:tcMar>
          </w:tcPr>
          <w:p w14:paraId="17A59AF3" w14:textId="77777777" w:rsidR="00327D59" w:rsidRPr="003A200D" w:rsidRDefault="00327D59" w:rsidP="00032B54">
            <w:pPr>
              <w:spacing w:before="0" w:after="0"/>
              <w:rPr>
                <w:rFonts w:eastAsiaTheme="minorHAnsi"/>
                <w:b/>
                <w:sz w:val="18"/>
                <w:szCs w:val="18"/>
                <w:lang w:eastAsia="en-US"/>
              </w:rPr>
            </w:pPr>
            <w:r w:rsidRPr="003A200D">
              <w:rPr>
                <w:rFonts w:eastAsiaTheme="minorHAnsi"/>
                <w:b/>
                <w:sz w:val="18"/>
                <w:szCs w:val="18"/>
                <w:lang w:eastAsia="en-US"/>
              </w:rPr>
              <w:t>RESPONSE RATE (%)</w:t>
            </w:r>
          </w:p>
        </w:tc>
        <w:tc>
          <w:tcPr>
            <w:tcW w:w="1389" w:type="dxa"/>
            <w:tcBorders>
              <w:top w:val="single" w:sz="4" w:space="0" w:color="auto"/>
              <w:left w:val="nil"/>
              <w:bottom w:val="single" w:sz="4" w:space="0" w:color="auto"/>
              <w:right w:val="nil"/>
            </w:tcBorders>
            <w:shd w:val="clear" w:color="auto" w:fill="FFFFFF" w:themeFill="background1"/>
            <w:tcMar>
              <w:left w:w="60" w:type="dxa"/>
              <w:right w:w="60" w:type="dxa"/>
            </w:tcMar>
          </w:tcPr>
          <w:p w14:paraId="473627CE" w14:textId="77777777" w:rsidR="00327D59" w:rsidRPr="000256E5" w:rsidRDefault="00327D59" w:rsidP="00032B54">
            <w:pPr>
              <w:adjustRightInd w:val="0"/>
              <w:spacing w:before="0" w:after="0"/>
              <w:jc w:val="center"/>
              <w:rPr>
                <w:b/>
                <w:bCs/>
                <w:color w:val="000000"/>
              </w:rPr>
            </w:pPr>
            <w:r w:rsidRPr="000256E5">
              <w:rPr>
                <w:b/>
                <w:bCs/>
                <w:color w:val="000000"/>
              </w:rPr>
              <w:t>93.0%</w:t>
            </w:r>
          </w:p>
        </w:tc>
        <w:tc>
          <w:tcPr>
            <w:tcW w:w="1389" w:type="dxa"/>
            <w:tcBorders>
              <w:top w:val="single" w:sz="4" w:space="0" w:color="auto"/>
              <w:left w:val="nil"/>
              <w:bottom w:val="single" w:sz="4" w:space="0" w:color="auto"/>
              <w:right w:val="nil"/>
            </w:tcBorders>
            <w:shd w:val="clear" w:color="auto" w:fill="FFFFFF" w:themeFill="background1"/>
            <w:tcMar>
              <w:left w:w="60" w:type="dxa"/>
              <w:right w:w="60" w:type="dxa"/>
            </w:tcMar>
          </w:tcPr>
          <w:p w14:paraId="03A1E747" w14:textId="77777777" w:rsidR="00327D59" w:rsidRPr="000256E5" w:rsidRDefault="00327D59" w:rsidP="00032B54">
            <w:pPr>
              <w:adjustRightInd w:val="0"/>
              <w:spacing w:before="0" w:after="0"/>
              <w:jc w:val="center"/>
              <w:rPr>
                <w:b/>
                <w:bCs/>
                <w:color w:val="000000"/>
              </w:rPr>
            </w:pPr>
            <w:r w:rsidRPr="000256E5">
              <w:rPr>
                <w:b/>
                <w:bCs/>
                <w:color w:val="000000"/>
              </w:rPr>
              <w:t>88.2%</w:t>
            </w:r>
          </w:p>
        </w:tc>
        <w:tc>
          <w:tcPr>
            <w:tcW w:w="1389" w:type="dxa"/>
            <w:tcBorders>
              <w:top w:val="single" w:sz="4" w:space="0" w:color="auto"/>
              <w:left w:val="nil"/>
              <w:bottom w:val="single" w:sz="4" w:space="0" w:color="auto"/>
              <w:right w:val="nil"/>
            </w:tcBorders>
            <w:shd w:val="clear" w:color="auto" w:fill="FFFFFF" w:themeFill="background1"/>
            <w:tcMar>
              <w:left w:w="60" w:type="dxa"/>
              <w:right w:w="60" w:type="dxa"/>
            </w:tcMar>
          </w:tcPr>
          <w:p w14:paraId="75322F4F" w14:textId="77777777" w:rsidR="00327D59" w:rsidRPr="000256E5" w:rsidRDefault="00327D59" w:rsidP="00032B54">
            <w:pPr>
              <w:adjustRightInd w:val="0"/>
              <w:spacing w:before="0" w:after="0"/>
              <w:jc w:val="center"/>
              <w:rPr>
                <w:b/>
                <w:bCs/>
                <w:color w:val="000000"/>
              </w:rPr>
            </w:pPr>
            <w:r w:rsidRPr="000256E5">
              <w:rPr>
                <w:b/>
                <w:bCs/>
                <w:color w:val="000000"/>
              </w:rPr>
              <w:t>86.7%</w:t>
            </w:r>
          </w:p>
        </w:tc>
        <w:tc>
          <w:tcPr>
            <w:tcW w:w="1389" w:type="dxa"/>
            <w:tcBorders>
              <w:top w:val="single" w:sz="4" w:space="0" w:color="auto"/>
              <w:left w:val="nil"/>
              <w:bottom w:val="single" w:sz="4" w:space="0" w:color="auto"/>
              <w:right w:val="nil"/>
            </w:tcBorders>
            <w:shd w:val="clear" w:color="auto" w:fill="FFFFFF" w:themeFill="background1"/>
            <w:tcMar>
              <w:left w:w="60" w:type="dxa"/>
              <w:right w:w="60" w:type="dxa"/>
            </w:tcMar>
          </w:tcPr>
          <w:p w14:paraId="214DE376" w14:textId="77777777" w:rsidR="00327D59" w:rsidRPr="000256E5" w:rsidRDefault="00327D59" w:rsidP="00032B54">
            <w:pPr>
              <w:adjustRightInd w:val="0"/>
              <w:spacing w:before="0" w:after="0"/>
              <w:jc w:val="center"/>
              <w:rPr>
                <w:b/>
                <w:bCs/>
                <w:color w:val="000000"/>
              </w:rPr>
            </w:pPr>
            <w:r w:rsidRPr="000256E5">
              <w:rPr>
                <w:b/>
                <w:bCs/>
                <w:color w:val="000000"/>
              </w:rPr>
              <w:t>81.3%</w:t>
            </w:r>
          </w:p>
        </w:tc>
        <w:tc>
          <w:tcPr>
            <w:tcW w:w="1389" w:type="dxa"/>
            <w:tcBorders>
              <w:top w:val="single" w:sz="4" w:space="0" w:color="auto"/>
              <w:left w:val="nil"/>
              <w:bottom w:val="single" w:sz="4" w:space="0" w:color="auto"/>
            </w:tcBorders>
            <w:shd w:val="clear" w:color="auto" w:fill="FFFFFF" w:themeFill="background1"/>
            <w:tcMar>
              <w:left w:w="60" w:type="dxa"/>
              <w:right w:w="60" w:type="dxa"/>
            </w:tcMar>
          </w:tcPr>
          <w:p w14:paraId="441BDFC9" w14:textId="77777777" w:rsidR="00327D59" w:rsidRPr="000256E5" w:rsidRDefault="00327D59" w:rsidP="00032B54">
            <w:pPr>
              <w:adjustRightInd w:val="0"/>
              <w:spacing w:before="0" w:after="0"/>
              <w:jc w:val="center"/>
              <w:rPr>
                <w:b/>
                <w:bCs/>
                <w:color w:val="000000"/>
              </w:rPr>
            </w:pPr>
            <w:r w:rsidRPr="000256E5">
              <w:rPr>
                <w:b/>
                <w:bCs/>
                <w:color w:val="000000"/>
              </w:rPr>
              <w:t>80.9%</w:t>
            </w:r>
          </w:p>
        </w:tc>
      </w:tr>
    </w:tbl>
    <w:p w14:paraId="4B77BD90" w14:textId="77777777" w:rsidR="00327D59" w:rsidRPr="00A72F4E" w:rsidRDefault="00327D59" w:rsidP="00327D59">
      <w:pPr>
        <w:spacing w:before="0" w:line="240" w:lineRule="auto"/>
      </w:pPr>
      <w:r w:rsidRPr="00901558">
        <w:t>*</w:t>
      </w:r>
      <w:proofErr w:type="gramStart"/>
      <w:r w:rsidRPr="00901558">
        <w:t>as</w:t>
      </w:r>
      <w:proofErr w:type="gramEnd"/>
      <w:r w:rsidRPr="00901558">
        <w:t xml:space="preserve"> at 27 July 2022</w:t>
      </w:r>
    </w:p>
    <w:p w14:paraId="4BB02BD5" w14:textId="77777777" w:rsidR="00327D59" w:rsidRPr="00A72F4E" w:rsidRDefault="00327D59" w:rsidP="00327D59"/>
    <w:p w14:paraId="408E6125" w14:textId="301F93FE" w:rsidR="00327D59" w:rsidRDefault="00327D59" w:rsidP="00327D59">
      <w:r w:rsidRPr="00A72F4E">
        <w:t xml:space="preserve">From November 2011, shorter surveys containing a set of core questions </w:t>
      </w:r>
      <w:r>
        <w:t>have been</w:t>
      </w:r>
      <w:r w:rsidRPr="00A72F4E">
        <w:t xml:space="preserve"> mailed to the 1921-26 cohort every </w:t>
      </w:r>
      <w:r>
        <w:t>6</w:t>
      </w:r>
      <w:r w:rsidRPr="00A72F4E">
        <w:t xml:space="preserve"> months after the return of the previous survey</w:t>
      </w:r>
      <w:r>
        <w:t>, with some participants opting for a phone interview with ALSWH staff if they are unable to complete the paper survey.</w:t>
      </w:r>
      <w:r w:rsidRPr="00A72F4E">
        <w:t xml:space="preserve"> </w:t>
      </w:r>
      <w:r>
        <w:fldChar w:fldCharType="begin"/>
      </w:r>
      <w:r>
        <w:instrText xml:space="preserve"> REF _Ref113717260 \h </w:instrText>
      </w:r>
      <w:r>
        <w:fldChar w:fldCharType="separate"/>
      </w:r>
      <w:r w:rsidR="007D19D7">
        <w:t xml:space="preserve">Table </w:t>
      </w:r>
      <w:r w:rsidR="007D19D7">
        <w:rPr>
          <w:noProof/>
        </w:rPr>
        <w:t>4</w:t>
      </w:r>
      <w:r w:rsidR="007D19D7">
        <w:noBreakHyphen/>
      </w:r>
      <w:r w:rsidR="007D19D7">
        <w:rPr>
          <w:noProof/>
        </w:rPr>
        <w:t>4</w:t>
      </w:r>
      <w:r>
        <w:fldChar w:fldCharType="end"/>
      </w:r>
      <w:r>
        <w:t xml:space="preserve"> </w:t>
      </w:r>
      <w:r w:rsidRPr="00A72F4E">
        <w:t xml:space="preserve">shows the numbers of eligible participants and respondents at the end of each </w:t>
      </w:r>
      <w:proofErr w:type="gramStart"/>
      <w:r>
        <w:t>6</w:t>
      </w:r>
      <w:r w:rsidRPr="00A72F4E">
        <w:t xml:space="preserve"> month</w:t>
      </w:r>
      <w:proofErr w:type="gramEnd"/>
      <w:r w:rsidRPr="00A72F4E">
        <w:t xml:space="preserve"> period.</w:t>
      </w:r>
      <w:r>
        <w:t xml:space="preserve"> </w:t>
      </w:r>
    </w:p>
    <w:p w14:paraId="6151690C" w14:textId="77777777" w:rsidR="00586FC1" w:rsidRDefault="00327D59" w:rsidP="00586FC1">
      <w:pPr>
        <w:spacing w:before="40" w:after="40"/>
        <w:sectPr w:rsidR="00586FC1" w:rsidSect="00586FC1">
          <w:type w:val="continuous"/>
          <w:pgSz w:w="11906" w:h="16838"/>
          <w:pgMar w:top="1440" w:right="1440" w:bottom="1440" w:left="1440" w:header="708" w:footer="708" w:gutter="0"/>
          <w:cols w:space="708"/>
          <w:docGrid w:linePitch="360"/>
        </w:sectPr>
      </w:pPr>
      <w:r>
        <w:t>By 2022, around 90% of the cohort had died. The remaining women who are still alive (approximately 1,320 women) are now aged 96 to 101 years old, with 54% having withdrawn from active survey participation, typically citing reasons of ill health, frailty or diminishing capacity</w:t>
      </w:r>
      <w:r w:rsidR="00586FC1">
        <w:t>.</w:t>
      </w:r>
    </w:p>
    <w:p w14:paraId="72242A49" w14:textId="6370B9AD" w:rsidR="00327D59" w:rsidRDefault="00327D59" w:rsidP="001E0C9E">
      <w:bookmarkStart w:id="665" w:name="_Ref113717260"/>
      <w:bookmarkStart w:id="666" w:name="_Toc492995410"/>
      <w:bookmarkStart w:id="667" w:name="_Toc18931515"/>
      <w:bookmarkStart w:id="668" w:name="_Toc56156865"/>
      <w:bookmarkStart w:id="669" w:name="_Toc87869419"/>
      <w:bookmarkStart w:id="670" w:name="_Hlk118209867"/>
      <w:r>
        <w:lastRenderedPageBreak/>
        <w:t xml:space="preserve">Table </w:t>
      </w:r>
      <w:fldSimple w:instr=" STYLEREF 1 \s ">
        <w:r w:rsidR="007D19D7">
          <w:rPr>
            <w:noProof/>
          </w:rPr>
          <w:t>4</w:t>
        </w:r>
      </w:fldSimple>
      <w:r>
        <w:noBreakHyphen/>
      </w:r>
      <w:fldSimple w:instr=" SEQ Table \* ARABIC \s 1 ">
        <w:r w:rsidR="007D19D7">
          <w:rPr>
            <w:noProof/>
          </w:rPr>
          <w:t>4</w:t>
        </w:r>
      </w:fldSimple>
      <w:bookmarkEnd w:id="665"/>
      <w:r>
        <w:t xml:space="preserve"> </w:t>
      </w:r>
      <w:r w:rsidRPr="00A05A90">
        <w:t xml:space="preserve">Participation in </w:t>
      </w:r>
      <w:r>
        <w:t>six-</w:t>
      </w:r>
      <w:r w:rsidRPr="00A05A90">
        <w:t>month follow</w:t>
      </w:r>
      <w:r>
        <w:t>-</w:t>
      </w:r>
      <w:r w:rsidRPr="00A05A90">
        <w:t>up surveys of the 12,432 women in the 1921-26 cohort (from November 2011 onwards)</w:t>
      </w:r>
      <w:bookmarkEnd w:id="666"/>
      <w:bookmarkEnd w:id="667"/>
      <w:bookmarkEnd w:id="668"/>
      <w:bookmarkEnd w:id="669"/>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1129"/>
        <w:gridCol w:w="1560"/>
        <w:gridCol w:w="1275"/>
        <w:gridCol w:w="1451"/>
        <w:gridCol w:w="1810"/>
        <w:gridCol w:w="1734"/>
        <w:gridCol w:w="27"/>
        <w:gridCol w:w="1499"/>
        <w:gridCol w:w="1417"/>
        <w:gridCol w:w="1843"/>
      </w:tblGrid>
      <w:tr w:rsidR="00327D59" w:rsidRPr="00DE6C30" w14:paraId="4C2A8902" w14:textId="77777777" w:rsidTr="00032B54">
        <w:trPr>
          <w:trHeight w:val="454"/>
          <w:tblHeader/>
        </w:trPr>
        <w:tc>
          <w:tcPr>
            <w:tcW w:w="1129" w:type="dxa"/>
            <w:shd w:val="clear" w:color="auto" w:fill="E5DFEC"/>
            <w:vAlign w:val="bottom"/>
          </w:tcPr>
          <w:p w14:paraId="707725AF" w14:textId="77777777" w:rsidR="00327D59" w:rsidRPr="00B70954" w:rsidRDefault="00327D59" w:rsidP="00032B54">
            <w:pPr>
              <w:spacing w:after="0"/>
              <w:jc w:val="center"/>
              <w:rPr>
                <w:rFonts w:cs="Arial"/>
                <w:b/>
                <w:bCs/>
                <w:color w:val="000000"/>
                <w:szCs w:val="20"/>
              </w:rPr>
            </w:pPr>
            <w:r w:rsidRPr="00B70954">
              <w:rPr>
                <w:rFonts w:cs="Arial"/>
                <w:b/>
                <w:bCs/>
                <w:color w:val="000000"/>
                <w:szCs w:val="20"/>
              </w:rPr>
              <w:t>Wave</w:t>
            </w:r>
            <w:r>
              <w:rPr>
                <w:rFonts w:cs="Arial"/>
                <w:b/>
                <w:bCs/>
                <w:color w:val="000000"/>
                <w:szCs w:val="20"/>
              </w:rPr>
              <w:t xml:space="preserve"> </w:t>
            </w:r>
            <w:r w:rsidRPr="00B70954">
              <w:rPr>
                <w:rFonts w:cs="Arial"/>
                <w:b/>
                <w:bCs/>
                <w:color w:val="000000"/>
                <w:szCs w:val="20"/>
              </w:rPr>
              <w:t>#</w:t>
            </w:r>
          </w:p>
        </w:tc>
        <w:tc>
          <w:tcPr>
            <w:tcW w:w="1560" w:type="dxa"/>
            <w:shd w:val="clear" w:color="auto" w:fill="E5DFEC"/>
            <w:vAlign w:val="bottom"/>
            <w:hideMark/>
          </w:tcPr>
          <w:p w14:paraId="25ED8B75" w14:textId="77777777" w:rsidR="00327D59" w:rsidRPr="00B70954" w:rsidRDefault="00327D59" w:rsidP="00032B54">
            <w:pPr>
              <w:spacing w:after="0"/>
              <w:jc w:val="center"/>
              <w:rPr>
                <w:rFonts w:cs="Arial"/>
                <w:b/>
                <w:bCs/>
                <w:color w:val="000000"/>
                <w:szCs w:val="20"/>
              </w:rPr>
            </w:pPr>
            <w:r>
              <w:rPr>
                <w:rFonts w:cs="Arial"/>
                <w:b/>
                <w:bCs/>
                <w:color w:val="000000"/>
                <w:szCs w:val="20"/>
              </w:rPr>
              <w:t>W</w:t>
            </w:r>
            <w:r w:rsidRPr="00B70954">
              <w:rPr>
                <w:rFonts w:cs="Arial"/>
                <w:b/>
                <w:bCs/>
                <w:color w:val="000000"/>
                <w:szCs w:val="20"/>
              </w:rPr>
              <w:t>ave ending</w:t>
            </w:r>
          </w:p>
        </w:tc>
        <w:tc>
          <w:tcPr>
            <w:tcW w:w="1275" w:type="dxa"/>
            <w:shd w:val="clear" w:color="auto" w:fill="E5DFEC"/>
            <w:vAlign w:val="bottom"/>
            <w:hideMark/>
          </w:tcPr>
          <w:p w14:paraId="250BDC1A" w14:textId="77777777" w:rsidR="00327D59" w:rsidRPr="00B9354F" w:rsidRDefault="00327D59" w:rsidP="00032B54">
            <w:pPr>
              <w:spacing w:after="0"/>
              <w:jc w:val="center"/>
              <w:rPr>
                <w:rFonts w:cs="Arial"/>
                <w:b/>
                <w:bCs/>
                <w:color w:val="000000"/>
                <w:szCs w:val="20"/>
              </w:rPr>
            </w:pPr>
            <w:r w:rsidRPr="00B9354F">
              <w:rPr>
                <w:rFonts w:cs="Arial"/>
                <w:b/>
                <w:bCs/>
                <w:color w:val="000000"/>
                <w:szCs w:val="20"/>
              </w:rPr>
              <w:t>Deceased</w:t>
            </w:r>
          </w:p>
        </w:tc>
        <w:tc>
          <w:tcPr>
            <w:tcW w:w="1451" w:type="dxa"/>
            <w:shd w:val="clear" w:color="auto" w:fill="E5DFEC"/>
            <w:vAlign w:val="bottom"/>
            <w:hideMark/>
          </w:tcPr>
          <w:p w14:paraId="530787B1" w14:textId="77777777" w:rsidR="00327D59" w:rsidRPr="00B9354F" w:rsidRDefault="00327D59" w:rsidP="00032B54">
            <w:pPr>
              <w:spacing w:after="0"/>
              <w:jc w:val="center"/>
              <w:rPr>
                <w:rFonts w:cs="Arial"/>
                <w:b/>
                <w:bCs/>
                <w:color w:val="000000"/>
                <w:szCs w:val="20"/>
              </w:rPr>
            </w:pPr>
            <w:r w:rsidRPr="00B9354F">
              <w:rPr>
                <w:rFonts w:cs="Arial"/>
                <w:b/>
                <w:bCs/>
                <w:color w:val="000000"/>
                <w:szCs w:val="20"/>
              </w:rPr>
              <w:t>Withdrawn</w:t>
            </w:r>
          </w:p>
        </w:tc>
        <w:tc>
          <w:tcPr>
            <w:tcW w:w="1810" w:type="dxa"/>
            <w:shd w:val="clear" w:color="auto" w:fill="E5DFEC"/>
            <w:vAlign w:val="bottom"/>
            <w:hideMark/>
          </w:tcPr>
          <w:p w14:paraId="62ED7E9F" w14:textId="77777777" w:rsidR="00327D59" w:rsidRPr="005E2AD6" w:rsidRDefault="00327D59" w:rsidP="00032B54">
            <w:pPr>
              <w:spacing w:after="0"/>
              <w:jc w:val="center"/>
              <w:rPr>
                <w:rFonts w:cs="Arial"/>
                <w:b/>
                <w:color w:val="000000"/>
                <w:szCs w:val="20"/>
              </w:rPr>
            </w:pPr>
            <w:r w:rsidRPr="005E2AD6">
              <w:rPr>
                <w:rFonts w:cs="Arial"/>
                <w:b/>
                <w:color w:val="000000"/>
                <w:szCs w:val="20"/>
              </w:rPr>
              <w:t>Total ineligible</w:t>
            </w:r>
          </w:p>
        </w:tc>
        <w:tc>
          <w:tcPr>
            <w:tcW w:w="1761" w:type="dxa"/>
            <w:gridSpan w:val="2"/>
            <w:shd w:val="clear" w:color="auto" w:fill="E5DFEC"/>
            <w:vAlign w:val="bottom"/>
            <w:hideMark/>
          </w:tcPr>
          <w:p w14:paraId="4C1F7420" w14:textId="77777777" w:rsidR="00327D59" w:rsidRPr="00B9354F" w:rsidRDefault="00327D59" w:rsidP="00032B54">
            <w:pPr>
              <w:spacing w:after="0"/>
              <w:jc w:val="center"/>
              <w:rPr>
                <w:rFonts w:cs="Arial"/>
                <w:b/>
                <w:bCs/>
                <w:color w:val="000000"/>
                <w:szCs w:val="20"/>
              </w:rPr>
            </w:pPr>
            <w:r w:rsidRPr="00B9354F">
              <w:rPr>
                <w:rFonts w:cs="Arial"/>
                <w:b/>
                <w:bCs/>
                <w:color w:val="000000"/>
                <w:szCs w:val="20"/>
              </w:rPr>
              <w:t>Non-Respondent</w:t>
            </w:r>
          </w:p>
        </w:tc>
        <w:tc>
          <w:tcPr>
            <w:tcW w:w="1499" w:type="dxa"/>
            <w:shd w:val="clear" w:color="auto" w:fill="E5DFEC"/>
            <w:vAlign w:val="bottom"/>
            <w:hideMark/>
          </w:tcPr>
          <w:p w14:paraId="6DB6CBB6" w14:textId="77777777" w:rsidR="00327D59" w:rsidRPr="00B9354F" w:rsidRDefault="00327D59" w:rsidP="00032B54">
            <w:pPr>
              <w:spacing w:after="0"/>
              <w:jc w:val="center"/>
              <w:rPr>
                <w:rFonts w:cs="Arial"/>
                <w:b/>
                <w:bCs/>
                <w:color w:val="000000"/>
                <w:szCs w:val="20"/>
              </w:rPr>
            </w:pPr>
            <w:r w:rsidRPr="00B9354F">
              <w:rPr>
                <w:rFonts w:cs="Arial"/>
                <w:b/>
                <w:bCs/>
                <w:color w:val="000000"/>
                <w:szCs w:val="20"/>
              </w:rPr>
              <w:t>Respondent</w:t>
            </w:r>
          </w:p>
        </w:tc>
        <w:tc>
          <w:tcPr>
            <w:tcW w:w="1417" w:type="dxa"/>
            <w:shd w:val="clear" w:color="auto" w:fill="E5DFEC"/>
            <w:vAlign w:val="bottom"/>
            <w:hideMark/>
          </w:tcPr>
          <w:p w14:paraId="18B1E806" w14:textId="77777777" w:rsidR="00327D59" w:rsidRPr="005E2AD6" w:rsidRDefault="00327D59" w:rsidP="00032B54">
            <w:pPr>
              <w:spacing w:after="0"/>
              <w:jc w:val="center"/>
              <w:rPr>
                <w:rFonts w:cs="Arial"/>
                <w:b/>
                <w:color w:val="000000"/>
                <w:szCs w:val="20"/>
              </w:rPr>
            </w:pPr>
            <w:r w:rsidRPr="005E2AD6">
              <w:rPr>
                <w:rFonts w:cs="Arial"/>
                <w:b/>
                <w:color w:val="000000"/>
                <w:szCs w:val="20"/>
              </w:rPr>
              <w:t>Total eligible</w:t>
            </w:r>
          </w:p>
        </w:tc>
        <w:tc>
          <w:tcPr>
            <w:tcW w:w="1843" w:type="dxa"/>
            <w:shd w:val="clear" w:color="auto" w:fill="E5DFEC"/>
            <w:vAlign w:val="bottom"/>
            <w:hideMark/>
          </w:tcPr>
          <w:p w14:paraId="7C1EFF06" w14:textId="77777777" w:rsidR="00327D59" w:rsidRPr="005E2AD6" w:rsidRDefault="00327D59" w:rsidP="00032B54">
            <w:pPr>
              <w:spacing w:after="0"/>
              <w:jc w:val="center"/>
              <w:rPr>
                <w:rFonts w:cs="Arial"/>
                <w:b/>
                <w:color w:val="000000"/>
                <w:szCs w:val="20"/>
              </w:rPr>
            </w:pPr>
            <w:r w:rsidRPr="005E2AD6">
              <w:rPr>
                <w:rFonts w:cs="Arial"/>
                <w:b/>
                <w:color w:val="000000"/>
                <w:szCs w:val="20"/>
              </w:rPr>
              <w:t>Response rate (%)</w:t>
            </w:r>
          </w:p>
        </w:tc>
      </w:tr>
      <w:tr w:rsidR="00327D59" w:rsidRPr="00DE6C30" w14:paraId="1E648607" w14:textId="77777777" w:rsidTr="00032B54">
        <w:trPr>
          <w:cantSplit/>
          <w:trHeight w:hRule="exact" w:val="397"/>
        </w:trPr>
        <w:tc>
          <w:tcPr>
            <w:tcW w:w="1129" w:type="dxa"/>
            <w:vAlign w:val="center"/>
          </w:tcPr>
          <w:p w14:paraId="16D6E713"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w:t>
            </w:r>
          </w:p>
        </w:tc>
        <w:tc>
          <w:tcPr>
            <w:tcW w:w="1560" w:type="dxa"/>
            <w:shd w:val="clear" w:color="auto" w:fill="auto"/>
            <w:vAlign w:val="center"/>
            <w:hideMark/>
          </w:tcPr>
          <w:p w14:paraId="4D6B731B"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May 2012</w:t>
            </w:r>
          </w:p>
        </w:tc>
        <w:tc>
          <w:tcPr>
            <w:tcW w:w="1275" w:type="dxa"/>
            <w:shd w:val="clear" w:color="auto" w:fill="auto"/>
            <w:vAlign w:val="center"/>
            <w:hideMark/>
          </w:tcPr>
          <w:p w14:paraId="2E2BBD48"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5</w:t>
            </w:r>
            <w:r>
              <w:rPr>
                <w:rFonts w:cs="Arial"/>
                <w:color w:val="000000"/>
                <w:szCs w:val="20"/>
              </w:rPr>
              <w:t>,</w:t>
            </w:r>
            <w:r w:rsidRPr="00DC3A0D">
              <w:rPr>
                <w:rFonts w:cs="Arial"/>
                <w:color w:val="000000"/>
                <w:szCs w:val="20"/>
              </w:rPr>
              <w:t>546</w:t>
            </w:r>
          </w:p>
        </w:tc>
        <w:tc>
          <w:tcPr>
            <w:tcW w:w="1451" w:type="dxa"/>
            <w:shd w:val="clear" w:color="auto" w:fill="auto"/>
            <w:vAlign w:val="center"/>
            <w:hideMark/>
          </w:tcPr>
          <w:p w14:paraId="5F095144"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2</w:t>
            </w:r>
            <w:r>
              <w:rPr>
                <w:rFonts w:cs="Arial"/>
                <w:color w:val="000000"/>
                <w:szCs w:val="20"/>
              </w:rPr>
              <w:t>,</w:t>
            </w:r>
            <w:r w:rsidRPr="00DC3A0D">
              <w:rPr>
                <w:rFonts w:cs="Arial"/>
                <w:color w:val="000000"/>
                <w:szCs w:val="20"/>
              </w:rPr>
              <w:t>321</w:t>
            </w:r>
          </w:p>
        </w:tc>
        <w:tc>
          <w:tcPr>
            <w:tcW w:w="1810" w:type="dxa"/>
            <w:shd w:val="clear" w:color="auto" w:fill="auto"/>
            <w:vAlign w:val="center"/>
            <w:hideMark/>
          </w:tcPr>
          <w:p w14:paraId="037F7CF1"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7</w:t>
            </w:r>
            <w:r>
              <w:rPr>
                <w:rFonts w:cs="Arial"/>
                <w:color w:val="000000"/>
                <w:szCs w:val="20"/>
              </w:rPr>
              <w:t>,</w:t>
            </w:r>
            <w:r w:rsidRPr="00DC3A0D">
              <w:rPr>
                <w:rFonts w:cs="Arial"/>
                <w:color w:val="000000"/>
                <w:szCs w:val="20"/>
              </w:rPr>
              <w:t>867</w:t>
            </w:r>
          </w:p>
        </w:tc>
        <w:tc>
          <w:tcPr>
            <w:tcW w:w="1761" w:type="dxa"/>
            <w:gridSpan w:val="2"/>
            <w:shd w:val="clear" w:color="auto" w:fill="auto"/>
            <w:vAlign w:val="center"/>
            <w:hideMark/>
          </w:tcPr>
          <w:p w14:paraId="4CE8D7DB"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w:t>
            </w:r>
            <w:r>
              <w:rPr>
                <w:rFonts w:cs="Arial"/>
                <w:color w:val="000000"/>
                <w:szCs w:val="20"/>
              </w:rPr>
              <w:t>,</w:t>
            </w:r>
            <w:r w:rsidRPr="00DC3A0D">
              <w:rPr>
                <w:rFonts w:cs="Arial"/>
                <w:color w:val="000000"/>
                <w:szCs w:val="20"/>
              </w:rPr>
              <w:t>135</w:t>
            </w:r>
          </w:p>
        </w:tc>
        <w:tc>
          <w:tcPr>
            <w:tcW w:w="1499" w:type="dxa"/>
            <w:shd w:val="clear" w:color="auto" w:fill="auto"/>
            <w:vAlign w:val="center"/>
            <w:hideMark/>
          </w:tcPr>
          <w:p w14:paraId="1BADD024"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3</w:t>
            </w:r>
            <w:r>
              <w:rPr>
                <w:rFonts w:cs="Arial"/>
                <w:color w:val="000000"/>
                <w:szCs w:val="20"/>
              </w:rPr>
              <w:t>,</w:t>
            </w:r>
            <w:r w:rsidRPr="00DC3A0D">
              <w:rPr>
                <w:rFonts w:cs="Arial"/>
                <w:color w:val="000000"/>
                <w:szCs w:val="20"/>
              </w:rPr>
              <w:t>430</w:t>
            </w:r>
          </w:p>
        </w:tc>
        <w:tc>
          <w:tcPr>
            <w:tcW w:w="1417" w:type="dxa"/>
            <w:shd w:val="clear" w:color="auto" w:fill="auto"/>
            <w:vAlign w:val="center"/>
            <w:hideMark/>
          </w:tcPr>
          <w:p w14:paraId="7616B7E9"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4</w:t>
            </w:r>
            <w:r>
              <w:rPr>
                <w:rFonts w:cs="Arial"/>
                <w:color w:val="000000"/>
                <w:szCs w:val="20"/>
              </w:rPr>
              <w:t>,</w:t>
            </w:r>
            <w:r w:rsidRPr="00DC3A0D">
              <w:rPr>
                <w:rFonts w:cs="Arial"/>
                <w:color w:val="000000"/>
                <w:szCs w:val="20"/>
              </w:rPr>
              <w:t>565</w:t>
            </w:r>
          </w:p>
        </w:tc>
        <w:tc>
          <w:tcPr>
            <w:tcW w:w="1843" w:type="dxa"/>
            <w:shd w:val="clear" w:color="auto" w:fill="auto"/>
            <w:vAlign w:val="center"/>
            <w:hideMark/>
          </w:tcPr>
          <w:p w14:paraId="609A66BF"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75.1%</w:t>
            </w:r>
          </w:p>
        </w:tc>
      </w:tr>
      <w:tr w:rsidR="00327D59" w:rsidRPr="00DE6C30" w14:paraId="5FC8C102" w14:textId="77777777" w:rsidTr="00032B54">
        <w:trPr>
          <w:cantSplit/>
          <w:trHeight w:hRule="exact" w:val="397"/>
        </w:trPr>
        <w:tc>
          <w:tcPr>
            <w:tcW w:w="1129" w:type="dxa"/>
            <w:vAlign w:val="center"/>
          </w:tcPr>
          <w:p w14:paraId="11768FD1"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2</w:t>
            </w:r>
          </w:p>
        </w:tc>
        <w:tc>
          <w:tcPr>
            <w:tcW w:w="1560" w:type="dxa"/>
            <w:shd w:val="clear" w:color="auto" w:fill="auto"/>
            <w:vAlign w:val="center"/>
            <w:hideMark/>
          </w:tcPr>
          <w:p w14:paraId="0C77ED2A"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Nov 2012</w:t>
            </w:r>
          </w:p>
        </w:tc>
        <w:tc>
          <w:tcPr>
            <w:tcW w:w="1275" w:type="dxa"/>
            <w:shd w:val="clear" w:color="auto" w:fill="auto"/>
            <w:vAlign w:val="center"/>
            <w:hideMark/>
          </w:tcPr>
          <w:p w14:paraId="6FD22C7C"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5</w:t>
            </w:r>
            <w:r>
              <w:rPr>
                <w:rFonts w:cs="Arial"/>
                <w:color w:val="000000"/>
                <w:szCs w:val="20"/>
              </w:rPr>
              <w:t>,</w:t>
            </w:r>
            <w:r w:rsidRPr="00DC3A0D">
              <w:rPr>
                <w:rFonts w:cs="Arial"/>
                <w:color w:val="000000"/>
                <w:szCs w:val="20"/>
              </w:rPr>
              <w:t>941</w:t>
            </w:r>
          </w:p>
        </w:tc>
        <w:tc>
          <w:tcPr>
            <w:tcW w:w="1451" w:type="dxa"/>
            <w:shd w:val="clear" w:color="auto" w:fill="auto"/>
            <w:vAlign w:val="center"/>
            <w:hideMark/>
          </w:tcPr>
          <w:p w14:paraId="6D019525"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2</w:t>
            </w:r>
            <w:r>
              <w:rPr>
                <w:rFonts w:cs="Arial"/>
                <w:color w:val="000000"/>
                <w:szCs w:val="20"/>
              </w:rPr>
              <w:t>,</w:t>
            </w:r>
            <w:r w:rsidRPr="00DC3A0D">
              <w:rPr>
                <w:rFonts w:cs="Arial"/>
                <w:color w:val="000000"/>
                <w:szCs w:val="20"/>
              </w:rPr>
              <w:t>350</w:t>
            </w:r>
          </w:p>
        </w:tc>
        <w:tc>
          <w:tcPr>
            <w:tcW w:w="1810" w:type="dxa"/>
            <w:shd w:val="clear" w:color="auto" w:fill="auto"/>
            <w:vAlign w:val="center"/>
            <w:hideMark/>
          </w:tcPr>
          <w:p w14:paraId="70C38F45"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8</w:t>
            </w:r>
            <w:r>
              <w:rPr>
                <w:rFonts w:cs="Arial"/>
                <w:color w:val="000000"/>
                <w:szCs w:val="20"/>
              </w:rPr>
              <w:t>,</w:t>
            </w:r>
            <w:r w:rsidRPr="00DC3A0D">
              <w:rPr>
                <w:rFonts w:cs="Arial"/>
                <w:color w:val="000000"/>
                <w:szCs w:val="20"/>
              </w:rPr>
              <w:t>291</w:t>
            </w:r>
          </w:p>
        </w:tc>
        <w:tc>
          <w:tcPr>
            <w:tcW w:w="1761" w:type="dxa"/>
            <w:gridSpan w:val="2"/>
            <w:shd w:val="clear" w:color="auto" w:fill="auto"/>
            <w:vAlign w:val="center"/>
            <w:hideMark/>
          </w:tcPr>
          <w:p w14:paraId="195C3A63"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881</w:t>
            </w:r>
          </w:p>
        </w:tc>
        <w:tc>
          <w:tcPr>
            <w:tcW w:w="1499" w:type="dxa"/>
            <w:shd w:val="clear" w:color="auto" w:fill="auto"/>
            <w:vAlign w:val="center"/>
            <w:hideMark/>
          </w:tcPr>
          <w:p w14:paraId="0238A63C"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3</w:t>
            </w:r>
            <w:r>
              <w:rPr>
                <w:rFonts w:cs="Arial"/>
                <w:color w:val="000000"/>
                <w:szCs w:val="20"/>
              </w:rPr>
              <w:t>,</w:t>
            </w:r>
            <w:r w:rsidRPr="00DC3A0D">
              <w:rPr>
                <w:rFonts w:cs="Arial"/>
                <w:color w:val="000000"/>
                <w:szCs w:val="20"/>
              </w:rPr>
              <w:t>260</w:t>
            </w:r>
          </w:p>
        </w:tc>
        <w:tc>
          <w:tcPr>
            <w:tcW w:w="1417" w:type="dxa"/>
            <w:shd w:val="clear" w:color="auto" w:fill="auto"/>
            <w:vAlign w:val="center"/>
            <w:hideMark/>
          </w:tcPr>
          <w:p w14:paraId="524DFD19"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4</w:t>
            </w:r>
            <w:r>
              <w:rPr>
                <w:rFonts w:cs="Arial"/>
                <w:color w:val="000000"/>
                <w:szCs w:val="20"/>
              </w:rPr>
              <w:t>,</w:t>
            </w:r>
            <w:r w:rsidRPr="00DC3A0D">
              <w:rPr>
                <w:rFonts w:cs="Arial"/>
                <w:color w:val="000000"/>
                <w:szCs w:val="20"/>
              </w:rPr>
              <w:t>141</w:t>
            </w:r>
          </w:p>
        </w:tc>
        <w:tc>
          <w:tcPr>
            <w:tcW w:w="1843" w:type="dxa"/>
            <w:shd w:val="clear" w:color="auto" w:fill="auto"/>
            <w:vAlign w:val="center"/>
            <w:hideMark/>
          </w:tcPr>
          <w:p w14:paraId="14F395DB"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78.7%</w:t>
            </w:r>
          </w:p>
        </w:tc>
      </w:tr>
      <w:tr w:rsidR="00327D59" w:rsidRPr="00DE6C30" w14:paraId="4D58C87A" w14:textId="77777777" w:rsidTr="00032B54">
        <w:trPr>
          <w:cantSplit/>
          <w:trHeight w:hRule="exact" w:val="397"/>
        </w:trPr>
        <w:tc>
          <w:tcPr>
            <w:tcW w:w="1129" w:type="dxa"/>
            <w:vAlign w:val="center"/>
          </w:tcPr>
          <w:p w14:paraId="33A14A63"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3</w:t>
            </w:r>
          </w:p>
        </w:tc>
        <w:tc>
          <w:tcPr>
            <w:tcW w:w="1560" w:type="dxa"/>
            <w:shd w:val="clear" w:color="auto" w:fill="auto"/>
            <w:vAlign w:val="center"/>
            <w:hideMark/>
          </w:tcPr>
          <w:p w14:paraId="4DAF7794"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May 2013</w:t>
            </w:r>
          </w:p>
        </w:tc>
        <w:tc>
          <w:tcPr>
            <w:tcW w:w="1275" w:type="dxa"/>
            <w:shd w:val="clear" w:color="auto" w:fill="auto"/>
            <w:vAlign w:val="center"/>
            <w:hideMark/>
          </w:tcPr>
          <w:p w14:paraId="5F8B4AC5"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6</w:t>
            </w:r>
            <w:r>
              <w:rPr>
                <w:rFonts w:cs="Arial"/>
                <w:color w:val="000000"/>
                <w:szCs w:val="20"/>
              </w:rPr>
              <w:t>,</w:t>
            </w:r>
            <w:r w:rsidRPr="00DC3A0D">
              <w:rPr>
                <w:rFonts w:cs="Arial"/>
                <w:color w:val="000000"/>
                <w:szCs w:val="20"/>
              </w:rPr>
              <w:t>243</w:t>
            </w:r>
          </w:p>
        </w:tc>
        <w:tc>
          <w:tcPr>
            <w:tcW w:w="1451" w:type="dxa"/>
            <w:shd w:val="clear" w:color="auto" w:fill="auto"/>
            <w:vAlign w:val="center"/>
            <w:hideMark/>
          </w:tcPr>
          <w:p w14:paraId="7DC057E1"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2</w:t>
            </w:r>
            <w:r>
              <w:rPr>
                <w:rFonts w:cs="Arial"/>
                <w:color w:val="000000"/>
                <w:szCs w:val="20"/>
              </w:rPr>
              <w:t>,</w:t>
            </w:r>
            <w:r w:rsidRPr="00DC3A0D">
              <w:rPr>
                <w:rFonts w:cs="Arial"/>
                <w:color w:val="000000"/>
                <w:szCs w:val="20"/>
              </w:rPr>
              <w:t>395</w:t>
            </w:r>
          </w:p>
        </w:tc>
        <w:tc>
          <w:tcPr>
            <w:tcW w:w="1810" w:type="dxa"/>
            <w:shd w:val="clear" w:color="auto" w:fill="auto"/>
            <w:vAlign w:val="center"/>
            <w:hideMark/>
          </w:tcPr>
          <w:p w14:paraId="56F85DA7"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8</w:t>
            </w:r>
            <w:r>
              <w:rPr>
                <w:rFonts w:cs="Arial"/>
                <w:color w:val="000000"/>
                <w:szCs w:val="20"/>
              </w:rPr>
              <w:t>,</w:t>
            </w:r>
            <w:r w:rsidRPr="00DC3A0D">
              <w:rPr>
                <w:rFonts w:cs="Arial"/>
                <w:color w:val="000000"/>
                <w:szCs w:val="20"/>
              </w:rPr>
              <w:t>638</w:t>
            </w:r>
          </w:p>
        </w:tc>
        <w:tc>
          <w:tcPr>
            <w:tcW w:w="1761" w:type="dxa"/>
            <w:gridSpan w:val="2"/>
            <w:shd w:val="clear" w:color="auto" w:fill="auto"/>
            <w:vAlign w:val="center"/>
            <w:hideMark/>
          </w:tcPr>
          <w:p w14:paraId="112DC6E2"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952</w:t>
            </w:r>
          </w:p>
        </w:tc>
        <w:tc>
          <w:tcPr>
            <w:tcW w:w="1499" w:type="dxa"/>
            <w:shd w:val="clear" w:color="auto" w:fill="auto"/>
            <w:vAlign w:val="center"/>
            <w:hideMark/>
          </w:tcPr>
          <w:p w14:paraId="24337F34"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2</w:t>
            </w:r>
            <w:r>
              <w:rPr>
                <w:rFonts w:cs="Arial"/>
                <w:color w:val="000000"/>
                <w:szCs w:val="20"/>
              </w:rPr>
              <w:t>,</w:t>
            </w:r>
            <w:r w:rsidRPr="00DC3A0D">
              <w:rPr>
                <w:rFonts w:cs="Arial"/>
                <w:color w:val="000000"/>
                <w:szCs w:val="20"/>
              </w:rPr>
              <w:t>842</w:t>
            </w:r>
          </w:p>
        </w:tc>
        <w:tc>
          <w:tcPr>
            <w:tcW w:w="1417" w:type="dxa"/>
            <w:shd w:val="clear" w:color="auto" w:fill="auto"/>
            <w:vAlign w:val="center"/>
            <w:hideMark/>
          </w:tcPr>
          <w:p w14:paraId="66A3C315"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3</w:t>
            </w:r>
            <w:r>
              <w:rPr>
                <w:rFonts w:cs="Arial"/>
                <w:color w:val="000000"/>
                <w:szCs w:val="20"/>
              </w:rPr>
              <w:t>,</w:t>
            </w:r>
            <w:r w:rsidRPr="00DC3A0D">
              <w:rPr>
                <w:rFonts w:cs="Arial"/>
                <w:color w:val="000000"/>
                <w:szCs w:val="20"/>
              </w:rPr>
              <w:t>794</w:t>
            </w:r>
          </w:p>
        </w:tc>
        <w:tc>
          <w:tcPr>
            <w:tcW w:w="1843" w:type="dxa"/>
            <w:shd w:val="clear" w:color="auto" w:fill="auto"/>
            <w:vAlign w:val="center"/>
            <w:hideMark/>
          </w:tcPr>
          <w:p w14:paraId="337FEAA0"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74.9%</w:t>
            </w:r>
          </w:p>
        </w:tc>
      </w:tr>
      <w:tr w:rsidR="00327D59" w:rsidRPr="00DE6C30" w14:paraId="78063D3D" w14:textId="77777777" w:rsidTr="00032B54">
        <w:trPr>
          <w:cantSplit/>
          <w:trHeight w:hRule="exact" w:val="397"/>
        </w:trPr>
        <w:tc>
          <w:tcPr>
            <w:tcW w:w="1129" w:type="dxa"/>
            <w:vAlign w:val="center"/>
          </w:tcPr>
          <w:p w14:paraId="620FCDAE"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4</w:t>
            </w:r>
          </w:p>
        </w:tc>
        <w:tc>
          <w:tcPr>
            <w:tcW w:w="1560" w:type="dxa"/>
            <w:shd w:val="clear" w:color="auto" w:fill="auto"/>
            <w:vAlign w:val="center"/>
            <w:hideMark/>
          </w:tcPr>
          <w:p w14:paraId="1352727E"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Nov 2013</w:t>
            </w:r>
          </w:p>
        </w:tc>
        <w:tc>
          <w:tcPr>
            <w:tcW w:w="1275" w:type="dxa"/>
            <w:shd w:val="clear" w:color="auto" w:fill="auto"/>
            <w:vAlign w:val="center"/>
            <w:hideMark/>
          </w:tcPr>
          <w:p w14:paraId="5CFEFCED"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6</w:t>
            </w:r>
            <w:r>
              <w:rPr>
                <w:rFonts w:cs="Arial"/>
                <w:color w:val="000000"/>
                <w:szCs w:val="20"/>
              </w:rPr>
              <w:t>,</w:t>
            </w:r>
            <w:r w:rsidRPr="00DC3A0D">
              <w:rPr>
                <w:rFonts w:cs="Arial"/>
                <w:color w:val="000000"/>
                <w:szCs w:val="20"/>
              </w:rPr>
              <w:t>637</w:t>
            </w:r>
          </w:p>
        </w:tc>
        <w:tc>
          <w:tcPr>
            <w:tcW w:w="1451" w:type="dxa"/>
            <w:shd w:val="clear" w:color="auto" w:fill="auto"/>
            <w:vAlign w:val="center"/>
            <w:hideMark/>
          </w:tcPr>
          <w:p w14:paraId="3D39EFEE"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2</w:t>
            </w:r>
            <w:r>
              <w:rPr>
                <w:rFonts w:cs="Arial"/>
                <w:color w:val="000000"/>
                <w:szCs w:val="20"/>
              </w:rPr>
              <w:t>,</w:t>
            </w:r>
            <w:r w:rsidRPr="00DC3A0D">
              <w:rPr>
                <w:rFonts w:cs="Arial"/>
                <w:color w:val="000000"/>
                <w:szCs w:val="20"/>
              </w:rPr>
              <w:t>332</w:t>
            </w:r>
          </w:p>
        </w:tc>
        <w:tc>
          <w:tcPr>
            <w:tcW w:w="1810" w:type="dxa"/>
            <w:shd w:val="clear" w:color="auto" w:fill="auto"/>
            <w:vAlign w:val="center"/>
            <w:hideMark/>
          </w:tcPr>
          <w:p w14:paraId="72B66383"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8</w:t>
            </w:r>
            <w:r>
              <w:rPr>
                <w:rFonts w:cs="Arial"/>
                <w:color w:val="000000"/>
                <w:szCs w:val="20"/>
              </w:rPr>
              <w:t>,</w:t>
            </w:r>
            <w:r w:rsidRPr="00DC3A0D">
              <w:rPr>
                <w:rFonts w:cs="Arial"/>
                <w:color w:val="000000"/>
                <w:szCs w:val="20"/>
              </w:rPr>
              <w:t>969</w:t>
            </w:r>
          </w:p>
        </w:tc>
        <w:tc>
          <w:tcPr>
            <w:tcW w:w="1761" w:type="dxa"/>
            <w:gridSpan w:val="2"/>
            <w:shd w:val="clear" w:color="auto" w:fill="auto"/>
            <w:vAlign w:val="center"/>
            <w:hideMark/>
          </w:tcPr>
          <w:p w14:paraId="5A148190"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990</w:t>
            </w:r>
          </w:p>
        </w:tc>
        <w:tc>
          <w:tcPr>
            <w:tcW w:w="1499" w:type="dxa"/>
            <w:shd w:val="clear" w:color="auto" w:fill="auto"/>
            <w:vAlign w:val="center"/>
            <w:hideMark/>
          </w:tcPr>
          <w:p w14:paraId="5FBB5D95"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2</w:t>
            </w:r>
            <w:r>
              <w:rPr>
                <w:rFonts w:cs="Arial"/>
                <w:color w:val="000000"/>
                <w:szCs w:val="20"/>
              </w:rPr>
              <w:t>,</w:t>
            </w:r>
            <w:r w:rsidRPr="00DC3A0D">
              <w:rPr>
                <w:rFonts w:cs="Arial"/>
                <w:color w:val="000000"/>
                <w:szCs w:val="20"/>
              </w:rPr>
              <w:t>473</w:t>
            </w:r>
          </w:p>
        </w:tc>
        <w:tc>
          <w:tcPr>
            <w:tcW w:w="1417" w:type="dxa"/>
            <w:shd w:val="clear" w:color="auto" w:fill="auto"/>
            <w:vAlign w:val="center"/>
            <w:hideMark/>
          </w:tcPr>
          <w:p w14:paraId="32020907"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3</w:t>
            </w:r>
            <w:r>
              <w:rPr>
                <w:rFonts w:cs="Arial"/>
                <w:color w:val="000000"/>
                <w:szCs w:val="20"/>
              </w:rPr>
              <w:t>,</w:t>
            </w:r>
            <w:r w:rsidRPr="00DC3A0D">
              <w:rPr>
                <w:rFonts w:cs="Arial"/>
                <w:color w:val="000000"/>
                <w:szCs w:val="20"/>
              </w:rPr>
              <w:t>463</w:t>
            </w:r>
          </w:p>
        </w:tc>
        <w:tc>
          <w:tcPr>
            <w:tcW w:w="1843" w:type="dxa"/>
            <w:shd w:val="clear" w:color="auto" w:fill="auto"/>
            <w:vAlign w:val="center"/>
            <w:hideMark/>
          </w:tcPr>
          <w:p w14:paraId="13211A9A"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71.4%</w:t>
            </w:r>
          </w:p>
        </w:tc>
      </w:tr>
      <w:tr w:rsidR="00327D59" w:rsidRPr="00DE6C30" w14:paraId="36B64D73" w14:textId="77777777" w:rsidTr="00032B54">
        <w:trPr>
          <w:cantSplit/>
          <w:trHeight w:hRule="exact" w:val="397"/>
        </w:trPr>
        <w:tc>
          <w:tcPr>
            <w:tcW w:w="1129" w:type="dxa"/>
            <w:vAlign w:val="center"/>
          </w:tcPr>
          <w:p w14:paraId="22684F50"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5</w:t>
            </w:r>
          </w:p>
        </w:tc>
        <w:tc>
          <w:tcPr>
            <w:tcW w:w="1560" w:type="dxa"/>
            <w:shd w:val="clear" w:color="auto" w:fill="auto"/>
            <w:vAlign w:val="center"/>
            <w:hideMark/>
          </w:tcPr>
          <w:p w14:paraId="16B7772C"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May 2014</w:t>
            </w:r>
          </w:p>
        </w:tc>
        <w:tc>
          <w:tcPr>
            <w:tcW w:w="1275" w:type="dxa"/>
            <w:shd w:val="clear" w:color="auto" w:fill="auto"/>
            <w:vAlign w:val="center"/>
            <w:hideMark/>
          </w:tcPr>
          <w:p w14:paraId="176394ED"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6</w:t>
            </w:r>
            <w:r>
              <w:rPr>
                <w:rFonts w:cs="Arial"/>
                <w:color w:val="000000"/>
                <w:szCs w:val="20"/>
              </w:rPr>
              <w:t>,</w:t>
            </w:r>
            <w:r w:rsidRPr="00DC3A0D">
              <w:rPr>
                <w:rFonts w:cs="Arial"/>
                <w:color w:val="000000"/>
                <w:szCs w:val="20"/>
              </w:rPr>
              <w:t>965</w:t>
            </w:r>
          </w:p>
        </w:tc>
        <w:tc>
          <w:tcPr>
            <w:tcW w:w="1451" w:type="dxa"/>
            <w:shd w:val="clear" w:color="auto" w:fill="auto"/>
            <w:vAlign w:val="center"/>
            <w:hideMark/>
          </w:tcPr>
          <w:p w14:paraId="6254F594"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2</w:t>
            </w:r>
            <w:r>
              <w:rPr>
                <w:rFonts w:cs="Arial"/>
                <w:color w:val="000000"/>
                <w:szCs w:val="20"/>
              </w:rPr>
              <w:t>,</w:t>
            </w:r>
            <w:r w:rsidRPr="00DC3A0D">
              <w:rPr>
                <w:rFonts w:cs="Arial"/>
                <w:color w:val="000000"/>
                <w:szCs w:val="20"/>
              </w:rPr>
              <w:t>279</w:t>
            </w:r>
          </w:p>
        </w:tc>
        <w:tc>
          <w:tcPr>
            <w:tcW w:w="1810" w:type="dxa"/>
            <w:shd w:val="clear" w:color="auto" w:fill="auto"/>
            <w:vAlign w:val="center"/>
            <w:hideMark/>
          </w:tcPr>
          <w:p w14:paraId="705E126B"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9</w:t>
            </w:r>
            <w:r>
              <w:rPr>
                <w:rFonts w:cs="Arial"/>
                <w:color w:val="000000"/>
                <w:szCs w:val="20"/>
              </w:rPr>
              <w:t>,</w:t>
            </w:r>
            <w:r w:rsidRPr="00DC3A0D">
              <w:rPr>
                <w:rFonts w:cs="Arial"/>
                <w:color w:val="000000"/>
                <w:szCs w:val="20"/>
              </w:rPr>
              <w:t>244</w:t>
            </w:r>
          </w:p>
        </w:tc>
        <w:tc>
          <w:tcPr>
            <w:tcW w:w="1761" w:type="dxa"/>
            <w:gridSpan w:val="2"/>
            <w:shd w:val="clear" w:color="auto" w:fill="auto"/>
            <w:vAlign w:val="center"/>
            <w:hideMark/>
          </w:tcPr>
          <w:p w14:paraId="63F58309"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w:t>
            </w:r>
            <w:r>
              <w:rPr>
                <w:rFonts w:cs="Arial"/>
                <w:color w:val="000000"/>
                <w:szCs w:val="20"/>
              </w:rPr>
              <w:t>,</w:t>
            </w:r>
            <w:r w:rsidRPr="00DC3A0D">
              <w:rPr>
                <w:rFonts w:cs="Arial"/>
                <w:color w:val="000000"/>
                <w:szCs w:val="20"/>
              </w:rPr>
              <w:t>070</w:t>
            </w:r>
          </w:p>
        </w:tc>
        <w:tc>
          <w:tcPr>
            <w:tcW w:w="1499" w:type="dxa"/>
            <w:shd w:val="clear" w:color="auto" w:fill="auto"/>
            <w:vAlign w:val="center"/>
            <w:hideMark/>
          </w:tcPr>
          <w:p w14:paraId="5CB0ED53"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2</w:t>
            </w:r>
            <w:r>
              <w:rPr>
                <w:rFonts w:cs="Arial"/>
                <w:color w:val="000000"/>
                <w:szCs w:val="20"/>
              </w:rPr>
              <w:t>,</w:t>
            </w:r>
            <w:r w:rsidRPr="00DC3A0D">
              <w:rPr>
                <w:rFonts w:cs="Arial"/>
                <w:color w:val="000000"/>
                <w:szCs w:val="20"/>
              </w:rPr>
              <w:t>118</w:t>
            </w:r>
          </w:p>
        </w:tc>
        <w:tc>
          <w:tcPr>
            <w:tcW w:w="1417" w:type="dxa"/>
            <w:shd w:val="clear" w:color="auto" w:fill="auto"/>
            <w:vAlign w:val="center"/>
            <w:hideMark/>
          </w:tcPr>
          <w:p w14:paraId="0A8D6910"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3</w:t>
            </w:r>
            <w:r>
              <w:rPr>
                <w:rFonts w:cs="Arial"/>
                <w:color w:val="000000"/>
                <w:szCs w:val="20"/>
              </w:rPr>
              <w:t>,</w:t>
            </w:r>
            <w:r w:rsidRPr="00DC3A0D">
              <w:rPr>
                <w:rFonts w:cs="Arial"/>
                <w:color w:val="000000"/>
                <w:szCs w:val="20"/>
              </w:rPr>
              <w:t>188</w:t>
            </w:r>
          </w:p>
        </w:tc>
        <w:tc>
          <w:tcPr>
            <w:tcW w:w="1843" w:type="dxa"/>
            <w:shd w:val="clear" w:color="auto" w:fill="auto"/>
            <w:vAlign w:val="center"/>
            <w:hideMark/>
          </w:tcPr>
          <w:p w14:paraId="6E045178"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66.4%</w:t>
            </w:r>
          </w:p>
        </w:tc>
      </w:tr>
      <w:tr w:rsidR="00327D59" w:rsidRPr="00DE6C30" w14:paraId="5671E2A6" w14:textId="77777777" w:rsidTr="00032B54">
        <w:trPr>
          <w:cantSplit/>
          <w:trHeight w:hRule="exact" w:val="397"/>
        </w:trPr>
        <w:tc>
          <w:tcPr>
            <w:tcW w:w="1129" w:type="dxa"/>
            <w:vAlign w:val="center"/>
          </w:tcPr>
          <w:p w14:paraId="0AC5FB23"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6</w:t>
            </w:r>
          </w:p>
        </w:tc>
        <w:tc>
          <w:tcPr>
            <w:tcW w:w="1560" w:type="dxa"/>
            <w:shd w:val="clear" w:color="auto" w:fill="auto"/>
            <w:vAlign w:val="center"/>
            <w:hideMark/>
          </w:tcPr>
          <w:p w14:paraId="684036B1"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Nov 2014</w:t>
            </w:r>
          </w:p>
        </w:tc>
        <w:tc>
          <w:tcPr>
            <w:tcW w:w="1275" w:type="dxa"/>
            <w:shd w:val="clear" w:color="auto" w:fill="auto"/>
            <w:vAlign w:val="center"/>
            <w:hideMark/>
          </w:tcPr>
          <w:p w14:paraId="027F215C"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7</w:t>
            </w:r>
            <w:r>
              <w:rPr>
                <w:rFonts w:cs="Arial"/>
                <w:color w:val="000000"/>
                <w:szCs w:val="20"/>
              </w:rPr>
              <w:t>,</w:t>
            </w:r>
            <w:r w:rsidRPr="00DC3A0D">
              <w:rPr>
                <w:rFonts w:cs="Arial"/>
                <w:color w:val="000000"/>
                <w:szCs w:val="20"/>
              </w:rPr>
              <w:t>306</w:t>
            </w:r>
          </w:p>
        </w:tc>
        <w:tc>
          <w:tcPr>
            <w:tcW w:w="1451" w:type="dxa"/>
            <w:shd w:val="clear" w:color="auto" w:fill="auto"/>
            <w:vAlign w:val="center"/>
            <w:hideMark/>
          </w:tcPr>
          <w:p w14:paraId="622F7FF7"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2</w:t>
            </w:r>
            <w:r>
              <w:rPr>
                <w:rFonts w:cs="Arial"/>
                <w:color w:val="000000"/>
                <w:szCs w:val="20"/>
              </w:rPr>
              <w:t>,</w:t>
            </w:r>
            <w:r w:rsidRPr="00DC3A0D">
              <w:rPr>
                <w:rFonts w:cs="Arial"/>
                <w:color w:val="000000"/>
                <w:szCs w:val="20"/>
              </w:rPr>
              <w:t>166</w:t>
            </w:r>
          </w:p>
        </w:tc>
        <w:tc>
          <w:tcPr>
            <w:tcW w:w="1810" w:type="dxa"/>
            <w:shd w:val="clear" w:color="auto" w:fill="auto"/>
            <w:vAlign w:val="center"/>
            <w:hideMark/>
          </w:tcPr>
          <w:p w14:paraId="534D13C1"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9</w:t>
            </w:r>
            <w:r>
              <w:rPr>
                <w:rFonts w:cs="Arial"/>
                <w:color w:val="000000"/>
                <w:szCs w:val="20"/>
              </w:rPr>
              <w:t>,</w:t>
            </w:r>
            <w:r w:rsidRPr="00DC3A0D">
              <w:rPr>
                <w:rFonts w:cs="Arial"/>
                <w:color w:val="000000"/>
                <w:szCs w:val="20"/>
              </w:rPr>
              <w:t>472</w:t>
            </w:r>
          </w:p>
        </w:tc>
        <w:tc>
          <w:tcPr>
            <w:tcW w:w="1761" w:type="dxa"/>
            <w:gridSpan w:val="2"/>
            <w:shd w:val="clear" w:color="auto" w:fill="auto"/>
            <w:vAlign w:val="center"/>
            <w:hideMark/>
          </w:tcPr>
          <w:p w14:paraId="4EFBA89B"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996</w:t>
            </w:r>
          </w:p>
        </w:tc>
        <w:tc>
          <w:tcPr>
            <w:tcW w:w="1499" w:type="dxa"/>
            <w:shd w:val="clear" w:color="auto" w:fill="auto"/>
            <w:vAlign w:val="center"/>
            <w:hideMark/>
          </w:tcPr>
          <w:p w14:paraId="278025D1"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w:t>
            </w:r>
            <w:r>
              <w:rPr>
                <w:rFonts w:cs="Arial"/>
                <w:color w:val="000000"/>
                <w:szCs w:val="20"/>
              </w:rPr>
              <w:t>,</w:t>
            </w:r>
            <w:r w:rsidRPr="00DC3A0D">
              <w:rPr>
                <w:rFonts w:cs="Arial"/>
                <w:color w:val="000000"/>
                <w:szCs w:val="20"/>
              </w:rPr>
              <w:t>964</w:t>
            </w:r>
          </w:p>
        </w:tc>
        <w:tc>
          <w:tcPr>
            <w:tcW w:w="1417" w:type="dxa"/>
            <w:shd w:val="clear" w:color="auto" w:fill="auto"/>
            <w:vAlign w:val="center"/>
            <w:hideMark/>
          </w:tcPr>
          <w:p w14:paraId="7A377ECA"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2</w:t>
            </w:r>
            <w:r>
              <w:rPr>
                <w:rFonts w:cs="Arial"/>
                <w:color w:val="000000"/>
                <w:szCs w:val="20"/>
              </w:rPr>
              <w:t>,</w:t>
            </w:r>
            <w:r w:rsidRPr="00DC3A0D">
              <w:rPr>
                <w:rFonts w:cs="Arial"/>
                <w:color w:val="000000"/>
                <w:szCs w:val="20"/>
              </w:rPr>
              <w:t>960</w:t>
            </w:r>
          </w:p>
        </w:tc>
        <w:tc>
          <w:tcPr>
            <w:tcW w:w="1843" w:type="dxa"/>
            <w:shd w:val="clear" w:color="auto" w:fill="auto"/>
            <w:vAlign w:val="center"/>
            <w:hideMark/>
          </w:tcPr>
          <w:p w14:paraId="3E08109B"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66.4%</w:t>
            </w:r>
          </w:p>
        </w:tc>
      </w:tr>
      <w:tr w:rsidR="00327D59" w:rsidRPr="00DE6C30" w14:paraId="7D76FC4C" w14:textId="77777777" w:rsidTr="00032B54">
        <w:trPr>
          <w:cantSplit/>
          <w:trHeight w:hRule="exact" w:val="397"/>
        </w:trPr>
        <w:tc>
          <w:tcPr>
            <w:tcW w:w="1129" w:type="dxa"/>
            <w:vAlign w:val="center"/>
          </w:tcPr>
          <w:p w14:paraId="6A10DA10"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7</w:t>
            </w:r>
          </w:p>
        </w:tc>
        <w:tc>
          <w:tcPr>
            <w:tcW w:w="1560" w:type="dxa"/>
            <w:shd w:val="clear" w:color="auto" w:fill="auto"/>
            <w:vAlign w:val="center"/>
            <w:hideMark/>
          </w:tcPr>
          <w:p w14:paraId="238A76E6"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May 2015</w:t>
            </w:r>
          </w:p>
        </w:tc>
        <w:tc>
          <w:tcPr>
            <w:tcW w:w="1275" w:type="dxa"/>
            <w:shd w:val="clear" w:color="auto" w:fill="auto"/>
            <w:vAlign w:val="center"/>
            <w:hideMark/>
          </w:tcPr>
          <w:p w14:paraId="12001C4A"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7</w:t>
            </w:r>
            <w:r>
              <w:rPr>
                <w:rFonts w:cs="Arial"/>
                <w:color w:val="000000"/>
                <w:szCs w:val="20"/>
              </w:rPr>
              <w:t>,</w:t>
            </w:r>
            <w:r w:rsidRPr="00DC3A0D">
              <w:rPr>
                <w:rFonts w:cs="Arial"/>
                <w:color w:val="000000"/>
                <w:szCs w:val="20"/>
              </w:rPr>
              <w:t>636</w:t>
            </w:r>
          </w:p>
        </w:tc>
        <w:tc>
          <w:tcPr>
            <w:tcW w:w="1451" w:type="dxa"/>
            <w:shd w:val="clear" w:color="auto" w:fill="auto"/>
            <w:vAlign w:val="center"/>
            <w:hideMark/>
          </w:tcPr>
          <w:p w14:paraId="294A0858"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2</w:t>
            </w:r>
            <w:r>
              <w:rPr>
                <w:rFonts w:cs="Arial"/>
                <w:color w:val="000000"/>
                <w:szCs w:val="20"/>
              </w:rPr>
              <w:t>,</w:t>
            </w:r>
            <w:r w:rsidRPr="00DC3A0D">
              <w:rPr>
                <w:rFonts w:cs="Arial"/>
                <w:color w:val="000000"/>
                <w:szCs w:val="20"/>
              </w:rPr>
              <w:t>085</w:t>
            </w:r>
          </w:p>
        </w:tc>
        <w:tc>
          <w:tcPr>
            <w:tcW w:w="1810" w:type="dxa"/>
            <w:shd w:val="clear" w:color="auto" w:fill="auto"/>
            <w:vAlign w:val="center"/>
            <w:hideMark/>
          </w:tcPr>
          <w:p w14:paraId="182EDA0F"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9</w:t>
            </w:r>
            <w:r>
              <w:rPr>
                <w:rFonts w:cs="Arial"/>
                <w:color w:val="000000"/>
                <w:szCs w:val="20"/>
              </w:rPr>
              <w:t>,</w:t>
            </w:r>
            <w:r w:rsidRPr="00DC3A0D">
              <w:rPr>
                <w:rFonts w:cs="Arial"/>
                <w:color w:val="000000"/>
                <w:szCs w:val="20"/>
              </w:rPr>
              <w:t>721</w:t>
            </w:r>
          </w:p>
        </w:tc>
        <w:tc>
          <w:tcPr>
            <w:tcW w:w="1761" w:type="dxa"/>
            <w:gridSpan w:val="2"/>
            <w:shd w:val="clear" w:color="auto" w:fill="auto"/>
            <w:vAlign w:val="center"/>
            <w:hideMark/>
          </w:tcPr>
          <w:p w14:paraId="58702CDE"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985</w:t>
            </w:r>
          </w:p>
        </w:tc>
        <w:tc>
          <w:tcPr>
            <w:tcW w:w="1499" w:type="dxa"/>
            <w:shd w:val="clear" w:color="auto" w:fill="auto"/>
            <w:vAlign w:val="center"/>
            <w:hideMark/>
          </w:tcPr>
          <w:p w14:paraId="62761C0F"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w:t>
            </w:r>
            <w:r>
              <w:rPr>
                <w:rFonts w:cs="Arial"/>
                <w:color w:val="000000"/>
                <w:szCs w:val="20"/>
              </w:rPr>
              <w:t>,</w:t>
            </w:r>
            <w:r w:rsidRPr="00DC3A0D">
              <w:rPr>
                <w:rFonts w:cs="Arial"/>
                <w:color w:val="000000"/>
                <w:szCs w:val="20"/>
              </w:rPr>
              <w:t>726</w:t>
            </w:r>
          </w:p>
        </w:tc>
        <w:tc>
          <w:tcPr>
            <w:tcW w:w="1417" w:type="dxa"/>
            <w:shd w:val="clear" w:color="auto" w:fill="auto"/>
            <w:vAlign w:val="center"/>
            <w:hideMark/>
          </w:tcPr>
          <w:p w14:paraId="681F5C5D"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2</w:t>
            </w:r>
            <w:r>
              <w:rPr>
                <w:rFonts w:cs="Arial"/>
                <w:color w:val="000000"/>
                <w:szCs w:val="20"/>
              </w:rPr>
              <w:t>,</w:t>
            </w:r>
            <w:r w:rsidRPr="00DC3A0D">
              <w:rPr>
                <w:rFonts w:cs="Arial"/>
                <w:color w:val="000000"/>
                <w:szCs w:val="20"/>
              </w:rPr>
              <w:t>711</w:t>
            </w:r>
          </w:p>
        </w:tc>
        <w:tc>
          <w:tcPr>
            <w:tcW w:w="1843" w:type="dxa"/>
            <w:shd w:val="clear" w:color="auto" w:fill="auto"/>
            <w:vAlign w:val="center"/>
            <w:hideMark/>
          </w:tcPr>
          <w:p w14:paraId="162751BA"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63.7%</w:t>
            </w:r>
          </w:p>
        </w:tc>
      </w:tr>
      <w:tr w:rsidR="00327D59" w:rsidRPr="00DE6C30" w14:paraId="30BFD1C3" w14:textId="77777777" w:rsidTr="00032B54">
        <w:trPr>
          <w:cantSplit/>
          <w:trHeight w:hRule="exact" w:val="397"/>
        </w:trPr>
        <w:tc>
          <w:tcPr>
            <w:tcW w:w="1129" w:type="dxa"/>
            <w:vAlign w:val="center"/>
          </w:tcPr>
          <w:p w14:paraId="58B9E47F"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8</w:t>
            </w:r>
          </w:p>
        </w:tc>
        <w:tc>
          <w:tcPr>
            <w:tcW w:w="1560" w:type="dxa"/>
            <w:shd w:val="clear" w:color="auto" w:fill="auto"/>
            <w:vAlign w:val="center"/>
            <w:hideMark/>
          </w:tcPr>
          <w:p w14:paraId="6E7FC3C3"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Nov 2015</w:t>
            </w:r>
          </w:p>
        </w:tc>
        <w:tc>
          <w:tcPr>
            <w:tcW w:w="1275" w:type="dxa"/>
            <w:shd w:val="clear" w:color="auto" w:fill="auto"/>
            <w:vAlign w:val="center"/>
            <w:hideMark/>
          </w:tcPr>
          <w:p w14:paraId="3685F1B2"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7</w:t>
            </w:r>
            <w:r>
              <w:rPr>
                <w:rFonts w:cs="Arial"/>
                <w:color w:val="000000"/>
                <w:szCs w:val="20"/>
              </w:rPr>
              <w:t>,</w:t>
            </w:r>
            <w:r w:rsidRPr="00DC3A0D">
              <w:rPr>
                <w:rFonts w:cs="Arial"/>
                <w:color w:val="000000"/>
                <w:szCs w:val="20"/>
              </w:rPr>
              <w:t>983</w:t>
            </w:r>
          </w:p>
        </w:tc>
        <w:tc>
          <w:tcPr>
            <w:tcW w:w="1451" w:type="dxa"/>
            <w:shd w:val="clear" w:color="auto" w:fill="auto"/>
            <w:vAlign w:val="center"/>
            <w:hideMark/>
          </w:tcPr>
          <w:p w14:paraId="4B961C32"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w:t>
            </w:r>
            <w:r>
              <w:rPr>
                <w:rFonts w:cs="Arial"/>
                <w:color w:val="000000"/>
                <w:szCs w:val="20"/>
              </w:rPr>
              <w:t>,</w:t>
            </w:r>
            <w:r w:rsidRPr="00DC3A0D">
              <w:rPr>
                <w:rFonts w:cs="Arial"/>
                <w:color w:val="000000"/>
                <w:szCs w:val="20"/>
              </w:rPr>
              <w:t>949</w:t>
            </w:r>
          </w:p>
        </w:tc>
        <w:tc>
          <w:tcPr>
            <w:tcW w:w="1810" w:type="dxa"/>
            <w:shd w:val="clear" w:color="auto" w:fill="auto"/>
            <w:vAlign w:val="center"/>
            <w:hideMark/>
          </w:tcPr>
          <w:p w14:paraId="58C47E88"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9</w:t>
            </w:r>
            <w:r>
              <w:rPr>
                <w:rFonts w:cs="Arial"/>
                <w:color w:val="000000"/>
                <w:szCs w:val="20"/>
              </w:rPr>
              <w:t>,</w:t>
            </w:r>
            <w:r w:rsidRPr="00DC3A0D">
              <w:rPr>
                <w:rFonts w:cs="Arial"/>
                <w:color w:val="000000"/>
                <w:szCs w:val="20"/>
              </w:rPr>
              <w:t>932</w:t>
            </w:r>
          </w:p>
        </w:tc>
        <w:tc>
          <w:tcPr>
            <w:tcW w:w="1761" w:type="dxa"/>
            <w:gridSpan w:val="2"/>
            <w:shd w:val="clear" w:color="auto" w:fill="auto"/>
            <w:vAlign w:val="center"/>
            <w:hideMark/>
          </w:tcPr>
          <w:p w14:paraId="0537157B"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976</w:t>
            </w:r>
          </w:p>
        </w:tc>
        <w:tc>
          <w:tcPr>
            <w:tcW w:w="1499" w:type="dxa"/>
            <w:shd w:val="clear" w:color="auto" w:fill="auto"/>
            <w:vAlign w:val="center"/>
            <w:hideMark/>
          </w:tcPr>
          <w:p w14:paraId="2D3FBCA4"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w:t>
            </w:r>
            <w:r>
              <w:rPr>
                <w:rFonts w:cs="Arial"/>
                <w:color w:val="000000"/>
                <w:szCs w:val="20"/>
              </w:rPr>
              <w:t>,</w:t>
            </w:r>
            <w:r w:rsidRPr="00DC3A0D">
              <w:rPr>
                <w:rFonts w:cs="Arial"/>
                <w:color w:val="000000"/>
                <w:szCs w:val="20"/>
              </w:rPr>
              <w:t>524</w:t>
            </w:r>
          </w:p>
        </w:tc>
        <w:tc>
          <w:tcPr>
            <w:tcW w:w="1417" w:type="dxa"/>
            <w:shd w:val="clear" w:color="auto" w:fill="auto"/>
            <w:vAlign w:val="center"/>
            <w:hideMark/>
          </w:tcPr>
          <w:p w14:paraId="0134B8D2"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2</w:t>
            </w:r>
            <w:r>
              <w:rPr>
                <w:rFonts w:cs="Arial"/>
                <w:color w:val="000000"/>
                <w:szCs w:val="20"/>
              </w:rPr>
              <w:t>,</w:t>
            </w:r>
            <w:r w:rsidRPr="00DC3A0D">
              <w:rPr>
                <w:rFonts w:cs="Arial"/>
                <w:color w:val="000000"/>
                <w:szCs w:val="20"/>
              </w:rPr>
              <w:t>500</w:t>
            </w:r>
          </w:p>
        </w:tc>
        <w:tc>
          <w:tcPr>
            <w:tcW w:w="1843" w:type="dxa"/>
            <w:shd w:val="clear" w:color="auto" w:fill="auto"/>
            <w:vAlign w:val="center"/>
            <w:hideMark/>
          </w:tcPr>
          <w:p w14:paraId="5EA31093"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61.0%</w:t>
            </w:r>
          </w:p>
        </w:tc>
      </w:tr>
      <w:tr w:rsidR="00327D59" w:rsidRPr="00DE6C30" w14:paraId="42BAF0AB" w14:textId="77777777" w:rsidTr="00032B54">
        <w:trPr>
          <w:cantSplit/>
          <w:trHeight w:hRule="exact" w:val="397"/>
        </w:trPr>
        <w:tc>
          <w:tcPr>
            <w:tcW w:w="1129" w:type="dxa"/>
            <w:vAlign w:val="center"/>
          </w:tcPr>
          <w:p w14:paraId="49DEFC88"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9</w:t>
            </w:r>
          </w:p>
        </w:tc>
        <w:tc>
          <w:tcPr>
            <w:tcW w:w="1560" w:type="dxa"/>
            <w:shd w:val="clear" w:color="auto" w:fill="auto"/>
            <w:vAlign w:val="center"/>
            <w:hideMark/>
          </w:tcPr>
          <w:p w14:paraId="0A8ACD51"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May 2016</w:t>
            </w:r>
          </w:p>
        </w:tc>
        <w:tc>
          <w:tcPr>
            <w:tcW w:w="1275" w:type="dxa"/>
            <w:shd w:val="clear" w:color="auto" w:fill="auto"/>
            <w:vAlign w:val="center"/>
            <w:hideMark/>
          </w:tcPr>
          <w:p w14:paraId="09F36316"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8</w:t>
            </w:r>
            <w:r>
              <w:rPr>
                <w:rFonts w:cs="Arial"/>
                <w:color w:val="000000"/>
                <w:szCs w:val="20"/>
              </w:rPr>
              <w:t>,</w:t>
            </w:r>
            <w:r w:rsidRPr="00DC3A0D">
              <w:rPr>
                <w:rFonts w:cs="Arial"/>
                <w:color w:val="000000"/>
                <w:szCs w:val="20"/>
              </w:rPr>
              <w:t>284</w:t>
            </w:r>
          </w:p>
        </w:tc>
        <w:tc>
          <w:tcPr>
            <w:tcW w:w="1451" w:type="dxa"/>
            <w:shd w:val="clear" w:color="auto" w:fill="auto"/>
            <w:vAlign w:val="center"/>
            <w:hideMark/>
          </w:tcPr>
          <w:p w14:paraId="592D017B"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w:t>
            </w:r>
            <w:r>
              <w:rPr>
                <w:rFonts w:cs="Arial"/>
                <w:color w:val="000000"/>
                <w:szCs w:val="20"/>
              </w:rPr>
              <w:t>,</w:t>
            </w:r>
            <w:r w:rsidRPr="00DC3A0D">
              <w:rPr>
                <w:rFonts w:cs="Arial"/>
                <w:color w:val="000000"/>
                <w:szCs w:val="20"/>
              </w:rPr>
              <w:t>855</w:t>
            </w:r>
          </w:p>
        </w:tc>
        <w:tc>
          <w:tcPr>
            <w:tcW w:w="1810" w:type="dxa"/>
            <w:shd w:val="clear" w:color="auto" w:fill="auto"/>
            <w:vAlign w:val="center"/>
            <w:hideMark/>
          </w:tcPr>
          <w:p w14:paraId="2E9EB842"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10</w:t>
            </w:r>
            <w:r>
              <w:rPr>
                <w:rFonts w:cs="Arial"/>
                <w:color w:val="000000"/>
                <w:szCs w:val="20"/>
              </w:rPr>
              <w:t>,</w:t>
            </w:r>
            <w:r w:rsidRPr="00DC3A0D">
              <w:rPr>
                <w:rFonts w:cs="Arial"/>
                <w:color w:val="000000"/>
                <w:szCs w:val="20"/>
              </w:rPr>
              <w:t>139</w:t>
            </w:r>
          </w:p>
        </w:tc>
        <w:tc>
          <w:tcPr>
            <w:tcW w:w="1761" w:type="dxa"/>
            <w:gridSpan w:val="2"/>
            <w:shd w:val="clear" w:color="auto" w:fill="auto"/>
            <w:vAlign w:val="center"/>
            <w:hideMark/>
          </w:tcPr>
          <w:p w14:paraId="1A0F7706"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931</w:t>
            </w:r>
          </w:p>
        </w:tc>
        <w:tc>
          <w:tcPr>
            <w:tcW w:w="1499" w:type="dxa"/>
            <w:shd w:val="clear" w:color="auto" w:fill="auto"/>
            <w:vAlign w:val="center"/>
            <w:hideMark/>
          </w:tcPr>
          <w:p w14:paraId="5E55D9C0"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w:t>
            </w:r>
            <w:r>
              <w:rPr>
                <w:rFonts w:cs="Arial"/>
                <w:color w:val="000000"/>
                <w:szCs w:val="20"/>
              </w:rPr>
              <w:t>,</w:t>
            </w:r>
            <w:r w:rsidRPr="00DC3A0D">
              <w:rPr>
                <w:rFonts w:cs="Arial"/>
                <w:color w:val="000000"/>
                <w:szCs w:val="20"/>
              </w:rPr>
              <w:t>362</w:t>
            </w:r>
          </w:p>
        </w:tc>
        <w:tc>
          <w:tcPr>
            <w:tcW w:w="1417" w:type="dxa"/>
            <w:shd w:val="clear" w:color="auto" w:fill="auto"/>
            <w:vAlign w:val="center"/>
            <w:hideMark/>
          </w:tcPr>
          <w:p w14:paraId="1E8F79E9"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2</w:t>
            </w:r>
            <w:r>
              <w:rPr>
                <w:rFonts w:cs="Arial"/>
                <w:color w:val="000000"/>
                <w:szCs w:val="20"/>
              </w:rPr>
              <w:t>,</w:t>
            </w:r>
            <w:r w:rsidRPr="00DC3A0D">
              <w:rPr>
                <w:rFonts w:cs="Arial"/>
                <w:color w:val="000000"/>
                <w:szCs w:val="20"/>
              </w:rPr>
              <w:t>293</w:t>
            </w:r>
          </w:p>
        </w:tc>
        <w:tc>
          <w:tcPr>
            <w:tcW w:w="1843" w:type="dxa"/>
            <w:shd w:val="clear" w:color="auto" w:fill="auto"/>
            <w:vAlign w:val="center"/>
            <w:hideMark/>
          </w:tcPr>
          <w:p w14:paraId="0144AD59"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59.4%</w:t>
            </w:r>
          </w:p>
        </w:tc>
      </w:tr>
      <w:tr w:rsidR="00327D59" w:rsidRPr="00DE6C30" w14:paraId="281D77F2" w14:textId="77777777" w:rsidTr="00032B54">
        <w:trPr>
          <w:cantSplit/>
          <w:trHeight w:hRule="exact" w:val="397"/>
        </w:trPr>
        <w:tc>
          <w:tcPr>
            <w:tcW w:w="1129" w:type="dxa"/>
            <w:vAlign w:val="center"/>
          </w:tcPr>
          <w:p w14:paraId="18AFB8F3"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10</w:t>
            </w:r>
          </w:p>
        </w:tc>
        <w:tc>
          <w:tcPr>
            <w:tcW w:w="1560" w:type="dxa"/>
            <w:shd w:val="clear" w:color="auto" w:fill="auto"/>
            <w:vAlign w:val="center"/>
            <w:hideMark/>
          </w:tcPr>
          <w:p w14:paraId="285705A4"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Nov 2016</w:t>
            </w:r>
          </w:p>
        </w:tc>
        <w:tc>
          <w:tcPr>
            <w:tcW w:w="1275" w:type="dxa"/>
            <w:shd w:val="clear" w:color="auto" w:fill="auto"/>
            <w:vAlign w:val="center"/>
            <w:hideMark/>
          </w:tcPr>
          <w:p w14:paraId="2D80235F"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8</w:t>
            </w:r>
            <w:r>
              <w:rPr>
                <w:rFonts w:cs="Arial"/>
                <w:color w:val="000000"/>
                <w:szCs w:val="20"/>
              </w:rPr>
              <w:t>,</w:t>
            </w:r>
            <w:r w:rsidRPr="00DC3A0D">
              <w:rPr>
                <w:rFonts w:cs="Arial"/>
                <w:color w:val="000000"/>
                <w:szCs w:val="20"/>
              </w:rPr>
              <w:t>616</w:t>
            </w:r>
          </w:p>
        </w:tc>
        <w:tc>
          <w:tcPr>
            <w:tcW w:w="1451" w:type="dxa"/>
            <w:shd w:val="clear" w:color="auto" w:fill="auto"/>
            <w:vAlign w:val="center"/>
            <w:hideMark/>
          </w:tcPr>
          <w:p w14:paraId="27D9AF3B"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w:t>
            </w:r>
            <w:r>
              <w:rPr>
                <w:rFonts w:cs="Arial"/>
                <w:color w:val="000000"/>
                <w:szCs w:val="20"/>
              </w:rPr>
              <w:t>,</w:t>
            </w:r>
            <w:r w:rsidRPr="00DC3A0D">
              <w:rPr>
                <w:rFonts w:cs="Arial"/>
                <w:color w:val="000000"/>
                <w:szCs w:val="20"/>
              </w:rPr>
              <w:t>718</w:t>
            </w:r>
          </w:p>
        </w:tc>
        <w:tc>
          <w:tcPr>
            <w:tcW w:w="1810" w:type="dxa"/>
            <w:shd w:val="clear" w:color="auto" w:fill="auto"/>
            <w:vAlign w:val="center"/>
            <w:hideMark/>
          </w:tcPr>
          <w:p w14:paraId="65243B5B"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10</w:t>
            </w:r>
            <w:r>
              <w:rPr>
                <w:rFonts w:cs="Arial"/>
                <w:color w:val="000000"/>
                <w:szCs w:val="20"/>
              </w:rPr>
              <w:t>,</w:t>
            </w:r>
            <w:r w:rsidRPr="00DC3A0D">
              <w:rPr>
                <w:rFonts w:cs="Arial"/>
                <w:color w:val="000000"/>
                <w:szCs w:val="20"/>
              </w:rPr>
              <w:t>334</w:t>
            </w:r>
          </w:p>
        </w:tc>
        <w:tc>
          <w:tcPr>
            <w:tcW w:w="1761" w:type="dxa"/>
            <w:gridSpan w:val="2"/>
            <w:shd w:val="clear" w:color="auto" w:fill="auto"/>
            <w:vAlign w:val="center"/>
            <w:hideMark/>
          </w:tcPr>
          <w:p w14:paraId="3A05F27E"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851</w:t>
            </w:r>
          </w:p>
        </w:tc>
        <w:tc>
          <w:tcPr>
            <w:tcW w:w="1499" w:type="dxa"/>
            <w:shd w:val="clear" w:color="auto" w:fill="auto"/>
            <w:vAlign w:val="center"/>
            <w:hideMark/>
          </w:tcPr>
          <w:p w14:paraId="11349CD9"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w:t>
            </w:r>
            <w:r>
              <w:rPr>
                <w:rFonts w:cs="Arial"/>
                <w:color w:val="000000"/>
                <w:szCs w:val="20"/>
              </w:rPr>
              <w:t>,</w:t>
            </w:r>
            <w:r w:rsidRPr="00DC3A0D">
              <w:rPr>
                <w:rFonts w:cs="Arial"/>
                <w:color w:val="000000"/>
                <w:szCs w:val="20"/>
              </w:rPr>
              <w:t>247</w:t>
            </w:r>
          </w:p>
        </w:tc>
        <w:tc>
          <w:tcPr>
            <w:tcW w:w="1417" w:type="dxa"/>
            <w:shd w:val="clear" w:color="auto" w:fill="auto"/>
            <w:vAlign w:val="center"/>
            <w:hideMark/>
          </w:tcPr>
          <w:p w14:paraId="2A71F8D7"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2</w:t>
            </w:r>
            <w:r>
              <w:rPr>
                <w:rFonts w:cs="Arial"/>
                <w:color w:val="000000"/>
                <w:szCs w:val="20"/>
              </w:rPr>
              <w:t>,</w:t>
            </w:r>
            <w:r w:rsidRPr="00DC3A0D">
              <w:rPr>
                <w:rFonts w:cs="Arial"/>
                <w:color w:val="000000"/>
                <w:szCs w:val="20"/>
              </w:rPr>
              <w:t>098</w:t>
            </w:r>
          </w:p>
        </w:tc>
        <w:tc>
          <w:tcPr>
            <w:tcW w:w="1843" w:type="dxa"/>
            <w:shd w:val="clear" w:color="auto" w:fill="auto"/>
            <w:vAlign w:val="center"/>
            <w:hideMark/>
          </w:tcPr>
          <w:p w14:paraId="716418EF"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59.4%</w:t>
            </w:r>
          </w:p>
        </w:tc>
      </w:tr>
      <w:tr w:rsidR="00327D59" w:rsidRPr="00DE6C30" w14:paraId="711AAAC8" w14:textId="77777777" w:rsidTr="00032B54">
        <w:trPr>
          <w:cantSplit/>
          <w:trHeight w:hRule="exact" w:val="397"/>
        </w:trPr>
        <w:tc>
          <w:tcPr>
            <w:tcW w:w="1129" w:type="dxa"/>
            <w:vAlign w:val="center"/>
          </w:tcPr>
          <w:p w14:paraId="0D8F40C8"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11</w:t>
            </w:r>
          </w:p>
        </w:tc>
        <w:tc>
          <w:tcPr>
            <w:tcW w:w="1560" w:type="dxa"/>
            <w:shd w:val="clear" w:color="auto" w:fill="auto"/>
            <w:vAlign w:val="center"/>
            <w:hideMark/>
          </w:tcPr>
          <w:p w14:paraId="4BB4DF2B"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May 2017</w:t>
            </w:r>
          </w:p>
        </w:tc>
        <w:tc>
          <w:tcPr>
            <w:tcW w:w="1275" w:type="dxa"/>
            <w:shd w:val="clear" w:color="auto" w:fill="auto"/>
            <w:vAlign w:val="center"/>
            <w:hideMark/>
          </w:tcPr>
          <w:p w14:paraId="74E25C65"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8</w:t>
            </w:r>
            <w:r>
              <w:rPr>
                <w:rFonts w:cs="Arial"/>
                <w:color w:val="000000"/>
                <w:szCs w:val="20"/>
              </w:rPr>
              <w:t>,</w:t>
            </w:r>
            <w:r w:rsidRPr="00DC3A0D">
              <w:rPr>
                <w:rFonts w:cs="Arial"/>
                <w:color w:val="000000"/>
                <w:szCs w:val="20"/>
              </w:rPr>
              <w:t>900</w:t>
            </w:r>
          </w:p>
        </w:tc>
        <w:tc>
          <w:tcPr>
            <w:tcW w:w="1451" w:type="dxa"/>
            <w:shd w:val="clear" w:color="auto" w:fill="auto"/>
            <w:vAlign w:val="center"/>
            <w:hideMark/>
          </w:tcPr>
          <w:p w14:paraId="2AFF7E7C"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w:t>
            </w:r>
            <w:r>
              <w:rPr>
                <w:rFonts w:cs="Arial"/>
                <w:color w:val="000000"/>
                <w:szCs w:val="20"/>
              </w:rPr>
              <w:t>,</w:t>
            </w:r>
            <w:r w:rsidRPr="00DC3A0D">
              <w:rPr>
                <w:rFonts w:cs="Arial"/>
                <w:color w:val="000000"/>
                <w:szCs w:val="20"/>
              </w:rPr>
              <w:t>654</w:t>
            </w:r>
          </w:p>
        </w:tc>
        <w:tc>
          <w:tcPr>
            <w:tcW w:w="1810" w:type="dxa"/>
            <w:shd w:val="clear" w:color="auto" w:fill="auto"/>
            <w:vAlign w:val="center"/>
            <w:hideMark/>
          </w:tcPr>
          <w:p w14:paraId="26A43530"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10</w:t>
            </w:r>
            <w:r>
              <w:rPr>
                <w:rFonts w:cs="Arial"/>
                <w:color w:val="000000"/>
                <w:szCs w:val="20"/>
              </w:rPr>
              <w:t>,</w:t>
            </w:r>
            <w:r w:rsidRPr="00DC3A0D">
              <w:rPr>
                <w:rFonts w:cs="Arial"/>
                <w:color w:val="000000"/>
                <w:szCs w:val="20"/>
              </w:rPr>
              <w:t>554</w:t>
            </w:r>
          </w:p>
        </w:tc>
        <w:tc>
          <w:tcPr>
            <w:tcW w:w="1761" w:type="dxa"/>
            <w:gridSpan w:val="2"/>
            <w:shd w:val="clear" w:color="auto" w:fill="auto"/>
            <w:vAlign w:val="center"/>
            <w:hideMark/>
          </w:tcPr>
          <w:p w14:paraId="049939A0"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816</w:t>
            </w:r>
          </w:p>
        </w:tc>
        <w:tc>
          <w:tcPr>
            <w:tcW w:w="1499" w:type="dxa"/>
            <w:shd w:val="clear" w:color="auto" w:fill="auto"/>
            <w:vAlign w:val="center"/>
            <w:hideMark/>
          </w:tcPr>
          <w:p w14:paraId="054451AC"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w:t>
            </w:r>
            <w:r>
              <w:rPr>
                <w:rFonts w:cs="Arial"/>
                <w:color w:val="000000"/>
                <w:szCs w:val="20"/>
              </w:rPr>
              <w:t>,</w:t>
            </w:r>
            <w:r w:rsidRPr="00DC3A0D">
              <w:rPr>
                <w:rFonts w:cs="Arial"/>
                <w:color w:val="000000"/>
                <w:szCs w:val="20"/>
              </w:rPr>
              <w:t>062</w:t>
            </w:r>
          </w:p>
        </w:tc>
        <w:tc>
          <w:tcPr>
            <w:tcW w:w="1417" w:type="dxa"/>
            <w:shd w:val="clear" w:color="auto" w:fill="auto"/>
            <w:vAlign w:val="center"/>
            <w:hideMark/>
          </w:tcPr>
          <w:p w14:paraId="28FDDCD9"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w:t>
            </w:r>
            <w:r>
              <w:rPr>
                <w:rFonts w:cs="Arial"/>
                <w:color w:val="000000"/>
                <w:szCs w:val="20"/>
              </w:rPr>
              <w:t>,</w:t>
            </w:r>
            <w:r w:rsidRPr="00DC3A0D">
              <w:rPr>
                <w:rFonts w:cs="Arial"/>
                <w:color w:val="000000"/>
                <w:szCs w:val="20"/>
              </w:rPr>
              <w:t>878</w:t>
            </w:r>
          </w:p>
        </w:tc>
        <w:tc>
          <w:tcPr>
            <w:tcW w:w="1843" w:type="dxa"/>
            <w:shd w:val="clear" w:color="auto" w:fill="auto"/>
            <w:vAlign w:val="center"/>
            <w:hideMark/>
          </w:tcPr>
          <w:p w14:paraId="2E0E2E80"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56.5%</w:t>
            </w:r>
          </w:p>
        </w:tc>
      </w:tr>
      <w:tr w:rsidR="00327D59" w:rsidRPr="00DE6C30" w14:paraId="78F318DD" w14:textId="77777777" w:rsidTr="00032B54">
        <w:trPr>
          <w:cantSplit/>
          <w:trHeight w:hRule="exact" w:val="397"/>
        </w:trPr>
        <w:tc>
          <w:tcPr>
            <w:tcW w:w="1129" w:type="dxa"/>
            <w:vAlign w:val="center"/>
          </w:tcPr>
          <w:p w14:paraId="2716A309"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12</w:t>
            </w:r>
          </w:p>
        </w:tc>
        <w:tc>
          <w:tcPr>
            <w:tcW w:w="1560" w:type="dxa"/>
            <w:shd w:val="clear" w:color="auto" w:fill="auto"/>
            <w:vAlign w:val="center"/>
            <w:hideMark/>
          </w:tcPr>
          <w:p w14:paraId="2A7944CC"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Nov 2017</w:t>
            </w:r>
          </w:p>
        </w:tc>
        <w:tc>
          <w:tcPr>
            <w:tcW w:w="1275" w:type="dxa"/>
            <w:shd w:val="clear" w:color="auto" w:fill="auto"/>
            <w:vAlign w:val="center"/>
            <w:hideMark/>
          </w:tcPr>
          <w:p w14:paraId="09510640"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9</w:t>
            </w:r>
            <w:r>
              <w:rPr>
                <w:rFonts w:cs="Arial"/>
                <w:color w:val="000000"/>
                <w:szCs w:val="20"/>
              </w:rPr>
              <w:t>,</w:t>
            </w:r>
            <w:r w:rsidRPr="00DC3A0D">
              <w:rPr>
                <w:rFonts w:cs="Arial"/>
                <w:color w:val="000000"/>
                <w:szCs w:val="20"/>
              </w:rPr>
              <w:t>236</w:t>
            </w:r>
          </w:p>
        </w:tc>
        <w:tc>
          <w:tcPr>
            <w:tcW w:w="1451" w:type="dxa"/>
            <w:shd w:val="clear" w:color="auto" w:fill="auto"/>
            <w:vAlign w:val="center"/>
            <w:hideMark/>
          </w:tcPr>
          <w:p w14:paraId="04698B50"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w:t>
            </w:r>
            <w:r>
              <w:rPr>
                <w:rFonts w:cs="Arial"/>
                <w:color w:val="000000"/>
                <w:szCs w:val="20"/>
              </w:rPr>
              <w:t>,</w:t>
            </w:r>
            <w:r w:rsidRPr="00DC3A0D">
              <w:rPr>
                <w:rFonts w:cs="Arial"/>
                <w:color w:val="000000"/>
                <w:szCs w:val="20"/>
              </w:rPr>
              <w:t>507</w:t>
            </w:r>
          </w:p>
        </w:tc>
        <w:tc>
          <w:tcPr>
            <w:tcW w:w="1810" w:type="dxa"/>
            <w:shd w:val="clear" w:color="auto" w:fill="auto"/>
            <w:vAlign w:val="center"/>
            <w:hideMark/>
          </w:tcPr>
          <w:p w14:paraId="6012292B"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10</w:t>
            </w:r>
            <w:r>
              <w:rPr>
                <w:rFonts w:cs="Arial"/>
                <w:color w:val="000000"/>
                <w:szCs w:val="20"/>
              </w:rPr>
              <w:t>,</w:t>
            </w:r>
            <w:r w:rsidRPr="00DC3A0D">
              <w:rPr>
                <w:rFonts w:cs="Arial"/>
                <w:color w:val="000000"/>
                <w:szCs w:val="20"/>
              </w:rPr>
              <w:t>743</w:t>
            </w:r>
          </w:p>
        </w:tc>
        <w:tc>
          <w:tcPr>
            <w:tcW w:w="1734" w:type="dxa"/>
            <w:shd w:val="clear" w:color="auto" w:fill="auto"/>
            <w:vAlign w:val="center"/>
            <w:hideMark/>
          </w:tcPr>
          <w:p w14:paraId="33C23DCC"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710</w:t>
            </w:r>
          </w:p>
        </w:tc>
        <w:tc>
          <w:tcPr>
            <w:tcW w:w="1526" w:type="dxa"/>
            <w:gridSpan w:val="2"/>
            <w:shd w:val="clear" w:color="auto" w:fill="auto"/>
            <w:vAlign w:val="center"/>
            <w:hideMark/>
          </w:tcPr>
          <w:p w14:paraId="3DC99985"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979</w:t>
            </w:r>
          </w:p>
        </w:tc>
        <w:tc>
          <w:tcPr>
            <w:tcW w:w="1417" w:type="dxa"/>
            <w:shd w:val="clear" w:color="auto" w:fill="auto"/>
            <w:vAlign w:val="center"/>
            <w:hideMark/>
          </w:tcPr>
          <w:p w14:paraId="7A13580F"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w:t>
            </w:r>
            <w:r>
              <w:rPr>
                <w:rFonts w:cs="Arial"/>
                <w:color w:val="000000"/>
                <w:szCs w:val="20"/>
              </w:rPr>
              <w:t>,</w:t>
            </w:r>
            <w:r w:rsidRPr="00DC3A0D">
              <w:rPr>
                <w:rFonts w:cs="Arial"/>
                <w:color w:val="000000"/>
                <w:szCs w:val="20"/>
              </w:rPr>
              <w:t>689</w:t>
            </w:r>
          </w:p>
        </w:tc>
        <w:tc>
          <w:tcPr>
            <w:tcW w:w="1843" w:type="dxa"/>
            <w:shd w:val="clear" w:color="auto" w:fill="auto"/>
            <w:vAlign w:val="center"/>
            <w:hideMark/>
          </w:tcPr>
          <w:p w14:paraId="532621FF"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58.0%</w:t>
            </w:r>
          </w:p>
        </w:tc>
      </w:tr>
      <w:tr w:rsidR="00327D59" w:rsidRPr="00DE6C30" w14:paraId="5F1194AE" w14:textId="77777777" w:rsidTr="00032B54">
        <w:trPr>
          <w:cantSplit/>
          <w:trHeight w:hRule="exact" w:val="397"/>
        </w:trPr>
        <w:tc>
          <w:tcPr>
            <w:tcW w:w="1129" w:type="dxa"/>
            <w:vAlign w:val="center"/>
          </w:tcPr>
          <w:p w14:paraId="210DBF56"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13</w:t>
            </w:r>
          </w:p>
        </w:tc>
        <w:tc>
          <w:tcPr>
            <w:tcW w:w="1560" w:type="dxa"/>
            <w:shd w:val="clear" w:color="auto" w:fill="auto"/>
            <w:vAlign w:val="center"/>
            <w:hideMark/>
          </w:tcPr>
          <w:p w14:paraId="27721332"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May 2018</w:t>
            </w:r>
          </w:p>
        </w:tc>
        <w:tc>
          <w:tcPr>
            <w:tcW w:w="1275" w:type="dxa"/>
            <w:shd w:val="clear" w:color="auto" w:fill="auto"/>
            <w:vAlign w:val="center"/>
            <w:hideMark/>
          </w:tcPr>
          <w:p w14:paraId="5E572D8B"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9</w:t>
            </w:r>
            <w:r>
              <w:rPr>
                <w:rFonts w:cs="Arial"/>
                <w:color w:val="000000"/>
                <w:szCs w:val="20"/>
              </w:rPr>
              <w:t>,</w:t>
            </w:r>
            <w:r w:rsidRPr="00DC3A0D">
              <w:rPr>
                <w:rFonts w:cs="Arial"/>
                <w:color w:val="000000"/>
                <w:szCs w:val="20"/>
              </w:rPr>
              <w:t>480</w:t>
            </w:r>
          </w:p>
        </w:tc>
        <w:tc>
          <w:tcPr>
            <w:tcW w:w="1451" w:type="dxa"/>
            <w:shd w:val="clear" w:color="auto" w:fill="auto"/>
            <w:vAlign w:val="center"/>
            <w:hideMark/>
          </w:tcPr>
          <w:p w14:paraId="517B192B"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w:t>
            </w:r>
            <w:r>
              <w:rPr>
                <w:rFonts w:cs="Arial"/>
                <w:color w:val="000000"/>
                <w:szCs w:val="20"/>
              </w:rPr>
              <w:t>,</w:t>
            </w:r>
            <w:r w:rsidRPr="00DC3A0D">
              <w:rPr>
                <w:rFonts w:cs="Arial"/>
                <w:color w:val="000000"/>
                <w:szCs w:val="20"/>
              </w:rPr>
              <w:t>425</w:t>
            </w:r>
          </w:p>
        </w:tc>
        <w:tc>
          <w:tcPr>
            <w:tcW w:w="1810" w:type="dxa"/>
            <w:shd w:val="clear" w:color="auto" w:fill="auto"/>
            <w:vAlign w:val="center"/>
            <w:hideMark/>
          </w:tcPr>
          <w:p w14:paraId="7A816122"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10</w:t>
            </w:r>
            <w:r>
              <w:rPr>
                <w:rFonts w:cs="Arial"/>
                <w:color w:val="000000"/>
                <w:szCs w:val="20"/>
              </w:rPr>
              <w:t>,</w:t>
            </w:r>
            <w:r w:rsidRPr="00DC3A0D">
              <w:rPr>
                <w:rFonts w:cs="Arial"/>
                <w:color w:val="000000"/>
                <w:szCs w:val="20"/>
              </w:rPr>
              <w:t>905</w:t>
            </w:r>
          </w:p>
        </w:tc>
        <w:tc>
          <w:tcPr>
            <w:tcW w:w="1734" w:type="dxa"/>
            <w:shd w:val="clear" w:color="auto" w:fill="auto"/>
            <w:vAlign w:val="center"/>
            <w:hideMark/>
          </w:tcPr>
          <w:p w14:paraId="50783F60"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651</w:t>
            </w:r>
          </w:p>
        </w:tc>
        <w:tc>
          <w:tcPr>
            <w:tcW w:w="1526" w:type="dxa"/>
            <w:gridSpan w:val="2"/>
            <w:shd w:val="clear" w:color="auto" w:fill="auto"/>
            <w:vAlign w:val="center"/>
            <w:hideMark/>
          </w:tcPr>
          <w:p w14:paraId="3024209D"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876</w:t>
            </w:r>
          </w:p>
        </w:tc>
        <w:tc>
          <w:tcPr>
            <w:tcW w:w="1417" w:type="dxa"/>
            <w:shd w:val="clear" w:color="auto" w:fill="auto"/>
            <w:vAlign w:val="center"/>
            <w:hideMark/>
          </w:tcPr>
          <w:p w14:paraId="7503FF99"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w:t>
            </w:r>
            <w:r>
              <w:rPr>
                <w:rFonts w:cs="Arial"/>
                <w:color w:val="000000"/>
                <w:szCs w:val="20"/>
              </w:rPr>
              <w:t>,</w:t>
            </w:r>
            <w:r w:rsidRPr="00DC3A0D">
              <w:rPr>
                <w:rFonts w:cs="Arial"/>
                <w:color w:val="000000"/>
                <w:szCs w:val="20"/>
              </w:rPr>
              <w:t>527</w:t>
            </w:r>
          </w:p>
        </w:tc>
        <w:tc>
          <w:tcPr>
            <w:tcW w:w="1843" w:type="dxa"/>
            <w:shd w:val="clear" w:color="auto" w:fill="auto"/>
            <w:vAlign w:val="center"/>
            <w:hideMark/>
          </w:tcPr>
          <w:p w14:paraId="3571853F"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57.4%</w:t>
            </w:r>
          </w:p>
        </w:tc>
      </w:tr>
      <w:tr w:rsidR="00327D59" w:rsidRPr="00DE6C30" w14:paraId="1943098D" w14:textId="77777777" w:rsidTr="00032B54">
        <w:trPr>
          <w:cantSplit/>
          <w:trHeight w:hRule="exact" w:val="397"/>
        </w:trPr>
        <w:tc>
          <w:tcPr>
            <w:tcW w:w="1129" w:type="dxa"/>
            <w:vAlign w:val="center"/>
          </w:tcPr>
          <w:p w14:paraId="4081CC66"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14</w:t>
            </w:r>
          </w:p>
        </w:tc>
        <w:tc>
          <w:tcPr>
            <w:tcW w:w="1560" w:type="dxa"/>
            <w:shd w:val="clear" w:color="auto" w:fill="auto"/>
            <w:vAlign w:val="center"/>
            <w:hideMark/>
          </w:tcPr>
          <w:p w14:paraId="4E8B4231"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Nov 2018</w:t>
            </w:r>
          </w:p>
        </w:tc>
        <w:tc>
          <w:tcPr>
            <w:tcW w:w="1275" w:type="dxa"/>
            <w:shd w:val="clear" w:color="auto" w:fill="auto"/>
            <w:vAlign w:val="center"/>
            <w:hideMark/>
          </w:tcPr>
          <w:p w14:paraId="4F77232C"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9</w:t>
            </w:r>
            <w:r>
              <w:rPr>
                <w:rFonts w:cs="Arial"/>
                <w:color w:val="000000"/>
                <w:szCs w:val="20"/>
              </w:rPr>
              <w:t>,</w:t>
            </w:r>
            <w:r w:rsidRPr="00DC3A0D">
              <w:rPr>
                <w:rFonts w:cs="Arial"/>
                <w:color w:val="000000"/>
                <w:szCs w:val="20"/>
              </w:rPr>
              <w:t>782</w:t>
            </w:r>
          </w:p>
        </w:tc>
        <w:tc>
          <w:tcPr>
            <w:tcW w:w="1451" w:type="dxa"/>
            <w:shd w:val="clear" w:color="auto" w:fill="auto"/>
            <w:vAlign w:val="center"/>
            <w:hideMark/>
          </w:tcPr>
          <w:p w14:paraId="288D32DE"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w:t>
            </w:r>
            <w:r>
              <w:rPr>
                <w:rFonts w:cs="Arial"/>
                <w:color w:val="000000"/>
                <w:szCs w:val="20"/>
              </w:rPr>
              <w:t>,</w:t>
            </w:r>
            <w:r w:rsidRPr="00DC3A0D">
              <w:rPr>
                <w:rFonts w:cs="Arial"/>
                <w:color w:val="000000"/>
                <w:szCs w:val="20"/>
              </w:rPr>
              <w:t>282</w:t>
            </w:r>
          </w:p>
        </w:tc>
        <w:tc>
          <w:tcPr>
            <w:tcW w:w="1810" w:type="dxa"/>
            <w:shd w:val="clear" w:color="auto" w:fill="auto"/>
            <w:vAlign w:val="center"/>
            <w:hideMark/>
          </w:tcPr>
          <w:p w14:paraId="4BE526FE"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11</w:t>
            </w:r>
            <w:r>
              <w:rPr>
                <w:rFonts w:cs="Arial"/>
                <w:color w:val="000000"/>
                <w:szCs w:val="20"/>
              </w:rPr>
              <w:t>,</w:t>
            </w:r>
            <w:r w:rsidRPr="00DC3A0D">
              <w:rPr>
                <w:rFonts w:cs="Arial"/>
                <w:color w:val="000000"/>
                <w:szCs w:val="20"/>
              </w:rPr>
              <w:t>064</w:t>
            </w:r>
          </w:p>
        </w:tc>
        <w:tc>
          <w:tcPr>
            <w:tcW w:w="1734" w:type="dxa"/>
            <w:shd w:val="clear" w:color="auto" w:fill="auto"/>
            <w:vAlign w:val="center"/>
            <w:hideMark/>
          </w:tcPr>
          <w:p w14:paraId="3115CEE4"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601</w:t>
            </w:r>
          </w:p>
        </w:tc>
        <w:tc>
          <w:tcPr>
            <w:tcW w:w="1526" w:type="dxa"/>
            <w:gridSpan w:val="2"/>
            <w:shd w:val="clear" w:color="auto" w:fill="auto"/>
            <w:vAlign w:val="center"/>
            <w:hideMark/>
          </w:tcPr>
          <w:p w14:paraId="2CAEDAE5"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767</w:t>
            </w:r>
          </w:p>
        </w:tc>
        <w:tc>
          <w:tcPr>
            <w:tcW w:w="1417" w:type="dxa"/>
            <w:shd w:val="clear" w:color="auto" w:fill="auto"/>
            <w:vAlign w:val="center"/>
            <w:hideMark/>
          </w:tcPr>
          <w:p w14:paraId="4B104368"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w:t>
            </w:r>
            <w:r>
              <w:rPr>
                <w:rFonts w:cs="Arial"/>
                <w:color w:val="000000"/>
                <w:szCs w:val="20"/>
              </w:rPr>
              <w:t>,</w:t>
            </w:r>
            <w:r w:rsidRPr="00DC3A0D">
              <w:rPr>
                <w:rFonts w:cs="Arial"/>
                <w:color w:val="000000"/>
                <w:szCs w:val="20"/>
              </w:rPr>
              <w:t>368</w:t>
            </w:r>
          </w:p>
        </w:tc>
        <w:tc>
          <w:tcPr>
            <w:tcW w:w="1843" w:type="dxa"/>
            <w:shd w:val="clear" w:color="auto" w:fill="auto"/>
            <w:vAlign w:val="center"/>
            <w:hideMark/>
          </w:tcPr>
          <w:p w14:paraId="49F6B9CF"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56.1%</w:t>
            </w:r>
          </w:p>
        </w:tc>
      </w:tr>
      <w:tr w:rsidR="00327D59" w:rsidRPr="00DE6C30" w14:paraId="01075415" w14:textId="77777777" w:rsidTr="00032B54">
        <w:trPr>
          <w:cantSplit/>
          <w:trHeight w:hRule="exact" w:val="397"/>
        </w:trPr>
        <w:tc>
          <w:tcPr>
            <w:tcW w:w="1129" w:type="dxa"/>
            <w:vAlign w:val="center"/>
          </w:tcPr>
          <w:p w14:paraId="3BD22769"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15</w:t>
            </w:r>
          </w:p>
        </w:tc>
        <w:tc>
          <w:tcPr>
            <w:tcW w:w="1560" w:type="dxa"/>
            <w:shd w:val="clear" w:color="auto" w:fill="auto"/>
            <w:vAlign w:val="center"/>
            <w:hideMark/>
          </w:tcPr>
          <w:p w14:paraId="083EC209"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May 2019</w:t>
            </w:r>
          </w:p>
        </w:tc>
        <w:tc>
          <w:tcPr>
            <w:tcW w:w="1275" w:type="dxa"/>
            <w:shd w:val="clear" w:color="auto" w:fill="auto"/>
            <w:vAlign w:val="center"/>
            <w:hideMark/>
          </w:tcPr>
          <w:p w14:paraId="6AA69368"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10</w:t>
            </w:r>
            <w:r>
              <w:rPr>
                <w:rFonts w:cs="Arial"/>
                <w:color w:val="000000"/>
                <w:szCs w:val="20"/>
              </w:rPr>
              <w:t>,</w:t>
            </w:r>
            <w:r w:rsidRPr="00DC3A0D">
              <w:rPr>
                <w:rFonts w:cs="Arial"/>
                <w:color w:val="000000"/>
                <w:szCs w:val="20"/>
              </w:rPr>
              <w:t>024</w:t>
            </w:r>
          </w:p>
        </w:tc>
        <w:tc>
          <w:tcPr>
            <w:tcW w:w="1451" w:type="dxa"/>
            <w:shd w:val="clear" w:color="auto" w:fill="auto"/>
            <w:vAlign w:val="center"/>
            <w:hideMark/>
          </w:tcPr>
          <w:p w14:paraId="1371E935"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w:t>
            </w:r>
            <w:r>
              <w:rPr>
                <w:rFonts w:cs="Arial"/>
                <w:color w:val="000000"/>
                <w:szCs w:val="20"/>
              </w:rPr>
              <w:t>,</w:t>
            </w:r>
            <w:r w:rsidRPr="00DC3A0D">
              <w:rPr>
                <w:rFonts w:cs="Arial"/>
                <w:color w:val="000000"/>
                <w:szCs w:val="20"/>
              </w:rPr>
              <w:t>177</w:t>
            </w:r>
          </w:p>
        </w:tc>
        <w:tc>
          <w:tcPr>
            <w:tcW w:w="1810" w:type="dxa"/>
            <w:shd w:val="clear" w:color="auto" w:fill="auto"/>
            <w:vAlign w:val="center"/>
            <w:hideMark/>
          </w:tcPr>
          <w:p w14:paraId="140C435D"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11</w:t>
            </w:r>
            <w:r>
              <w:rPr>
                <w:rFonts w:cs="Arial"/>
                <w:color w:val="000000"/>
                <w:szCs w:val="20"/>
              </w:rPr>
              <w:t>,</w:t>
            </w:r>
            <w:r w:rsidRPr="00DC3A0D">
              <w:rPr>
                <w:rFonts w:cs="Arial"/>
                <w:color w:val="000000"/>
                <w:szCs w:val="20"/>
              </w:rPr>
              <w:t>201</w:t>
            </w:r>
          </w:p>
        </w:tc>
        <w:tc>
          <w:tcPr>
            <w:tcW w:w="1734" w:type="dxa"/>
            <w:shd w:val="clear" w:color="auto" w:fill="auto"/>
            <w:vAlign w:val="center"/>
            <w:hideMark/>
          </w:tcPr>
          <w:p w14:paraId="35810799"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595</w:t>
            </w:r>
          </w:p>
        </w:tc>
        <w:tc>
          <w:tcPr>
            <w:tcW w:w="1526" w:type="dxa"/>
            <w:gridSpan w:val="2"/>
            <w:shd w:val="clear" w:color="auto" w:fill="auto"/>
            <w:vAlign w:val="center"/>
            <w:hideMark/>
          </w:tcPr>
          <w:p w14:paraId="320D56FE"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636</w:t>
            </w:r>
          </w:p>
        </w:tc>
        <w:tc>
          <w:tcPr>
            <w:tcW w:w="1417" w:type="dxa"/>
            <w:shd w:val="clear" w:color="auto" w:fill="auto"/>
            <w:vAlign w:val="center"/>
            <w:hideMark/>
          </w:tcPr>
          <w:p w14:paraId="44CF2304"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w:t>
            </w:r>
            <w:r>
              <w:rPr>
                <w:rFonts w:cs="Arial"/>
                <w:color w:val="000000"/>
                <w:szCs w:val="20"/>
              </w:rPr>
              <w:t>,</w:t>
            </w:r>
            <w:r w:rsidRPr="00DC3A0D">
              <w:rPr>
                <w:rFonts w:cs="Arial"/>
                <w:color w:val="000000"/>
                <w:szCs w:val="20"/>
              </w:rPr>
              <w:t>231</w:t>
            </w:r>
          </w:p>
        </w:tc>
        <w:tc>
          <w:tcPr>
            <w:tcW w:w="1843" w:type="dxa"/>
            <w:shd w:val="clear" w:color="auto" w:fill="auto"/>
            <w:vAlign w:val="center"/>
            <w:hideMark/>
          </w:tcPr>
          <w:p w14:paraId="597F3B00"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51.7%</w:t>
            </w:r>
          </w:p>
        </w:tc>
      </w:tr>
      <w:tr w:rsidR="00327D59" w:rsidRPr="00DE6C30" w14:paraId="60BBE244" w14:textId="77777777" w:rsidTr="00032B54">
        <w:trPr>
          <w:cantSplit/>
          <w:trHeight w:hRule="exact" w:val="397"/>
        </w:trPr>
        <w:tc>
          <w:tcPr>
            <w:tcW w:w="1129" w:type="dxa"/>
            <w:vAlign w:val="center"/>
          </w:tcPr>
          <w:p w14:paraId="11315E62"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16</w:t>
            </w:r>
          </w:p>
        </w:tc>
        <w:tc>
          <w:tcPr>
            <w:tcW w:w="1560" w:type="dxa"/>
            <w:shd w:val="clear" w:color="auto" w:fill="auto"/>
            <w:vAlign w:val="center"/>
          </w:tcPr>
          <w:p w14:paraId="2DFE8449"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Nov 2019</w:t>
            </w:r>
          </w:p>
        </w:tc>
        <w:tc>
          <w:tcPr>
            <w:tcW w:w="1275" w:type="dxa"/>
            <w:shd w:val="clear" w:color="auto" w:fill="auto"/>
            <w:vAlign w:val="center"/>
          </w:tcPr>
          <w:p w14:paraId="1825A9B8"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10</w:t>
            </w:r>
            <w:r>
              <w:rPr>
                <w:rFonts w:cs="Arial"/>
                <w:color w:val="000000"/>
                <w:szCs w:val="20"/>
              </w:rPr>
              <w:t>,</w:t>
            </w:r>
            <w:r w:rsidRPr="00DC3A0D">
              <w:rPr>
                <w:rFonts w:cs="Arial"/>
                <w:color w:val="000000"/>
                <w:szCs w:val="20"/>
              </w:rPr>
              <w:t>287</w:t>
            </w:r>
          </w:p>
        </w:tc>
        <w:tc>
          <w:tcPr>
            <w:tcW w:w="1451" w:type="dxa"/>
            <w:shd w:val="clear" w:color="auto" w:fill="auto"/>
            <w:vAlign w:val="center"/>
          </w:tcPr>
          <w:p w14:paraId="77ECB4B8"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w:t>
            </w:r>
            <w:r>
              <w:rPr>
                <w:rFonts w:cs="Arial"/>
                <w:color w:val="000000"/>
                <w:szCs w:val="20"/>
              </w:rPr>
              <w:t>,</w:t>
            </w:r>
            <w:r w:rsidRPr="00DC3A0D">
              <w:rPr>
                <w:rFonts w:cs="Arial"/>
                <w:color w:val="000000"/>
                <w:szCs w:val="20"/>
              </w:rPr>
              <w:t>041</w:t>
            </w:r>
          </w:p>
        </w:tc>
        <w:tc>
          <w:tcPr>
            <w:tcW w:w="1810" w:type="dxa"/>
            <w:shd w:val="clear" w:color="auto" w:fill="auto"/>
            <w:vAlign w:val="center"/>
          </w:tcPr>
          <w:p w14:paraId="4EDDFA3B"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11</w:t>
            </w:r>
            <w:r>
              <w:rPr>
                <w:rFonts w:cs="Arial"/>
                <w:color w:val="000000"/>
                <w:szCs w:val="20"/>
              </w:rPr>
              <w:t>,</w:t>
            </w:r>
            <w:r w:rsidRPr="00DC3A0D">
              <w:rPr>
                <w:rFonts w:cs="Arial"/>
                <w:color w:val="000000"/>
                <w:szCs w:val="20"/>
              </w:rPr>
              <w:t>328</w:t>
            </w:r>
          </w:p>
        </w:tc>
        <w:tc>
          <w:tcPr>
            <w:tcW w:w="1734" w:type="dxa"/>
            <w:shd w:val="clear" w:color="auto" w:fill="auto"/>
            <w:vAlign w:val="center"/>
          </w:tcPr>
          <w:p w14:paraId="34D58393"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524</w:t>
            </w:r>
          </w:p>
        </w:tc>
        <w:tc>
          <w:tcPr>
            <w:tcW w:w="1526" w:type="dxa"/>
            <w:gridSpan w:val="2"/>
            <w:shd w:val="clear" w:color="auto" w:fill="auto"/>
            <w:vAlign w:val="center"/>
          </w:tcPr>
          <w:p w14:paraId="7E256595"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580</w:t>
            </w:r>
          </w:p>
        </w:tc>
        <w:tc>
          <w:tcPr>
            <w:tcW w:w="1417" w:type="dxa"/>
            <w:shd w:val="clear" w:color="auto" w:fill="auto"/>
            <w:vAlign w:val="center"/>
          </w:tcPr>
          <w:p w14:paraId="7BB6F465"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w:t>
            </w:r>
            <w:r>
              <w:rPr>
                <w:rFonts w:cs="Arial"/>
                <w:color w:val="000000"/>
                <w:szCs w:val="20"/>
              </w:rPr>
              <w:t>,</w:t>
            </w:r>
            <w:r w:rsidRPr="00DC3A0D">
              <w:rPr>
                <w:rFonts w:cs="Arial"/>
                <w:color w:val="000000"/>
                <w:szCs w:val="20"/>
              </w:rPr>
              <w:t>104</w:t>
            </w:r>
          </w:p>
        </w:tc>
        <w:tc>
          <w:tcPr>
            <w:tcW w:w="1843" w:type="dxa"/>
            <w:shd w:val="clear" w:color="auto" w:fill="auto"/>
            <w:vAlign w:val="center"/>
          </w:tcPr>
          <w:p w14:paraId="34CABCDB"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52.5%</w:t>
            </w:r>
          </w:p>
        </w:tc>
      </w:tr>
      <w:tr w:rsidR="00327D59" w:rsidRPr="00DE6C30" w14:paraId="159189F2" w14:textId="77777777" w:rsidTr="00032B54">
        <w:trPr>
          <w:cantSplit/>
          <w:trHeight w:hRule="exact" w:val="397"/>
        </w:trPr>
        <w:tc>
          <w:tcPr>
            <w:tcW w:w="1129" w:type="dxa"/>
            <w:vAlign w:val="center"/>
          </w:tcPr>
          <w:p w14:paraId="22E43A33"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17</w:t>
            </w:r>
          </w:p>
        </w:tc>
        <w:tc>
          <w:tcPr>
            <w:tcW w:w="1560" w:type="dxa"/>
            <w:shd w:val="clear" w:color="auto" w:fill="auto"/>
            <w:vAlign w:val="center"/>
          </w:tcPr>
          <w:p w14:paraId="289974CB"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May 2020</w:t>
            </w:r>
          </w:p>
        </w:tc>
        <w:tc>
          <w:tcPr>
            <w:tcW w:w="1275" w:type="dxa"/>
            <w:shd w:val="clear" w:color="auto" w:fill="auto"/>
            <w:vAlign w:val="center"/>
          </w:tcPr>
          <w:p w14:paraId="2222676A"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10</w:t>
            </w:r>
            <w:r>
              <w:rPr>
                <w:rFonts w:cs="Arial"/>
                <w:color w:val="000000"/>
                <w:szCs w:val="20"/>
              </w:rPr>
              <w:t>,</w:t>
            </w:r>
            <w:r w:rsidRPr="00DC3A0D">
              <w:rPr>
                <w:rFonts w:cs="Arial"/>
                <w:color w:val="000000"/>
                <w:szCs w:val="20"/>
              </w:rPr>
              <w:t>487</w:t>
            </w:r>
          </w:p>
        </w:tc>
        <w:tc>
          <w:tcPr>
            <w:tcW w:w="1451" w:type="dxa"/>
            <w:shd w:val="clear" w:color="auto" w:fill="auto"/>
            <w:vAlign w:val="center"/>
          </w:tcPr>
          <w:p w14:paraId="1CE614EB"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962</w:t>
            </w:r>
          </w:p>
        </w:tc>
        <w:tc>
          <w:tcPr>
            <w:tcW w:w="1810" w:type="dxa"/>
            <w:shd w:val="clear" w:color="auto" w:fill="auto"/>
            <w:vAlign w:val="center"/>
          </w:tcPr>
          <w:p w14:paraId="41BD32D1"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11</w:t>
            </w:r>
            <w:r>
              <w:rPr>
                <w:rFonts w:cs="Arial"/>
                <w:color w:val="000000"/>
                <w:szCs w:val="20"/>
              </w:rPr>
              <w:t>,</w:t>
            </w:r>
            <w:r w:rsidRPr="00DC3A0D">
              <w:rPr>
                <w:rFonts w:cs="Arial"/>
                <w:color w:val="000000"/>
                <w:szCs w:val="20"/>
              </w:rPr>
              <w:t>449</w:t>
            </w:r>
          </w:p>
        </w:tc>
        <w:tc>
          <w:tcPr>
            <w:tcW w:w="1734" w:type="dxa"/>
            <w:shd w:val="clear" w:color="auto" w:fill="auto"/>
            <w:vAlign w:val="center"/>
          </w:tcPr>
          <w:p w14:paraId="125365A7"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493</w:t>
            </w:r>
          </w:p>
        </w:tc>
        <w:tc>
          <w:tcPr>
            <w:tcW w:w="1526" w:type="dxa"/>
            <w:gridSpan w:val="2"/>
            <w:shd w:val="clear" w:color="auto" w:fill="auto"/>
            <w:vAlign w:val="center"/>
          </w:tcPr>
          <w:p w14:paraId="246F7676"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490</w:t>
            </w:r>
          </w:p>
        </w:tc>
        <w:tc>
          <w:tcPr>
            <w:tcW w:w="1417" w:type="dxa"/>
            <w:shd w:val="clear" w:color="auto" w:fill="auto"/>
            <w:vAlign w:val="center"/>
          </w:tcPr>
          <w:p w14:paraId="63204895"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983</w:t>
            </w:r>
          </w:p>
        </w:tc>
        <w:tc>
          <w:tcPr>
            <w:tcW w:w="1843" w:type="dxa"/>
            <w:shd w:val="clear" w:color="auto" w:fill="auto"/>
            <w:vAlign w:val="center"/>
          </w:tcPr>
          <w:p w14:paraId="688D736A"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49.8%</w:t>
            </w:r>
          </w:p>
        </w:tc>
      </w:tr>
      <w:tr w:rsidR="00327D59" w14:paraId="58D286F3" w14:textId="77777777" w:rsidTr="00032B54">
        <w:trPr>
          <w:cantSplit/>
          <w:trHeight w:hRule="exact" w:val="397"/>
        </w:trPr>
        <w:tc>
          <w:tcPr>
            <w:tcW w:w="1129" w:type="dxa"/>
            <w:vAlign w:val="center"/>
          </w:tcPr>
          <w:p w14:paraId="0B65B3A0"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lastRenderedPageBreak/>
              <w:t>18</w:t>
            </w:r>
          </w:p>
        </w:tc>
        <w:tc>
          <w:tcPr>
            <w:tcW w:w="1560" w:type="dxa"/>
            <w:shd w:val="clear" w:color="auto" w:fill="auto"/>
            <w:vAlign w:val="center"/>
            <w:hideMark/>
          </w:tcPr>
          <w:p w14:paraId="57A8C921"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Nov 2020</w:t>
            </w:r>
          </w:p>
        </w:tc>
        <w:tc>
          <w:tcPr>
            <w:tcW w:w="1275" w:type="dxa"/>
            <w:shd w:val="clear" w:color="auto" w:fill="auto"/>
            <w:vAlign w:val="center"/>
            <w:hideMark/>
          </w:tcPr>
          <w:p w14:paraId="0138E630"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10</w:t>
            </w:r>
            <w:r>
              <w:rPr>
                <w:rFonts w:cs="Arial"/>
                <w:color w:val="000000"/>
                <w:szCs w:val="20"/>
              </w:rPr>
              <w:t>,</w:t>
            </w:r>
            <w:r w:rsidRPr="00DC3A0D">
              <w:rPr>
                <w:rFonts w:cs="Arial"/>
                <w:color w:val="000000"/>
                <w:szCs w:val="20"/>
              </w:rPr>
              <w:t>687</w:t>
            </w:r>
          </w:p>
        </w:tc>
        <w:tc>
          <w:tcPr>
            <w:tcW w:w="1451" w:type="dxa"/>
            <w:shd w:val="clear" w:color="auto" w:fill="auto"/>
            <w:vAlign w:val="center"/>
            <w:hideMark/>
          </w:tcPr>
          <w:p w14:paraId="7EE361D3"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874</w:t>
            </w:r>
          </w:p>
        </w:tc>
        <w:tc>
          <w:tcPr>
            <w:tcW w:w="1810" w:type="dxa"/>
            <w:shd w:val="clear" w:color="auto" w:fill="auto"/>
            <w:vAlign w:val="center"/>
            <w:hideMark/>
          </w:tcPr>
          <w:p w14:paraId="742CEA2A"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11</w:t>
            </w:r>
            <w:r>
              <w:rPr>
                <w:rFonts w:cs="Arial"/>
                <w:color w:val="000000"/>
                <w:szCs w:val="20"/>
              </w:rPr>
              <w:t>,</w:t>
            </w:r>
            <w:r w:rsidRPr="00DC3A0D">
              <w:rPr>
                <w:rFonts w:cs="Arial"/>
                <w:color w:val="000000"/>
                <w:szCs w:val="20"/>
              </w:rPr>
              <w:t>561</w:t>
            </w:r>
          </w:p>
        </w:tc>
        <w:tc>
          <w:tcPr>
            <w:tcW w:w="1734" w:type="dxa"/>
            <w:shd w:val="clear" w:color="auto" w:fill="auto"/>
            <w:vAlign w:val="center"/>
            <w:hideMark/>
          </w:tcPr>
          <w:p w14:paraId="7A204511"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467</w:t>
            </w:r>
          </w:p>
        </w:tc>
        <w:tc>
          <w:tcPr>
            <w:tcW w:w="1526" w:type="dxa"/>
            <w:gridSpan w:val="2"/>
            <w:shd w:val="clear" w:color="auto" w:fill="auto"/>
            <w:vAlign w:val="center"/>
            <w:hideMark/>
          </w:tcPr>
          <w:p w14:paraId="43068819"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404</w:t>
            </w:r>
          </w:p>
        </w:tc>
        <w:tc>
          <w:tcPr>
            <w:tcW w:w="1417" w:type="dxa"/>
            <w:shd w:val="clear" w:color="auto" w:fill="auto"/>
            <w:vAlign w:val="center"/>
            <w:hideMark/>
          </w:tcPr>
          <w:p w14:paraId="6CA008B6"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871</w:t>
            </w:r>
          </w:p>
        </w:tc>
        <w:tc>
          <w:tcPr>
            <w:tcW w:w="1843" w:type="dxa"/>
            <w:shd w:val="clear" w:color="auto" w:fill="auto"/>
            <w:vAlign w:val="center"/>
            <w:hideMark/>
          </w:tcPr>
          <w:p w14:paraId="527B21F5"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46.4%</w:t>
            </w:r>
          </w:p>
        </w:tc>
      </w:tr>
      <w:tr w:rsidR="00327D59" w:rsidRPr="00DE6C30" w14:paraId="36751038" w14:textId="77777777" w:rsidTr="00032B54">
        <w:trPr>
          <w:cantSplit/>
          <w:trHeight w:hRule="exact" w:val="397"/>
        </w:trPr>
        <w:tc>
          <w:tcPr>
            <w:tcW w:w="1129" w:type="dxa"/>
            <w:vAlign w:val="center"/>
          </w:tcPr>
          <w:p w14:paraId="1F8FF50A"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19</w:t>
            </w:r>
          </w:p>
        </w:tc>
        <w:tc>
          <w:tcPr>
            <w:tcW w:w="1560" w:type="dxa"/>
            <w:shd w:val="clear" w:color="auto" w:fill="auto"/>
            <w:vAlign w:val="center"/>
          </w:tcPr>
          <w:p w14:paraId="70B85586"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May 2021</w:t>
            </w:r>
          </w:p>
        </w:tc>
        <w:tc>
          <w:tcPr>
            <w:tcW w:w="1275" w:type="dxa"/>
            <w:shd w:val="clear" w:color="auto" w:fill="auto"/>
            <w:vAlign w:val="center"/>
          </w:tcPr>
          <w:p w14:paraId="6AB5EE29"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10</w:t>
            </w:r>
            <w:r>
              <w:rPr>
                <w:rFonts w:cs="Arial"/>
                <w:color w:val="000000"/>
                <w:szCs w:val="20"/>
              </w:rPr>
              <w:t>,</w:t>
            </w:r>
            <w:r w:rsidRPr="00DC3A0D">
              <w:rPr>
                <w:rFonts w:cs="Arial"/>
                <w:color w:val="000000"/>
                <w:szCs w:val="20"/>
              </w:rPr>
              <w:t>880</w:t>
            </w:r>
          </w:p>
        </w:tc>
        <w:tc>
          <w:tcPr>
            <w:tcW w:w="1451" w:type="dxa"/>
            <w:shd w:val="clear" w:color="auto" w:fill="auto"/>
            <w:vAlign w:val="center"/>
          </w:tcPr>
          <w:p w14:paraId="607E9E18"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798</w:t>
            </w:r>
          </w:p>
        </w:tc>
        <w:tc>
          <w:tcPr>
            <w:tcW w:w="1810" w:type="dxa"/>
            <w:shd w:val="clear" w:color="auto" w:fill="auto"/>
            <w:vAlign w:val="center"/>
          </w:tcPr>
          <w:p w14:paraId="7483DA94"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11</w:t>
            </w:r>
            <w:r>
              <w:rPr>
                <w:rFonts w:cs="Arial"/>
                <w:color w:val="000000"/>
                <w:szCs w:val="20"/>
              </w:rPr>
              <w:t>,</w:t>
            </w:r>
            <w:r w:rsidRPr="00DC3A0D">
              <w:rPr>
                <w:rFonts w:cs="Arial"/>
                <w:color w:val="000000"/>
                <w:szCs w:val="20"/>
              </w:rPr>
              <w:t>678</w:t>
            </w:r>
          </w:p>
        </w:tc>
        <w:tc>
          <w:tcPr>
            <w:tcW w:w="1734" w:type="dxa"/>
            <w:shd w:val="clear" w:color="auto" w:fill="auto"/>
            <w:vAlign w:val="center"/>
          </w:tcPr>
          <w:p w14:paraId="01655422"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422</w:t>
            </w:r>
          </w:p>
        </w:tc>
        <w:tc>
          <w:tcPr>
            <w:tcW w:w="1526" w:type="dxa"/>
            <w:gridSpan w:val="2"/>
            <w:shd w:val="clear" w:color="auto" w:fill="auto"/>
            <w:vAlign w:val="center"/>
          </w:tcPr>
          <w:p w14:paraId="27595347"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332</w:t>
            </w:r>
          </w:p>
        </w:tc>
        <w:tc>
          <w:tcPr>
            <w:tcW w:w="1417" w:type="dxa"/>
            <w:shd w:val="clear" w:color="auto" w:fill="auto"/>
            <w:vAlign w:val="center"/>
          </w:tcPr>
          <w:p w14:paraId="28DC83BE"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754</w:t>
            </w:r>
          </w:p>
        </w:tc>
        <w:tc>
          <w:tcPr>
            <w:tcW w:w="1843" w:type="dxa"/>
            <w:shd w:val="clear" w:color="auto" w:fill="auto"/>
            <w:vAlign w:val="center"/>
          </w:tcPr>
          <w:p w14:paraId="2EB6D0CD"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44.0%</w:t>
            </w:r>
          </w:p>
        </w:tc>
      </w:tr>
      <w:tr w:rsidR="00327D59" w:rsidRPr="00DE6C30" w14:paraId="02FE4992" w14:textId="77777777" w:rsidTr="00032B54">
        <w:trPr>
          <w:cantSplit/>
          <w:trHeight w:hRule="exact" w:val="397"/>
        </w:trPr>
        <w:tc>
          <w:tcPr>
            <w:tcW w:w="1129" w:type="dxa"/>
            <w:vAlign w:val="center"/>
          </w:tcPr>
          <w:p w14:paraId="43FBF7F7"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20</w:t>
            </w:r>
          </w:p>
        </w:tc>
        <w:tc>
          <w:tcPr>
            <w:tcW w:w="1560" w:type="dxa"/>
            <w:shd w:val="clear" w:color="auto" w:fill="auto"/>
            <w:vAlign w:val="center"/>
          </w:tcPr>
          <w:p w14:paraId="3464A921"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Nov 2020</w:t>
            </w:r>
          </w:p>
        </w:tc>
        <w:tc>
          <w:tcPr>
            <w:tcW w:w="1275" w:type="dxa"/>
            <w:shd w:val="clear" w:color="auto" w:fill="auto"/>
            <w:vAlign w:val="center"/>
          </w:tcPr>
          <w:p w14:paraId="14B92E22"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11</w:t>
            </w:r>
            <w:r>
              <w:rPr>
                <w:rFonts w:cs="Arial"/>
                <w:color w:val="000000"/>
                <w:szCs w:val="20"/>
              </w:rPr>
              <w:t>,</w:t>
            </w:r>
            <w:r w:rsidRPr="00DC3A0D">
              <w:rPr>
                <w:rFonts w:cs="Arial"/>
                <w:color w:val="000000"/>
                <w:szCs w:val="20"/>
              </w:rPr>
              <w:t>053</w:t>
            </w:r>
          </w:p>
        </w:tc>
        <w:tc>
          <w:tcPr>
            <w:tcW w:w="1451" w:type="dxa"/>
            <w:shd w:val="clear" w:color="auto" w:fill="auto"/>
            <w:vAlign w:val="center"/>
          </w:tcPr>
          <w:p w14:paraId="1F2B8B58"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722</w:t>
            </w:r>
          </w:p>
        </w:tc>
        <w:tc>
          <w:tcPr>
            <w:tcW w:w="1810" w:type="dxa"/>
            <w:shd w:val="clear" w:color="auto" w:fill="auto"/>
            <w:vAlign w:val="center"/>
          </w:tcPr>
          <w:p w14:paraId="648D8343"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11</w:t>
            </w:r>
            <w:r>
              <w:rPr>
                <w:rFonts w:cs="Arial"/>
                <w:color w:val="000000"/>
                <w:szCs w:val="20"/>
              </w:rPr>
              <w:t>,</w:t>
            </w:r>
            <w:r w:rsidRPr="00DC3A0D">
              <w:rPr>
                <w:rFonts w:cs="Arial"/>
                <w:color w:val="000000"/>
                <w:szCs w:val="20"/>
              </w:rPr>
              <w:t>775</w:t>
            </w:r>
          </w:p>
        </w:tc>
        <w:tc>
          <w:tcPr>
            <w:tcW w:w="1734" w:type="dxa"/>
            <w:shd w:val="clear" w:color="auto" w:fill="auto"/>
            <w:vAlign w:val="center"/>
          </w:tcPr>
          <w:p w14:paraId="23F18871"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385</w:t>
            </w:r>
          </w:p>
        </w:tc>
        <w:tc>
          <w:tcPr>
            <w:tcW w:w="1526" w:type="dxa"/>
            <w:gridSpan w:val="2"/>
            <w:shd w:val="clear" w:color="auto" w:fill="auto"/>
            <w:vAlign w:val="center"/>
          </w:tcPr>
          <w:p w14:paraId="040C2E7F"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272</w:t>
            </w:r>
          </w:p>
        </w:tc>
        <w:tc>
          <w:tcPr>
            <w:tcW w:w="1417" w:type="dxa"/>
            <w:shd w:val="clear" w:color="auto" w:fill="auto"/>
            <w:vAlign w:val="center"/>
          </w:tcPr>
          <w:p w14:paraId="626070A3"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657</w:t>
            </w:r>
          </w:p>
        </w:tc>
        <w:tc>
          <w:tcPr>
            <w:tcW w:w="1843" w:type="dxa"/>
            <w:shd w:val="clear" w:color="auto" w:fill="auto"/>
            <w:vAlign w:val="center"/>
          </w:tcPr>
          <w:p w14:paraId="28CE0764"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41.4%</w:t>
            </w:r>
          </w:p>
        </w:tc>
      </w:tr>
      <w:tr w:rsidR="00327D59" w:rsidRPr="00DE6C30" w14:paraId="15031E43" w14:textId="77777777" w:rsidTr="00032B54">
        <w:trPr>
          <w:cantSplit/>
          <w:trHeight w:hRule="exact" w:val="397"/>
        </w:trPr>
        <w:tc>
          <w:tcPr>
            <w:tcW w:w="1129" w:type="dxa"/>
            <w:vAlign w:val="center"/>
          </w:tcPr>
          <w:p w14:paraId="70590907"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21</w:t>
            </w:r>
          </w:p>
        </w:tc>
        <w:tc>
          <w:tcPr>
            <w:tcW w:w="1560" w:type="dxa"/>
            <w:shd w:val="clear" w:color="auto" w:fill="auto"/>
            <w:vAlign w:val="center"/>
          </w:tcPr>
          <w:p w14:paraId="22BC4B15"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01 May 2022</w:t>
            </w:r>
          </w:p>
        </w:tc>
        <w:tc>
          <w:tcPr>
            <w:tcW w:w="1275" w:type="dxa"/>
            <w:shd w:val="clear" w:color="auto" w:fill="auto"/>
            <w:vAlign w:val="center"/>
          </w:tcPr>
          <w:p w14:paraId="2C9920A6"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11</w:t>
            </w:r>
            <w:r>
              <w:rPr>
                <w:rFonts w:cs="Arial"/>
                <w:color w:val="000000"/>
                <w:szCs w:val="20"/>
              </w:rPr>
              <w:t>,</w:t>
            </w:r>
            <w:r w:rsidRPr="00DC3A0D">
              <w:rPr>
                <w:rFonts w:cs="Arial"/>
                <w:color w:val="000000"/>
                <w:szCs w:val="20"/>
              </w:rPr>
              <w:t>113</w:t>
            </w:r>
          </w:p>
        </w:tc>
        <w:tc>
          <w:tcPr>
            <w:tcW w:w="1451" w:type="dxa"/>
            <w:shd w:val="clear" w:color="auto" w:fill="auto"/>
            <w:vAlign w:val="center"/>
          </w:tcPr>
          <w:p w14:paraId="098646BE"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710</w:t>
            </w:r>
          </w:p>
        </w:tc>
        <w:tc>
          <w:tcPr>
            <w:tcW w:w="1810" w:type="dxa"/>
            <w:shd w:val="clear" w:color="auto" w:fill="auto"/>
            <w:vAlign w:val="center"/>
          </w:tcPr>
          <w:p w14:paraId="7F54909B"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11</w:t>
            </w:r>
            <w:r>
              <w:rPr>
                <w:rFonts w:cs="Arial"/>
                <w:color w:val="000000"/>
                <w:szCs w:val="20"/>
              </w:rPr>
              <w:t>,</w:t>
            </w:r>
            <w:r w:rsidRPr="00DC3A0D">
              <w:rPr>
                <w:rFonts w:cs="Arial"/>
                <w:color w:val="000000"/>
                <w:szCs w:val="20"/>
              </w:rPr>
              <w:t>823</w:t>
            </w:r>
          </w:p>
        </w:tc>
        <w:tc>
          <w:tcPr>
            <w:tcW w:w="1734" w:type="dxa"/>
            <w:shd w:val="clear" w:color="auto" w:fill="auto"/>
            <w:vAlign w:val="center"/>
          </w:tcPr>
          <w:p w14:paraId="6A3C833E"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380</w:t>
            </w:r>
          </w:p>
        </w:tc>
        <w:tc>
          <w:tcPr>
            <w:tcW w:w="1526" w:type="dxa"/>
            <w:gridSpan w:val="2"/>
            <w:shd w:val="clear" w:color="auto" w:fill="auto"/>
            <w:vAlign w:val="center"/>
          </w:tcPr>
          <w:p w14:paraId="2E83C1F5"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229</w:t>
            </w:r>
          </w:p>
        </w:tc>
        <w:tc>
          <w:tcPr>
            <w:tcW w:w="1417" w:type="dxa"/>
            <w:shd w:val="clear" w:color="auto" w:fill="auto"/>
            <w:vAlign w:val="center"/>
          </w:tcPr>
          <w:p w14:paraId="0FB4A514"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609</w:t>
            </w:r>
          </w:p>
        </w:tc>
        <w:tc>
          <w:tcPr>
            <w:tcW w:w="1843" w:type="dxa"/>
            <w:shd w:val="clear" w:color="auto" w:fill="auto"/>
            <w:vAlign w:val="center"/>
          </w:tcPr>
          <w:p w14:paraId="202DB846"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37.6%</w:t>
            </w:r>
          </w:p>
        </w:tc>
      </w:tr>
      <w:tr w:rsidR="00327D59" w:rsidRPr="00DE6C30" w14:paraId="52D498D4" w14:textId="77777777" w:rsidTr="00032B54">
        <w:trPr>
          <w:cantSplit/>
          <w:trHeight w:hRule="exact" w:val="397"/>
        </w:trPr>
        <w:tc>
          <w:tcPr>
            <w:tcW w:w="1129" w:type="dxa"/>
            <w:vAlign w:val="center"/>
          </w:tcPr>
          <w:p w14:paraId="33ACB919" w14:textId="556AC40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22</w:t>
            </w:r>
          </w:p>
        </w:tc>
        <w:tc>
          <w:tcPr>
            <w:tcW w:w="1560" w:type="dxa"/>
            <w:shd w:val="clear" w:color="auto" w:fill="auto"/>
            <w:vAlign w:val="center"/>
          </w:tcPr>
          <w:p w14:paraId="0445B5DF" w14:textId="48CFCD60" w:rsidR="00327D59" w:rsidRPr="00DC3A0D" w:rsidRDefault="00901558" w:rsidP="00032B54">
            <w:pPr>
              <w:adjustRightInd w:val="0"/>
              <w:spacing w:before="0" w:after="0" w:line="240" w:lineRule="auto"/>
              <w:jc w:val="center"/>
              <w:rPr>
                <w:rFonts w:cs="Arial"/>
                <w:color w:val="000000"/>
                <w:szCs w:val="20"/>
              </w:rPr>
            </w:pPr>
            <w:r>
              <w:rPr>
                <w:rFonts w:cs="Arial"/>
                <w:color w:val="000000"/>
                <w:szCs w:val="20"/>
              </w:rPr>
              <w:t>01 Nov 2022</w:t>
            </w:r>
          </w:p>
        </w:tc>
        <w:tc>
          <w:tcPr>
            <w:tcW w:w="1275" w:type="dxa"/>
            <w:shd w:val="clear" w:color="auto" w:fill="auto"/>
            <w:vAlign w:val="center"/>
          </w:tcPr>
          <w:p w14:paraId="015EF1ED"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11</w:t>
            </w:r>
            <w:r>
              <w:rPr>
                <w:rFonts w:cs="Arial"/>
                <w:color w:val="000000"/>
                <w:szCs w:val="20"/>
              </w:rPr>
              <w:t>,</w:t>
            </w:r>
            <w:r w:rsidRPr="00DC3A0D">
              <w:rPr>
                <w:rFonts w:cs="Arial"/>
                <w:color w:val="000000"/>
                <w:szCs w:val="20"/>
              </w:rPr>
              <w:t>124</w:t>
            </w:r>
          </w:p>
        </w:tc>
        <w:tc>
          <w:tcPr>
            <w:tcW w:w="1451" w:type="dxa"/>
            <w:shd w:val="clear" w:color="auto" w:fill="auto"/>
            <w:vAlign w:val="center"/>
          </w:tcPr>
          <w:p w14:paraId="3273B045" w14:textId="77777777" w:rsidR="00327D59" w:rsidRPr="00DC3A0D" w:rsidRDefault="00327D59" w:rsidP="00032B54">
            <w:pPr>
              <w:adjustRightInd w:val="0"/>
              <w:spacing w:before="0" w:after="0" w:line="240" w:lineRule="auto"/>
              <w:jc w:val="center"/>
              <w:rPr>
                <w:rFonts w:cs="Arial"/>
                <w:color w:val="000000"/>
                <w:szCs w:val="20"/>
              </w:rPr>
            </w:pPr>
            <w:r w:rsidRPr="00DC3A0D">
              <w:rPr>
                <w:rFonts w:cs="Arial"/>
                <w:color w:val="000000"/>
                <w:szCs w:val="20"/>
              </w:rPr>
              <w:t>722</w:t>
            </w:r>
          </w:p>
        </w:tc>
        <w:tc>
          <w:tcPr>
            <w:tcW w:w="1810" w:type="dxa"/>
            <w:shd w:val="clear" w:color="auto" w:fill="auto"/>
            <w:vAlign w:val="center"/>
          </w:tcPr>
          <w:p w14:paraId="1B3E1020"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11</w:t>
            </w:r>
            <w:r>
              <w:rPr>
                <w:rFonts w:cs="Arial"/>
                <w:color w:val="000000"/>
                <w:szCs w:val="20"/>
              </w:rPr>
              <w:t>,</w:t>
            </w:r>
            <w:r w:rsidRPr="00DC3A0D">
              <w:rPr>
                <w:rFonts w:cs="Arial"/>
                <w:color w:val="000000"/>
                <w:szCs w:val="20"/>
              </w:rPr>
              <w:t>846</w:t>
            </w:r>
          </w:p>
        </w:tc>
        <w:tc>
          <w:tcPr>
            <w:tcW w:w="1734" w:type="dxa"/>
            <w:shd w:val="clear" w:color="auto" w:fill="auto"/>
            <w:vAlign w:val="center"/>
          </w:tcPr>
          <w:p w14:paraId="36FD5E6D" w14:textId="6706BD34" w:rsidR="00327D59" w:rsidRPr="00DC3A0D" w:rsidRDefault="00901558" w:rsidP="00032B54">
            <w:pPr>
              <w:adjustRightInd w:val="0"/>
              <w:spacing w:before="0" w:after="0" w:line="240" w:lineRule="auto"/>
              <w:jc w:val="center"/>
              <w:rPr>
                <w:rFonts w:cs="Arial"/>
                <w:color w:val="000000"/>
                <w:szCs w:val="20"/>
              </w:rPr>
            </w:pPr>
            <w:r>
              <w:rPr>
                <w:rFonts w:cs="Arial"/>
                <w:color w:val="000000"/>
                <w:szCs w:val="20"/>
              </w:rPr>
              <w:t>392</w:t>
            </w:r>
          </w:p>
        </w:tc>
        <w:tc>
          <w:tcPr>
            <w:tcW w:w="1526" w:type="dxa"/>
            <w:gridSpan w:val="2"/>
            <w:shd w:val="clear" w:color="auto" w:fill="auto"/>
            <w:vAlign w:val="center"/>
          </w:tcPr>
          <w:p w14:paraId="311C3FAC" w14:textId="08957239" w:rsidR="00327D59" w:rsidRPr="00DC3A0D" w:rsidRDefault="00901558" w:rsidP="00032B54">
            <w:pPr>
              <w:adjustRightInd w:val="0"/>
              <w:spacing w:before="0" w:after="0" w:line="240" w:lineRule="auto"/>
              <w:jc w:val="center"/>
              <w:rPr>
                <w:rFonts w:cs="Arial"/>
                <w:color w:val="000000"/>
                <w:szCs w:val="20"/>
              </w:rPr>
            </w:pPr>
            <w:r w:rsidRPr="00DC3A0D">
              <w:rPr>
                <w:rFonts w:cs="Arial"/>
                <w:color w:val="000000"/>
                <w:szCs w:val="20"/>
              </w:rPr>
              <w:t>1</w:t>
            </w:r>
            <w:r>
              <w:rPr>
                <w:rFonts w:cs="Arial"/>
                <w:color w:val="000000"/>
                <w:szCs w:val="20"/>
              </w:rPr>
              <w:t>94</w:t>
            </w:r>
          </w:p>
        </w:tc>
        <w:tc>
          <w:tcPr>
            <w:tcW w:w="1417" w:type="dxa"/>
            <w:shd w:val="clear" w:color="auto" w:fill="auto"/>
            <w:vAlign w:val="center"/>
          </w:tcPr>
          <w:p w14:paraId="23C370F8" w14:textId="77777777" w:rsidR="00327D59" w:rsidRPr="00DC3A0D" w:rsidRDefault="00327D59" w:rsidP="00032B54">
            <w:pPr>
              <w:adjustRightInd w:val="0"/>
              <w:spacing w:before="0" w:after="0" w:line="240" w:lineRule="auto"/>
              <w:jc w:val="center"/>
              <w:rPr>
                <w:rFonts w:cs="Arial"/>
                <w:b/>
                <w:color w:val="000000"/>
                <w:szCs w:val="20"/>
              </w:rPr>
            </w:pPr>
            <w:r w:rsidRPr="00DC3A0D">
              <w:rPr>
                <w:rFonts w:cs="Arial"/>
                <w:color w:val="000000"/>
                <w:szCs w:val="20"/>
              </w:rPr>
              <w:t>586</w:t>
            </w:r>
          </w:p>
        </w:tc>
        <w:tc>
          <w:tcPr>
            <w:tcW w:w="1843" w:type="dxa"/>
            <w:shd w:val="clear" w:color="auto" w:fill="auto"/>
            <w:vAlign w:val="center"/>
          </w:tcPr>
          <w:p w14:paraId="1BD19883" w14:textId="684BB19F" w:rsidR="00327D59" w:rsidRPr="00DC3A0D" w:rsidRDefault="00901558" w:rsidP="00032B54">
            <w:pPr>
              <w:adjustRightInd w:val="0"/>
              <w:spacing w:before="0" w:after="0" w:line="240" w:lineRule="auto"/>
              <w:jc w:val="center"/>
              <w:rPr>
                <w:rFonts w:cs="Arial"/>
                <w:b/>
                <w:color w:val="000000"/>
                <w:szCs w:val="20"/>
              </w:rPr>
            </w:pPr>
            <w:r>
              <w:rPr>
                <w:rFonts w:cs="Arial"/>
                <w:color w:val="000000"/>
                <w:szCs w:val="20"/>
              </w:rPr>
              <w:t>33.1</w:t>
            </w:r>
            <w:r w:rsidR="00327D59" w:rsidRPr="00DC3A0D">
              <w:rPr>
                <w:rFonts w:cs="Arial"/>
                <w:color w:val="000000"/>
                <w:szCs w:val="20"/>
              </w:rPr>
              <w:t>%</w:t>
            </w:r>
          </w:p>
        </w:tc>
      </w:tr>
    </w:tbl>
    <w:p w14:paraId="1DE83841" w14:textId="77777777" w:rsidR="00586FC1" w:rsidRDefault="00327D59" w:rsidP="00327D59">
      <w:pPr>
        <w:spacing w:before="40" w:after="40" w:line="276" w:lineRule="auto"/>
      </w:pPr>
      <w:r w:rsidRPr="00901558">
        <w:t xml:space="preserve">NOTE: using 6MF questionnaires logged by </w:t>
      </w:r>
      <w:r w:rsidR="00901558" w:rsidRPr="00901558">
        <w:t>31 Oct</w:t>
      </w:r>
      <w:r w:rsidRPr="00901558">
        <w:t xml:space="preserve"> 2022.</w:t>
      </w:r>
    </w:p>
    <w:p w14:paraId="39E0EBB3" w14:textId="77777777" w:rsidR="00586FC1" w:rsidRDefault="00586FC1" w:rsidP="00327D59">
      <w:pPr>
        <w:spacing w:before="40" w:after="40" w:line="276" w:lineRule="auto"/>
        <w:sectPr w:rsidR="00586FC1" w:rsidSect="001E0C9E">
          <w:headerReference w:type="even" r:id="rId35"/>
          <w:headerReference w:type="default" r:id="rId36"/>
          <w:footerReference w:type="even" r:id="rId37"/>
          <w:footerReference w:type="default" r:id="rId38"/>
          <w:headerReference w:type="first" r:id="rId39"/>
          <w:footerReference w:type="first" r:id="rId40"/>
          <w:type w:val="continuous"/>
          <w:pgSz w:w="16838" w:h="11906" w:orient="landscape"/>
          <w:pgMar w:top="1440" w:right="1440" w:bottom="1440" w:left="1440" w:header="708" w:footer="708" w:gutter="0"/>
          <w:cols w:space="708"/>
          <w:docGrid w:linePitch="360"/>
        </w:sectPr>
      </w:pPr>
    </w:p>
    <w:p w14:paraId="17E16583" w14:textId="77777777" w:rsidR="00327D59" w:rsidRPr="00431897" w:rsidRDefault="00327D59" w:rsidP="00327D59">
      <w:pPr>
        <w:pStyle w:val="Heading3"/>
        <w:spacing w:line="240" w:lineRule="auto"/>
        <w:jc w:val="left"/>
      </w:pPr>
      <w:bookmarkStart w:id="671" w:name="_Toc466637839"/>
      <w:bookmarkStart w:id="672" w:name="_Toc491786562"/>
      <w:bookmarkStart w:id="673" w:name="_Toc521319375"/>
      <w:bookmarkStart w:id="674" w:name="_Toc34753634"/>
      <w:bookmarkStart w:id="675" w:name="_Toc87012458"/>
      <w:bookmarkStart w:id="676" w:name="_Toc124762781"/>
      <w:bookmarkEnd w:id="670"/>
      <w:r w:rsidRPr="00431897">
        <w:lastRenderedPageBreak/>
        <w:t>1989-95 cohort</w:t>
      </w:r>
      <w:bookmarkEnd w:id="671"/>
      <w:bookmarkEnd w:id="672"/>
      <w:bookmarkEnd w:id="673"/>
      <w:bookmarkEnd w:id="674"/>
      <w:bookmarkEnd w:id="675"/>
      <w:bookmarkEnd w:id="676"/>
    </w:p>
    <w:p w14:paraId="3D001D8E" w14:textId="77777777" w:rsidR="00327D59" w:rsidRPr="00A72F4E" w:rsidRDefault="00327D59" w:rsidP="00327D59">
      <w:pPr>
        <w:pStyle w:val="2012TechReportBodytext"/>
      </w:pPr>
      <w:r>
        <w:t>Over</w:t>
      </w:r>
      <w:r w:rsidRPr="00A72F4E">
        <w:t xml:space="preserve"> 2012 and 2013, 17,010 women aged 18-23 years old were enrolled in the 1989-95 cohort. Women were mainly recruited using the internet and social media platforms. Consistent with the other cohorts, women were required to have a Medicare card. Women completed the survey</w:t>
      </w:r>
      <w:r>
        <w:t xml:space="preserve"> online</w:t>
      </w:r>
      <w:r w:rsidRPr="00A72F4E">
        <w:t xml:space="preserve"> and provided consent to linkage of </w:t>
      </w:r>
      <w:r>
        <w:t xml:space="preserve">their </w:t>
      </w:r>
      <w:r w:rsidRPr="00A72F4E">
        <w:t>survey data with administrative databases such as Medicare.</w:t>
      </w:r>
    </w:p>
    <w:p w14:paraId="487AB34E" w14:textId="20D3AEB6" w:rsidR="00327D59" w:rsidRDefault="00327D59" w:rsidP="00327D59">
      <w:pPr>
        <w:pStyle w:val="2012TechReportBodytext"/>
      </w:pPr>
      <w:r w:rsidRPr="00A72F4E">
        <w:t xml:space="preserve">Unlike the original cohorts, the 1989-95 cohort </w:t>
      </w:r>
      <w:r>
        <w:t>were</w:t>
      </w:r>
      <w:r w:rsidRPr="00A72F4E">
        <w:t xml:space="preserve"> surveyed annually</w:t>
      </w:r>
      <w:r>
        <w:t xml:space="preserve"> from 2013 to 2017</w:t>
      </w:r>
      <w:r w:rsidRPr="00A72F4E">
        <w:t>. There was a steep decline in response at the cohort’s second survey in 2014 (down to 70% of respondents from the baseline survey), but the response rate appears to have plateaued at around 55%-60% for subsequent surveys (</w:t>
      </w:r>
      <w:r>
        <w:rPr>
          <w:highlight w:val="cyan"/>
        </w:rPr>
        <w:fldChar w:fldCharType="begin"/>
      </w:r>
      <w:r>
        <w:rPr>
          <w:highlight w:val="cyan"/>
        </w:rPr>
        <w:instrText xml:space="preserve"> REF _Ref113717277 \h </w:instrText>
      </w:r>
      <w:r>
        <w:rPr>
          <w:highlight w:val="cyan"/>
        </w:rPr>
      </w:r>
      <w:r>
        <w:rPr>
          <w:highlight w:val="cyan"/>
        </w:rPr>
        <w:fldChar w:fldCharType="separate"/>
      </w:r>
      <w:r w:rsidR="007D19D7">
        <w:t xml:space="preserve">Table </w:t>
      </w:r>
      <w:r w:rsidR="007D19D7">
        <w:rPr>
          <w:noProof/>
        </w:rPr>
        <w:t>4</w:t>
      </w:r>
      <w:r w:rsidR="007D19D7">
        <w:noBreakHyphen/>
      </w:r>
      <w:r w:rsidR="007D19D7">
        <w:rPr>
          <w:noProof/>
        </w:rPr>
        <w:t>5</w:t>
      </w:r>
      <w:r>
        <w:rPr>
          <w:highlight w:val="cyan"/>
        </w:rPr>
        <w:fldChar w:fldCharType="end"/>
      </w:r>
      <w:r w:rsidRPr="00A72F4E">
        <w:t>).</w:t>
      </w:r>
    </w:p>
    <w:p w14:paraId="263D89E9" w14:textId="4C7F6BE0" w:rsidR="00327D59" w:rsidRPr="00A72F4E" w:rsidRDefault="00327D59" w:rsidP="00327D59">
      <w:pPr>
        <w:pStyle w:val="2012TechReportBodytext"/>
      </w:pPr>
      <w:r>
        <w:t xml:space="preserve">The seventh survey for this cohort is planned for deployment </w:t>
      </w:r>
      <w:r w:rsidR="007A1E4F">
        <w:t xml:space="preserve">by the first half of </w:t>
      </w:r>
      <w:r>
        <w:t>2023.</w:t>
      </w:r>
    </w:p>
    <w:p w14:paraId="21E06991" w14:textId="4A148A70" w:rsidR="00327D59" w:rsidRPr="00A72F4E" w:rsidRDefault="00327D59" w:rsidP="00327D59">
      <w:pPr>
        <w:pStyle w:val="Caption"/>
        <w:rPr>
          <w:b w:val="0"/>
          <w:bCs w:val="0"/>
        </w:rPr>
      </w:pPr>
      <w:bookmarkStart w:id="677" w:name="_Ref113717277"/>
      <w:bookmarkStart w:id="678" w:name="_Toc492995411"/>
      <w:bookmarkStart w:id="679" w:name="_Toc18931516"/>
      <w:bookmarkStart w:id="680" w:name="_Toc56156866"/>
      <w:bookmarkStart w:id="681" w:name="_Toc87869420"/>
      <w:r>
        <w:t xml:space="preserve">Table </w:t>
      </w:r>
      <w:fldSimple w:instr=" STYLEREF 1 \s ">
        <w:r w:rsidR="007D19D7">
          <w:rPr>
            <w:noProof/>
          </w:rPr>
          <w:t>4</w:t>
        </w:r>
      </w:fldSimple>
      <w:r>
        <w:noBreakHyphen/>
      </w:r>
      <w:fldSimple w:instr=" SEQ Table \* ARABIC \s 1 ">
        <w:r w:rsidR="007D19D7">
          <w:rPr>
            <w:noProof/>
          </w:rPr>
          <w:t>5</w:t>
        </w:r>
      </w:fldSimple>
      <w:bookmarkEnd w:id="677"/>
      <w:r>
        <w:t xml:space="preserve"> </w:t>
      </w:r>
      <w:r w:rsidRPr="00A72F4E">
        <w:t>Participation and retention of 17,01</w:t>
      </w:r>
      <w:r>
        <w:t>0</w:t>
      </w:r>
      <w:r w:rsidRPr="00A72F4E">
        <w:t xml:space="preserve"> women in the 1989-95 cohort of women who were aged 18-23 years at Survey 1 in 2013*</w:t>
      </w:r>
      <w:bookmarkEnd w:id="678"/>
      <w:bookmarkEnd w:id="679"/>
      <w:bookmarkEnd w:id="680"/>
      <w:bookmarkEnd w:id="681"/>
    </w:p>
    <w:tbl>
      <w:tblPr>
        <w:tblW w:w="9103" w:type="dxa"/>
        <w:tblBorders>
          <w:top w:val="single" w:sz="4" w:space="0" w:color="auto"/>
          <w:bottom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98"/>
        <w:gridCol w:w="1361"/>
        <w:gridCol w:w="1361"/>
        <w:gridCol w:w="1361"/>
        <w:gridCol w:w="1361"/>
        <w:gridCol w:w="1361"/>
      </w:tblGrid>
      <w:tr w:rsidR="00327D59" w:rsidRPr="00A72F4E" w14:paraId="32F82D92" w14:textId="77777777" w:rsidTr="00032B54">
        <w:trPr>
          <w:cantSplit/>
          <w:tblHeader/>
        </w:trPr>
        <w:tc>
          <w:tcPr>
            <w:tcW w:w="2298" w:type="dxa"/>
            <w:tcBorders>
              <w:top w:val="single" w:sz="4" w:space="0" w:color="auto"/>
              <w:bottom w:val="single" w:sz="4" w:space="0" w:color="auto"/>
            </w:tcBorders>
            <w:shd w:val="clear" w:color="auto" w:fill="E5DFEC"/>
            <w:tcMar>
              <w:left w:w="60" w:type="dxa"/>
              <w:right w:w="60" w:type="dxa"/>
            </w:tcMar>
            <w:vAlign w:val="bottom"/>
          </w:tcPr>
          <w:p w14:paraId="393EA2D0" w14:textId="77777777" w:rsidR="00327D59" w:rsidRPr="00767CE4" w:rsidRDefault="00327D59" w:rsidP="00032B54">
            <w:pPr>
              <w:spacing w:before="0" w:after="0"/>
              <w:contextualSpacing/>
              <w:jc w:val="right"/>
              <w:rPr>
                <w:rFonts w:eastAsiaTheme="minorHAnsi"/>
                <w:b/>
                <w:lang w:eastAsia="en-US"/>
              </w:rPr>
            </w:pPr>
            <w:r w:rsidRPr="00767CE4">
              <w:rPr>
                <w:rFonts w:eastAsiaTheme="minorHAnsi"/>
                <w:b/>
                <w:lang w:eastAsia="en-US"/>
              </w:rPr>
              <w:t>Year</w:t>
            </w:r>
          </w:p>
          <w:p w14:paraId="32F8D5D0" w14:textId="77777777" w:rsidR="00327D59" w:rsidRPr="00767CE4" w:rsidRDefault="00327D59" w:rsidP="00032B54">
            <w:pPr>
              <w:spacing w:before="0" w:after="0"/>
              <w:contextualSpacing/>
              <w:jc w:val="right"/>
              <w:rPr>
                <w:rFonts w:eastAsiaTheme="minorHAnsi"/>
                <w:b/>
                <w:lang w:eastAsia="en-US"/>
              </w:rPr>
            </w:pPr>
            <w:r w:rsidRPr="00767CE4">
              <w:rPr>
                <w:rFonts w:eastAsiaTheme="minorHAnsi"/>
                <w:b/>
                <w:lang w:eastAsia="en-US"/>
              </w:rPr>
              <w:t>Survey</w:t>
            </w:r>
          </w:p>
          <w:p w14:paraId="0F2F54A6" w14:textId="77777777" w:rsidR="00327D59" w:rsidRPr="00A72F4E" w:rsidRDefault="00327D59" w:rsidP="00032B54">
            <w:pPr>
              <w:spacing w:before="0" w:after="0"/>
              <w:contextualSpacing/>
              <w:jc w:val="right"/>
              <w:rPr>
                <w:b/>
              </w:rPr>
            </w:pPr>
            <w:r w:rsidRPr="00767CE4">
              <w:rPr>
                <w:rFonts w:eastAsiaTheme="minorHAnsi"/>
                <w:b/>
                <w:lang w:eastAsia="en-US"/>
              </w:rPr>
              <w:t>(</w:t>
            </w:r>
            <w:proofErr w:type="gramStart"/>
            <w:r w:rsidRPr="00767CE4">
              <w:rPr>
                <w:rFonts w:eastAsiaTheme="minorHAnsi"/>
                <w:b/>
                <w:lang w:eastAsia="en-US"/>
              </w:rPr>
              <w:t>age</w:t>
            </w:r>
            <w:proofErr w:type="gramEnd"/>
            <w:r w:rsidRPr="00767CE4">
              <w:rPr>
                <w:rFonts w:eastAsiaTheme="minorHAnsi"/>
                <w:b/>
                <w:lang w:eastAsia="en-US"/>
              </w:rPr>
              <w:t xml:space="preserve"> range)</w:t>
            </w:r>
          </w:p>
        </w:tc>
        <w:tc>
          <w:tcPr>
            <w:tcW w:w="1361" w:type="dxa"/>
            <w:tcBorders>
              <w:top w:val="single" w:sz="4" w:space="0" w:color="auto"/>
              <w:bottom w:val="single" w:sz="4" w:space="0" w:color="auto"/>
            </w:tcBorders>
            <w:shd w:val="clear" w:color="auto" w:fill="E5DFEC"/>
            <w:tcMar>
              <w:left w:w="60" w:type="dxa"/>
              <w:right w:w="60" w:type="dxa"/>
            </w:tcMar>
            <w:vAlign w:val="bottom"/>
          </w:tcPr>
          <w:p w14:paraId="25CF0DBE" w14:textId="77777777" w:rsidR="00327D59" w:rsidRDefault="00327D59" w:rsidP="00032B54">
            <w:pPr>
              <w:spacing w:before="0" w:after="0"/>
              <w:contextualSpacing/>
              <w:jc w:val="center"/>
              <w:rPr>
                <w:b/>
              </w:rPr>
            </w:pPr>
            <w:r>
              <w:rPr>
                <w:b/>
              </w:rPr>
              <w:t>2014</w:t>
            </w:r>
          </w:p>
          <w:p w14:paraId="134EF6A9" w14:textId="77777777" w:rsidR="00327D59" w:rsidRPr="00A72F4E" w:rsidRDefault="00327D59" w:rsidP="00032B54">
            <w:pPr>
              <w:spacing w:before="0" w:after="0"/>
              <w:contextualSpacing/>
              <w:jc w:val="center"/>
              <w:rPr>
                <w:b/>
              </w:rPr>
            </w:pPr>
            <w:r w:rsidRPr="00A72F4E">
              <w:rPr>
                <w:b/>
              </w:rPr>
              <w:t>Survey 2</w:t>
            </w:r>
          </w:p>
          <w:p w14:paraId="5759738E" w14:textId="77777777" w:rsidR="00327D59" w:rsidRPr="00A72F4E" w:rsidRDefault="00327D59" w:rsidP="00032B54">
            <w:pPr>
              <w:spacing w:before="0" w:after="0"/>
              <w:contextualSpacing/>
              <w:jc w:val="center"/>
              <w:rPr>
                <w:b/>
              </w:rPr>
            </w:pPr>
            <w:r w:rsidRPr="00A72F4E">
              <w:rPr>
                <w:b/>
              </w:rPr>
              <w:t>(19-24)</w:t>
            </w:r>
          </w:p>
        </w:tc>
        <w:tc>
          <w:tcPr>
            <w:tcW w:w="1361" w:type="dxa"/>
            <w:tcBorders>
              <w:top w:val="single" w:sz="4" w:space="0" w:color="auto"/>
              <w:bottom w:val="single" w:sz="4" w:space="0" w:color="auto"/>
            </w:tcBorders>
            <w:shd w:val="clear" w:color="auto" w:fill="E5DFEC"/>
            <w:tcMar>
              <w:left w:w="60" w:type="dxa"/>
              <w:right w:w="60" w:type="dxa"/>
            </w:tcMar>
            <w:vAlign w:val="bottom"/>
          </w:tcPr>
          <w:p w14:paraId="1DB2F757" w14:textId="77777777" w:rsidR="00327D59" w:rsidRDefault="00327D59" w:rsidP="00032B54">
            <w:pPr>
              <w:spacing w:before="0" w:after="0"/>
              <w:contextualSpacing/>
              <w:jc w:val="center"/>
              <w:rPr>
                <w:b/>
              </w:rPr>
            </w:pPr>
            <w:r>
              <w:rPr>
                <w:b/>
              </w:rPr>
              <w:t>2015</w:t>
            </w:r>
          </w:p>
          <w:p w14:paraId="75C77588" w14:textId="77777777" w:rsidR="00327D59" w:rsidRPr="00A72F4E" w:rsidRDefault="00327D59" w:rsidP="00032B54">
            <w:pPr>
              <w:spacing w:before="0" w:after="0"/>
              <w:contextualSpacing/>
              <w:jc w:val="center"/>
              <w:rPr>
                <w:b/>
              </w:rPr>
            </w:pPr>
            <w:r w:rsidRPr="00A72F4E">
              <w:rPr>
                <w:b/>
              </w:rPr>
              <w:t>Survey 3</w:t>
            </w:r>
          </w:p>
          <w:p w14:paraId="7FF4D3B2" w14:textId="77777777" w:rsidR="00327D59" w:rsidRPr="00A72F4E" w:rsidRDefault="00327D59" w:rsidP="00032B54">
            <w:pPr>
              <w:spacing w:before="0" w:after="0"/>
              <w:contextualSpacing/>
              <w:jc w:val="center"/>
              <w:rPr>
                <w:b/>
              </w:rPr>
            </w:pPr>
            <w:r w:rsidRPr="00A72F4E">
              <w:rPr>
                <w:b/>
              </w:rPr>
              <w:t>(20-25)</w:t>
            </w:r>
          </w:p>
        </w:tc>
        <w:tc>
          <w:tcPr>
            <w:tcW w:w="1361" w:type="dxa"/>
            <w:tcBorders>
              <w:top w:val="single" w:sz="4" w:space="0" w:color="auto"/>
              <w:bottom w:val="single" w:sz="4" w:space="0" w:color="auto"/>
            </w:tcBorders>
            <w:shd w:val="clear" w:color="auto" w:fill="E5DFEC"/>
            <w:vAlign w:val="bottom"/>
          </w:tcPr>
          <w:p w14:paraId="6E6A4614" w14:textId="77777777" w:rsidR="00327D59" w:rsidRDefault="00327D59" w:rsidP="00032B54">
            <w:pPr>
              <w:spacing w:before="0" w:after="0"/>
              <w:contextualSpacing/>
              <w:jc w:val="center"/>
              <w:rPr>
                <w:b/>
              </w:rPr>
            </w:pPr>
            <w:r>
              <w:rPr>
                <w:b/>
              </w:rPr>
              <w:t>2016</w:t>
            </w:r>
          </w:p>
          <w:p w14:paraId="7E0F5530" w14:textId="77777777" w:rsidR="00327D59" w:rsidRPr="00A72F4E" w:rsidRDefault="00327D59" w:rsidP="00032B54">
            <w:pPr>
              <w:spacing w:before="0" w:after="0"/>
              <w:contextualSpacing/>
              <w:jc w:val="center"/>
              <w:rPr>
                <w:b/>
              </w:rPr>
            </w:pPr>
            <w:r w:rsidRPr="00A72F4E">
              <w:rPr>
                <w:b/>
              </w:rPr>
              <w:t>Survey 4</w:t>
            </w:r>
          </w:p>
          <w:p w14:paraId="2D44103E" w14:textId="77777777" w:rsidR="00327D59" w:rsidRPr="00A72F4E" w:rsidRDefault="00327D59" w:rsidP="00032B54">
            <w:pPr>
              <w:spacing w:before="0" w:after="0"/>
              <w:contextualSpacing/>
              <w:jc w:val="center"/>
              <w:rPr>
                <w:b/>
              </w:rPr>
            </w:pPr>
            <w:r w:rsidRPr="00A72F4E">
              <w:rPr>
                <w:b/>
              </w:rPr>
              <w:t>(21-26)</w:t>
            </w:r>
          </w:p>
        </w:tc>
        <w:tc>
          <w:tcPr>
            <w:tcW w:w="1361" w:type="dxa"/>
            <w:tcBorders>
              <w:top w:val="single" w:sz="4" w:space="0" w:color="auto"/>
              <w:bottom w:val="single" w:sz="4" w:space="0" w:color="auto"/>
            </w:tcBorders>
            <w:shd w:val="clear" w:color="auto" w:fill="E5DFEC"/>
          </w:tcPr>
          <w:p w14:paraId="272FF377" w14:textId="77777777" w:rsidR="00327D59" w:rsidRDefault="00327D59" w:rsidP="00032B54">
            <w:pPr>
              <w:spacing w:before="0" w:after="0"/>
              <w:contextualSpacing/>
              <w:jc w:val="center"/>
              <w:rPr>
                <w:b/>
              </w:rPr>
            </w:pPr>
            <w:r>
              <w:rPr>
                <w:b/>
              </w:rPr>
              <w:t>2017</w:t>
            </w:r>
          </w:p>
          <w:p w14:paraId="759BE702" w14:textId="77777777" w:rsidR="00327D59" w:rsidRPr="00A72F4E" w:rsidRDefault="00327D59" w:rsidP="00032B54">
            <w:pPr>
              <w:spacing w:before="0" w:after="0"/>
              <w:contextualSpacing/>
              <w:jc w:val="center"/>
              <w:rPr>
                <w:b/>
              </w:rPr>
            </w:pPr>
            <w:r w:rsidRPr="00A72F4E">
              <w:rPr>
                <w:b/>
              </w:rPr>
              <w:t>Survey 5</w:t>
            </w:r>
          </w:p>
          <w:p w14:paraId="78FA1C34" w14:textId="77777777" w:rsidR="00327D59" w:rsidRPr="00A72F4E" w:rsidRDefault="00327D59" w:rsidP="00032B54">
            <w:pPr>
              <w:spacing w:before="0" w:after="0"/>
              <w:contextualSpacing/>
              <w:jc w:val="center"/>
              <w:rPr>
                <w:b/>
              </w:rPr>
            </w:pPr>
            <w:r w:rsidRPr="00A72F4E">
              <w:rPr>
                <w:b/>
              </w:rPr>
              <w:t>(22-27)</w:t>
            </w:r>
          </w:p>
        </w:tc>
        <w:tc>
          <w:tcPr>
            <w:tcW w:w="1361" w:type="dxa"/>
            <w:tcBorders>
              <w:top w:val="single" w:sz="4" w:space="0" w:color="auto"/>
              <w:bottom w:val="single" w:sz="4" w:space="0" w:color="auto"/>
            </w:tcBorders>
            <w:shd w:val="clear" w:color="auto" w:fill="E5DFEC"/>
          </w:tcPr>
          <w:p w14:paraId="2E18E70F" w14:textId="77777777" w:rsidR="00327D59" w:rsidRDefault="00327D59" w:rsidP="00032B54">
            <w:pPr>
              <w:spacing w:before="0" w:after="0"/>
              <w:contextualSpacing/>
              <w:jc w:val="center"/>
              <w:rPr>
                <w:b/>
              </w:rPr>
            </w:pPr>
            <w:r>
              <w:rPr>
                <w:b/>
              </w:rPr>
              <w:t>2019/20</w:t>
            </w:r>
          </w:p>
          <w:p w14:paraId="0C650125" w14:textId="77777777" w:rsidR="00327D59" w:rsidRDefault="00327D59" w:rsidP="00032B54">
            <w:pPr>
              <w:spacing w:before="0" w:after="0"/>
              <w:contextualSpacing/>
              <w:jc w:val="center"/>
              <w:rPr>
                <w:b/>
              </w:rPr>
            </w:pPr>
            <w:r>
              <w:rPr>
                <w:b/>
              </w:rPr>
              <w:t>Survey 6</w:t>
            </w:r>
          </w:p>
          <w:p w14:paraId="19E9A1FD" w14:textId="77777777" w:rsidR="00327D59" w:rsidRDefault="00327D59" w:rsidP="00032B54">
            <w:pPr>
              <w:spacing w:before="0" w:after="0"/>
              <w:contextualSpacing/>
              <w:jc w:val="center"/>
              <w:rPr>
                <w:b/>
              </w:rPr>
            </w:pPr>
            <w:r>
              <w:rPr>
                <w:b/>
              </w:rPr>
              <w:t>(24-30)</w:t>
            </w:r>
          </w:p>
        </w:tc>
      </w:tr>
      <w:tr w:rsidR="00327D59" w:rsidRPr="00A72F4E" w14:paraId="3E88F86A" w14:textId="77777777" w:rsidTr="00032B54">
        <w:trPr>
          <w:cantSplit/>
        </w:trPr>
        <w:tc>
          <w:tcPr>
            <w:tcW w:w="2298" w:type="dxa"/>
            <w:tcBorders>
              <w:top w:val="single" w:sz="4" w:space="0" w:color="auto"/>
            </w:tcBorders>
            <w:shd w:val="clear" w:color="auto" w:fill="FFFFFF"/>
            <w:tcMar>
              <w:left w:w="60" w:type="dxa"/>
              <w:right w:w="60" w:type="dxa"/>
            </w:tcMar>
            <w:vAlign w:val="center"/>
          </w:tcPr>
          <w:p w14:paraId="75F8F887" w14:textId="77777777" w:rsidR="00327D59" w:rsidRPr="00A72F4E" w:rsidRDefault="00327D59" w:rsidP="00032B54">
            <w:pPr>
              <w:pStyle w:val="2012TechReportBodytext"/>
              <w:jc w:val="left"/>
            </w:pPr>
            <w:r w:rsidRPr="00A72F4E">
              <w:rPr>
                <w:rFonts w:eastAsiaTheme="minorHAnsi"/>
                <w:lang w:eastAsia="en-US"/>
              </w:rPr>
              <w:t>Deceased</w:t>
            </w:r>
          </w:p>
        </w:tc>
        <w:tc>
          <w:tcPr>
            <w:tcW w:w="1361" w:type="dxa"/>
            <w:tcBorders>
              <w:top w:val="single" w:sz="4" w:space="0" w:color="auto"/>
            </w:tcBorders>
            <w:shd w:val="clear" w:color="auto" w:fill="FFFFFF"/>
            <w:tcMar>
              <w:left w:w="60" w:type="dxa"/>
              <w:right w:w="60" w:type="dxa"/>
            </w:tcMar>
          </w:tcPr>
          <w:p w14:paraId="6B633F9D" w14:textId="77777777" w:rsidR="00327D59" w:rsidRDefault="00327D59" w:rsidP="00032B54">
            <w:pPr>
              <w:pStyle w:val="2012TechReportBodytext"/>
              <w:jc w:val="center"/>
            </w:pPr>
            <w:r>
              <w:rPr>
                <w:color w:val="000000"/>
              </w:rPr>
              <w:t>1</w:t>
            </w:r>
          </w:p>
        </w:tc>
        <w:tc>
          <w:tcPr>
            <w:tcW w:w="1361" w:type="dxa"/>
            <w:tcBorders>
              <w:top w:val="single" w:sz="4" w:space="0" w:color="auto"/>
            </w:tcBorders>
            <w:shd w:val="clear" w:color="auto" w:fill="FFFFFF"/>
            <w:tcMar>
              <w:left w:w="60" w:type="dxa"/>
              <w:right w:w="60" w:type="dxa"/>
            </w:tcMar>
          </w:tcPr>
          <w:p w14:paraId="598C4B84" w14:textId="77777777" w:rsidR="00327D59" w:rsidRDefault="00327D59" w:rsidP="00032B54">
            <w:pPr>
              <w:pStyle w:val="2012TechReportBodytext"/>
              <w:jc w:val="center"/>
            </w:pPr>
            <w:r>
              <w:rPr>
                <w:color w:val="000000"/>
              </w:rPr>
              <w:t>6</w:t>
            </w:r>
          </w:p>
        </w:tc>
        <w:tc>
          <w:tcPr>
            <w:tcW w:w="1361" w:type="dxa"/>
            <w:tcBorders>
              <w:top w:val="single" w:sz="4" w:space="0" w:color="auto"/>
            </w:tcBorders>
            <w:shd w:val="clear" w:color="auto" w:fill="FFFFFF"/>
          </w:tcPr>
          <w:p w14:paraId="7639ECED" w14:textId="77777777" w:rsidR="00327D59" w:rsidRDefault="00327D59" w:rsidP="00032B54">
            <w:pPr>
              <w:pStyle w:val="2012TechReportBodytext"/>
              <w:jc w:val="center"/>
            </w:pPr>
            <w:r>
              <w:rPr>
                <w:color w:val="000000"/>
              </w:rPr>
              <w:t>8</w:t>
            </w:r>
          </w:p>
        </w:tc>
        <w:tc>
          <w:tcPr>
            <w:tcW w:w="1361" w:type="dxa"/>
            <w:tcBorders>
              <w:top w:val="single" w:sz="4" w:space="0" w:color="auto"/>
            </w:tcBorders>
            <w:shd w:val="clear" w:color="auto" w:fill="FFFFFF"/>
          </w:tcPr>
          <w:p w14:paraId="27434878" w14:textId="77777777" w:rsidR="00327D59" w:rsidRDefault="00327D59" w:rsidP="00032B54">
            <w:pPr>
              <w:pStyle w:val="2012TechReportBodytext"/>
              <w:jc w:val="center"/>
            </w:pPr>
            <w:r>
              <w:rPr>
                <w:color w:val="000000"/>
              </w:rPr>
              <w:t>13</w:t>
            </w:r>
          </w:p>
        </w:tc>
        <w:tc>
          <w:tcPr>
            <w:tcW w:w="1361" w:type="dxa"/>
            <w:tcBorders>
              <w:top w:val="single" w:sz="4" w:space="0" w:color="auto"/>
            </w:tcBorders>
            <w:shd w:val="clear" w:color="auto" w:fill="FFFFFF"/>
          </w:tcPr>
          <w:p w14:paraId="5B3FED8C" w14:textId="77777777" w:rsidR="00327D59" w:rsidRDefault="00327D59" w:rsidP="00032B54">
            <w:pPr>
              <w:pStyle w:val="2012TechReportBodytext"/>
              <w:jc w:val="center"/>
            </w:pPr>
            <w:r>
              <w:rPr>
                <w:color w:val="000000"/>
              </w:rPr>
              <w:t>22</w:t>
            </w:r>
          </w:p>
        </w:tc>
      </w:tr>
      <w:tr w:rsidR="00327D59" w:rsidRPr="00A72F4E" w14:paraId="3213D24C" w14:textId="77777777" w:rsidTr="00032B54">
        <w:trPr>
          <w:cantSplit/>
        </w:trPr>
        <w:tc>
          <w:tcPr>
            <w:tcW w:w="2298" w:type="dxa"/>
            <w:shd w:val="clear" w:color="auto" w:fill="FFFFFF"/>
            <w:tcMar>
              <w:left w:w="60" w:type="dxa"/>
              <w:right w:w="60" w:type="dxa"/>
            </w:tcMar>
            <w:vAlign w:val="center"/>
          </w:tcPr>
          <w:p w14:paraId="27AECB35" w14:textId="77777777" w:rsidR="00327D59" w:rsidRPr="00A72F4E" w:rsidRDefault="00327D59" w:rsidP="00032B54">
            <w:pPr>
              <w:pStyle w:val="2012TechReportBodytext"/>
              <w:jc w:val="left"/>
            </w:pPr>
            <w:r w:rsidRPr="00A72F4E">
              <w:rPr>
                <w:rFonts w:eastAsiaTheme="minorHAnsi"/>
                <w:lang w:eastAsia="en-US"/>
              </w:rPr>
              <w:t>Frail</w:t>
            </w:r>
          </w:p>
        </w:tc>
        <w:tc>
          <w:tcPr>
            <w:tcW w:w="1361" w:type="dxa"/>
            <w:shd w:val="clear" w:color="auto" w:fill="FFFFFF"/>
            <w:tcMar>
              <w:left w:w="60" w:type="dxa"/>
              <w:right w:w="60" w:type="dxa"/>
            </w:tcMar>
          </w:tcPr>
          <w:p w14:paraId="77B67BC7" w14:textId="77777777" w:rsidR="00327D59" w:rsidRDefault="00327D59" w:rsidP="00032B54">
            <w:pPr>
              <w:pStyle w:val="2012TechReportBodytext"/>
              <w:jc w:val="center"/>
            </w:pPr>
            <w:r>
              <w:rPr>
                <w:color w:val="000000"/>
              </w:rPr>
              <w:t>1</w:t>
            </w:r>
          </w:p>
        </w:tc>
        <w:tc>
          <w:tcPr>
            <w:tcW w:w="1361" w:type="dxa"/>
            <w:shd w:val="clear" w:color="auto" w:fill="FFFFFF"/>
            <w:tcMar>
              <w:left w:w="60" w:type="dxa"/>
              <w:right w:w="60" w:type="dxa"/>
            </w:tcMar>
          </w:tcPr>
          <w:p w14:paraId="2EB78518" w14:textId="77777777" w:rsidR="00327D59" w:rsidRDefault="00327D59" w:rsidP="00032B54">
            <w:pPr>
              <w:pStyle w:val="2012TechReportBodytext"/>
              <w:jc w:val="center"/>
            </w:pPr>
            <w:r>
              <w:rPr>
                <w:color w:val="000000"/>
              </w:rPr>
              <w:t>1</w:t>
            </w:r>
          </w:p>
        </w:tc>
        <w:tc>
          <w:tcPr>
            <w:tcW w:w="1361" w:type="dxa"/>
            <w:shd w:val="clear" w:color="auto" w:fill="FFFFFF"/>
          </w:tcPr>
          <w:p w14:paraId="5179B0AD" w14:textId="77777777" w:rsidR="00327D59" w:rsidRDefault="00327D59" w:rsidP="00032B54">
            <w:pPr>
              <w:pStyle w:val="2012TechReportBodytext"/>
              <w:jc w:val="center"/>
            </w:pPr>
            <w:r>
              <w:rPr>
                <w:color w:val="000000"/>
              </w:rPr>
              <w:t>1</w:t>
            </w:r>
          </w:p>
        </w:tc>
        <w:tc>
          <w:tcPr>
            <w:tcW w:w="1361" w:type="dxa"/>
            <w:shd w:val="clear" w:color="auto" w:fill="FFFFFF"/>
          </w:tcPr>
          <w:p w14:paraId="447BB736" w14:textId="77777777" w:rsidR="00327D59" w:rsidRDefault="00327D59" w:rsidP="00032B54">
            <w:pPr>
              <w:pStyle w:val="2012TechReportBodytext"/>
              <w:jc w:val="center"/>
            </w:pPr>
            <w:r>
              <w:rPr>
                <w:color w:val="000000"/>
              </w:rPr>
              <w:t>1</w:t>
            </w:r>
          </w:p>
        </w:tc>
        <w:tc>
          <w:tcPr>
            <w:tcW w:w="1361" w:type="dxa"/>
            <w:shd w:val="clear" w:color="auto" w:fill="FFFFFF"/>
          </w:tcPr>
          <w:p w14:paraId="59306EB4" w14:textId="77777777" w:rsidR="00327D59" w:rsidRDefault="00327D59" w:rsidP="00032B54">
            <w:pPr>
              <w:pStyle w:val="2012TechReportBodytext"/>
              <w:jc w:val="center"/>
            </w:pPr>
            <w:r>
              <w:rPr>
                <w:color w:val="000000"/>
              </w:rPr>
              <w:t>1</w:t>
            </w:r>
          </w:p>
        </w:tc>
      </w:tr>
      <w:tr w:rsidR="00327D59" w:rsidRPr="00A72F4E" w14:paraId="1B919FF2" w14:textId="77777777" w:rsidTr="00032B54">
        <w:trPr>
          <w:cantSplit/>
        </w:trPr>
        <w:tc>
          <w:tcPr>
            <w:tcW w:w="2298" w:type="dxa"/>
            <w:tcBorders>
              <w:bottom w:val="nil"/>
            </w:tcBorders>
            <w:shd w:val="clear" w:color="auto" w:fill="FFFFFF"/>
            <w:tcMar>
              <w:left w:w="60" w:type="dxa"/>
              <w:right w:w="60" w:type="dxa"/>
            </w:tcMar>
            <w:vAlign w:val="center"/>
          </w:tcPr>
          <w:p w14:paraId="3D777E75" w14:textId="77777777" w:rsidR="00327D59" w:rsidRPr="00A72F4E" w:rsidRDefault="00327D59" w:rsidP="00032B54">
            <w:pPr>
              <w:pStyle w:val="2012TechReportBodytext"/>
              <w:jc w:val="left"/>
            </w:pPr>
            <w:r w:rsidRPr="00A72F4E">
              <w:rPr>
                <w:rFonts w:eastAsiaTheme="minorHAnsi"/>
                <w:lang w:eastAsia="en-US"/>
              </w:rPr>
              <w:t>Withdrawn</w:t>
            </w:r>
          </w:p>
        </w:tc>
        <w:tc>
          <w:tcPr>
            <w:tcW w:w="1361" w:type="dxa"/>
            <w:tcBorders>
              <w:bottom w:val="nil"/>
            </w:tcBorders>
            <w:shd w:val="clear" w:color="auto" w:fill="FFFFFF"/>
            <w:tcMar>
              <w:left w:w="60" w:type="dxa"/>
              <w:right w:w="60" w:type="dxa"/>
            </w:tcMar>
          </w:tcPr>
          <w:p w14:paraId="2C3B27F8" w14:textId="77777777" w:rsidR="00327D59" w:rsidRDefault="00327D59" w:rsidP="00032B54">
            <w:pPr>
              <w:pStyle w:val="2012TechReportBodytext"/>
              <w:jc w:val="center"/>
            </w:pPr>
            <w:r>
              <w:rPr>
                <w:color w:val="000000"/>
              </w:rPr>
              <w:t>681</w:t>
            </w:r>
          </w:p>
        </w:tc>
        <w:tc>
          <w:tcPr>
            <w:tcW w:w="1361" w:type="dxa"/>
            <w:tcBorders>
              <w:bottom w:val="nil"/>
            </w:tcBorders>
            <w:shd w:val="clear" w:color="auto" w:fill="FFFFFF"/>
            <w:tcMar>
              <w:left w:w="60" w:type="dxa"/>
              <w:right w:w="60" w:type="dxa"/>
            </w:tcMar>
          </w:tcPr>
          <w:p w14:paraId="74792A49" w14:textId="77777777" w:rsidR="00327D59" w:rsidRDefault="00327D59" w:rsidP="00032B54">
            <w:pPr>
              <w:pStyle w:val="2012TechReportBodytext"/>
              <w:jc w:val="center"/>
            </w:pPr>
            <w:r>
              <w:rPr>
                <w:color w:val="000000"/>
              </w:rPr>
              <w:t>694</w:t>
            </w:r>
          </w:p>
        </w:tc>
        <w:tc>
          <w:tcPr>
            <w:tcW w:w="1361" w:type="dxa"/>
            <w:tcBorders>
              <w:bottom w:val="nil"/>
            </w:tcBorders>
            <w:shd w:val="clear" w:color="auto" w:fill="FFFFFF"/>
          </w:tcPr>
          <w:p w14:paraId="67582083" w14:textId="77777777" w:rsidR="00327D59" w:rsidRDefault="00327D59" w:rsidP="00032B54">
            <w:pPr>
              <w:pStyle w:val="2012TechReportBodytext"/>
              <w:jc w:val="center"/>
            </w:pPr>
            <w:r>
              <w:rPr>
                <w:color w:val="000000"/>
              </w:rPr>
              <w:t>1,744</w:t>
            </w:r>
          </w:p>
        </w:tc>
        <w:tc>
          <w:tcPr>
            <w:tcW w:w="1361" w:type="dxa"/>
            <w:tcBorders>
              <w:bottom w:val="nil"/>
            </w:tcBorders>
            <w:shd w:val="clear" w:color="auto" w:fill="FFFFFF"/>
          </w:tcPr>
          <w:p w14:paraId="3AE4344E" w14:textId="77777777" w:rsidR="00327D59" w:rsidRDefault="00327D59" w:rsidP="00032B54">
            <w:pPr>
              <w:pStyle w:val="2012TechReportBodytext"/>
              <w:jc w:val="center"/>
            </w:pPr>
            <w:r>
              <w:rPr>
                <w:color w:val="000000"/>
              </w:rPr>
              <w:t>1,943</w:t>
            </w:r>
          </w:p>
        </w:tc>
        <w:tc>
          <w:tcPr>
            <w:tcW w:w="1361" w:type="dxa"/>
            <w:tcBorders>
              <w:bottom w:val="nil"/>
            </w:tcBorders>
            <w:shd w:val="clear" w:color="auto" w:fill="FFFFFF"/>
          </w:tcPr>
          <w:p w14:paraId="5FB771B2" w14:textId="77777777" w:rsidR="00327D59" w:rsidRDefault="00327D59" w:rsidP="00032B54">
            <w:pPr>
              <w:pStyle w:val="2012TechReportBodytext"/>
              <w:jc w:val="center"/>
            </w:pPr>
            <w:r>
              <w:rPr>
                <w:color w:val="000000"/>
              </w:rPr>
              <w:t>2,048</w:t>
            </w:r>
          </w:p>
        </w:tc>
      </w:tr>
      <w:tr w:rsidR="00327D59" w:rsidRPr="00A72F4E" w14:paraId="1F10373A" w14:textId="77777777" w:rsidTr="00032B54">
        <w:trPr>
          <w:cantSplit/>
        </w:trPr>
        <w:tc>
          <w:tcPr>
            <w:tcW w:w="2298" w:type="dxa"/>
            <w:tcBorders>
              <w:top w:val="nil"/>
              <w:bottom w:val="single" w:sz="4" w:space="0" w:color="auto"/>
            </w:tcBorders>
            <w:shd w:val="clear" w:color="auto" w:fill="FFFFFF"/>
            <w:tcMar>
              <w:left w:w="60" w:type="dxa"/>
              <w:right w:w="60" w:type="dxa"/>
            </w:tcMar>
            <w:vAlign w:val="center"/>
          </w:tcPr>
          <w:p w14:paraId="3CB1B811" w14:textId="77777777" w:rsidR="00327D59" w:rsidRPr="00B70954" w:rsidRDefault="00327D59" w:rsidP="00032B54">
            <w:pPr>
              <w:pStyle w:val="2012TechReportBodytext"/>
              <w:jc w:val="left"/>
              <w:rPr>
                <w:b/>
              </w:rPr>
            </w:pPr>
            <w:r w:rsidRPr="00B70954">
              <w:rPr>
                <w:rFonts w:eastAsiaTheme="minorHAnsi"/>
                <w:b/>
                <w:sz w:val="18"/>
                <w:szCs w:val="18"/>
                <w:lang w:eastAsia="en-US"/>
              </w:rPr>
              <w:t>TOTAL INELIGIBLE</w:t>
            </w:r>
          </w:p>
        </w:tc>
        <w:tc>
          <w:tcPr>
            <w:tcW w:w="1361" w:type="dxa"/>
            <w:tcBorders>
              <w:top w:val="nil"/>
              <w:bottom w:val="single" w:sz="4" w:space="0" w:color="auto"/>
            </w:tcBorders>
            <w:shd w:val="clear" w:color="auto" w:fill="FFFFFF"/>
            <w:tcMar>
              <w:left w:w="60" w:type="dxa"/>
              <w:right w:w="60" w:type="dxa"/>
            </w:tcMar>
          </w:tcPr>
          <w:p w14:paraId="08EF4403" w14:textId="77777777" w:rsidR="00327D59" w:rsidRPr="00CA270D" w:rsidRDefault="00327D59" w:rsidP="00032B54">
            <w:pPr>
              <w:pStyle w:val="2012TechReportBodytext"/>
              <w:jc w:val="center"/>
              <w:rPr>
                <w:b/>
                <w:bCs/>
              </w:rPr>
            </w:pPr>
            <w:r w:rsidRPr="00CA270D">
              <w:rPr>
                <w:b/>
                <w:bCs/>
                <w:color w:val="000000"/>
              </w:rPr>
              <w:t>683</w:t>
            </w:r>
          </w:p>
        </w:tc>
        <w:tc>
          <w:tcPr>
            <w:tcW w:w="1361" w:type="dxa"/>
            <w:tcBorders>
              <w:top w:val="nil"/>
              <w:bottom w:val="single" w:sz="4" w:space="0" w:color="auto"/>
            </w:tcBorders>
            <w:shd w:val="clear" w:color="auto" w:fill="FFFFFF"/>
            <w:tcMar>
              <w:left w:w="60" w:type="dxa"/>
              <w:right w:w="60" w:type="dxa"/>
            </w:tcMar>
          </w:tcPr>
          <w:p w14:paraId="5E10E6C7" w14:textId="77777777" w:rsidR="00327D59" w:rsidRPr="00CA270D" w:rsidRDefault="00327D59" w:rsidP="00032B54">
            <w:pPr>
              <w:pStyle w:val="2012TechReportBodytext"/>
              <w:jc w:val="center"/>
              <w:rPr>
                <w:b/>
                <w:bCs/>
              </w:rPr>
            </w:pPr>
            <w:r w:rsidRPr="00CA270D">
              <w:rPr>
                <w:b/>
                <w:bCs/>
                <w:color w:val="000000"/>
              </w:rPr>
              <w:t>701</w:t>
            </w:r>
          </w:p>
        </w:tc>
        <w:tc>
          <w:tcPr>
            <w:tcW w:w="1361" w:type="dxa"/>
            <w:tcBorders>
              <w:top w:val="nil"/>
              <w:bottom w:val="single" w:sz="4" w:space="0" w:color="auto"/>
            </w:tcBorders>
            <w:shd w:val="clear" w:color="auto" w:fill="FFFFFF"/>
          </w:tcPr>
          <w:p w14:paraId="49724944" w14:textId="77777777" w:rsidR="00327D59" w:rsidRPr="00CA270D" w:rsidRDefault="00327D59" w:rsidP="00032B54">
            <w:pPr>
              <w:pStyle w:val="2012TechReportBodytext"/>
              <w:jc w:val="center"/>
              <w:rPr>
                <w:b/>
                <w:bCs/>
              </w:rPr>
            </w:pPr>
            <w:r w:rsidRPr="00CA270D">
              <w:rPr>
                <w:b/>
                <w:bCs/>
                <w:color w:val="000000"/>
              </w:rPr>
              <w:t>1</w:t>
            </w:r>
            <w:r>
              <w:rPr>
                <w:b/>
                <w:bCs/>
                <w:color w:val="000000"/>
              </w:rPr>
              <w:t>,</w:t>
            </w:r>
            <w:r w:rsidRPr="00CA270D">
              <w:rPr>
                <w:b/>
                <w:bCs/>
                <w:color w:val="000000"/>
              </w:rPr>
              <w:t>753</w:t>
            </w:r>
          </w:p>
        </w:tc>
        <w:tc>
          <w:tcPr>
            <w:tcW w:w="1361" w:type="dxa"/>
            <w:tcBorders>
              <w:top w:val="nil"/>
              <w:bottom w:val="single" w:sz="4" w:space="0" w:color="auto"/>
            </w:tcBorders>
            <w:shd w:val="clear" w:color="auto" w:fill="FFFFFF"/>
          </w:tcPr>
          <w:p w14:paraId="4071A1E6" w14:textId="77777777" w:rsidR="00327D59" w:rsidRPr="00CA270D" w:rsidRDefault="00327D59" w:rsidP="00032B54">
            <w:pPr>
              <w:pStyle w:val="2012TechReportBodytext"/>
              <w:jc w:val="center"/>
              <w:rPr>
                <w:b/>
                <w:bCs/>
              </w:rPr>
            </w:pPr>
            <w:r w:rsidRPr="00CA270D">
              <w:rPr>
                <w:b/>
                <w:bCs/>
                <w:color w:val="000000"/>
              </w:rPr>
              <w:t>1</w:t>
            </w:r>
            <w:r>
              <w:rPr>
                <w:b/>
                <w:bCs/>
                <w:color w:val="000000"/>
              </w:rPr>
              <w:t>,</w:t>
            </w:r>
            <w:r w:rsidRPr="00CA270D">
              <w:rPr>
                <w:b/>
                <w:bCs/>
                <w:color w:val="000000"/>
              </w:rPr>
              <w:t>957</w:t>
            </w:r>
          </w:p>
        </w:tc>
        <w:tc>
          <w:tcPr>
            <w:tcW w:w="1361" w:type="dxa"/>
            <w:tcBorders>
              <w:top w:val="nil"/>
              <w:bottom w:val="single" w:sz="4" w:space="0" w:color="auto"/>
            </w:tcBorders>
            <w:shd w:val="clear" w:color="auto" w:fill="FFFFFF"/>
          </w:tcPr>
          <w:p w14:paraId="625CD97B" w14:textId="77777777" w:rsidR="00327D59" w:rsidRPr="00CA270D" w:rsidRDefault="00327D59" w:rsidP="00032B54">
            <w:pPr>
              <w:pStyle w:val="2012TechReportBodytext"/>
              <w:jc w:val="center"/>
              <w:rPr>
                <w:b/>
                <w:bCs/>
              </w:rPr>
            </w:pPr>
            <w:r w:rsidRPr="00CA270D">
              <w:rPr>
                <w:b/>
                <w:bCs/>
                <w:color w:val="000000"/>
              </w:rPr>
              <w:t>2</w:t>
            </w:r>
            <w:r>
              <w:rPr>
                <w:b/>
                <w:bCs/>
                <w:color w:val="000000"/>
              </w:rPr>
              <w:t>,</w:t>
            </w:r>
            <w:r w:rsidRPr="00CA270D">
              <w:rPr>
                <w:b/>
                <w:bCs/>
                <w:color w:val="000000"/>
              </w:rPr>
              <w:t>071</w:t>
            </w:r>
          </w:p>
        </w:tc>
      </w:tr>
      <w:tr w:rsidR="00327D59" w:rsidRPr="00A72F4E" w14:paraId="2A5FA406" w14:textId="77777777" w:rsidTr="00032B54">
        <w:trPr>
          <w:cantSplit/>
        </w:trPr>
        <w:tc>
          <w:tcPr>
            <w:tcW w:w="2298" w:type="dxa"/>
            <w:tcBorders>
              <w:top w:val="single" w:sz="4" w:space="0" w:color="auto"/>
            </w:tcBorders>
            <w:shd w:val="clear" w:color="auto" w:fill="FFFFFF"/>
            <w:tcMar>
              <w:left w:w="60" w:type="dxa"/>
              <w:right w:w="60" w:type="dxa"/>
            </w:tcMar>
            <w:vAlign w:val="center"/>
          </w:tcPr>
          <w:p w14:paraId="4C2362FE" w14:textId="77777777" w:rsidR="00327D59" w:rsidRPr="00A72F4E" w:rsidRDefault="00327D59" w:rsidP="00032B54">
            <w:pPr>
              <w:pStyle w:val="2012TechReportBodytext"/>
              <w:jc w:val="left"/>
            </w:pPr>
            <w:r w:rsidRPr="00A72F4E">
              <w:rPr>
                <w:rFonts w:eastAsiaTheme="minorHAnsi"/>
                <w:lang w:eastAsia="en-US"/>
              </w:rPr>
              <w:t>Did not do survey</w:t>
            </w:r>
          </w:p>
        </w:tc>
        <w:tc>
          <w:tcPr>
            <w:tcW w:w="1361" w:type="dxa"/>
            <w:tcBorders>
              <w:top w:val="single" w:sz="4" w:space="0" w:color="auto"/>
            </w:tcBorders>
            <w:shd w:val="clear" w:color="auto" w:fill="FFFFFF"/>
            <w:tcMar>
              <w:left w:w="60" w:type="dxa"/>
              <w:right w:w="60" w:type="dxa"/>
            </w:tcMar>
          </w:tcPr>
          <w:p w14:paraId="04998996" w14:textId="77777777" w:rsidR="00327D59" w:rsidRDefault="00327D59" w:rsidP="00032B54">
            <w:pPr>
              <w:pStyle w:val="2012TechReportBodytext"/>
              <w:jc w:val="center"/>
            </w:pPr>
            <w:r>
              <w:rPr>
                <w:color w:val="000000"/>
              </w:rPr>
              <w:t>2,362</w:t>
            </w:r>
          </w:p>
        </w:tc>
        <w:tc>
          <w:tcPr>
            <w:tcW w:w="1361" w:type="dxa"/>
            <w:tcBorders>
              <w:top w:val="single" w:sz="4" w:space="0" w:color="auto"/>
            </w:tcBorders>
            <w:shd w:val="clear" w:color="auto" w:fill="FFFFFF"/>
            <w:tcMar>
              <w:left w:w="60" w:type="dxa"/>
              <w:right w:w="60" w:type="dxa"/>
            </w:tcMar>
          </w:tcPr>
          <w:p w14:paraId="113FF4C5" w14:textId="77777777" w:rsidR="00327D59" w:rsidRDefault="00327D59" w:rsidP="00032B54">
            <w:pPr>
              <w:pStyle w:val="2012TechReportBodytext"/>
              <w:jc w:val="center"/>
            </w:pPr>
            <w:r>
              <w:rPr>
                <w:color w:val="000000"/>
              </w:rPr>
              <w:t>3,879</w:t>
            </w:r>
          </w:p>
        </w:tc>
        <w:tc>
          <w:tcPr>
            <w:tcW w:w="1361" w:type="dxa"/>
            <w:tcBorders>
              <w:top w:val="single" w:sz="4" w:space="0" w:color="auto"/>
            </w:tcBorders>
            <w:shd w:val="clear" w:color="auto" w:fill="FFFFFF"/>
          </w:tcPr>
          <w:p w14:paraId="5D9DE2A9" w14:textId="77777777" w:rsidR="00327D59" w:rsidRDefault="00327D59" w:rsidP="00032B54">
            <w:pPr>
              <w:pStyle w:val="2012TechReportBodytext"/>
              <w:jc w:val="center"/>
            </w:pPr>
            <w:r>
              <w:rPr>
                <w:color w:val="000000"/>
              </w:rPr>
              <w:t>1,850</w:t>
            </w:r>
          </w:p>
        </w:tc>
        <w:tc>
          <w:tcPr>
            <w:tcW w:w="1361" w:type="dxa"/>
            <w:tcBorders>
              <w:top w:val="single" w:sz="4" w:space="0" w:color="auto"/>
            </w:tcBorders>
            <w:shd w:val="clear" w:color="auto" w:fill="FFFFFF"/>
          </w:tcPr>
          <w:p w14:paraId="0D0D56F9" w14:textId="77777777" w:rsidR="00327D59" w:rsidRDefault="00327D59" w:rsidP="00032B54">
            <w:pPr>
              <w:pStyle w:val="2012TechReportBodytext"/>
              <w:jc w:val="center"/>
            </w:pPr>
            <w:r>
              <w:rPr>
                <w:color w:val="000000"/>
              </w:rPr>
              <w:t>1,813</w:t>
            </w:r>
          </w:p>
        </w:tc>
        <w:tc>
          <w:tcPr>
            <w:tcW w:w="1361" w:type="dxa"/>
            <w:tcBorders>
              <w:top w:val="single" w:sz="4" w:space="0" w:color="auto"/>
            </w:tcBorders>
            <w:shd w:val="clear" w:color="auto" w:fill="FFFFFF"/>
          </w:tcPr>
          <w:p w14:paraId="53CE3F4F" w14:textId="77777777" w:rsidR="00327D59" w:rsidRDefault="00327D59" w:rsidP="00032B54">
            <w:pPr>
              <w:pStyle w:val="2012TechReportBodytext"/>
              <w:jc w:val="center"/>
            </w:pPr>
            <w:r>
              <w:rPr>
                <w:color w:val="000000"/>
              </w:rPr>
              <w:t>1,329</w:t>
            </w:r>
          </w:p>
        </w:tc>
      </w:tr>
      <w:tr w:rsidR="00327D59" w:rsidRPr="00A72F4E" w14:paraId="32C778CF" w14:textId="77777777" w:rsidTr="00032B54">
        <w:trPr>
          <w:cantSplit/>
        </w:trPr>
        <w:tc>
          <w:tcPr>
            <w:tcW w:w="2298" w:type="dxa"/>
            <w:shd w:val="clear" w:color="auto" w:fill="FFFFFF"/>
            <w:tcMar>
              <w:left w:w="60" w:type="dxa"/>
              <w:right w:w="60" w:type="dxa"/>
            </w:tcMar>
            <w:vAlign w:val="center"/>
          </w:tcPr>
          <w:p w14:paraId="32244A5B" w14:textId="77777777" w:rsidR="00327D59" w:rsidRPr="00A72F4E" w:rsidRDefault="00327D59" w:rsidP="00032B54">
            <w:pPr>
              <w:pStyle w:val="2012TechReportBodytext"/>
              <w:jc w:val="left"/>
            </w:pPr>
            <w:r w:rsidRPr="00A72F4E">
              <w:rPr>
                <w:rFonts w:eastAsiaTheme="minorHAnsi"/>
                <w:lang w:eastAsia="en-US"/>
              </w:rPr>
              <w:t>No contact</w:t>
            </w:r>
          </w:p>
        </w:tc>
        <w:tc>
          <w:tcPr>
            <w:tcW w:w="1361" w:type="dxa"/>
            <w:shd w:val="clear" w:color="auto" w:fill="FFFFFF"/>
            <w:tcMar>
              <w:left w:w="60" w:type="dxa"/>
              <w:right w:w="60" w:type="dxa"/>
            </w:tcMar>
          </w:tcPr>
          <w:p w14:paraId="3545462C" w14:textId="77777777" w:rsidR="00327D59" w:rsidRDefault="00327D59" w:rsidP="00032B54">
            <w:pPr>
              <w:pStyle w:val="2012TechReportBodytext"/>
              <w:jc w:val="center"/>
            </w:pPr>
            <w:r>
              <w:rPr>
                <w:color w:val="000000"/>
              </w:rPr>
              <w:t>2,621</w:t>
            </w:r>
          </w:p>
        </w:tc>
        <w:tc>
          <w:tcPr>
            <w:tcW w:w="1361" w:type="dxa"/>
            <w:shd w:val="clear" w:color="auto" w:fill="FFFFFF"/>
            <w:tcMar>
              <w:left w:w="60" w:type="dxa"/>
              <w:right w:w="60" w:type="dxa"/>
            </w:tcMar>
          </w:tcPr>
          <w:p w14:paraId="3DA1D9E8" w14:textId="77777777" w:rsidR="00327D59" w:rsidRDefault="00327D59" w:rsidP="00032B54">
            <w:pPr>
              <w:pStyle w:val="2012TechReportBodytext"/>
              <w:jc w:val="center"/>
            </w:pPr>
            <w:r>
              <w:rPr>
                <w:color w:val="000000"/>
              </w:rPr>
              <w:t>3,469</w:t>
            </w:r>
          </w:p>
        </w:tc>
        <w:tc>
          <w:tcPr>
            <w:tcW w:w="1361" w:type="dxa"/>
            <w:shd w:val="clear" w:color="auto" w:fill="FFFFFF"/>
          </w:tcPr>
          <w:p w14:paraId="05315D8B" w14:textId="77777777" w:rsidR="00327D59" w:rsidRDefault="00327D59" w:rsidP="00032B54">
            <w:pPr>
              <w:pStyle w:val="2012TechReportBodytext"/>
              <w:jc w:val="center"/>
            </w:pPr>
            <w:r>
              <w:rPr>
                <w:color w:val="000000"/>
              </w:rPr>
              <w:t>4,400</w:t>
            </w:r>
          </w:p>
        </w:tc>
        <w:tc>
          <w:tcPr>
            <w:tcW w:w="1361" w:type="dxa"/>
            <w:shd w:val="clear" w:color="auto" w:fill="FFFFFF"/>
          </w:tcPr>
          <w:p w14:paraId="51DE632E" w14:textId="77777777" w:rsidR="00327D59" w:rsidRDefault="00327D59" w:rsidP="00032B54">
            <w:pPr>
              <w:pStyle w:val="2012TechReportBodytext"/>
              <w:jc w:val="center"/>
            </w:pPr>
            <w:r>
              <w:rPr>
                <w:color w:val="000000"/>
              </w:rPr>
              <w:t>4,745</w:t>
            </w:r>
          </w:p>
        </w:tc>
        <w:tc>
          <w:tcPr>
            <w:tcW w:w="1361" w:type="dxa"/>
            <w:shd w:val="clear" w:color="auto" w:fill="FFFFFF"/>
          </w:tcPr>
          <w:p w14:paraId="5B8FB2B4" w14:textId="77777777" w:rsidR="00327D59" w:rsidRDefault="00327D59" w:rsidP="00032B54">
            <w:pPr>
              <w:pStyle w:val="2012TechReportBodytext"/>
              <w:jc w:val="center"/>
            </w:pPr>
            <w:r>
              <w:rPr>
                <w:color w:val="000000"/>
              </w:rPr>
              <w:t>5,264</w:t>
            </w:r>
          </w:p>
        </w:tc>
      </w:tr>
      <w:tr w:rsidR="00327D59" w:rsidRPr="00A72F4E" w14:paraId="57D5CDC8" w14:textId="77777777" w:rsidTr="00032B54">
        <w:trPr>
          <w:cantSplit/>
        </w:trPr>
        <w:tc>
          <w:tcPr>
            <w:tcW w:w="2298" w:type="dxa"/>
            <w:tcBorders>
              <w:bottom w:val="nil"/>
            </w:tcBorders>
            <w:shd w:val="clear" w:color="auto" w:fill="FFFFFF"/>
            <w:tcMar>
              <w:left w:w="60" w:type="dxa"/>
              <w:right w:w="60" w:type="dxa"/>
            </w:tcMar>
            <w:vAlign w:val="center"/>
          </w:tcPr>
          <w:p w14:paraId="297279BD" w14:textId="77777777" w:rsidR="00327D59" w:rsidRPr="00A72F4E" w:rsidRDefault="00327D59" w:rsidP="00032B54">
            <w:pPr>
              <w:pStyle w:val="2012TechReportBodytext"/>
              <w:jc w:val="left"/>
            </w:pPr>
            <w:r w:rsidRPr="00A72F4E">
              <w:rPr>
                <w:rFonts w:eastAsiaTheme="minorHAnsi"/>
                <w:lang w:eastAsia="en-US"/>
              </w:rPr>
              <w:t>Respondent</w:t>
            </w:r>
          </w:p>
        </w:tc>
        <w:tc>
          <w:tcPr>
            <w:tcW w:w="1361" w:type="dxa"/>
            <w:tcBorders>
              <w:bottom w:val="nil"/>
            </w:tcBorders>
            <w:shd w:val="clear" w:color="auto" w:fill="FFFFFF"/>
            <w:tcMar>
              <w:left w:w="60" w:type="dxa"/>
              <w:right w:w="60" w:type="dxa"/>
            </w:tcMar>
          </w:tcPr>
          <w:p w14:paraId="27B507A7" w14:textId="77777777" w:rsidR="00327D59" w:rsidRDefault="00327D59" w:rsidP="00032B54">
            <w:pPr>
              <w:pStyle w:val="2012TechReportBodytext"/>
              <w:jc w:val="center"/>
            </w:pPr>
            <w:r>
              <w:rPr>
                <w:color w:val="000000"/>
              </w:rPr>
              <w:t>11,344</w:t>
            </w:r>
          </w:p>
        </w:tc>
        <w:tc>
          <w:tcPr>
            <w:tcW w:w="1361" w:type="dxa"/>
            <w:tcBorders>
              <w:bottom w:val="nil"/>
            </w:tcBorders>
            <w:shd w:val="clear" w:color="auto" w:fill="FFFFFF"/>
            <w:tcMar>
              <w:left w:w="60" w:type="dxa"/>
              <w:right w:w="60" w:type="dxa"/>
            </w:tcMar>
          </w:tcPr>
          <w:p w14:paraId="66F349CA" w14:textId="77777777" w:rsidR="00327D59" w:rsidRDefault="00327D59" w:rsidP="00032B54">
            <w:pPr>
              <w:pStyle w:val="2012TechReportBodytext"/>
              <w:jc w:val="center"/>
            </w:pPr>
            <w:r>
              <w:rPr>
                <w:color w:val="000000"/>
              </w:rPr>
              <w:t>8,961</w:t>
            </w:r>
          </w:p>
        </w:tc>
        <w:tc>
          <w:tcPr>
            <w:tcW w:w="1361" w:type="dxa"/>
            <w:tcBorders>
              <w:bottom w:val="nil"/>
            </w:tcBorders>
            <w:shd w:val="clear" w:color="auto" w:fill="FFFFFF"/>
          </w:tcPr>
          <w:p w14:paraId="1E62A619" w14:textId="77777777" w:rsidR="00327D59" w:rsidRDefault="00327D59" w:rsidP="00032B54">
            <w:pPr>
              <w:pStyle w:val="2012TechReportBodytext"/>
              <w:jc w:val="center"/>
            </w:pPr>
            <w:r>
              <w:rPr>
                <w:color w:val="000000"/>
              </w:rPr>
              <w:t>9,007</w:t>
            </w:r>
          </w:p>
        </w:tc>
        <w:tc>
          <w:tcPr>
            <w:tcW w:w="1361" w:type="dxa"/>
            <w:tcBorders>
              <w:bottom w:val="nil"/>
            </w:tcBorders>
            <w:shd w:val="clear" w:color="auto" w:fill="FFFFFF"/>
          </w:tcPr>
          <w:p w14:paraId="498ACD25" w14:textId="77777777" w:rsidR="00327D59" w:rsidRDefault="00327D59" w:rsidP="00032B54">
            <w:pPr>
              <w:pStyle w:val="2012TechReportBodytext"/>
              <w:jc w:val="center"/>
            </w:pPr>
            <w:r>
              <w:rPr>
                <w:color w:val="000000"/>
              </w:rPr>
              <w:t>8,495</w:t>
            </w:r>
          </w:p>
        </w:tc>
        <w:tc>
          <w:tcPr>
            <w:tcW w:w="1361" w:type="dxa"/>
            <w:tcBorders>
              <w:bottom w:val="nil"/>
            </w:tcBorders>
            <w:shd w:val="clear" w:color="auto" w:fill="FFFFFF"/>
          </w:tcPr>
          <w:p w14:paraId="6CECE9E4" w14:textId="77777777" w:rsidR="00327D59" w:rsidRDefault="00327D59" w:rsidP="00032B54">
            <w:pPr>
              <w:pStyle w:val="2012TechReportBodytext"/>
              <w:jc w:val="center"/>
            </w:pPr>
            <w:r>
              <w:rPr>
                <w:color w:val="000000"/>
              </w:rPr>
              <w:t>8,346</w:t>
            </w:r>
          </w:p>
        </w:tc>
      </w:tr>
      <w:tr w:rsidR="00327D59" w:rsidRPr="00A72F4E" w14:paraId="6178064E" w14:textId="77777777" w:rsidTr="00032B54">
        <w:trPr>
          <w:cantSplit/>
        </w:trPr>
        <w:tc>
          <w:tcPr>
            <w:tcW w:w="2298" w:type="dxa"/>
            <w:tcBorders>
              <w:top w:val="nil"/>
              <w:bottom w:val="single" w:sz="4" w:space="0" w:color="auto"/>
            </w:tcBorders>
            <w:shd w:val="clear" w:color="auto" w:fill="FFFFFF"/>
            <w:tcMar>
              <w:left w:w="60" w:type="dxa"/>
              <w:right w:w="60" w:type="dxa"/>
            </w:tcMar>
            <w:vAlign w:val="center"/>
          </w:tcPr>
          <w:p w14:paraId="40445888" w14:textId="77777777" w:rsidR="00327D59" w:rsidRPr="00B70954" w:rsidRDefault="00327D59" w:rsidP="00032B54">
            <w:pPr>
              <w:pStyle w:val="2012TechReportBodytext"/>
              <w:jc w:val="left"/>
              <w:rPr>
                <w:b/>
              </w:rPr>
            </w:pPr>
            <w:r w:rsidRPr="00B70954">
              <w:rPr>
                <w:rFonts w:eastAsiaTheme="minorHAnsi"/>
                <w:b/>
                <w:sz w:val="18"/>
                <w:szCs w:val="18"/>
                <w:lang w:eastAsia="en-US"/>
              </w:rPr>
              <w:t>TOTAL ELIGIBLE</w:t>
            </w:r>
          </w:p>
        </w:tc>
        <w:tc>
          <w:tcPr>
            <w:tcW w:w="1361" w:type="dxa"/>
            <w:tcBorders>
              <w:top w:val="nil"/>
              <w:bottom w:val="single" w:sz="4" w:space="0" w:color="auto"/>
            </w:tcBorders>
            <w:shd w:val="clear" w:color="auto" w:fill="FFFFFF"/>
            <w:tcMar>
              <w:left w:w="60" w:type="dxa"/>
              <w:right w:w="60" w:type="dxa"/>
            </w:tcMar>
          </w:tcPr>
          <w:p w14:paraId="1905424F" w14:textId="77777777" w:rsidR="00327D59" w:rsidRPr="00CA270D" w:rsidRDefault="00327D59" w:rsidP="00032B54">
            <w:pPr>
              <w:pStyle w:val="2012TechReportBodytext"/>
              <w:jc w:val="center"/>
              <w:rPr>
                <w:b/>
                <w:bCs/>
              </w:rPr>
            </w:pPr>
            <w:r w:rsidRPr="00CA270D">
              <w:rPr>
                <w:b/>
                <w:bCs/>
                <w:color w:val="000000"/>
              </w:rPr>
              <w:t>16</w:t>
            </w:r>
            <w:r>
              <w:rPr>
                <w:b/>
                <w:bCs/>
                <w:color w:val="000000"/>
              </w:rPr>
              <w:t>,</w:t>
            </w:r>
            <w:r w:rsidRPr="00CA270D">
              <w:rPr>
                <w:b/>
                <w:bCs/>
                <w:color w:val="000000"/>
              </w:rPr>
              <w:t>327</w:t>
            </w:r>
          </w:p>
        </w:tc>
        <w:tc>
          <w:tcPr>
            <w:tcW w:w="1361" w:type="dxa"/>
            <w:tcBorders>
              <w:top w:val="nil"/>
              <w:bottom w:val="single" w:sz="4" w:space="0" w:color="auto"/>
            </w:tcBorders>
            <w:shd w:val="clear" w:color="auto" w:fill="FFFFFF"/>
            <w:tcMar>
              <w:left w:w="60" w:type="dxa"/>
              <w:right w:w="60" w:type="dxa"/>
            </w:tcMar>
          </w:tcPr>
          <w:p w14:paraId="79CD8F90" w14:textId="77777777" w:rsidR="00327D59" w:rsidRPr="00CA270D" w:rsidRDefault="00327D59" w:rsidP="00032B54">
            <w:pPr>
              <w:pStyle w:val="2012TechReportBodytext"/>
              <w:jc w:val="center"/>
              <w:rPr>
                <w:b/>
                <w:bCs/>
              </w:rPr>
            </w:pPr>
            <w:r w:rsidRPr="00CA270D">
              <w:rPr>
                <w:b/>
                <w:bCs/>
                <w:color w:val="000000"/>
              </w:rPr>
              <w:t>16</w:t>
            </w:r>
            <w:r>
              <w:rPr>
                <w:b/>
                <w:bCs/>
                <w:color w:val="000000"/>
              </w:rPr>
              <w:t>,</w:t>
            </w:r>
            <w:r w:rsidRPr="00CA270D">
              <w:rPr>
                <w:b/>
                <w:bCs/>
                <w:color w:val="000000"/>
              </w:rPr>
              <w:t>309</w:t>
            </w:r>
          </w:p>
        </w:tc>
        <w:tc>
          <w:tcPr>
            <w:tcW w:w="1361" w:type="dxa"/>
            <w:tcBorders>
              <w:top w:val="nil"/>
              <w:bottom w:val="single" w:sz="4" w:space="0" w:color="auto"/>
            </w:tcBorders>
            <w:shd w:val="clear" w:color="auto" w:fill="FFFFFF"/>
          </w:tcPr>
          <w:p w14:paraId="5E09705C" w14:textId="77777777" w:rsidR="00327D59" w:rsidRPr="00CA270D" w:rsidRDefault="00327D59" w:rsidP="00032B54">
            <w:pPr>
              <w:pStyle w:val="2012TechReportBodytext"/>
              <w:jc w:val="center"/>
              <w:rPr>
                <w:b/>
                <w:bCs/>
              </w:rPr>
            </w:pPr>
            <w:r w:rsidRPr="00CA270D">
              <w:rPr>
                <w:b/>
                <w:bCs/>
                <w:color w:val="000000"/>
              </w:rPr>
              <w:t>15</w:t>
            </w:r>
            <w:r>
              <w:rPr>
                <w:b/>
                <w:bCs/>
                <w:color w:val="000000"/>
              </w:rPr>
              <w:t>,</w:t>
            </w:r>
            <w:r w:rsidRPr="00CA270D">
              <w:rPr>
                <w:b/>
                <w:bCs/>
                <w:color w:val="000000"/>
              </w:rPr>
              <w:t>257</w:t>
            </w:r>
          </w:p>
        </w:tc>
        <w:tc>
          <w:tcPr>
            <w:tcW w:w="1361" w:type="dxa"/>
            <w:tcBorders>
              <w:top w:val="nil"/>
              <w:bottom w:val="single" w:sz="4" w:space="0" w:color="auto"/>
            </w:tcBorders>
            <w:shd w:val="clear" w:color="auto" w:fill="FFFFFF"/>
          </w:tcPr>
          <w:p w14:paraId="2B286CBD" w14:textId="77777777" w:rsidR="00327D59" w:rsidRPr="00CA270D" w:rsidRDefault="00327D59" w:rsidP="00032B54">
            <w:pPr>
              <w:pStyle w:val="2012TechReportBodytext"/>
              <w:jc w:val="center"/>
              <w:rPr>
                <w:b/>
                <w:bCs/>
              </w:rPr>
            </w:pPr>
            <w:r w:rsidRPr="00CA270D">
              <w:rPr>
                <w:b/>
                <w:bCs/>
                <w:color w:val="000000"/>
              </w:rPr>
              <w:t>15</w:t>
            </w:r>
            <w:r>
              <w:rPr>
                <w:b/>
                <w:bCs/>
                <w:color w:val="000000"/>
              </w:rPr>
              <w:t>,</w:t>
            </w:r>
            <w:r w:rsidRPr="00CA270D">
              <w:rPr>
                <w:b/>
                <w:bCs/>
                <w:color w:val="000000"/>
              </w:rPr>
              <w:t>053</w:t>
            </w:r>
          </w:p>
        </w:tc>
        <w:tc>
          <w:tcPr>
            <w:tcW w:w="1361" w:type="dxa"/>
            <w:tcBorders>
              <w:top w:val="nil"/>
              <w:bottom w:val="single" w:sz="4" w:space="0" w:color="auto"/>
            </w:tcBorders>
            <w:shd w:val="clear" w:color="auto" w:fill="FFFFFF"/>
          </w:tcPr>
          <w:p w14:paraId="48E0570A" w14:textId="77777777" w:rsidR="00327D59" w:rsidRPr="00CA270D" w:rsidRDefault="00327D59" w:rsidP="00032B54">
            <w:pPr>
              <w:pStyle w:val="2012TechReportBodytext"/>
              <w:jc w:val="center"/>
              <w:rPr>
                <w:b/>
                <w:bCs/>
              </w:rPr>
            </w:pPr>
            <w:r w:rsidRPr="00CA270D">
              <w:rPr>
                <w:b/>
                <w:bCs/>
                <w:color w:val="000000"/>
              </w:rPr>
              <w:t>14</w:t>
            </w:r>
            <w:r>
              <w:rPr>
                <w:b/>
                <w:bCs/>
                <w:color w:val="000000"/>
              </w:rPr>
              <w:t>,</w:t>
            </w:r>
            <w:r w:rsidRPr="00CA270D">
              <w:rPr>
                <w:b/>
                <w:bCs/>
                <w:color w:val="000000"/>
              </w:rPr>
              <w:t>939</w:t>
            </w:r>
          </w:p>
        </w:tc>
      </w:tr>
      <w:tr w:rsidR="00327D59" w:rsidRPr="00A72F4E" w14:paraId="434B5608" w14:textId="77777777" w:rsidTr="00032B54">
        <w:trPr>
          <w:cantSplit/>
        </w:trPr>
        <w:tc>
          <w:tcPr>
            <w:tcW w:w="2298" w:type="dxa"/>
            <w:tcBorders>
              <w:top w:val="single" w:sz="4" w:space="0" w:color="auto"/>
            </w:tcBorders>
            <w:shd w:val="clear" w:color="auto" w:fill="FFFFFF"/>
            <w:tcMar>
              <w:left w:w="60" w:type="dxa"/>
              <w:right w:w="60" w:type="dxa"/>
            </w:tcMar>
            <w:vAlign w:val="center"/>
          </w:tcPr>
          <w:p w14:paraId="5496B8D9" w14:textId="77777777" w:rsidR="00327D59" w:rsidRPr="00B70954" w:rsidRDefault="00327D59" w:rsidP="00032B54">
            <w:pPr>
              <w:pStyle w:val="2012TechReportBodytext"/>
              <w:jc w:val="left"/>
              <w:rPr>
                <w:b/>
              </w:rPr>
            </w:pPr>
            <w:r w:rsidRPr="00B70954">
              <w:rPr>
                <w:rFonts w:eastAsiaTheme="minorHAnsi"/>
                <w:b/>
                <w:sz w:val="18"/>
                <w:szCs w:val="18"/>
                <w:lang w:eastAsia="en-US"/>
              </w:rPr>
              <w:t>RESPONSE RATE (%)</w:t>
            </w:r>
          </w:p>
        </w:tc>
        <w:tc>
          <w:tcPr>
            <w:tcW w:w="1361" w:type="dxa"/>
            <w:tcBorders>
              <w:top w:val="single" w:sz="4" w:space="0" w:color="auto"/>
            </w:tcBorders>
            <w:shd w:val="clear" w:color="auto" w:fill="FFFFFF"/>
            <w:tcMar>
              <w:left w:w="60" w:type="dxa"/>
              <w:right w:w="60" w:type="dxa"/>
            </w:tcMar>
          </w:tcPr>
          <w:p w14:paraId="353E46DB" w14:textId="77777777" w:rsidR="00327D59" w:rsidRPr="00CA270D" w:rsidRDefault="00327D59" w:rsidP="00032B54">
            <w:pPr>
              <w:pStyle w:val="2012TechReportBodytext"/>
              <w:jc w:val="center"/>
              <w:rPr>
                <w:b/>
                <w:bCs/>
              </w:rPr>
            </w:pPr>
            <w:r w:rsidRPr="00CA270D">
              <w:rPr>
                <w:b/>
                <w:bCs/>
                <w:color w:val="000000"/>
              </w:rPr>
              <w:t>69.5%</w:t>
            </w:r>
          </w:p>
        </w:tc>
        <w:tc>
          <w:tcPr>
            <w:tcW w:w="1361" w:type="dxa"/>
            <w:tcBorders>
              <w:top w:val="single" w:sz="4" w:space="0" w:color="auto"/>
            </w:tcBorders>
            <w:shd w:val="clear" w:color="auto" w:fill="FFFFFF"/>
            <w:tcMar>
              <w:left w:w="60" w:type="dxa"/>
              <w:right w:w="60" w:type="dxa"/>
            </w:tcMar>
          </w:tcPr>
          <w:p w14:paraId="31311A39" w14:textId="77777777" w:rsidR="00327D59" w:rsidRPr="00CA270D" w:rsidRDefault="00327D59" w:rsidP="00032B54">
            <w:pPr>
              <w:pStyle w:val="2012TechReportBodytext"/>
              <w:jc w:val="center"/>
              <w:rPr>
                <w:b/>
                <w:bCs/>
              </w:rPr>
            </w:pPr>
            <w:r w:rsidRPr="00CA270D">
              <w:rPr>
                <w:b/>
                <w:bCs/>
                <w:color w:val="000000"/>
              </w:rPr>
              <w:t>54.9%</w:t>
            </w:r>
          </w:p>
        </w:tc>
        <w:tc>
          <w:tcPr>
            <w:tcW w:w="1361" w:type="dxa"/>
            <w:tcBorders>
              <w:top w:val="single" w:sz="4" w:space="0" w:color="auto"/>
            </w:tcBorders>
            <w:shd w:val="clear" w:color="auto" w:fill="FFFFFF"/>
          </w:tcPr>
          <w:p w14:paraId="43C7CE4E" w14:textId="77777777" w:rsidR="00327D59" w:rsidRPr="00CA270D" w:rsidRDefault="00327D59" w:rsidP="00032B54">
            <w:pPr>
              <w:pStyle w:val="2012TechReportBodytext"/>
              <w:jc w:val="center"/>
              <w:rPr>
                <w:b/>
                <w:bCs/>
              </w:rPr>
            </w:pPr>
            <w:r w:rsidRPr="00CA270D">
              <w:rPr>
                <w:b/>
                <w:bCs/>
                <w:color w:val="000000"/>
              </w:rPr>
              <w:t>59.0%</w:t>
            </w:r>
          </w:p>
        </w:tc>
        <w:tc>
          <w:tcPr>
            <w:tcW w:w="1361" w:type="dxa"/>
            <w:tcBorders>
              <w:top w:val="single" w:sz="4" w:space="0" w:color="auto"/>
            </w:tcBorders>
            <w:shd w:val="clear" w:color="auto" w:fill="FFFFFF"/>
          </w:tcPr>
          <w:p w14:paraId="634258C1" w14:textId="77777777" w:rsidR="00327D59" w:rsidRPr="00CA270D" w:rsidRDefault="00327D59" w:rsidP="00032B54">
            <w:pPr>
              <w:pStyle w:val="2012TechReportBodytext"/>
              <w:jc w:val="center"/>
              <w:rPr>
                <w:b/>
                <w:bCs/>
              </w:rPr>
            </w:pPr>
            <w:r w:rsidRPr="00CA270D">
              <w:rPr>
                <w:b/>
                <w:bCs/>
                <w:color w:val="000000"/>
              </w:rPr>
              <w:t>56.4%</w:t>
            </w:r>
          </w:p>
        </w:tc>
        <w:tc>
          <w:tcPr>
            <w:tcW w:w="1361" w:type="dxa"/>
            <w:tcBorders>
              <w:top w:val="single" w:sz="4" w:space="0" w:color="auto"/>
            </w:tcBorders>
            <w:shd w:val="clear" w:color="auto" w:fill="FFFFFF"/>
          </w:tcPr>
          <w:p w14:paraId="0353DCD4" w14:textId="77777777" w:rsidR="00327D59" w:rsidRPr="00CA270D" w:rsidRDefault="00327D59" w:rsidP="00032B54">
            <w:pPr>
              <w:pStyle w:val="2012TechReportBodytext"/>
              <w:jc w:val="center"/>
              <w:rPr>
                <w:b/>
                <w:bCs/>
              </w:rPr>
            </w:pPr>
            <w:r w:rsidRPr="00CA270D">
              <w:rPr>
                <w:b/>
                <w:bCs/>
                <w:color w:val="000000"/>
              </w:rPr>
              <w:t>55.9%</w:t>
            </w:r>
          </w:p>
        </w:tc>
      </w:tr>
    </w:tbl>
    <w:p w14:paraId="3C304068" w14:textId="77777777" w:rsidR="00327D59" w:rsidRDefault="00327D59" w:rsidP="00327D59">
      <w:pPr>
        <w:spacing w:before="0" w:line="240" w:lineRule="auto"/>
      </w:pPr>
      <w:r w:rsidRPr="00A72F4E">
        <w:t>*</w:t>
      </w:r>
      <w:proofErr w:type="gramStart"/>
      <w:r w:rsidRPr="00901558">
        <w:t>as</w:t>
      </w:r>
      <w:proofErr w:type="gramEnd"/>
      <w:r w:rsidRPr="00901558">
        <w:t xml:space="preserve"> at 27 July 2022</w:t>
      </w:r>
    </w:p>
    <w:p w14:paraId="2223BBE9" w14:textId="77777777" w:rsidR="00327D59" w:rsidRDefault="00327D59" w:rsidP="00327D59">
      <w:pPr>
        <w:spacing w:before="0" w:after="0"/>
      </w:pPr>
    </w:p>
    <w:p w14:paraId="4FECA339" w14:textId="77777777" w:rsidR="00327D59" w:rsidRPr="00431897" w:rsidRDefault="00327D59" w:rsidP="00327D59">
      <w:pPr>
        <w:pStyle w:val="Heading2"/>
        <w:spacing w:line="240" w:lineRule="auto"/>
        <w:ind w:left="576" w:hanging="576"/>
        <w:jc w:val="left"/>
      </w:pPr>
      <w:bookmarkStart w:id="682" w:name="_Toc87012459"/>
      <w:bookmarkStart w:id="683" w:name="_Toc124762782"/>
      <w:r w:rsidRPr="00431897">
        <w:t>Maintenance strategies</w:t>
      </w:r>
      <w:bookmarkEnd w:id="682"/>
      <w:bookmarkEnd w:id="683"/>
    </w:p>
    <w:p w14:paraId="443EA9C8" w14:textId="23B8BEE4" w:rsidR="00327D59" w:rsidRPr="00A72F4E" w:rsidRDefault="00327D59" w:rsidP="00327D59">
      <w:r w:rsidRPr="00A72F4E">
        <w:t xml:space="preserve">Cohort maintenance and tracking of ‘return to sender’ mail is ongoing. The </w:t>
      </w:r>
      <w:r w:rsidR="007A1E4F">
        <w:t>ALSWH</w:t>
      </w:r>
      <w:r w:rsidR="007A1E4F" w:rsidRPr="00A72F4E">
        <w:t xml:space="preserve"> </w:t>
      </w:r>
      <w:r w:rsidRPr="00A72F4E">
        <w:t xml:space="preserve">team continues to track all </w:t>
      </w:r>
      <w:r>
        <w:t>participants</w:t>
      </w:r>
      <w:r w:rsidRPr="00A72F4E">
        <w:t xml:space="preserve"> who </w:t>
      </w:r>
      <w:r>
        <w:t xml:space="preserve">have (a) not withdrawn from active survey involvement and (b) </w:t>
      </w:r>
      <w:r w:rsidRPr="00A72F4E">
        <w:t xml:space="preserve">are not known to have died. This includes women who </w:t>
      </w:r>
      <w:r>
        <w:t>may not have responded to all surveys over time</w:t>
      </w:r>
      <w:r w:rsidRPr="00A72F4E">
        <w:t>. Participants for whom we have no current contact details remain in the tracking system unless they are positively identified as found, deceased, withdrawn, permanently emigrated or otherwise ineligible, or are unwilling to participate.</w:t>
      </w:r>
    </w:p>
    <w:p w14:paraId="330442F6" w14:textId="4AE60BC6" w:rsidR="00327D59" w:rsidRPr="00A72F4E" w:rsidRDefault="00327D59" w:rsidP="00327D59">
      <w:r w:rsidRPr="00A72F4E">
        <w:t xml:space="preserve">Before 2011 the Australian Electoral Commission (AEC) supplied the study with age range extracts of women on the Electoral Roll. These were used to look up a participant’s residential and postal </w:t>
      </w:r>
      <w:r w:rsidRPr="00A72F4E">
        <w:lastRenderedPageBreak/>
        <w:t>addresses. The AEC stopped allowing this in 2011, although an electronic copy of the current Electoral Roll is available for public inspection at any AEC office. This has resulted in a more time-consuming tracking process</w:t>
      </w:r>
      <w:r w:rsidR="007A1E4F">
        <w:t xml:space="preserve"> involving considerably more salary hours</w:t>
      </w:r>
      <w:r w:rsidRPr="00A72F4E">
        <w:t>. Despite this, the Electoral Roll has been found to be effective in tracking participants who have become lost to contact. Participants found in this way are sent a survey or reminder for their current or next survey by mail.</w:t>
      </w:r>
    </w:p>
    <w:p w14:paraId="4589A106" w14:textId="64E7D5C6" w:rsidR="00327D59" w:rsidRDefault="00327D59" w:rsidP="00327D59">
      <w:r w:rsidRPr="00A72F4E">
        <w:t>Secondary contacts, mobile phone numbers, and email addresses continue to be important in reconnecting with participants who become lost to contact. Publicly available information, published on various websites including White Pages, Facebook, Reverse Australia phone number listings, and obituary notices assist in the process.</w:t>
      </w:r>
    </w:p>
    <w:p w14:paraId="2D00F8D4" w14:textId="77777777" w:rsidR="002B2D8C" w:rsidRPr="00A72F4E" w:rsidRDefault="002B2D8C" w:rsidP="00327D59"/>
    <w:p w14:paraId="345ECBDE" w14:textId="77777777" w:rsidR="00306719" w:rsidRDefault="00306719" w:rsidP="00284EDE">
      <w:pPr>
        <w:pStyle w:val="Heading2"/>
        <w:spacing w:line="240" w:lineRule="auto"/>
        <w:ind w:left="576"/>
        <w:jc w:val="left"/>
      </w:pPr>
      <w:bookmarkStart w:id="684" w:name="_Toc124762783"/>
      <w:r>
        <w:t>References</w:t>
      </w:r>
      <w:bookmarkEnd w:id="684"/>
    </w:p>
    <w:p w14:paraId="0D21BA3A" w14:textId="78231276" w:rsidR="00284EDE" w:rsidRDefault="00284EDE" w:rsidP="00841EDE">
      <w:proofErr w:type="spellStart"/>
      <w:r w:rsidRPr="00284EDE">
        <w:t>Brilleman</w:t>
      </w:r>
      <w:proofErr w:type="spellEnd"/>
      <w:r w:rsidRPr="00284EDE">
        <w:t xml:space="preserve"> SL, Pachana NA &amp; Dobson AJ. (2010). The impact of attrition on the representativeness of cohort studies of older people. </w:t>
      </w:r>
      <w:r w:rsidRPr="00284EDE">
        <w:rPr>
          <w:i/>
          <w:iCs/>
        </w:rPr>
        <w:t>BMC Medical Research Methodology</w:t>
      </w:r>
      <w:r w:rsidRPr="00284EDE">
        <w:t xml:space="preserve">, 10. </w:t>
      </w:r>
      <w:proofErr w:type="spellStart"/>
      <w:r w:rsidRPr="00284EDE">
        <w:t>doi</w:t>
      </w:r>
      <w:proofErr w:type="spellEnd"/>
      <w:r w:rsidRPr="00284EDE">
        <w:t>: 7110.1186/1471-2288-10-71</w:t>
      </w:r>
    </w:p>
    <w:p w14:paraId="23BFB31F" w14:textId="7BB165B2" w:rsidR="00306719" w:rsidRDefault="00306719" w:rsidP="00841EDE">
      <w:r w:rsidRPr="00A72F4E">
        <w:t>Brown WJ, Dobson AJ, Bryson L, &amp; Byles JE</w:t>
      </w:r>
      <w:r w:rsidR="00284EDE">
        <w:t xml:space="preserve">. (1999). </w:t>
      </w:r>
      <w:r w:rsidRPr="00B9354F">
        <w:t>Women's Health Australia: On the progress of the main cohort studies</w:t>
      </w:r>
      <w:r w:rsidRPr="00A72F4E">
        <w:t xml:space="preserve">. </w:t>
      </w:r>
      <w:r w:rsidRPr="00A72F4E">
        <w:rPr>
          <w:i/>
        </w:rPr>
        <w:t>Journal of Women's Health &amp; Gender-Based Medicine,</w:t>
      </w:r>
      <w:r w:rsidRPr="00A72F4E">
        <w:t xml:space="preserve"> 8(5): 681-688.</w:t>
      </w:r>
    </w:p>
    <w:p w14:paraId="13E17AD4" w14:textId="5F975B64" w:rsidR="00306719" w:rsidRDefault="00306719" w:rsidP="00841EDE">
      <w:r w:rsidRPr="00A72F4E">
        <w:t xml:space="preserve">Lee C, Dobson AJ, Brown WJ, Bryson L, Byles J, Warner-Smith P &amp; Young AF. (2005). Cohort Profile: </w:t>
      </w:r>
      <w:r w:rsidR="00284EDE">
        <w:t>T</w:t>
      </w:r>
      <w:r w:rsidRPr="00A72F4E">
        <w:t xml:space="preserve">he Australian Longitudinal Study on Women's Health. </w:t>
      </w:r>
      <w:r w:rsidRPr="00A72F4E">
        <w:rPr>
          <w:i/>
        </w:rPr>
        <w:t>International Journal of Epidemiology, 34</w:t>
      </w:r>
      <w:r w:rsidRPr="00A72F4E">
        <w:t>(5), 987-991</w:t>
      </w:r>
      <w:r>
        <w:t>.</w:t>
      </w:r>
    </w:p>
    <w:p w14:paraId="416E50E5" w14:textId="2B27FE07" w:rsidR="00306719" w:rsidRDefault="00306719" w:rsidP="00306719">
      <w:r>
        <w:t xml:space="preserve">Powers J &amp; Loxton D. </w:t>
      </w:r>
      <w:r w:rsidR="00284EDE">
        <w:t>(</w:t>
      </w:r>
      <w:r>
        <w:t>2010</w:t>
      </w:r>
      <w:r w:rsidR="00284EDE">
        <w:t>).</w:t>
      </w:r>
      <w:r>
        <w:t xml:space="preserve"> The impact of attrition in an 11-year prospective longitudinal study of younger women. </w:t>
      </w:r>
      <w:r w:rsidRPr="101518C2">
        <w:rPr>
          <w:i/>
          <w:iCs/>
        </w:rPr>
        <w:t>Annals of Epidemiology, 20</w:t>
      </w:r>
      <w:r>
        <w:t xml:space="preserve">(4), 318-321. </w:t>
      </w:r>
    </w:p>
    <w:p w14:paraId="3F391A91" w14:textId="2BA27EA6" w:rsidR="0078647E" w:rsidRPr="00841EDE" w:rsidRDefault="0078647E" w:rsidP="00841EDE">
      <w:r w:rsidRPr="00841EDE">
        <w:br w:type="page"/>
      </w:r>
    </w:p>
    <w:p w14:paraId="1D4535D0" w14:textId="77777777" w:rsidR="00492DFF" w:rsidRPr="00DE377E" w:rsidRDefault="00492DFF" w:rsidP="006B02B6">
      <w:pPr>
        <w:pStyle w:val="Heading1"/>
        <w:spacing w:line="276" w:lineRule="auto"/>
        <w:rPr>
          <w:rFonts w:cs="Arial"/>
        </w:rPr>
      </w:pPr>
      <w:bookmarkStart w:id="685" w:name="_Toc112770747"/>
      <w:bookmarkStart w:id="686" w:name="_Toc112770748"/>
      <w:bookmarkStart w:id="687" w:name="_Toc112770749"/>
      <w:bookmarkStart w:id="688" w:name="_Toc112770750"/>
      <w:bookmarkStart w:id="689" w:name="_Toc112770857"/>
      <w:bookmarkStart w:id="690" w:name="_Toc112770858"/>
      <w:bookmarkStart w:id="691" w:name="_Toc112770859"/>
      <w:bookmarkStart w:id="692" w:name="_Toc112770860"/>
      <w:bookmarkStart w:id="693" w:name="_Toc112770861"/>
      <w:bookmarkStart w:id="694" w:name="_Toc112770862"/>
      <w:bookmarkStart w:id="695" w:name="_Toc112770981"/>
      <w:bookmarkStart w:id="696" w:name="_Toc112770982"/>
      <w:bookmarkStart w:id="697" w:name="_Toc112770983"/>
      <w:bookmarkStart w:id="698" w:name="_Toc112770984"/>
      <w:bookmarkStart w:id="699" w:name="_Toc112770985"/>
      <w:bookmarkStart w:id="700" w:name="_Toc112771068"/>
      <w:bookmarkStart w:id="701" w:name="_Toc112771069"/>
      <w:bookmarkStart w:id="702" w:name="_Toc112771070"/>
      <w:bookmarkStart w:id="703" w:name="_Toc112771071"/>
      <w:bookmarkStart w:id="704" w:name="_Toc112771072"/>
      <w:bookmarkStart w:id="705" w:name="_Toc112771073"/>
      <w:bookmarkStart w:id="706" w:name="_Toc112771074"/>
      <w:bookmarkStart w:id="707" w:name="_Toc112771075"/>
      <w:bookmarkStart w:id="708" w:name="_Toc112771286"/>
      <w:bookmarkStart w:id="709" w:name="_Toc112771287"/>
      <w:bookmarkStart w:id="710" w:name="_Toc112771288"/>
      <w:bookmarkStart w:id="711" w:name="_Toc112771289"/>
      <w:bookmarkStart w:id="712" w:name="_Toc112771290"/>
      <w:bookmarkStart w:id="713" w:name="_Toc112771291"/>
      <w:bookmarkStart w:id="714" w:name="_Toc112771292"/>
      <w:bookmarkStart w:id="715" w:name="_Toc112771375"/>
      <w:bookmarkStart w:id="716" w:name="_Toc112771376"/>
      <w:bookmarkStart w:id="717" w:name="_Toc112771377"/>
      <w:bookmarkStart w:id="718" w:name="_Toc112771378"/>
      <w:bookmarkStart w:id="719" w:name="_Toc112771379"/>
      <w:bookmarkStart w:id="720" w:name="_Toc112771380"/>
      <w:bookmarkStart w:id="721" w:name="_Toc112771381"/>
      <w:bookmarkStart w:id="722" w:name="_Toc112771382"/>
      <w:bookmarkStart w:id="723" w:name="_Toc112771383"/>
      <w:bookmarkStart w:id="724" w:name="_Toc112771384"/>
      <w:bookmarkStart w:id="725" w:name="_Toc112771385"/>
      <w:bookmarkStart w:id="726" w:name="_Toc112771386"/>
      <w:bookmarkStart w:id="727" w:name="_Toc112771387"/>
      <w:bookmarkStart w:id="728" w:name="_Toc112771388"/>
      <w:bookmarkStart w:id="729" w:name="_Toc112771389"/>
      <w:bookmarkStart w:id="730" w:name="_Toc112771390"/>
      <w:bookmarkStart w:id="731" w:name="_Toc112771391"/>
      <w:bookmarkStart w:id="732" w:name="_Toc112771392"/>
      <w:bookmarkStart w:id="733" w:name="_Toc112771393"/>
      <w:bookmarkStart w:id="734" w:name="_Toc112771394"/>
      <w:bookmarkStart w:id="735" w:name="_Toc112771395"/>
      <w:bookmarkStart w:id="736" w:name="_Toc112771396"/>
      <w:bookmarkStart w:id="737" w:name="_Toc112771397"/>
      <w:bookmarkStart w:id="738" w:name="_Toc112771398"/>
      <w:bookmarkStart w:id="739" w:name="_Toc112771399"/>
      <w:bookmarkStart w:id="740" w:name="_Toc112771400"/>
      <w:bookmarkStart w:id="741" w:name="_Toc112771401"/>
      <w:bookmarkStart w:id="742" w:name="_Toc112771512"/>
      <w:bookmarkStart w:id="743" w:name="_Toc112771513"/>
      <w:bookmarkStart w:id="744" w:name="_Toc112771622"/>
      <w:bookmarkStart w:id="745" w:name="_Toc112771623"/>
      <w:bookmarkStart w:id="746" w:name="_Toc112771645"/>
      <w:bookmarkStart w:id="747" w:name="_Toc112771646"/>
      <w:bookmarkStart w:id="748" w:name="_Toc112771647"/>
      <w:bookmarkStart w:id="749" w:name="_Toc112771648"/>
      <w:bookmarkStart w:id="750" w:name="_Toc112771649"/>
      <w:bookmarkStart w:id="751" w:name="_Toc112771650"/>
      <w:bookmarkStart w:id="752" w:name="_Toc112771651"/>
      <w:bookmarkStart w:id="753" w:name="_Toc112771652"/>
      <w:bookmarkStart w:id="754" w:name="_Toc112771653"/>
      <w:bookmarkStart w:id="755" w:name="_Toc112771654"/>
      <w:bookmarkStart w:id="756" w:name="_Toc112771655"/>
      <w:bookmarkStart w:id="757" w:name="_Toc112771656"/>
      <w:bookmarkStart w:id="758" w:name="_Toc112771657"/>
      <w:bookmarkStart w:id="759" w:name="_Toc112771658"/>
      <w:bookmarkStart w:id="760" w:name="_Toc112771659"/>
      <w:bookmarkStart w:id="761" w:name="_Toc112771660"/>
      <w:bookmarkStart w:id="762" w:name="_Toc112771731"/>
      <w:bookmarkStart w:id="763" w:name="_Toc112771732"/>
      <w:bookmarkStart w:id="764" w:name="_Toc112771733"/>
      <w:bookmarkStart w:id="765" w:name="_Toc112771734"/>
      <w:bookmarkStart w:id="766" w:name="_Toc112771735"/>
      <w:bookmarkStart w:id="767" w:name="_Toc112771736"/>
      <w:bookmarkStart w:id="768" w:name="_Toc515960584"/>
      <w:bookmarkStart w:id="769" w:name="_Toc124762784"/>
      <w:bookmarkStart w:id="770" w:name="_Hlk118205282"/>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sidRPr="00DE377E">
        <w:rPr>
          <w:rFonts w:cs="Arial"/>
        </w:rPr>
        <w:lastRenderedPageBreak/>
        <w:t>Data linkage</w:t>
      </w:r>
      <w:bookmarkEnd w:id="768"/>
      <w:bookmarkEnd w:id="769"/>
    </w:p>
    <w:p w14:paraId="3FE3617A" w14:textId="77777777" w:rsidR="00720CC4" w:rsidRPr="00720CC4" w:rsidRDefault="00720CC4" w:rsidP="00C13450"/>
    <w:p w14:paraId="76F4DF94" w14:textId="77777777" w:rsidR="005F7696" w:rsidRPr="00594540" w:rsidRDefault="005F7696" w:rsidP="005F7696">
      <w:pPr>
        <w:pStyle w:val="2012TechReportBodytext"/>
      </w:pPr>
      <w:bookmarkStart w:id="771" w:name="Table5LinkedData"/>
      <w:bookmarkStart w:id="772" w:name="_Toc81483380"/>
      <w:bookmarkEnd w:id="771"/>
      <w:bookmarkEnd w:id="772"/>
      <w:r>
        <w:t xml:space="preserve">ALSWH arranges and manages linkages with major national and state datasets. Each external dataset has its own Data Custodian, and there is also one or more specific HREC in each jurisdiction. ALSWH submits applications at both levels, requesting approval to link ALSWH data. If approval is granted, the linkage is conducted, data is extracted, and the linked dataset is stored with ALSWH, for integration with other datasets for approved analysis projects. </w:t>
      </w:r>
    </w:p>
    <w:p w14:paraId="2B32188B" w14:textId="77777777" w:rsidR="005F7696" w:rsidRDefault="005F7696" w:rsidP="005F7696">
      <w:pPr>
        <w:pStyle w:val="Heading2"/>
        <w:spacing w:line="240" w:lineRule="auto"/>
        <w:jc w:val="left"/>
      </w:pPr>
      <w:bookmarkStart w:id="773" w:name="_Toc124762785"/>
      <w:r>
        <w:t>ALSWH linked data holdings</w:t>
      </w:r>
      <w:bookmarkEnd w:id="773"/>
    </w:p>
    <w:p w14:paraId="3BE45600" w14:textId="77777777" w:rsidR="005F7696" w:rsidRDefault="005F7696" w:rsidP="005F7696">
      <w:r>
        <w:t>Figure 5-1 is an overview of ALSWH’s data linkage program.</w:t>
      </w:r>
    </w:p>
    <w:p w14:paraId="41C41F1B" w14:textId="77777777" w:rsidR="005F7696" w:rsidRDefault="005F7696" w:rsidP="005F7696">
      <w:r>
        <w:rPr>
          <w:noProof/>
        </w:rPr>
        <w:drawing>
          <wp:inline distT="0" distB="0" distL="0" distR="0" wp14:anchorId="4854E104" wp14:editId="7B4944F8">
            <wp:extent cx="5972400" cy="2736000"/>
            <wp:effectExtent l="0" t="0" r="0" b="7620"/>
            <wp:docPr id="28" name="Picture 2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5972400" cy="2736000"/>
                    </a:xfrm>
                    <a:prstGeom prst="rect">
                      <a:avLst/>
                    </a:prstGeom>
                  </pic:spPr>
                </pic:pic>
              </a:graphicData>
            </a:graphic>
          </wp:inline>
        </w:drawing>
      </w:r>
    </w:p>
    <w:p w14:paraId="1BEA383C" w14:textId="0F40A03C" w:rsidR="005F7696" w:rsidRDefault="005F7696" w:rsidP="0000266C">
      <w:pPr>
        <w:pStyle w:val="Caption"/>
      </w:pPr>
      <w:r>
        <w:t xml:space="preserve">Figure </w:t>
      </w:r>
      <w:fldSimple w:instr=" STYLEREF 1 \s ">
        <w:r w:rsidR="007D19D7">
          <w:rPr>
            <w:noProof/>
          </w:rPr>
          <w:t>5</w:t>
        </w:r>
      </w:fldSimple>
      <w:r w:rsidR="00621B2D">
        <w:noBreakHyphen/>
      </w:r>
      <w:fldSimple w:instr=" SEQ Figure \* ARABIC \s 1 ">
        <w:r w:rsidR="007D19D7">
          <w:rPr>
            <w:noProof/>
          </w:rPr>
          <w:t>1</w:t>
        </w:r>
      </w:fldSimple>
      <w:r>
        <w:t xml:space="preserve"> ALSWH Data Linkage Program.</w:t>
      </w:r>
    </w:p>
    <w:p w14:paraId="037C1F15" w14:textId="77777777" w:rsidR="005F7696" w:rsidRDefault="005F7696" w:rsidP="005F7696"/>
    <w:p w14:paraId="4BC10E78" w14:textId="31518FF2" w:rsidR="005F7696" w:rsidRPr="0043353D" w:rsidRDefault="005F7696" w:rsidP="005F7696">
      <w:pPr>
        <w:pStyle w:val="2012TechReportBodytext"/>
      </w:pPr>
      <w:r>
        <w:t>The following sections provide details of coverage, by cohort, for national and state collections held by ALSWH.</w:t>
      </w:r>
      <w:r w:rsidR="00300EB2">
        <w:t xml:space="preserve"> </w:t>
      </w:r>
      <w:r>
        <w:t>However, w</w:t>
      </w:r>
      <w:r w:rsidRPr="00991048">
        <w:t xml:space="preserve">hen considering </w:t>
      </w:r>
      <w:r>
        <w:t>these meta</w:t>
      </w:r>
      <w:r w:rsidRPr="00991048">
        <w:t xml:space="preserve">data, it is important to </w:t>
      </w:r>
      <w:r>
        <w:t xml:space="preserve">also </w:t>
      </w:r>
      <w:r w:rsidRPr="00991048">
        <w:t xml:space="preserve">note </w:t>
      </w:r>
      <w:r>
        <w:t>the number of</w:t>
      </w:r>
      <w:r w:rsidRPr="00991048">
        <w:t xml:space="preserve"> participants who </w:t>
      </w:r>
      <w:r>
        <w:t xml:space="preserve">have </w:t>
      </w:r>
      <w:r w:rsidRPr="00991048">
        <w:t>decline</w:t>
      </w:r>
      <w:r>
        <w:t>d (or opted-out) of</w:t>
      </w:r>
      <w:r w:rsidRPr="00991048">
        <w:t xml:space="preserve"> health record linkage</w:t>
      </w:r>
      <w:r>
        <w:t xml:space="preserve">. </w:t>
      </w:r>
      <w:r w:rsidRPr="00991048">
        <w:t xml:space="preserve">The total number of declined participants is currently </w:t>
      </w:r>
      <w:r w:rsidRPr="001D4CBE">
        <w:t>1,87</w:t>
      </w:r>
      <w:r w:rsidRPr="00457740">
        <w:t>3</w:t>
      </w:r>
      <w:r w:rsidRPr="001D4CBE">
        <w:t xml:space="preserve"> (details of consent are reported in Section 5.4.2 and Table 5.11).</w:t>
      </w:r>
      <w:r>
        <w:t xml:space="preserve"> </w:t>
      </w:r>
    </w:p>
    <w:p w14:paraId="39C2C556" w14:textId="77777777" w:rsidR="005F7696" w:rsidRPr="00F70A25" w:rsidRDefault="005F7696" w:rsidP="005F7696">
      <w:pPr>
        <w:pStyle w:val="Heading3"/>
        <w:spacing w:line="240" w:lineRule="auto"/>
        <w:jc w:val="left"/>
      </w:pPr>
      <w:bookmarkStart w:id="774" w:name="_Toc124762786"/>
      <w:r>
        <w:t>National collections</w:t>
      </w:r>
      <w:bookmarkEnd w:id="774"/>
    </w:p>
    <w:p w14:paraId="001959ED" w14:textId="77777777" w:rsidR="005F7696" w:rsidRDefault="005F7696" w:rsidP="005F7696">
      <w:pPr>
        <w:pStyle w:val="2012TechReportBodytext"/>
      </w:pPr>
      <w:r>
        <w:t xml:space="preserve">Current national linked data collections are listed in Table 5-1.  The </w:t>
      </w:r>
      <w:r w:rsidRPr="00372FC0">
        <w:t xml:space="preserve">Australian Institute of Health and Welfare </w:t>
      </w:r>
      <w:r>
        <w:t>(AIHW) conducts these linkages. From 2022, all linkage is deterministic, with AIHW holding the concordance file between ALSWH Participant IDs and Medicare PINS, and maintaining enduring PPNs (Project Person numbers) for our participants, and linked to their enduring master linkage spine. AIHW also extracts the data, except for DVA collections (extracted by that Department). This ensures highly accurate linkage and obviates the need for much of the clerical checking of death data which was previously required.</w:t>
      </w:r>
    </w:p>
    <w:p w14:paraId="679B78DD" w14:textId="4D38375F" w:rsidR="005F7696" w:rsidRDefault="005F7696" w:rsidP="005F7696">
      <w:pPr>
        <w:pStyle w:val="2012TechReportBodytext"/>
      </w:pPr>
      <w:r>
        <w:lastRenderedPageBreak/>
        <w:t xml:space="preserve">The ALSWH Data linkage Team liaise closely with the AIHW Data Linkage Unit, including an annual meeting (held 27/06/2022). </w:t>
      </w:r>
      <w:r w:rsidR="004528AF">
        <w:t>At this meeting, w</w:t>
      </w:r>
      <w:r>
        <w:t xml:space="preserve">e discussed our regular linkage request schedule, new ALSWH </w:t>
      </w:r>
      <w:r w:rsidR="00300EB2">
        <w:t>sub studies</w:t>
      </w:r>
      <w:r>
        <w:t>, and the 1973-78 and 1989-95 cohort refresh, and new national collections which may be available to us (such as the Australian Immunisation Register)</w:t>
      </w:r>
      <w:r w:rsidR="004528AF">
        <w:t>,</w:t>
      </w:r>
      <w:r>
        <w:t xml:space="preserve"> as well as developments in the National Integrated Health Services Information (NIHSI; </w:t>
      </w:r>
      <w:hyperlink r:id="rId42" w:history="1">
        <w:r w:rsidRPr="001E6A5F">
          <w:rPr>
            <w:rStyle w:val="Hyperlink"/>
          </w:rPr>
          <w:t>https://www.mja.com.au/journal/2019/national-data-linkage-asset-boost-health-services</w:t>
        </w:r>
      </w:hyperlink>
      <w:r>
        <w:t xml:space="preserve">) and </w:t>
      </w:r>
      <w:proofErr w:type="spellStart"/>
      <w:r>
        <w:t>LINked</w:t>
      </w:r>
      <w:proofErr w:type="spellEnd"/>
      <w:r>
        <w:t xml:space="preserve"> Data Asset for Australian Health Research (LINDAHR; </w:t>
      </w:r>
      <w:hyperlink r:id="rId43" w:history="1">
        <w:r w:rsidRPr="001E6A5F">
          <w:rPr>
            <w:rStyle w:val="Hyperlink"/>
          </w:rPr>
          <w:t>https://ardc.edu.au/project/linked-data-asset-for-australian-health-research-lindahr/</w:t>
        </w:r>
      </w:hyperlink>
      <w:r>
        <w:t>).</w:t>
      </w:r>
    </w:p>
    <w:p w14:paraId="5278B716" w14:textId="77777777" w:rsidR="005F7696" w:rsidRDefault="005F7696" w:rsidP="005F7696">
      <w:pPr>
        <w:pStyle w:val="2012TechReportBodytext"/>
      </w:pPr>
      <w:r>
        <w:t>As ALSWH is a national study, national linked data collections are preferred, if available. The creation of single national minimum dataset by AIHW (for example, for Hospital Admissions, and Emergency Department collections) takes time, hence national data will tend to be both less current and less rich, than the collections sourced directly from state jurisdictions. However, from ALSWH’s perspective, both the access and the analyses of national minimum datasets is likely to be more accurate and efficient.</w:t>
      </w:r>
    </w:p>
    <w:p w14:paraId="7C14B7AE" w14:textId="77777777" w:rsidR="005F7696" w:rsidRDefault="005F7696" w:rsidP="005F7696">
      <w:pPr>
        <w:pStyle w:val="2012TechReportBodytext"/>
      </w:pPr>
    </w:p>
    <w:p w14:paraId="41D7959B" w14:textId="09763D88" w:rsidR="005F7696" w:rsidRPr="00714823" w:rsidRDefault="005F7696" w:rsidP="0000266C">
      <w:pPr>
        <w:pStyle w:val="Caption"/>
      </w:pPr>
      <w:bookmarkStart w:id="775" w:name="_Toc56156871"/>
      <w:bookmarkStart w:id="776" w:name="_Toc87869425"/>
      <w:r>
        <w:t xml:space="preserve">Table </w:t>
      </w:r>
      <w:fldSimple w:instr=" STYLEREF 1 \s ">
        <w:r w:rsidR="007D19D7">
          <w:rPr>
            <w:noProof/>
          </w:rPr>
          <w:t>5</w:t>
        </w:r>
      </w:fldSimple>
      <w:r w:rsidR="00327D59">
        <w:noBreakHyphen/>
      </w:r>
      <w:fldSimple w:instr=" SEQ Table \* ARABIC \s 1 ">
        <w:r w:rsidR="007D19D7">
          <w:rPr>
            <w:noProof/>
          </w:rPr>
          <w:t>1</w:t>
        </w:r>
      </w:fldSimple>
      <w:r>
        <w:t xml:space="preserve"> </w:t>
      </w:r>
      <w:bookmarkStart w:id="777" w:name="_Toc18931521"/>
      <w:r w:rsidRPr="00714823">
        <w:t xml:space="preserve">ALSWH linked data holdings: </w:t>
      </w:r>
      <w:r w:rsidRPr="00B9354F">
        <w:t>National (</w:t>
      </w:r>
      <w:proofErr w:type="gramStart"/>
      <w:r w:rsidRPr="00B9354F">
        <w:t>at</w:t>
      </w:r>
      <w:proofErr w:type="gramEnd"/>
      <w:r w:rsidRPr="00B9354F">
        <w:t xml:space="preserve"> </w:t>
      </w:r>
      <w:r w:rsidR="002B2D8C">
        <w:t>November 2022</w:t>
      </w:r>
      <w:r w:rsidRPr="00B9354F">
        <w:t>)</w:t>
      </w:r>
      <w:bookmarkEnd w:id="775"/>
      <w:bookmarkEnd w:id="776"/>
      <w:bookmarkEnd w:id="777"/>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835"/>
        <w:gridCol w:w="3538"/>
        <w:gridCol w:w="1423"/>
      </w:tblGrid>
      <w:tr w:rsidR="005F7696" w14:paraId="01869387" w14:textId="77777777" w:rsidTr="000853E1">
        <w:tc>
          <w:tcPr>
            <w:tcW w:w="141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6933DD8" w14:textId="77777777" w:rsidR="005F7696" w:rsidRPr="00BE6AEE" w:rsidRDefault="005F7696" w:rsidP="000853E1">
            <w:pPr>
              <w:spacing w:before="0" w:after="0"/>
              <w:rPr>
                <w:b/>
                <w:szCs w:val="20"/>
              </w:rPr>
            </w:pPr>
            <w:r w:rsidRPr="0016115C">
              <w:rPr>
                <w:b/>
                <w:szCs w:val="20"/>
              </w:rPr>
              <w:t>Data linkage unit</w:t>
            </w:r>
          </w:p>
        </w:tc>
        <w:tc>
          <w:tcPr>
            <w:tcW w:w="2835" w:type="dxa"/>
            <w:tcBorders>
              <w:top w:val="single" w:sz="4" w:space="0" w:color="auto"/>
              <w:left w:val="single" w:sz="4" w:space="0" w:color="auto"/>
              <w:bottom w:val="single" w:sz="4" w:space="0" w:color="auto"/>
            </w:tcBorders>
            <w:shd w:val="clear" w:color="auto" w:fill="E5DFEC" w:themeFill="accent4" w:themeFillTint="33"/>
            <w:vAlign w:val="center"/>
          </w:tcPr>
          <w:p w14:paraId="59B83579" w14:textId="77777777" w:rsidR="005F7696" w:rsidRPr="0016115C" w:rsidRDefault="005F7696" w:rsidP="000853E1">
            <w:pPr>
              <w:spacing w:before="0" w:after="0"/>
              <w:rPr>
                <w:b/>
                <w:szCs w:val="20"/>
              </w:rPr>
            </w:pPr>
            <w:r w:rsidRPr="0016115C">
              <w:rPr>
                <w:b/>
                <w:szCs w:val="20"/>
              </w:rPr>
              <w:t>Data custodian</w:t>
            </w:r>
          </w:p>
        </w:tc>
        <w:tc>
          <w:tcPr>
            <w:tcW w:w="3538" w:type="dxa"/>
            <w:tcBorders>
              <w:top w:val="single" w:sz="4" w:space="0" w:color="auto"/>
              <w:bottom w:val="single" w:sz="4" w:space="0" w:color="auto"/>
            </w:tcBorders>
            <w:shd w:val="clear" w:color="auto" w:fill="E5DFEC" w:themeFill="accent4" w:themeFillTint="33"/>
            <w:vAlign w:val="center"/>
          </w:tcPr>
          <w:p w14:paraId="0AE85108" w14:textId="77777777" w:rsidR="005F7696" w:rsidRPr="0016115C" w:rsidRDefault="005F7696" w:rsidP="000853E1">
            <w:pPr>
              <w:spacing w:before="0" w:after="0"/>
              <w:rPr>
                <w:b/>
                <w:szCs w:val="20"/>
              </w:rPr>
            </w:pPr>
            <w:r w:rsidRPr="00BE6AEE">
              <w:rPr>
                <w:b/>
                <w:szCs w:val="20"/>
              </w:rPr>
              <w:t>Collection n</w:t>
            </w:r>
            <w:r w:rsidRPr="0016115C">
              <w:rPr>
                <w:b/>
                <w:szCs w:val="20"/>
              </w:rPr>
              <w:t>ame</w:t>
            </w:r>
          </w:p>
        </w:tc>
        <w:tc>
          <w:tcPr>
            <w:tcW w:w="1423" w:type="dxa"/>
            <w:tcBorders>
              <w:top w:val="single" w:sz="4" w:space="0" w:color="auto"/>
              <w:bottom w:val="single" w:sz="4" w:space="0" w:color="auto"/>
              <w:right w:val="single" w:sz="4" w:space="0" w:color="auto"/>
            </w:tcBorders>
            <w:shd w:val="clear" w:color="auto" w:fill="E5DFEC" w:themeFill="accent4" w:themeFillTint="33"/>
            <w:vAlign w:val="center"/>
          </w:tcPr>
          <w:p w14:paraId="0D794CDE" w14:textId="77777777" w:rsidR="005F7696" w:rsidRPr="0016115C" w:rsidRDefault="005F7696" w:rsidP="000853E1">
            <w:pPr>
              <w:spacing w:before="0" w:after="0"/>
              <w:jc w:val="left"/>
              <w:rPr>
                <w:b/>
                <w:sz w:val="18"/>
                <w:szCs w:val="18"/>
              </w:rPr>
            </w:pPr>
            <w:r w:rsidRPr="0016115C">
              <w:rPr>
                <w:b/>
                <w:sz w:val="18"/>
                <w:szCs w:val="18"/>
              </w:rPr>
              <w:t>Abbreviation used in this Chapter</w:t>
            </w:r>
          </w:p>
        </w:tc>
      </w:tr>
      <w:tr w:rsidR="005F7696" w14:paraId="0091E512" w14:textId="77777777" w:rsidTr="000853E1">
        <w:trPr>
          <w:cantSplit/>
        </w:trPr>
        <w:tc>
          <w:tcPr>
            <w:tcW w:w="1413"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14:paraId="22D66255" w14:textId="77777777" w:rsidR="005F7696" w:rsidRPr="00C842EF" w:rsidRDefault="005F7696" w:rsidP="000853E1">
            <w:pPr>
              <w:spacing w:before="0" w:after="0"/>
              <w:jc w:val="left"/>
              <w:rPr>
                <w:szCs w:val="20"/>
              </w:rPr>
            </w:pPr>
            <w:r w:rsidRPr="00BE6AEE">
              <w:rPr>
                <w:szCs w:val="20"/>
              </w:rPr>
              <w:t>Australian Institute of Health and Welfare (AIHW)</w:t>
            </w:r>
          </w:p>
          <w:p w14:paraId="15872AE1" w14:textId="77777777" w:rsidR="005F7696" w:rsidRPr="00C94F99" w:rsidRDefault="005F7696" w:rsidP="000853E1">
            <w:pPr>
              <w:spacing w:before="0" w:after="0"/>
              <w:rPr>
                <w:szCs w:val="20"/>
              </w:rPr>
            </w:pPr>
          </w:p>
        </w:tc>
        <w:tc>
          <w:tcPr>
            <w:tcW w:w="2835" w:type="dxa"/>
            <w:vMerge w:val="restart"/>
            <w:tcBorders>
              <w:top w:val="single" w:sz="4" w:space="0" w:color="auto"/>
              <w:left w:val="single" w:sz="4" w:space="0" w:color="auto"/>
              <w:bottom w:val="single" w:sz="4" w:space="0" w:color="auto"/>
            </w:tcBorders>
            <w:tcMar>
              <w:top w:w="28" w:type="dxa"/>
              <w:bottom w:w="28" w:type="dxa"/>
            </w:tcMar>
          </w:tcPr>
          <w:p w14:paraId="7D84AA1A" w14:textId="0A467181" w:rsidR="005F7696" w:rsidRPr="00BD3537" w:rsidRDefault="005F7696" w:rsidP="000853E1">
            <w:pPr>
              <w:spacing w:before="0" w:after="0"/>
              <w:jc w:val="left"/>
              <w:rPr>
                <w:szCs w:val="20"/>
              </w:rPr>
            </w:pPr>
            <w:r w:rsidRPr="00C94F99">
              <w:rPr>
                <w:szCs w:val="20"/>
              </w:rPr>
              <w:t>Australian Govern</w:t>
            </w:r>
            <w:r w:rsidRPr="00FE2092">
              <w:rPr>
                <w:szCs w:val="20"/>
              </w:rPr>
              <w:t>ment Department of Health</w:t>
            </w:r>
            <w:r w:rsidR="000806FB">
              <w:rPr>
                <w:szCs w:val="20"/>
              </w:rPr>
              <w:t xml:space="preserve"> and Aged Care</w:t>
            </w:r>
            <w:r w:rsidRPr="00FE2092">
              <w:rPr>
                <w:szCs w:val="20"/>
              </w:rPr>
              <w:t xml:space="preserve"> </w:t>
            </w:r>
          </w:p>
        </w:tc>
        <w:tc>
          <w:tcPr>
            <w:tcW w:w="3538" w:type="dxa"/>
            <w:tcBorders>
              <w:top w:val="single" w:sz="4" w:space="0" w:color="auto"/>
            </w:tcBorders>
            <w:tcMar>
              <w:top w:w="28" w:type="dxa"/>
              <w:bottom w:w="28" w:type="dxa"/>
            </w:tcMar>
          </w:tcPr>
          <w:p w14:paraId="657E9E04" w14:textId="77777777" w:rsidR="005F7696" w:rsidRPr="00A821BA" w:rsidRDefault="005F7696" w:rsidP="00C472D7">
            <w:pPr>
              <w:pStyle w:val="ListParagraph"/>
              <w:numPr>
                <w:ilvl w:val="0"/>
                <w:numId w:val="65"/>
              </w:numPr>
              <w:spacing w:before="0" w:after="0"/>
              <w:ind w:left="170" w:hanging="170"/>
              <w:rPr>
                <w:szCs w:val="20"/>
              </w:rPr>
            </w:pPr>
            <w:r w:rsidRPr="00A821BA">
              <w:rPr>
                <w:szCs w:val="20"/>
              </w:rPr>
              <w:t>Medicare Benefits Schedule</w:t>
            </w:r>
          </w:p>
        </w:tc>
        <w:tc>
          <w:tcPr>
            <w:tcW w:w="1423" w:type="dxa"/>
            <w:tcBorders>
              <w:top w:val="single" w:sz="4" w:space="0" w:color="auto"/>
              <w:right w:val="single" w:sz="4" w:space="0" w:color="auto"/>
            </w:tcBorders>
            <w:tcMar>
              <w:top w:w="28" w:type="dxa"/>
              <w:bottom w:w="28" w:type="dxa"/>
            </w:tcMar>
          </w:tcPr>
          <w:p w14:paraId="4580FDB5" w14:textId="77777777" w:rsidR="005F7696" w:rsidRPr="00594540" w:rsidRDefault="005F7696" w:rsidP="000853E1">
            <w:pPr>
              <w:spacing w:before="0" w:after="0"/>
              <w:rPr>
                <w:szCs w:val="20"/>
              </w:rPr>
            </w:pPr>
            <w:r w:rsidRPr="00594540">
              <w:rPr>
                <w:szCs w:val="20"/>
              </w:rPr>
              <w:t>MBS</w:t>
            </w:r>
          </w:p>
        </w:tc>
      </w:tr>
      <w:tr w:rsidR="005F7696" w14:paraId="4DACAECC" w14:textId="77777777" w:rsidTr="000853E1">
        <w:trPr>
          <w:cantSplit/>
        </w:trPr>
        <w:tc>
          <w:tcPr>
            <w:tcW w:w="1413" w:type="dxa"/>
            <w:vMerge/>
            <w:tcBorders>
              <w:top w:val="single" w:sz="4" w:space="0" w:color="auto"/>
              <w:left w:val="single" w:sz="4" w:space="0" w:color="auto"/>
              <w:bottom w:val="single" w:sz="4" w:space="0" w:color="auto"/>
              <w:right w:val="single" w:sz="4" w:space="0" w:color="auto"/>
            </w:tcBorders>
            <w:tcMar>
              <w:top w:w="28" w:type="dxa"/>
              <w:bottom w:w="28" w:type="dxa"/>
            </w:tcMar>
          </w:tcPr>
          <w:p w14:paraId="780D8E9F" w14:textId="77777777" w:rsidR="005F7696" w:rsidRPr="00467D83" w:rsidRDefault="005F7696" w:rsidP="000853E1">
            <w:pPr>
              <w:spacing w:before="0" w:after="0"/>
              <w:rPr>
                <w:szCs w:val="20"/>
              </w:rPr>
            </w:pPr>
          </w:p>
        </w:tc>
        <w:tc>
          <w:tcPr>
            <w:tcW w:w="2835" w:type="dxa"/>
            <w:vMerge/>
            <w:tcBorders>
              <w:top w:val="single" w:sz="4" w:space="0" w:color="auto"/>
              <w:left w:val="single" w:sz="4" w:space="0" w:color="auto"/>
              <w:bottom w:val="single" w:sz="4" w:space="0" w:color="auto"/>
            </w:tcBorders>
            <w:tcMar>
              <w:top w:w="28" w:type="dxa"/>
              <w:bottom w:w="28" w:type="dxa"/>
            </w:tcMar>
          </w:tcPr>
          <w:p w14:paraId="3B25549C" w14:textId="77777777" w:rsidR="005F7696" w:rsidRPr="00594540" w:rsidRDefault="005F7696" w:rsidP="000853E1">
            <w:pPr>
              <w:spacing w:before="0" w:after="0"/>
              <w:jc w:val="left"/>
              <w:rPr>
                <w:szCs w:val="20"/>
              </w:rPr>
            </w:pPr>
          </w:p>
        </w:tc>
        <w:tc>
          <w:tcPr>
            <w:tcW w:w="3538" w:type="dxa"/>
            <w:tcBorders>
              <w:bottom w:val="single" w:sz="4" w:space="0" w:color="auto"/>
            </w:tcBorders>
            <w:tcMar>
              <w:top w:w="28" w:type="dxa"/>
              <w:bottom w:w="28" w:type="dxa"/>
            </w:tcMar>
          </w:tcPr>
          <w:p w14:paraId="222BCACD" w14:textId="77777777" w:rsidR="005F7696" w:rsidRPr="00A821BA" w:rsidRDefault="005F7696" w:rsidP="00C472D7">
            <w:pPr>
              <w:pStyle w:val="ListParagraph"/>
              <w:numPr>
                <w:ilvl w:val="0"/>
                <w:numId w:val="65"/>
              </w:numPr>
              <w:spacing w:before="0" w:after="0"/>
              <w:ind w:left="170" w:hanging="170"/>
              <w:rPr>
                <w:szCs w:val="20"/>
              </w:rPr>
            </w:pPr>
            <w:r w:rsidRPr="00594540">
              <w:rPr>
                <w:szCs w:val="20"/>
              </w:rPr>
              <w:t>Pharmaceutical Benefits Scheme</w:t>
            </w:r>
            <w:r w:rsidRPr="0016115C">
              <w:rPr>
                <w:szCs w:val="20"/>
                <w:vertAlign w:val="superscript"/>
              </w:rPr>
              <w:t>1</w:t>
            </w:r>
          </w:p>
        </w:tc>
        <w:tc>
          <w:tcPr>
            <w:tcW w:w="1423" w:type="dxa"/>
            <w:tcBorders>
              <w:bottom w:val="single" w:sz="4" w:space="0" w:color="auto"/>
              <w:right w:val="single" w:sz="4" w:space="0" w:color="auto"/>
            </w:tcBorders>
            <w:tcMar>
              <w:top w:w="28" w:type="dxa"/>
              <w:bottom w:w="28" w:type="dxa"/>
            </w:tcMar>
          </w:tcPr>
          <w:p w14:paraId="050FE40E" w14:textId="77777777" w:rsidR="005F7696" w:rsidRPr="00FE2092" w:rsidRDefault="005F7696" w:rsidP="000853E1">
            <w:pPr>
              <w:spacing w:before="0" w:after="0"/>
              <w:rPr>
                <w:szCs w:val="20"/>
              </w:rPr>
            </w:pPr>
            <w:r w:rsidRPr="00FE2092">
              <w:rPr>
                <w:szCs w:val="20"/>
              </w:rPr>
              <w:t>PBS</w:t>
            </w:r>
          </w:p>
        </w:tc>
      </w:tr>
      <w:tr w:rsidR="005F7696" w14:paraId="68226C6E" w14:textId="77777777" w:rsidTr="000853E1">
        <w:trPr>
          <w:cantSplit/>
        </w:trPr>
        <w:tc>
          <w:tcPr>
            <w:tcW w:w="1413" w:type="dxa"/>
            <w:vMerge/>
            <w:tcBorders>
              <w:top w:val="single" w:sz="4" w:space="0" w:color="auto"/>
              <w:left w:val="single" w:sz="4" w:space="0" w:color="auto"/>
              <w:bottom w:val="single" w:sz="4" w:space="0" w:color="auto"/>
              <w:right w:val="single" w:sz="4" w:space="0" w:color="auto"/>
            </w:tcBorders>
            <w:tcMar>
              <w:top w:w="28" w:type="dxa"/>
              <w:bottom w:w="28" w:type="dxa"/>
            </w:tcMar>
          </w:tcPr>
          <w:p w14:paraId="74BAAD69" w14:textId="77777777" w:rsidR="005F7696" w:rsidRPr="00C94F99" w:rsidRDefault="005F7696" w:rsidP="000853E1">
            <w:pPr>
              <w:spacing w:before="0" w:after="0"/>
              <w:rPr>
                <w:szCs w:val="20"/>
              </w:rPr>
            </w:pPr>
          </w:p>
        </w:tc>
        <w:tc>
          <w:tcPr>
            <w:tcW w:w="2835" w:type="dxa"/>
            <w:vMerge w:val="restart"/>
            <w:tcBorders>
              <w:top w:val="single" w:sz="4" w:space="0" w:color="auto"/>
              <w:left w:val="single" w:sz="4" w:space="0" w:color="auto"/>
              <w:bottom w:val="single" w:sz="4" w:space="0" w:color="auto"/>
            </w:tcBorders>
            <w:tcMar>
              <w:top w:w="28" w:type="dxa"/>
              <w:bottom w:w="28" w:type="dxa"/>
            </w:tcMar>
          </w:tcPr>
          <w:p w14:paraId="389B852A" w14:textId="77777777" w:rsidR="005F7696" w:rsidRPr="00FE2092" w:rsidRDefault="005F7696" w:rsidP="000853E1">
            <w:pPr>
              <w:spacing w:before="0" w:after="0"/>
              <w:jc w:val="left"/>
              <w:rPr>
                <w:szCs w:val="20"/>
              </w:rPr>
            </w:pPr>
            <w:r w:rsidRPr="00C94F99">
              <w:rPr>
                <w:szCs w:val="20"/>
              </w:rPr>
              <w:t>Departm</w:t>
            </w:r>
            <w:r w:rsidRPr="00FE2092">
              <w:rPr>
                <w:szCs w:val="20"/>
              </w:rPr>
              <w:t>ent of Veterans’ Affairs (DVA)</w:t>
            </w:r>
          </w:p>
        </w:tc>
        <w:tc>
          <w:tcPr>
            <w:tcW w:w="3538" w:type="dxa"/>
            <w:tcBorders>
              <w:top w:val="single" w:sz="4" w:space="0" w:color="auto"/>
            </w:tcBorders>
            <w:tcMar>
              <w:top w:w="28" w:type="dxa"/>
              <w:bottom w:w="28" w:type="dxa"/>
            </w:tcMar>
          </w:tcPr>
          <w:p w14:paraId="41506503" w14:textId="77777777" w:rsidR="005F7696" w:rsidRPr="00A821BA" w:rsidRDefault="005F7696" w:rsidP="00C472D7">
            <w:pPr>
              <w:pStyle w:val="ListParagraph"/>
              <w:numPr>
                <w:ilvl w:val="0"/>
                <w:numId w:val="65"/>
              </w:numPr>
              <w:spacing w:before="0" w:after="0"/>
              <w:ind w:left="170" w:hanging="170"/>
              <w:rPr>
                <w:szCs w:val="20"/>
              </w:rPr>
            </w:pPr>
            <w:r w:rsidRPr="00A821BA">
              <w:rPr>
                <w:szCs w:val="20"/>
              </w:rPr>
              <w:t>Repatriation-MBS</w:t>
            </w:r>
          </w:p>
        </w:tc>
        <w:tc>
          <w:tcPr>
            <w:tcW w:w="1423" w:type="dxa"/>
            <w:tcBorders>
              <w:top w:val="single" w:sz="4" w:space="0" w:color="auto"/>
              <w:right w:val="single" w:sz="4" w:space="0" w:color="auto"/>
            </w:tcBorders>
            <w:tcMar>
              <w:top w:w="28" w:type="dxa"/>
              <w:bottom w:w="28" w:type="dxa"/>
            </w:tcMar>
          </w:tcPr>
          <w:p w14:paraId="44400C3D" w14:textId="77777777" w:rsidR="005F7696" w:rsidRPr="00C842EF" w:rsidRDefault="005F7696" w:rsidP="000853E1">
            <w:pPr>
              <w:spacing w:before="0" w:after="0"/>
              <w:rPr>
                <w:szCs w:val="20"/>
              </w:rPr>
            </w:pPr>
            <w:r w:rsidRPr="00C842EF">
              <w:rPr>
                <w:szCs w:val="20"/>
              </w:rPr>
              <w:t>R-MBS</w:t>
            </w:r>
          </w:p>
        </w:tc>
      </w:tr>
      <w:tr w:rsidR="005F7696" w14:paraId="3D8591FD" w14:textId="77777777" w:rsidTr="000853E1">
        <w:trPr>
          <w:cantSplit/>
        </w:trPr>
        <w:tc>
          <w:tcPr>
            <w:tcW w:w="1413" w:type="dxa"/>
            <w:vMerge/>
            <w:tcBorders>
              <w:top w:val="single" w:sz="4" w:space="0" w:color="auto"/>
              <w:left w:val="single" w:sz="4" w:space="0" w:color="auto"/>
              <w:bottom w:val="single" w:sz="4" w:space="0" w:color="auto"/>
              <w:right w:val="single" w:sz="4" w:space="0" w:color="auto"/>
            </w:tcBorders>
            <w:tcMar>
              <w:top w:w="28" w:type="dxa"/>
              <w:bottom w:w="28" w:type="dxa"/>
            </w:tcMar>
          </w:tcPr>
          <w:p w14:paraId="0BA6A3DC" w14:textId="77777777" w:rsidR="005F7696" w:rsidRPr="00467D83" w:rsidRDefault="005F7696" w:rsidP="000853E1">
            <w:pPr>
              <w:spacing w:before="0" w:after="0"/>
              <w:rPr>
                <w:szCs w:val="20"/>
              </w:rPr>
            </w:pPr>
          </w:p>
        </w:tc>
        <w:tc>
          <w:tcPr>
            <w:tcW w:w="2835" w:type="dxa"/>
            <w:vMerge/>
            <w:tcBorders>
              <w:top w:val="single" w:sz="4" w:space="0" w:color="auto"/>
              <w:left w:val="single" w:sz="4" w:space="0" w:color="auto"/>
              <w:bottom w:val="single" w:sz="4" w:space="0" w:color="auto"/>
            </w:tcBorders>
            <w:tcMar>
              <w:top w:w="28" w:type="dxa"/>
              <w:bottom w:w="28" w:type="dxa"/>
            </w:tcMar>
          </w:tcPr>
          <w:p w14:paraId="12E8F7FB" w14:textId="77777777" w:rsidR="005F7696" w:rsidRPr="00594540" w:rsidRDefault="005F7696" w:rsidP="000853E1">
            <w:pPr>
              <w:spacing w:before="0" w:after="0"/>
              <w:jc w:val="left"/>
              <w:rPr>
                <w:szCs w:val="20"/>
              </w:rPr>
            </w:pPr>
          </w:p>
        </w:tc>
        <w:tc>
          <w:tcPr>
            <w:tcW w:w="3538" w:type="dxa"/>
            <w:tcBorders>
              <w:bottom w:val="single" w:sz="4" w:space="0" w:color="auto"/>
            </w:tcBorders>
            <w:tcMar>
              <w:top w:w="28" w:type="dxa"/>
              <w:bottom w:w="28" w:type="dxa"/>
            </w:tcMar>
          </w:tcPr>
          <w:p w14:paraId="0E7E0F7C" w14:textId="77777777" w:rsidR="005F7696" w:rsidRPr="00594540" w:rsidRDefault="005F7696" w:rsidP="00C472D7">
            <w:pPr>
              <w:pStyle w:val="ListParagraph"/>
              <w:numPr>
                <w:ilvl w:val="0"/>
                <w:numId w:val="65"/>
              </w:numPr>
              <w:spacing w:before="0" w:after="0"/>
              <w:ind w:left="170" w:hanging="170"/>
              <w:rPr>
                <w:szCs w:val="20"/>
              </w:rPr>
            </w:pPr>
            <w:r w:rsidRPr="00594540">
              <w:rPr>
                <w:szCs w:val="20"/>
              </w:rPr>
              <w:t>DVA Aged Care Programs</w:t>
            </w:r>
          </w:p>
        </w:tc>
        <w:tc>
          <w:tcPr>
            <w:tcW w:w="1423" w:type="dxa"/>
            <w:tcBorders>
              <w:bottom w:val="single" w:sz="4" w:space="0" w:color="auto"/>
              <w:right w:val="single" w:sz="4" w:space="0" w:color="auto"/>
            </w:tcBorders>
            <w:tcMar>
              <w:top w:w="28" w:type="dxa"/>
              <w:bottom w:w="28" w:type="dxa"/>
            </w:tcMar>
          </w:tcPr>
          <w:p w14:paraId="1524BD79" w14:textId="77777777" w:rsidR="005F7696" w:rsidRPr="00594540" w:rsidRDefault="005F7696" w:rsidP="000853E1">
            <w:pPr>
              <w:spacing w:before="0" w:after="0"/>
              <w:rPr>
                <w:szCs w:val="20"/>
              </w:rPr>
            </w:pPr>
            <w:r w:rsidRPr="00594540">
              <w:rPr>
                <w:szCs w:val="20"/>
              </w:rPr>
              <w:t>DVA-AC</w:t>
            </w:r>
          </w:p>
        </w:tc>
      </w:tr>
      <w:tr w:rsidR="005F7696" w14:paraId="497FBC59" w14:textId="77777777" w:rsidTr="000853E1">
        <w:trPr>
          <w:cantSplit/>
        </w:trPr>
        <w:tc>
          <w:tcPr>
            <w:tcW w:w="1413" w:type="dxa"/>
            <w:vMerge/>
            <w:tcBorders>
              <w:top w:val="single" w:sz="4" w:space="0" w:color="auto"/>
              <w:left w:val="single" w:sz="4" w:space="0" w:color="auto"/>
              <w:bottom w:val="single" w:sz="4" w:space="0" w:color="auto"/>
              <w:right w:val="single" w:sz="4" w:space="0" w:color="auto"/>
            </w:tcBorders>
            <w:tcMar>
              <w:top w:w="28" w:type="dxa"/>
              <w:bottom w:w="28" w:type="dxa"/>
            </w:tcMar>
          </w:tcPr>
          <w:p w14:paraId="483E783E" w14:textId="77777777" w:rsidR="005F7696" w:rsidRPr="00C94F99" w:rsidRDefault="005F7696" w:rsidP="000853E1">
            <w:pPr>
              <w:spacing w:before="0" w:after="0"/>
              <w:rPr>
                <w:szCs w:val="20"/>
              </w:rPr>
            </w:pPr>
          </w:p>
        </w:tc>
        <w:tc>
          <w:tcPr>
            <w:tcW w:w="2835" w:type="dxa"/>
            <w:tcBorders>
              <w:top w:val="single" w:sz="4" w:space="0" w:color="auto"/>
              <w:left w:val="single" w:sz="4" w:space="0" w:color="auto"/>
              <w:bottom w:val="single" w:sz="4" w:space="0" w:color="auto"/>
            </w:tcBorders>
            <w:tcMar>
              <w:top w:w="28" w:type="dxa"/>
              <w:bottom w:w="28" w:type="dxa"/>
            </w:tcMar>
          </w:tcPr>
          <w:p w14:paraId="1F97BA7E" w14:textId="77777777" w:rsidR="005F7696" w:rsidRPr="00C94F99" w:rsidRDefault="005F7696" w:rsidP="000853E1">
            <w:pPr>
              <w:spacing w:before="0" w:after="0"/>
              <w:jc w:val="left"/>
              <w:rPr>
                <w:szCs w:val="20"/>
              </w:rPr>
            </w:pPr>
            <w:r w:rsidRPr="00C94F99">
              <w:rPr>
                <w:szCs w:val="20"/>
              </w:rPr>
              <w:t>AIHW</w:t>
            </w:r>
          </w:p>
        </w:tc>
        <w:tc>
          <w:tcPr>
            <w:tcW w:w="3538" w:type="dxa"/>
            <w:tcBorders>
              <w:top w:val="single" w:sz="4" w:space="0" w:color="auto"/>
              <w:bottom w:val="single" w:sz="4" w:space="0" w:color="auto"/>
            </w:tcBorders>
            <w:tcMar>
              <w:top w:w="28" w:type="dxa"/>
              <w:bottom w:w="28" w:type="dxa"/>
            </w:tcMar>
          </w:tcPr>
          <w:p w14:paraId="1ADA30B1" w14:textId="77777777" w:rsidR="005F7696" w:rsidRPr="00A821BA" w:rsidRDefault="005F7696" w:rsidP="00C472D7">
            <w:pPr>
              <w:pStyle w:val="ListParagraph"/>
              <w:numPr>
                <w:ilvl w:val="0"/>
                <w:numId w:val="65"/>
              </w:numPr>
              <w:spacing w:before="0" w:after="0"/>
              <w:ind w:left="170" w:hanging="170"/>
              <w:rPr>
                <w:szCs w:val="20"/>
              </w:rPr>
            </w:pPr>
            <w:r w:rsidRPr="00A821BA">
              <w:rPr>
                <w:szCs w:val="20"/>
              </w:rPr>
              <w:t>National Aged Care Data Collection</w:t>
            </w:r>
          </w:p>
        </w:tc>
        <w:tc>
          <w:tcPr>
            <w:tcW w:w="1423" w:type="dxa"/>
            <w:tcBorders>
              <w:top w:val="single" w:sz="4" w:space="0" w:color="auto"/>
              <w:bottom w:val="single" w:sz="4" w:space="0" w:color="auto"/>
              <w:right w:val="single" w:sz="4" w:space="0" w:color="auto"/>
            </w:tcBorders>
            <w:tcMar>
              <w:top w:w="28" w:type="dxa"/>
              <w:bottom w:w="28" w:type="dxa"/>
            </w:tcMar>
          </w:tcPr>
          <w:p w14:paraId="3F8AC3A1" w14:textId="77777777" w:rsidR="005F7696" w:rsidRPr="00BE6AEE" w:rsidRDefault="005F7696" w:rsidP="000853E1">
            <w:pPr>
              <w:spacing w:before="0" w:after="0"/>
              <w:rPr>
                <w:szCs w:val="20"/>
              </w:rPr>
            </w:pPr>
            <w:r>
              <w:rPr>
                <w:szCs w:val="20"/>
              </w:rPr>
              <w:t>AC</w:t>
            </w:r>
          </w:p>
        </w:tc>
      </w:tr>
      <w:tr w:rsidR="005F7696" w14:paraId="31A9420B" w14:textId="77777777" w:rsidTr="000853E1">
        <w:trPr>
          <w:cantSplit/>
        </w:trPr>
        <w:tc>
          <w:tcPr>
            <w:tcW w:w="1413" w:type="dxa"/>
            <w:vMerge/>
            <w:tcBorders>
              <w:top w:val="single" w:sz="4" w:space="0" w:color="auto"/>
              <w:left w:val="single" w:sz="4" w:space="0" w:color="auto"/>
              <w:bottom w:val="single" w:sz="4" w:space="0" w:color="auto"/>
              <w:right w:val="single" w:sz="4" w:space="0" w:color="auto"/>
            </w:tcBorders>
            <w:tcMar>
              <w:top w:w="28" w:type="dxa"/>
              <w:bottom w:w="28" w:type="dxa"/>
            </w:tcMar>
          </w:tcPr>
          <w:p w14:paraId="44697966" w14:textId="77777777" w:rsidR="005F7696" w:rsidRPr="00C94F99" w:rsidRDefault="005F7696" w:rsidP="000853E1">
            <w:pPr>
              <w:spacing w:before="0" w:after="0"/>
              <w:rPr>
                <w:szCs w:val="20"/>
              </w:rPr>
            </w:pPr>
          </w:p>
        </w:tc>
        <w:tc>
          <w:tcPr>
            <w:tcW w:w="2835" w:type="dxa"/>
            <w:vMerge w:val="restart"/>
            <w:tcBorders>
              <w:top w:val="single" w:sz="4" w:space="0" w:color="auto"/>
              <w:left w:val="single" w:sz="4" w:space="0" w:color="auto"/>
              <w:bottom w:val="single" w:sz="4" w:space="0" w:color="auto"/>
            </w:tcBorders>
            <w:tcMar>
              <w:top w:w="28" w:type="dxa"/>
              <w:bottom w:w="28" w:type="dxa"/>
            </w:tcMar>
          </w:tcPr>
          <w:p w14:paraId="1D631A72" w14:textId="77777777" w:rsidR="005F7696" w:rsidRPr="00FE2092" w:rsidRDefault="005F7696" w:rsidP="000853E1">
            <w:pPr>
              <w:spacing w:before="0" w:after="0"/>
              <w:jc w:val="left"/>
              <w:rPr>
                <w:szCs w:val="20"/>
              </w:rPr>
            </w:pPr>
            <w:r w:rsidRPr="00C94F99">
              <w:rPr>
                <w:szCs w:val="20"/>
              </w:rPr>
              <w:t xml:space="preserve">AIHW / State and Territory </w:t>
            </w:r>
            <w:r w:rsidRPr="00FE2092">
              <w:rPr>
                <w:szCs w:val="20"/>
              </w:rPr>
              <w:t>Death Registries</w:t>
            </w:r>
          </w:p>
        </w:tc>
        <w:tc>
          <w:tcPr>
            <w:tcW w:w="3538" w:type="dxa"/>
            <w:tcBorders>
              <w:top w:val="single" w:sz="4" w:space="0" w:color="auto"/>
            </w:tcBorders>
            <w:tcMar>
              <w:top w:w="28" w:type="dxa"/>
              <w:bottom w:w="28" w:type="dxa"/>
            </w:tcMar>
          </w:tcPr>
          <w:p w14:paraId="7DFA3976" w14:textId="77777777" w:rsidR="005F7696" w:rsidRPr="00A821BA" w:rsidRDefault="005F7696" w:rsidP="00C472D7">
            <w:pPr>
              <w:pStyle w:val="ListParagraph"/>
              <w:numPr>
                <w:ilvl w:val="0"/>
                <w:numId w:val="65"/>
              </w:numPr>
              <w:spacing w:before="0" w:after="0"/>
              <w:ind w:left="170" w:hanging="170"/>
              <w:rPr>
                <w:szCs w:val="20"/>
              </w:rPr>
            </w:pPr>
            <w:r w:rsidRPr="00A821BA">
              <w:rPr>
                <w:szCs w:val="20"/>
              </w:rPr>
              <w:t>National Death Index</w:t>
            </w:r>
          </w:p>
        </w:tc>
        <w:tc>
          <w:tcPr>
            <w:tcW w:w="1423" w:type="dxa"/>
            <w:tcBorders>
              <w:top w:val="single" w:sz="4" w:space="0" w:color="auto"/>
              <w:right w:val="single" w:sz="4" w:space="0" w:color="auto"/>
            </w:tcBorders>
            <w:tcMar>
              <w:top w:w="28" w:type="dxa"/>
              <w:bottom w:w="28" w:type="dxa"/>
            </w:tcMar>
          </w:tcPr>
          <w:p w14:paraId="037B70F6" w14:textId="77777777" w:rsidR="005F7696" w:rsidRPr="00C842EF" w:rsidRDefault="005F7696" w:rsidP="000853E1">
            <w:pPr>
              <w:spacing w:before="0" w:after="0"/>
              <w:rPr>
                <w:szCs w:val="20"/>
              </w:rPr>
            </w:pPr>
            <w:r w:rsidRPr="00C842EF">
              <w:rPr>
                <w:szCs w:val="20"/>
              </w:rPr>
              <w:t>NDI</w:t>
            </w:r>
          </w:p>
        </w:tc>
      </w:tr>
      <w:tr w:rsidR="005F7696" w14:paraId="13DFCB7B" w14:textId="77777777" w:rsidTr="000853E1">
        <w:trPr>
          <w:cantSplit/>
        </w:trPr>
        <w:tc>
          <w:tcPr>
            <w:tcW w:w="1413" w:type="dxa"/>
            <w:vMerge/>
            <w:tcBorders>
              <w:top w:val="single" w:sz="4" w:space="0" w:color="auto"/>
              <w:left w:val="single" w:sz="4" w:space="0" w:color="auto"/>
              <w:bottom w:val="single" w:sz="4" w:space="0" w:color="auto"/>
              <w:right w:val="single" w:sz="4" w:space="0" w:color="auto"/>
            </w:tcBorders>
            <w:tcMar>
              <w:top w:w="28" w:type="dxa"/>
              <w:bottom w:w="28" w:type="dxa"/>
            </w:tcMar>
          </w:tcPr>
          <w:p w14:paraId="45576E12" w14:textId="77777777" w:rsidR="005F7696" w:rsidRPr="00467D83" w:rsidRDefault="005F7696" w:rsidP="000853E1">
            <w:pPr>
              <w:spacing w:before="0" w:after="0"/>
              <w:rPr>
                <w:szCs w:val="20"/>
              </w:rPr>
            </w:pPr>
          </w:p>
        </w:tc>
        <w:tc>
          <w:tcPr>
            <w:tcW w:w="2835" w:type="dxa"/>
            <w:vMerge/>
            <w:tcBorders>
              <w:top w:val="single" w:sz="4" w:space="0" w:color="auto"/>
              <w:left w:val="single" w:sz="4" w:space="0" w:color="auto"/>
              <w:bottom w:val="single" w:sz="4" w:space="0" w:color="auto"/>
            </w:tcBorders>
            <w:tcMar>
              <w:top w:w="28" w:type="dxa"/>
              <w:bottom w:w="28" w:type="dxa"/>
            </w:tcMar>
          </w:tcPr>
          <w:p w14:paraId="46268CB8" w14:textId="77777777" w:rsidR="005F7696" w:rsidRPr="00594540" w:rsidRDefault="005F7696" w:rsidP="000853E1">
            <w:pPr>
              <w:spacing w:before="0" w:after="0"/>
              <w:jc w:val="left"/>
              <w:rPr>
                <w:szCs w:val="20"/>
              </w:rPr>
            </w:pPr>
          </w:p>
        </w:tc>
        <w:tc>
          <w:tcPr>
            <w:tcW w:w="3538" w:type="dxa"/>
            <w:tcBorders>
              <w:bottom w:val="single" w:sz="4" w:space="0" w:color="auto"/>
            </w:tcBorders>
            <w:tcMar>
              <w:top w:w="28" w:type="dxa"/>
              <w:bottom w:w="28" w:type="dxa"/>
            </w:tcMar>
          </w:tcPr>
          <w:p w14:paraId="4FF14310" w14:textId="77777777" w:rsidR="005F7696" w:rsidRPr="00594540" w:rsidRDefault="005F7696" w:rsidP="00C472D7">
            <w:pPr>
              <w:pStyle w:val="ListParagraph"/>
              <w:numPr>
                <w:ilvl w:val="0"/>
                <w:numId w:val="65"/>
              </w:numPr>
              <w:spacing w:before="0" w:after="0"/>
              <w:ind w:left="170" w:hanging="170"/>
              <w:rPr>
                <w:szCs w:val="20"/>
              </w:rPr>
            </w:pPr>
            <w:r w:rsidRPr="00594540">
              <w:rPr>
                <w:szCs w:val="20"/>
              </w:rPr>
              <w:t>Cause of Death</w:t>
            </w:r>
          </w:p>
        </w:tc>
        <w:tc>
          <w:tcPr>
            <w:tcW w:w="1423" w:type="dxa"/>
            <w:tcBorders>
              <w:bottom w:val="single" w:sz="4" w:space="0" w:color="auto"/>
              <w:right w:val="single" w:sz="4" w:space="0" w:color="auto"/>
            </w:tcBorders>
            <w:tcMar>
              <w:top w:w="28" w:type="dxa"/>
              <w:bottom w:w="28" w:type="dxa"/>
            </w:tcMar>
          </w:tcPr>
          <w:p w14:paraId="75A69CF1" w14:textId="77777777" w:rsidR="005F7696" w:rsidRPr="00594540" w:rsidRDefault="005F7696" w:rsidP="000853E1">
            <w:pPr>
              <w:spacing w:before="0" w:after="0"/>
              <w:rPr>
                <w:szCs w:val="20"/>
              </w:rPr>
            </w:pPr>
            <w:r w:rsidRPr="00594540">
              <w:rPr>
                <w:szCs w:val="20"/>
              </w:rPr>
              <w:t>C</w:t>
            </w:r>
            <w:r>
              <w:rPr>
                <w:szCs w:val="20"/>
              </w:rPr>
              <w:t>O</w:t>
            </w:r>
            <w:r w:rsidRPr="00594540">
              <w:rPr>
                <w:szCs w:val="20"/>
              </w:rPr>
              <w:t>D</w:t>
            </w:r>
          </w:p>
        </w:tc>
      </w:tr>
      <w:tr w:rsidR="005F7696" w14:paraId="4C532A44" w14:textId="77777777" w:rsidTr="000853E1">
        <w:trPr>
          <w:cantSplit/>
        </w:trPr>
        <w:tc>
          <w:tcPr>
            <w:tcW w:w="1413" w:type="dxa"/>
            <w:vMerge/>
            <w:tcBorders>
              <w:top w:val="single" w:sz="4" w:space="0" w:color="auto"/>
              <w:left w:val="single" w:sz="4" w:space="0" w:color="auto"/>
              <w:bottom w:val="single" w:sz="4" w:space="0" w:color="auto"/>
              <w:right w:val="single" w:sz="4" w:space="0" w:color="auto"/>
            </w:tcBorders>
            <w:tcMar>
              <w:top w:w="28" w:type="dxa"/>
              <w:bottom w:w="28" w:type="dxa"/>
            </w:tcMar>
          </w:tcPr>
          <w:p w14:paraId="0B8DDFF7" w14:textId="77777777" w:rsidR="005F7696" w:rsidRPr="00C94F99" w:rsidRDefault="005F7696" w:rsidP="000853E1">
            <w:pPr>
              <w:spacing w:before="0" w:after="0"/>
              <w:rPr>
                <w:szCs w:val="20"/>
              </w:rPr>
            </w:pPr>
          </w:p>
        </w:tc>
        <w:tc>
          <w:tcPr>
            <w:tcW w:w="2835" w:type="dxa"/>
            <w:tcBorders>
              <w:top w:val="single" w:sz="4" w:space="0" w:color="auto"/>
              <w:left w:val="single" w:sz="4" w:space="0" w:color="auto"/>
              <w:bottom w:val="single" w:sz="4" w:space="0" w:color="auto"/>
            </w:tcBorders>
            <w:tcMar>
              <w:top w:w="28" w:type="dxa"/>
              <w:bottom w:w="28" w:type="dxa"/>
            </w:tcMar>
          </w:tcPr>
          <w:p w14:paraId="5CD5B5A2" w14:textId="77777777" w:rsidR="005F7696" w:rsidRPr="00FE2092" w:rsidRDefault="005F7696" w:rsidP="000853E1">
            <w:pPr>
              <w:spacing w:before="0" w:after="0"/>
              <w:jc w:val="left"/>
              <w:rPr>
                <w:szCs w:val="20"/>
              </w:rPr>
            </w:pPr>
            <w:r w:rsidRPr="00C94F99">
              <w:rPr>
                <w:szCs w:val="20"/>
              </w:rPr>
              <w:t>AIHW / State and Territory Cancer Regist</w:t>
            </w:r>
            <w:r w:rsidRPr="00FE2092">
              <w:rPr>
                <w:szCs w:val="20"/>
              </w:rPr>
              <w:t>ries</w:t>
            </w:r>
          </w:p>
        </w:tc>
        <w:tc>
          <w:tcPr>
            <w:tcW w:w="3538" w:type="dxa"/>
            <w:tcBorders>
              <w:top w:val="single" w:sz="4" w:space="0" w:color="auto"/>
              <w:bottom w:val="single" w:sz="4" w:space="0" w:color="auto"/>
            </w:tcBorders>
            <w:tcMar>
              <w:top w:w="28" w:type="dxa"/>
              <w:bottom w:w="28" w:type="dxa"/>
            </w:tcMar>
          </w:tcPr>
          <w:p w14:paraId="0DA5FCD1" w14:textId="77777777" w:rsidR="005F7696" w:rsidRPr="00A821BA" w:rsidRDefault="005F7696" w:rsidP="00C472D7">
            <w:pPr>
              <w:pStyle w:val="ListParagraph"/>
              <w:numPr>
                <w:ilvl w:val="0"/>
                <w:numId w:val="65"/>
              </w:numPr>
              <w:spacing w:before="0" w:after="0"/>
              <w:ind w:left="170" w:hanging="170"/>
              <w:rPr>
                <w:szCs w:val="20"/>
              </w:rPr>
            </w:pPr>
            <w:r w:rsidRPr="00A821BA">
              <w:rPr>
                <w:szCs w:val="20"/>
              </w:rPr>
              <w:t>Australian Cancer Database</w:t>
            </w:r>
          </w:p>
        </w:tc>
        <w:tc>
          <w:tcPr>
            <w:tcW w:w="1423" w:type="dxa"/>
            <w:tcBorders>
              <w:top w:val="single" w:sz="4" w:space="0" w:color="auto"/>
              <w:bottom w:val="single" w:sz="4" w:space="0" w:color="auto"/>
              <w:right w:val="single" w:sz="4" w:space="0" w:color="auto"/>
            </w:tcBorders>
            <w:tcMar>
              <w:top w:w="28" w:type="dxa"/>
              <w:bottom w:w="28" w:type="dxa"/>
            </w:tcMar>
          </w:tcPr>
          <w:p w14:paraId="33E0A628" w14:textId="77777777" w:rsidR="005F7696" w:rsidRPr="00C842EF" w:rsidRDefault="005F7696" w:rsidP="000853E1">
            <w:pPr>
              <w:spacing w:before="0" w:after="0"/>
              <w:rPr>
                <w:szCs w:val="20"/>
              </w:rPr>
            </w:pPr>
            <w:r w:rsidRPr="00C842EF">
              <w:rPr>
                <w:szCs w:val="20"/>
              </w:rPr>
              <w:t>Cancer</w:t>
            </w:r>
          </w:p>
        </w:tc>
      </w:tr>
    </w:tbl>
    <w:p w14:paraId="2D895576" w14:textId="77777777" w:rsidR="005F7696" w:rsidRDefault="005F7696" w:rsidP="005F7696">
      <w:pPr>
        <w:spacing w:after="0"/>
        <w:rPr>
          <w:i/>
        </w:rPr>
      </w:pPr>
      <w:r w:rsidRPr="0016115C">
        <w:rPr>
          <w:vertAlign w:val="superscript"/>
        </w:rPr>
        <w:t>1</w:t>
      </w:r>
      <w:r w:rsidRPr="0016115C">
        <w:rPr>
          <w:i/>
        </w:rPr>
        <w:t xml:space="preserve"> </w:t>
      </w:r>
      <w:r>
        <w:rPr>
          <w:i/>
        </w:rPr>
        <w:t>I</w:t>
      </w:r>
      <w:r w:rsidRPr="0016115C">
        <w:rPr>
          <w:i/>
        </w:rPr>
        <w:t xml:space="preserve">ncludes </w:t>
      </w:r>
      <w:r w:rsidRPr="00A821BA">
        <w:rPr>
          <w:i/>
        </w:rPr>
        <w:t>DVA PBS records</w:t>
      </w:r>
    </w:p>
    <w:p w14:paraId="08A052C8" w14:textId="77777777" w:rsidR="005F7696" w:rsidRDefault="005F7696" w:rsidP="005F7696">
      <w:pPr>
        <w:pStyle w:val="2012TechReportBodytext"/>
      </w:pPr>
    </w:p>
    <w:p w14:paraId="09947E01" w14:textId="6EF2CDB1" w:rsidR="005F7696" w:rsidRPr="00B9354F" w:rsidRDefault="005F7696" w:rsidP="005F7696">
      <w:pPr>
        <w:pStyle w:val="2012TechReportBodytext"/>
      </w:pPr>
      <w:r>
        <w:t xml:space="preserve">All national collections have been, or will be, updated in 2022, except for DVA collections. </w:t>
      </w:r>
      <w:r w:rsidR="004528AF">
        <w:t xml:space="preserve">As the number of participants in </w:t>
      </w:r>
      <w:r w:rsidR="004F4F8D">
        <w:t>the 1921</w:t>
      </w:r>
      <w:r>
        <w:t xml:space="preserve">-26 </w:t>
      </w:r>
      <w:r w:rsidR="004528AF">
        <w:t>c</w:t>
      </w:r>
      <w:r>
        <w:t>ohort</w:t>
      </w:r>
      <w:r w:rsidR="004D72B1">
        <w:t xml:space="preserve"> reduces</w:t>
      </w:r>
      <w:r>
        <w:t xml:space="preserve">, the number of women with new records in DVA collections is </w:t>
      </w:r>
      <w:r w:rsidR="004D72B1">
        <w:t xml:space="preserve">also </w:t>
      </w:r>
      <w:r>
        <w:t xml:space="preserve">rapidly diminishing. </w:t>
      </w:r>
      <w:r w:rsidR="000B4EFD">
        <w:t>In 2025 a final reconciliation will be conducted to</w:t>
      </w:r>
      <w:r>
        <w:t xml:space="preserve"> finalise these collections. </w:t>
      </w:r>
      <w:r w:rsidRPr="00991048">
        <w:t xml:space="preserve">Table 5-2 shows metadata for national </w:t>
      </w:r>
      <w:r w:rsidRPr="00B9354F">
        <w:t xml:space="preserve">collections; aged care collections also detailed in Table 5-3. </w:t>
      </w:r>
      <w:r>
        <w:t>For aged care, the new aged care assessment data collection, or National Assessment Screening Form (NSAF) which replaced the Aged Care Assessment Program (ACAP) from 2015, was linked for the first time.</w:t>
      </w:r>
    </w:p>
    <w:p w14:paraId="793AFCBF" w14:textId="15C29EB5" w:rsidR="002B2D8C" w:rsidRDefault="002B2D8C">
      <w:pPr>
        <w:spacing w:before="0" w:after="0" w:line="240" w:lineRule="auto"/>
        <w:jc w:val="left"/>
      </w:pPr>
      <w:r>
        <w:br w:type="page"/>
      </w:r>
    </w:p>
    <w:p w14:paraId="7C1DA4F8" w14:textId="73C56859" w:rsidR="005F7696" w:rsidRPr="00B9354F" w:rsidRDefault="005F7696" w:rsidP="0000266C">
      <w:pPr>
        <w:pStyle w:val="Caption"/>
      </w:pPr>
      <w:bookmarkStart w:id="778" w:name="_Toc56156872"/>
      <w:bookmarkStart w:id="779" w:name="_Toc87869426"/>
      <w:r w:rsidRPr="00B9354F">
        <w:lastRenderedPageBreak/>
        <w:t xml:space="preserve">Table </w:t>
      </w:r>
      <w:fldSimple w:instr=" STYLEREF 1 \s ">
        <w:r w:rsidR="007D19D7">
          <w:rPr>
            <w:noProof/>
          </w:rPr>
          <w:t>5</w:t>
        </w:r>
      </w:fldSimple>
      <w:r w:rsidR="00327D59">
        <w:noBreakHyphen/>
      </w:r>
      <w:fldSimple w:instr=" SEQ Table \* ARABIC \s 1 ">
        <w:r w:rsidR="007D19D7">
          <w:rPr>
            <w:noProof/>
          </w:rPr>
          <w:t>2</w:t>
        </w:r>
      </w:fldSimple>
      <w:r w:rsidRPr="00B9354F">
        <w:t xml:space="preserve"> ALSWH linked data coverage: National (</w:t>
      </w:r>
      <w:proofErr w:type="gramStart"/>
      <w:r w:rsidRPr="00B9354F">
        <w:t>at</w:t>
      </w:r>
      <w:proofErr w:type="gramEnd"/>
      <w:r w:rsidRPr="00B9354F">
        <w:t xml:space="preserve"> </w:t>
      </w:r>
      <w:r w:rsidR="002B2D8C">
        <w:t>November 2022</w:t>
      </w:r>
      <w:r w:rsidRPr="00B9354F">
        <w:t>)</w:t>
      </w:r>
      <w:bookmarkEnd w:id="778"/>
      <w:bookmarkEnd w:id="779"/>
    </w:p>
    <w:tbl>
      <w:tblPr>
        <w:tblStyle w:val="TableGrid"/>
        <w:tblW w:w="9208" w:type="dxa"/>
        <w:tblLayout w:type="fixed"/>
        <w:tblLook w:val="04A0" w:firstRow="1" w:lastRow="0" w:firstColumn="1" w:lastColumn="0" w:noHBand="0" w:noVBand="1"/>
      </w:tblPr>
      <w:tblGrid>
        <w:gridCol w:w="1148"/>
        <w:gridCol w:w="974"/>
        <w:gridCol w:w="1904"/>
        <w:gridCol w:w="1152"/>
        <w:gridCol w:w="864"/>
        <w:gridCol w:w="791"/>
        <w:gridCol w:w="792"/>
        <w:gridCol w:w="791"/>
        <w:gridCol w:w="792"/>
      </w:tblGrid>
      <w:tr w:rsidR="005F7696" w:rsidRPr="00B9354F" w14:paraId="3053587A" w14:textId="77777777" w:rsidTr="000853E1">
        <w:tc>
          <w:tcPr>
            <w:tcW w:w="1148" w:type="dxa"/>
            <w:vMerge w:val="restart"/>
            <w:shd w:val="clear" w:color="auto" w:fill="E5DFEC" w:themeFill="accent4" w:themeFillTint="33"/>
            <w:vAlign w:val="center"/>
          </w:tcPr>
          <w:p w14:paraId="184EC2B8" w14:textId="77777777" w:rsidR="005F7696" w:rsidRPr="00B9354F" w:rsidRDefault="005F7696" w:rsidP="000853E1">
            <w:pPr>
              <w:keepLines/>
              <w:spacing w:before="0" w:after="0"/>
              <w:ind w:left="-57" w:right="-57"/>
              <w:jc w:val="center"/>
              <w:rPr>
                <w:b/>
                <w:szCs w:val="20"/>
              </w:rPr>
            </w:pPr>
            <w:r w:rsidRPr="00B9354F">
              <w:rPr>
                <w:b/>
                <w:szCs w:val="20"/>
              </w:rPr>
              <w:t>Collection</w:t>
            </w:r>
          </w:p>
        </w:tc>
        <w:tc>
          <w:tcPr>
            <w:tcW w:w="974" w:type="dxa"/>
            <w:vMerge w:val="restart"/>
            <w:shd w:val="clear" w:color="auto" w:fill="E5DFEC" w:themeFill="accent4" w:themeFillTint="33"/>
            <w:vAlign w:val="center"/>
          </w:tcPr>
          <w:p w14:paraId="2090D3CE" w14:textId="77777777" w:rsidR="005F7696" w:rsidRPr="00B9354F" w:rsidRDefault="005F7696" w:rsidP="000853E1">
            <w:pPr>
              <w:keepLines/>
              <w:spacing w:before="0" w:after="0"/>
              <w:ind w:left="-57" w:right="-57"/>
              <w:jc w:val="center"/>
              <w:rPr>
                <w:b/>
                <w:szCs w:val="20"/>
              </w:rPr>
            </w:pPr>
            <w:r w:rsidRPr="00B9354F">
              <w:rPr>
                <w:b/>
                <w:szCs w:val="20"/>
              </w:rPr>
              <w:t>Updated</w:t>
            </w:r>
          </w:p>
          <w:p w14:paraId="6F1A39D5" w14:textId="77777777" w:rsidR="005F7696" w:rsidRPr="00B9354F" w:rsidRDefault="005F7696" w:rsidP="000853E1">
            <w:pPr>
              <w:keepLines/>
              <w:spacing w:before="0" w:after="0"/>
              <w:ind w:left="-57" w:right="-57"/>
              <w:jc w:val="center"/>
              <w:rPr>
                <w:b/>
                <w:sz w:val="16"/>
                <w:szCs w:val="16"/>
              </w:rPr>
            </w:pPr>
            <w:r w:rsidRPr="00B9354F">
              <w:rPr>
                <w:b/>
                <w:sz w:val="16"/>
                <w:szCs w:val="16"/>
              </w:rPr>
              <w:t>MM/YYYY</w:t>
            </w:r>
          </w:p>
        </w:tc>
        <w:tc>
          <w:tcPr>
            <w:tcW w:w="1904" w:type="dxa"/>
            <w:vMerge w:val="restart"/>
            <w:shd w:val="clear" w:color="auto" w:fill="E5DFEC" w:themeFill="accent4" w:themeFillTint="33"/>
            <w:vAlign w:val="center"/>
          </w:tcPr>
          <w:p w14:paraId="5C29A2D4" w14:textId="77777777" w:rsidR="005F7696" w:rsidRPr="00B9354F" w:rsidRDefault="005F7696" w:rsidP="000853E1">
            <w:pPr>
              <w:keepLines/>
              <w:spacing w:before="0" w:after="0"/>
              <w:ind w:left="-57" w:right="-57"/>
              <w:jc w:val="center"/>
              <w:rPr>
                <w:b/>
                <w:szCs w:val="20"/>
              </w:rPr>
            </w:pPr>
            <w:r w:rsidRPr="00B9354F">
              <w:rPr>
                <w:b/>
                <w:szCs w:val="20"/>
              </w:rPr>
              <w:t xml:space="preserve">Coverage </w:t>
            </w:r>
          </w:p>
          <w:p w14:paraId="445881FF" w14:textId="77777777" w:rsidR="005F7696" w:rsidRPr="00B9354F" w:rsidRDefault="005F7696" w:rsidP="000853E1">
            <w:pPr>
              <w:keepLines/>
              <w:spacing w:before="0" w:after="0"/>
              <w:ind w:left="-57" w:right="-57"/>
              <w:jc w:val="center"/>
            </w:pPr>
            <w:r w:rsidRPr="00B9354F">
              <w:rPr>
                <w:b/>
                <w:sz w:val="16"/>
                <w:szCs w:val="16"/>
              </w:rPr>
              <w:t>MM/YYYY</w:t>
            </w:r>
          </w:p>
        </w:tc>
        <w:tc>
          <w:tcPr>
            <w:tcW w:w="1152" w:type="dxa"/>
            <w:vMerge w:val="restart"/>
            <w:tcBorders>
              <w:right w:val="nil"/>
            </w:tcBorders>
            <w:shd w:val="clear" w:color="auto" w:fill="E5DFEC" w:themeFill="accent4" w:themeFillTint="33"/>
            <w:vAlign w:val="center"/>
          </w:tcPr>
          <w:p w14:paraId="127FEB75" w14:textId="77777777" w:rsidR="005F7696" w:rsidRPr="00B9354F" w:rsidRDefault="005F7696" w:rsidP="000853E1">
            <w:pPr>
              <w:keepLines/>
              <w:spacing w:before="0" w:after="0"/>
              <w:ind w:left="-57" w:right="-57"/>
              <w:jc w:val="center"/>
              <w:rPr>
                <w:b/>
                <w:sz w:val="16"/>
                <w:szCs w:val="16"/>
              </w:rPr>
            </w:pPr>
            <w:r w:rsidRPr="00B9354F">
              <w:rPr>
                <w:b/>
                <w:szCs w:val="20"/>
              </w:rPr>
              <w:t>Records</w:t>
            </w:r>
          </w:p>
          <w:p w14:paraId="5078967C" w14:textId="77777777" w:rsidR="005F7696" w:rsidRPr="00B9354F" w:rsidRDefault="005F7696" w:rsidP="000853E1">
            <w:pPr>
              <w:keepLines/>
              <w:spacing w:before="0" w:after="0"/>
              <w:ind w:left="-57" w:right="-57"/>
              <w:jc w:val="center"/>
              <w:rPr>
                <w:b/>
                <w:sz w:val="16"/>
                <w:szCs w:val="16"/>
              </w:rPr>
            </w:pPr>
            <w:r w:rsidRPr="00B9354F">
              <w:rPr>
                <w:b/>
                <w:sz w:val="16"/>
                <w:szCs w:val="16"/>
              </w:rPr>
              <w:t>N</w:t>
            </w:r>
          </w:p>
        </w:tc>
        <w:tc>
          <w:tcPr>
            <w:tcW w:w="864" w:type="dxa"/>
            <w:vMerge w:val="restart"/>
            <w:tcBorders>
              <w:left w:val="nil"/>
            </w:tcBorders>
            <w:shd w:val="clear" w:color="auto" w:fill="E5DFEC" w:themeFill="accent4" w:themeFillTint="33"/>
            <w:vAlign w:val="center"/>
          </w:tcPr>
          <w:p w14:paraId="3D31E89E" w14:textId="77777777" w:rsidR="005F7696" w:rsidRPr="00B9354F" w:rsidRDefault="005F7696" w:rsidP="000853E1">
            <w:pPr>
              <w:keepLines/>
              <w:spacing w:before="0" w:after="0"/>
              <w:ind w:left="-57" w:right="-57"/>
              <w:jc w:val="center"/>
              <w:rPr>
                <w:b/>
                <w:sz w:val="16"/>
                <w:szCs w:val="16"/>
              </w:rPr>
            </w:pPr>
            <w:r w:rsidRPr="00B9354F">
              <w:rPr>
                <w:b/>
                <w:szCs w:val="20"/>
              </w:rPr>
              <w:t>Women</w:t>
            </w:r>
          </w:p>
          <w:p w14:paraId="3EB5B982" w14:textId="77777777" w:rsidR="005F7696" w:rsidRPr="00B9354F" w:rsidRDefault="005F7696" w:rsidP="000853E1">
            <w:pPr>
              <w:keepLines/>
              <w:spacing w:before="0" w:after="0"/>
              <w:ind w:left="-57" w:right="-57"/>
              <w:jc w:val="center"/>
              <w:rPr>
                <w:b/>
                <w:sz w:val="16"/>
                <w:szCs w:val="16"/>
              </w:rPr>
            </w:pPr>
            <w:r w:rsidRPr="00B9354F">
              <w:rPr>
                <w:b/>
                <w:sz w:val="16"/>
                <w:szCs w:val="16"/>
              </w:rPr>
              <w:t>Total N</w:t>
            </w:r>
          </w:p>
        </w:tc>
        <w:tc>
          <w:tcPr>
            <w:tcW w:w="3166" w:type="dxa"/>
            <w:gridSpan w:val="4"/>
            <w:tcBorders>
              <w:bottom w:val="nil"/>
            </w:tcBorders>
            <w:shd w:val="clear" w:color="auto" w:fill="E5DFEC" w:themeFill="accent4" w:themeFillTint="33"/>
            <w:vAlign w:val="center"/>
          </w:tcPr>
          <w:p w14:paraId="5C9A8E56" w14:textId="77777777" w:rsidR="005F7696" w:rsidRPr="00B9354F" w:rsidRDefault="005F7696" w:rsidP="000853E1">
            <w:pPr>
              <w:keepLines/>
              <w:spacing w:before="0" w:after="0"/>
              <w:ind w:left="-57" w:right="-57"/>
              <w:jc w:val="center"/>
              <w:rPr>
                <w:b/>
                <w:szCs w:val="20"/>
              </w:rPr>
            </w:pPr>
            <w:r w:rsidRPr="00B9354F">
              <w:rPr>
                <w:b/>
                <w:szCs w:val="20"/>
              </w:rPr>
              <w:t>Women, by cohort</w:t>
            </w:r>
          </w:p>
        </w:tc>
      </w:tr>
      <w:tr w:rsidR="005F7696" w:rsidRPr="00B9354F" w14:paraId="11A1B191" w14:textId="77777777" w:rsidTr="000853E1">
        <w:trPr>
          <w:trHeight w:val="345"/>
        </w:trPr>
        <w:tc>
          <w:tcPr>
            <w:tcW w:w="1148" w:type="dxa"/>
            <w:vMerge/>
            <w:shd w:val="clear" w:color="auto" w:fill="E5DFEC" w:themeFill="accent4" w:themeFillTint="33"/>
            <w:vAlign w:val="center"/>
          </w:tcPr>
          <w:p w14:paraId="087614FE" w14:textId="77777777" w:rsidR="005F7696" w:rsidRPr="00B9354F" w:rsidRDefault="005F7696" w:rsidP="000853E1">
            <w:pPr>
              <w:keepLines/>
              <w:spacing w:before="0" w:after="0"/>
              <w:ind w:left="-57" w:right="-57"/>
              <w:jc w:val="center"/>
              <w:rPr>
                <w:b/>
                <w:szCs w:val="20"/>
              </w:rPr>
            </w:pPr>
            <w:bookmarkStart w:id="780" w:name="_Hlk107917410"/>
          </w:p>
        </w:tc>
        <w:tc>
          <w:tcPr>
            <w:tcW w:w="974" w:type="dxa"/>
            <w:vMerge/>
            <w:shd w:val="clear" w:color="auto" w:fill="E5DFEC" w:themeFill="accent4" w:themeFillTint="33"/>
            <w:vAlign w:val="center"/>
          </w:tcPr>
          <w:p w14:paraId="3510117E" w14:textId="77777777" w:rsidR="005F7696" w:rsidRPr="00B9354F" w:rsidRDefault="005F7696" w:rsidP="000853E1">
            <w:pPr>
              <w:keepLines/>
              <w:spacing w:before="0" w:after="0"/>
              <w:ind w:left="-57" w:right="-57"/>
              <w:jc w:val="center"/>
              <w:rPr>
                <w:b/>
                <w:szCs w:val="20"/>
              </w:rPr>
            </w:pPr>
          </w:p>
        </w:tc>
        <w:tc>
          <w:tcPr>
            <w:tcW w:w="1904" w:type="dxa"/>
            <w:vMerge/>
            <w:tcBorders>
              <w:bottom w:val="nil"/>
            </w:tcBorders>
            <w:shd w:val="clear" w:color="auto" w:fill="E5DFEC" w:themeFill="accent4" w:themeFillTint="33"/>
            <w:vAlign w:val="center"/>
          </w:tcPr>
          <w:p w14:paraId="447BD19C" w14:textId="77777777" w:rsidR="005F7696" w:rsidRPr="00B9354F" w:rsidRDefault="005F7696" w:rsidP="000853E1">
            <w:pPr>
              <w:keepLines/>
              <w:spacing w:before="0" w:after="0"/>
              <w:ind w:left="-57" w:right="-57"/>
              <w:jc w:val="center"/>
              <w:rPr>
                <w:b/>
                <w:szCs w:val="20"/>
              </w:rPr>
            </w:pPr>
          </w:p>
        </w:tc>
        <w:tc>
          <w:tcPr>
            <w:tcW w:w="1152" w:type="dxa"/>
            <w:vMerge/>
            <w:tcBorders>
              <w:right w:val="nil"/>
            </w:tcBorders>
            <w:shd w:val="clear" w:color="auto" w:fill="E5DFEC" w:themeFill="accent4" w:themeFillTint="33"/>
            <w:vAlign w:val="center"/>
          </w:tcPr>
          <w:p w14:paraId="5D252869" w14:textId="77777777" w:rsidR="005F7696" w:rsidRPr="00B9354F" w:rsidRDefault="005F7696" w:rsidP="000853E1">
            <w:pPr>
              <w:keepLines/>
              <w:spacing w:before="0" w:after="0"/>
              <w:ind w:left="-57" w:right="-57"/>
              <w:jc w:val="center"/>
              <w:rPr>
                <w:b/>
                <w:szCs w:val="20"/>
              </w:rPr>
            </w:pPr>
          </w:p>
        </w:tc>
        <w:tc>
          <w:tcPr>
            <w:tcW w:w="864" w:type="dxa"/>
            <w:vMerge/>
            <w:tcBorders>
              <w:left w:val="nil"/>
            </w:tcBorders>
            <w:shd w:val="clear" w:color="auto" w:fill="E5DFEC" w:themeFill="accent4" w:themeFillTint="33"/>
            <w:vAlign w:val="center"/>
          </w:tcPr>
          <w:p w14:paraId="758C1CB5" w14:textId="77777777" w:rsidR="005F7696" w:rsidRPr="00B9354F" w:rsidRDefault="005F7696" w:rsidP="000853E1">
            <w:pPr>
              <w:keepLines/>
              <w:spacing w:before="0" w:after="0"/>
              <w:ind w:left="-57" w:right="-57"/>
              <w:jc w:val="center"/>
              <w:rPr>
                <w:b/>
                <w:szCs w:val="20"/>
              </w:rPr>
            </w:pPr>
          </w:p>
        </w:tc>
        <w:tc>
          <w:tcPr>
            <w:tcW w:w="791" w:type="dxa"/>
            <w:tcBorders>
              <w:top w:val="nil"/>
              <w:right w:val="nil"/>
            </w:tcBorders>
            <w:shd w:val="clear" w:color="auto" w:fill="E5DFEC" w:themeFill="accent4" w:themeFillTint="33"/>
            <w:vAlign w:val="center"/>
          </w:tcPr>
          <w:p w14:paraId="1B36406B" w14:textId="77777777" w:rsidR="005F7696" w:rsidRPr="00B9354F" w:rsidRDefault="005F7696" w:rsidP="000853E1">
            <w:pPr>
              <w:keepLines/>
              <w:spacing w:before="0" w:after="0"/>
              <w:ind w:left="-57"/>
              <w:jc w:val="right"/>
              <w:rPr>
                <w:b/>
                <w:sz w:val="16"/>
                <w:szCs w:val="16"/>
              </w:rPr>
            </w:pPr>
            <w:r w:rsidRPr="00B9354F">
              <w:rPr>
                <w:b/>
                <w:sz w:val="16"/>
                <w:szCs w:val="16"/>
              </w:rPr>
              <w:t>1989-95</w:t>
            </w:r>
          </w:p>
          <w:p w14:paraId="0B521BAC" w14:textId="77777777" w:rsidR="005F7696" w:rsidRPr="00B9354F" w:rsidRDefault="005F7696" w:rsidP="000853E1">
            <w:pPr>
              <w:keepLines/>
              <w:spacing w:before="0" w:after="0"/>
              <w:ind w:left="-57" w:right="-57"/>
              <w:jc w:val="center"/>
              <w:rPr>
                <w:b/>
                <w:szCs w:val="20"/>
              </w:rPr>
            </w:pPr>
            <w:r w:rsidRPr="00B9354F">
              <w:rPr>
                <w:b/>
                <w:sz w:val="16"/>
                <w:szCs w:val="16"/>
              </w:rPr>
              <w:t>N</w:t>
            </w:r>
          </w:p>
        </w:tc>
        <w:tc>
          <w:tcPr>
            <w:tcW w:w="792" w:type="dxa"/>
            <w:tcBorders>
              <w:top w:val="nil"/>
              <w:left w:val="nil"/>
              <w:right w:val="nil"/>
            </w:tcBorders>
            <w:shd w:val="clear" w:color="auto" w:fill="E5DFEC" w:themeFill="accent4" w:themeFillTint="33"/>
            <w:vAlign w:val="center"/>
          </w:tcPr>
          <w:p w14:paraId="67FC3DF2" w14:textId="77777777" w:rsidR="005F7696" w:rsidRPr="00B9354F" w:rsidRDefault="005F7696" w:rsidP="000853E1">
            <w:pPr>
              <w:keepLines/>
              <w:spacing w:before="0" w:after="0"/>
              <w:ind w:left="-57" w:right="-57"/>
              <w:jc w:val="right"/>
              <w:rPr>
                <w:b/>
                <w:sz w:val="16"/>
                <w:szCs w:val="16"/>
              </w:rPr>
            </w:pPr>
            <w:r w:rsidRPr="00B9354F">
              <w:rPr>
                <w:b/>
                <w:sz w:val="16"/>
                <w:szCs w:val="16"/>
              </w:rPr>
              <w:t>1973-78</w:t>
            </w:r>
          </w:p>
          <w:p w14:paraId="52E14A0D" w14:textId="77777777" w:rsidR="005F7696" w:rsidRPr="00B9354F" w:rsidRDefault="005F7696" w:rsidP="000853E1">
            <w:pPr>
              <w:keepLines/>
              <w:spacing w:before="0" w:after="0"/>
              <w:ind w:left="-57" w:right="-57"/>
              <w:jc w:val="center"/>
              <w:rPr>
                <w:b/>
                <w:szCs w:val="20"/>
              </w:rPr>
            </w:pPr>
            <w:r w:rsidRPr="00B9354F">
              <w:rPr>
                <w:b/>
                <w:sz w:val="16"/>
                <w:szCs w:val="16"/>
              </w:rPr>
              <w:t>N</w:t>
            </w:r>
          </w:p>
        </w:tc>
        <w:tc>
          <w:tcPr>
            <w:tcW w:w="791" w:type="dxa"/>
            <w:tcBorders>
              <w:top w:val="nil"/>
              <w:left w:val="nil"/>
              <w:right w:val="nil"/>
            </w:tcBorders>
            <w:shd w:val="clear" w:color="auto" w:fill="E5DFEC" w:themeFill="accent4" w:themeFillTint="33"/>
            <w:vAlign w:val="center"/>
          </w:tcPr>
          <w:p w14:paraId="27E2A619" w14:textId="77777777" w:rsidR="005F7696" w:rsidRPr="00B9354F" w:rsidRDefault="005F7696" w:rsidP="000853E1">
            <w:pPr>
              <w:keepLines/>
              <w:spacing w:before="0" w:after="0"/>
              <w:ind w:left="-57" w:right="-57"/>
              <w:jc w:val="right"/>
              <w:rPr>
                <w:b/>
                <w:sz w:val="16"/>
                <w:szCs w:val="16"/>
              </w:rPr>
            </w:pPr>
            <w:r w:rsidRPr="00B9354F">
              <w:rPr>
                <w:b/>
                <w:sz w:val="16"/>
                <w:szCs w:val="16"/>
              </w:rPr>
              <w:t>1946-51</w:t>
            </w:r>
          </w:p>
          <w:p w14:paraId="3D0ACA99" w14:textId="77777777" w:rsidR="005F7696" w:rsidRPr="00B9354F" w:rsidRDefault="005F7696" w:rsidP="000853E1">
            <w:pPr>
              <w:keepLines/>
              <w:spacing w:before="0" w:after="0"/>
              <w:ind w:left="-57" w:right="-57"/>
              <w:jc w:val="center"/>
              <w:rPr>
                <w:b/>
                <w:szCs w:val="20"/>
              </w:rPr>
            </w:pPr>
            <w:r w:rsidRPr="00B9354F">
              <w:rPr>
                <w:b/>
                <w:sz w:val="16"/>
                <w:szCs w:val="16"/>
              </w:rPr>
              <w:t>N</w:t>
            </w:r>
          </w:p>
        </w:tc>
        <w:tc>
          <w:tcPr>
            <w:tcW w:w="792" w:type="dxa"/>
            <w:tcBorders>
              <w:top w:val="nil"/>
              <w:left w:val="nil"/>
            </w:tcBorders>
            <w:shd w:val="clear" w:color="auto" w:fill="E5DFEC" w:themeFill="accent4" w:themeFillTint="33"/>
            <w:vAlign w:val="center"/>
          </w:tcPr>
          <w:p w14:paraId="620B2E4A" w14:textId="77777777" w:rsidR="005F7696" w:rsidRPr="00B9354F" w:rsidRDefault="005F7696" w:rsidP="000853E1">
            <w:pPr>
              <w:keepLines/>
              <w:spacing w:before="0" w:after="0"/>
              <w:ind w:left="-57" w:right="-57"/>
              <w:jc w:val="right"/>
              <w:rPr>
                <w:b/>
                <w:sz w:val="16"/>
                <w:szCs w:val="16"/>
              </w:rPr>
            </w:pPr>
            <w:r w:rsidRPr="00B9354F">
              <w:rPr>
                <w:b/>
                <w:sz w:val="16"/>
                <w:szCs w:val="16"/>
              </w:rPr>
              <w:t>1921-26</w:t>
            </w:r>
          </w:p>
          <w:p w14:paraId="61FBBD80" w14:textId="77777777" w:rsidR="005F7696" w:rsidRPr="00B9354F" w:rsidRDefault="005F7696" w:rsidP="000853E1">
            <w:pPr>
              <w:keepLines/>
              <w:spacing w:before="0" w:after="0"/>
              <w:ind w:left="-57"/>
              <w:jc w:val="center"/>
              <w:rPr>
                <w:b/>
                <w:szCs w:val="20"/>
              </w:rPr>
            </w:pPr>
            <w:r w:rsidRPr="00B9354F">
              <w:rPr>
                <w:b/>
                <w:sz w:val="16"/>
                <w:szCs w:val="16"/>
              </w:rPr>
              <w:t>N</w:t>
            </w:r>
          </w:p>
        </w:tc>
      </w:tr>
      <w:tr w:rsidR="005F7696" w:rsidRPr="00056F9A" w14:paraId="22BB6729" w14:textId="77777777" w:rsidTr="000853E1">
        <w:tc>
          <w:tcPr>
            <w:tcW w:w="1148" w:type="dxa"/>
            <w:tcMar>
              <w:top w:w="28" w:type="dxa"/>
              <w:bottom w:w="28" w:type="dxa"/>
            </w:tcMar>
          </w:tcPr>
          <w:p w14:paraId="0325C7E5" w14:textId="77777777" w:rsidR="005F7696" w:rsidRPr="00056F9A" w:rsidRDefault="005F7696" w:rsidP="000853E1">
            <w:pPr>
              <w:keepLines/>
              <w:spacing w:before="0" w:after="0"/>
              <w:ind w:right="-57"/>
              <w:rPr>
                <w:rFonts w:cs="Arial"/>
                <w:szCs w:val="20"/>
              </w:rPr>
            </w:pPr>
            <w:r w:rsidRPr="00056F9A">
              <w:rPr>
                <w:rFonts w:cs="Arial"/>
                <w:szCs w:val="20"/>
              </w:rPr>
              <w:t>MBS</w:t>
            </w:r>
          </w:p>
        </w:tc>
        <w:tc>
          <w:tcPr>
            <w:tcW w:w="974" w:type="dxa"/>
            <w:tcMar>
              <w:top w:w="28" w:type="dxa"/>
              <w:bottom w:w="28" w:type="dxa"/>
            </w:tcMar>
            <w:vAlign w:val="center"/>
          </w:tcPr>
          <w:p w14:paraId="5B7242DA" w14:textId="77777777" w:rsidR="005F7696" w:rsidRPr="00056F9A" w:rsidRDefault="005F7696" w:rsidP="000853E1">
            <w:pPr>
              <w:keepLines/>
              <w:spacing w:before="0" w:after="0"/>
              <w:ind w:left="-57" w:right="-57"/>
              <w:jc w:val="center"/>
              <w:rPr>
                <w:rFonts w:cs="Arial"/>
                <w:szCs w:val="20"/>
              </w:rPr>
            </w:pPr>
            <w:r w:rsidRPr="00056F9A">
              <w:rPr>
                <w:rFonts w:cs="Arial"/>
                <w:szCs w:val="20"/>
              </w:rPr>
              <w:t>12/2021</w:t>
            </w:r>
          </w:p>
        </w:tc>
        <w:tc>
          <w:tcPr>
            <w:tcW w:w="1904" w:type="dxa"/>
            <w:tcMar>
              <w:top w:w="28" w:type="dxa"/>
              <w:bottom w:w="28" w:type="dxa"/>
            </w:tcMar>
            <w:vAlign w:val="center"/>
          </w:tcPr>
          <w:p w14:paraId="497B9AE9" w14:textId="77777777" w:rsidR="005F7696" w:rsidRPr="00056F9A" w:rsidRDefault="005F7696" w:rsidP="000853E1">
            <w:pPr>
              <w:keepLines/>
              <w:spacing w:before="0" w:after="0"/>
              <w:ind w:left="-57" w:right="-57"/>
              <w:jc w:val="center"/>
              <w:rPr>
                <w:rFonts w:cs="Arial"/>
                <w:szCs w:val="20"/>
              </w:rPr>
            </w:pPr>
            <w:r w:rsidRPr="00056F9A">
              <w:rPr>
                <w:rFonts w:cs="Arial"/>
                <w:szCs w:val="20"/>
              </w:rPr>
              <w:t>02/1984 - 08/2021</w:t>
            </w:r>
          </w:p>
        </w:tc>
        <w:tc>
          <w:tcPr>
            <w:tcW w:w="1152" w:type="dxa"/>
            <w:tcBorders>
              <w:right w:val="nil"/>
            </w:tcBorders>
            <w:tcMar>
              <w:top w:w="28" w:type="dxa"/>
              <w:bottom w:w="28" w:type="dxa"/>
            </w:tcMar>
          </w:tcPr>
          <w:p w14:paraId="25F2B4D6" w14:textId="77777777" w:rsidR="005F7696" w:rsidRPr="00056F9A" w:rsidRDefault="005F7696" w:rsidP="000853E1">
            <w:pPr>
              <w:keepLines/>
              <w:spacing w:before="0" w:after="0"/>
              <w:ind w:left="-57" w:right="-57"/>
              <w:jc w:val="right"/>
              <w:rPr>
                <w:rFonts w:cs="Arial"/>
                <w:szCs w:val="20"/>
              </w:rPr>
            </w:pPr>
            <w:r w:rsidRPr="00056F9A">
              <w:t>30,959,636</w:t>
            </w:r>
          </w:p>
        </w:tc>
        <w:tc>
          <w:tcPr>
            <w:tcW w:w="864" w:type="dxa"/>
            <w:tcBorders>
              <w:left w:val="nil"/>
            </w:tcBorders>
            <w:tcMar>
              <w:top w:w="28" w:type="dxa"/>
              <w:bottom w:w="28" w:type="dxa"/>
            </w:tcMar>
          </w:tcPr>
          <w:p w14:paraId="6B104790" w14:textId="77777777" w:rsidR="005F7696" w:rsidRPr="00056F9A" w:rsidRDefault="005F7696" w:rsidP="000853E1">
            <w:pPr>
              <w:keepLines/>
              <w:spacing w:before="0" w:after="0"/>
              <w:ind w:left="-57" w:right="-57"/>
              <w:jc w:val="right"/>
              <w:rPr>
                <w:rFonts w:cs="Arial"/>
                <w:szCs w:val="20"/>
              </w:rPr>
            </w:pPr>
            <w:r w:rsidRPr="00056F9A">
              <w:t>55,506</w:t>
            </w:r>
          </w:p>
        </w:tc>
        <w:tc>
          <w:tcPr>
            <w:tcW w:w="791" w:type="dxa"/>
            <w:tcBorders>
              <w:right w:val="nil"/>
            </w:tcBorders>
            <w:tcMar>
              <w:top w:w="28" w:type="dxa"/>
              <w:bottom w:w="28" w:type="dxa"/>
            </w:tcMar>
          </w:tcPr>
          <w:p w14:paraId="6A9646A3" w14:textId="77777777" w:rsidR="005F7696" w:rsidRPr="00056F9A" w:rsidRDefault="005F7696" w:rsidP="000853E1">
            <w:pPr>
              <w:keepLines/>
              <w:spacing w:before="0" w:after="0"/>
              <w:ind w:left="-57" w:right="-57"/>
              <w:jc w:val="right"/>
              <w:rPr>
                <w:rFonts w:cs="Arial"/>
                <w:szCs w:val="20"/>
              </w:rPr>
            </w:pPr>
            <w:r w:rsidRPr="00056F9A">
              <w:t>16,990</w:t>
            </w:r>
          </w:p>
        </w:tc>
        <w:tc>
          <w:tcPr>
            <w:tcW w:w="792" w:type="dxa"/>
            <w:tcBorders>
              <w:left w:val="nil"/>
              <w:right w:val="nil"/>
            </w:tcBorders>
            <w:tcMar>
              <w:top w:w="28" w:type="dxa"/>
              <w:bottom w:w="28" w:type="dxa"/>
            </w:tcMar>
          </w:tcPr>
          <w:p w14:paraId="2220C7A3" w14:textId="77777777" w:rsidR="005F7696" w:rsidRPr="00056F9A" w:rsidRDefault="005F7696" w:rsidP="000853E1">
            <w:pPr>
              <w:keepLines/>
              <w:spacing w:before="0" w:after="0"/>
              <w:ind w:left="-57" w:right="-57"/>
              <w:jc w:val="right"/>
              <w:rPr>
                <w:rFonts w:cs="Arial"/>
                <w:szCs w:val="20"/>
              </w:rPr>
            </w:pPr>
            <w:r w:rsidRPr="00056F9A">
              <w:t>13,503</w:t>
            </w:r>
          </w:p>
        </w:tc>
        <w:tc>
          <w:tcPr>
            <w:tcW w:w="791" w:type="dxa"/>
            <w:tcBorders>
              <w:left w:val="nil"/>
              <w:right w:val="nil"/>
            </w:tcBorders>
            <w:tcMar>
              <w:top w:w="28" w:type="dxa"/>
              <w:bottom w:w="28" w:type="dxa"/>
            </w:tcMar>
          </w:tcPr>
          <w:p w14:paraId="5E978BAF" w14:textId="77777777" w:rsidR="005F7696" w:rsidRPr="00056F9A" w:rsidRDefault="005F7696" w:rsidP="000853E1">
            <w:pPr>
              <w:keepLines/>
              <w:spacing w:before="0" w:after="0"/>
              <w:ind w:left="-57" w:right="-57"/>
              <w:jc w:val="right"/>
              <w:rPr>
                <w:rFonts w:cs="Arial"/>
                <w:szCs w:val="20"/>
              </w:rPr>
            </w:pPr>
            <w:r w:rsidRPr="00056F9A">
              <w:t>12,953</w:t>
            </w:r>
          </w:p>
        </w:tc>
        <w:tc>
          <w:tcPr>
            <w:tcW w:w="792" w:type="dxa"/>
            <w:tcBorders>
              <w:left w:val="nil"/>
            </w:tcBorders>
            <w:tcMar>
              <w:top w:w="28" w:type="dxa"/>
              <w:bottom w:w="28" w:type="dxa"/>
            </w:tcMar>
          </w:tcPr>
          <w:p w14:paraId="76D69FBF" w14:textId="77777777" w:rsidR="005F7696" w:rsidRPr="00056F9A" w:rsidRDefault="005F7696" w:rsidP="000853E1">
            <w:pPr>
              <w:keepLines/>
              <w:spacing w:before="0" w:after="0"/>
              <w:ind w:left="-57"/>
              <w:jc w:val="right"/>
              <w:rPr>
                <w:rFonts w:cs="Arial"/>
                <w:szCs w:val="20"/>
              </w:rPr>
            </w:pPr>
            <w:r w:rsidRPr="00056F9A">
              <w:t>12,060</w:t>
            </w:r>
          </w:p>
        </w:tc>
      </w:tr>
      <w:tr w:rsidR="005F7696" w:rsidRPr="00056F9A" w14:paraId="4BF84525" w14:textId="77777777" w:rsidTr="000853E1">
        <w:tc>
          <w:tcPr>
            <w:tcW w:w="1148" w:type="dxa"/>
            <w:tcMar>
              <w:top w:w="28" w:type="dxa"/>
              <w:bottom w:w="28" w:type="dxa"/>
            </w:tcMar>
          </w:tcPr>
          <w:p w14:paraId="0A7164A4" w14:textId="77777777" w:rsidR="005F7696" w:rsidRPr="00056F9A" w:rsidRDefault="005F7696" w:rsidP="000853E1">
            <w:pPr>
              <w:keepLines/>
              <w:spacing w:before="0" w:after="0"/>
              <w:ind w:right="-57"/>
              <w:rPr>
                <w:rFonts w:cs="Arial"/>
                <w:szCs w:val="20"/>
              </w:rPr>
            </w:pPr>
            <w:r w:rsidRPr="00056F9A">
              <w:rPr>
                <w:rFonts w:cs="Arial"/>
                <w:szCs w:val="20"/>
              </w:rPr>
              <w:t>R-MBS</w:t>
            </w:r>
          </w:p>
        </w:tc>
        <w:tc>
          <w:tcPr>
            <w:tcW w:w="974" w:type="dxa"/>
            <w:tcMar>
              <w:top w:w="28" w:type="dxa"/>
              <w:bottom w:w="28" w:type="dxa"/>
            </w:tcMar>
            <w:vAlign w:val="center"/>
          </w:tcPr>
          <w:p w14:paraId="3B2EABC3" w14:textId="77777777" w:rsidR="005F7696" w:rsidRPr="00056F9A" w:rsidRDefault="005F7696" w:rsidP="000853E1">
            <w:pPr>
              <w:keepLines/>
              <w:spacing w:before="0" w:after="0"/>
              <w:ind w:left="-57" w:right="-57"/>
              <w:jc w:val="center"/>
              <w:rPr>
                <w:rFonts w:cs="Arial"/>
                <w:szCs w:val="20"/>
              </w:rPr>
            </w:pPr>
            <w:r w:rsidRPr="00056F9A">
              <w:rPr>
                <w:rFonts w:cs="Arial"/>
                <w:szCs w:val="20"/>
              </w:rPr>
              <w:t>04/2021</w:t>
            </w:r>
          </w:p>
        </w:tc>
        <w:tc>
          <w:tcPr>
            <w:tcW w:w="1904" w:type="dxa"/>
            <w:tcMar>
              <w:top w:w="28" w:type="dxa"/>
              <w:bottom w:w="28" w:type="dxa"/>
            </w:tcMar>
            <w:vAlign w:val="center"/>
          </w:tcPr>
          <w:p w14:paraId="08803CEC" w14:textId="77777777" w:rsidR="005F7696" w:rsidRPr="00056F9A" w:rsidRDefault="005F7696" w:rsidP="000853E1">
            <w:pPr>
              <w:keepLines/>
              <w:spacing w:before="0" w:after="0"/>
              <w:ind w:left="-57" w:right="-57"/>
              <w:jc w:val="center"/>
              <w:rPr>
                <w:rFonts w:cs="Arial"/>
                <w:szCs w:val="20"/>
              </w:rPr>
            </w:pPr>
            <w:r w:rsidRPr="00056F9A">
              <w:rPr>
                <w:rFonts w:cs="Arial"/>
                <w:szCs w:val="20"/>
              </w:rPr>
              <w:t>01/1991 - 12/2020</w:t>
            </w:r>
          </w:p>
        </w:tc>
        <w:tc>
          <w:tcPr>
            <w:tcW w:w="1152" w:type="dxa"/>
            <w:tcBorders>
              <w:right w:val="nil"/>
            </w:tcBorders>
            <w:tcMar>
              <w:top w:w="28" w:type="dxa"/>
              <w:bottom w:w="28" w:type="dxa"/>
            </w:tcMar>
            <w:vAlign w:val="bottom"/>
          </w:tcPr>
          <w:p w14:paraId="3AADDE7C"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1,968,285</w:t>
            </w:r>
          </w:p>
        </w:tc>
        <w:tc>
          <w:tcPr>
            <w:tcW w:w="864" w:type="dxa"/>
            <w:tcBorders>
              <w:left w:val="nil"/>
            </w:tcBorders>
            <w:tcMar>
              <w:top w:w="28" w:type="dxa"/>
              <w:bottom w:w="28" w:type="dxa"/>
            </w:tcMar>
            <w:vAlign w:val="bottom"/>
          </w:tcPr>
          <w:p w14:paraId="3B3D1017"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2,828</w:t>
            </w:r>
          </w:p>
        </w:tc>
        <w:tc>
          <w:tcPr>
            <w:tcW w:w="791" w:type="dxa"/>
            <w:tcBorders>
              <w:right w:val="nil"/>
            </w:tcBorders>
            <w:tcMar>
              <w:top w:w="28" w:type="dxa"/>
              <w:bottom w:w="28" w:type="dxa"/>
            </w:tcMar>
            <w:vAlign w:val="bottom"/>
          </w:tcPr>
          <w:p w14:paraId="309F226A"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w:t>
            </w:r>
          </w:p>
        </w:tc>
        <w:tc>
          <w:tcPr>
            <w:tcW w:w="792" w:type="dxa"/>
            <w:tcBorders>
              <w:left w:val="nil"/>
              <w:right w:val="nil"/>
            </w:tcBorders>
            <w:tcMar>
              <w:top w:w="28" w:type="dxa"/>
              <w:bottom w:w="28" w:type="dxa"/>
            </w:tcMar>
            <w:vAlign w:val="bottom"/>
          </w:tcPr>
          <w:p w14:paraId="63F8111A"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w:t>
            </w:r>
          </w:p>
        </w:tc>
        <w:tc>
          <w:tcPr>
            <w:tcW w:w="791" w:type="dxa"/>
            <w:tcBorders>
              <w:left w:val="nil"/>
              <w:right w:val="nil"/>
            </w:tcBorders>
            <w:tcMar>
              <w:top w:w="28" w:type="dxa"/>
              <w:bottom w:w="28" w:type="dxa"/>
            </w:tcMar>
            <w:vAlign w:val="bottom"/>
          </w:tcPr>
          <w:p w14:paraId="3EB4EF0F"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114</w:t>
            </w:r>
          </w:p>
        </w:tc>
        <w:tc>
          <w:tcPr>
            <w:tcW w:w="792" w:type="dxa"/>
            <w:tcBorders>
              <w:left w:val="nil"/>
            </w:tcBorders>
            <w:tcMar>
              <w:top w:w="28" w:type="dxa"/>
              <w:bottom w:w="28" w:type="dxa"/>
            </w:tcMar>
            <w:vAlign w:val="bottom"/>
          </w:tcPr>
          <w:p w14:paraId="3E43D968" w14:textId="77777777" w:rsidR="005F7696" w:rsidRPr="00056F9A" w:rsidRDefault="005F7696" w:rsidP="000853E1">
            <w:pPr>
              <w:keepLines/>
              <w:spacing w:before="0" w:after="0"/>
              <w:ind w:left="-57"/>
              <w:jc w:val="right"/>
              <w:rPr>
                <w:rFonts w:cs="Arial"/>
                <w:szCs w:val="20"/>
              </w:rPr>
            </w:pPr>
            <w:r w:rsidRPr="00056F9A">
              <w:rPr>
                <w:rFonts w:cs="Arial"/>
                <w:color w:val="000000"/>
                <w:szCs w:val="20"/>
              </w:rPr>
              <w:t>2,714</w:t>
            </w:r>
          </w:p>
        </w:tc>
      </w:tr>
      <w:tr w:rsidR="005F7696" w:rsidRPr="00056F9A" w14:paraId="5911FB60" w14:textId="77777777" w:rsidTr="000853E1">
        <w:tc>
          <w:tcPr>
            <w:tcW w:w="1148" w:type="dxa"/>
            <w:tcMar>
              <w:top w:w="28" w:type="dxa"/>
              <w:bottom w:w="28" w:type="dxa"/>
            </w:tcMar>
          </w:tcPr>
          <w:p w14:paraId="0E817888" w14:textId="77777777" w:rsidR="005F7696" w:rsidRPr="00056F9A" w:rsidRDefault="005F7696" w:rsidP="000853E1">
            <w:pPr>
              <w:keepLines/>
              <w:spacing w:before="0" w:after="0"/>
              <w:ind w:right="-57"/>
              <w:rPr>
                <w:rFonts w:cs="Arial"/>
                <w:szCs w:val="20"/>
              </w:rPr>
            </w:pPr>
            <w:r w:rsidRPr="00056F9A">
              <w:rPr>
                <w:rFonts w:cs="Arial"/>
                <w:szCs w:val="20"/>
              </w:rPr>
              <w:t>PBS</w:t>
            </w:r>
          </w:p>
        </w:tc>
        <w:tc>
          <w:tcPr>
            <w:tcW w:w="974" w:type="dxa"/>
            <w:tcMar>
              <w:top w:w="28" w:type="dxa"/>
              <w:bottom w:w="28" w:type="dxa"/>
            </w:tcMar>
            <w:vAlign w:val="center"/>
          </w:tcPr>
          <w:p w14:paraId="17F9B5F3" w14:textId="77777777" w:rsidR="005F7696" w:rsidRPr="00056F9A" w:rsidRDefault="005F7696" w:rsidP="000853E1">
            <w:pPr>
              <w:keepLines/>
              <w:spacing w:before="0" w:after="0"/>
              <w:ind w:left="-57" w:right="-57"/>
              <w:jc w:val="center"/>
              <w:rPr>
                <w:rFonts w:cs="Arial"/>
                <w:szCs w:val="20"/>
              </w:rPr>
            </w:pPr>
            <w:r w:rsidRPr="00056F9A">
              <w:rPr>
                <w:rFonts w:cs="Arial"/>
                <w:szCs w:val="20"/>
              </w:rPr>
              <w:t>12/2021</w:t>
            </w:r>
          </w:p>
        </w:tc>
        <w:tc>
          <w:tcPr>
            <w:tcW w:w="1904" w:type="dxa"/>
            <w:tcMar>
              <w:top w:w="28" w:type="dxa"/>
              <w:bottom w:w="28" w:type="dxa"/>
            </w:tcMar>
            <w:vAlign w:val="center"/>
          </w:tcPr>
          <w:p w14:paraId="61C5FC20" w14:textId="77777777" w:rsidR="005F7696" w:rsidRPr="00056F9A" w:rsidRDefault="005F7696" w:rsidP="000853E1">
            <w:pPr>
              <w:keepLines/>
              <w:spacing w:before="0" w:after="0"/>
              <w:ind w:left="-57" w:right="-57"/>
              <w:jc w:val="center"/>
              <w:rPr>
                <w:rFonts w:cs="Arial"/>
                <w:szCs w:val="20"/>
              </w:rPr>
            </w:pPr>
            <w:r w:rsidRPr="00056F9A">
              <w:rPr>
                <w:rFonts w:cs="Arial"/>
                <w:szCs w:val="20"/>
              </w:rPr>
              <w:t>07/2002 - 08/2021</w:t>
            </w:r>
          </w:p>
        </w:tc>
        <w:tc>
          <w:tcPr>
            <w:tcW w:w="1152" w:type="dxa"/>
            <w:tcBorders>
              <w:right w:val="nil"/>
            </w:tcBorders>
            <w:tcMar>
              <w:top w:w="28" w:type="dxa"/>
              <w:bottom w:w="28" w:type="dxa"/>
            </w:tcMar>
          </w:tcPr>
          <w:p w14:paraId="03663118" w14:textId="77777777" w:rsidR="005F7696" w:rsidRPr="00056F9A" w:rsidRDefault="005F7696" w:rsidP="000853E1">
            <w:pPr>
              <w:keepLines/>
              <w:spacing w:before="0" w:after="0"/>
              <w:ind w:left="-57" w:right="-57"/>
              <w:jc w:val="right"/>
              <w:rPr>
                <w:rFonts w:cs="Arial"/>
                <w:szCs w:val="20"/>
              </w:rPr>
            </w:pPr>
            <w:r w:rsidRPr="00056F9A">
              <w:t>14,342,252</w:t>
            </w:r>
          </w:p>
        </w:tc>
        <w:tc>
          <w:tcPr>
            <w:tcW w:w="864" w:type="dxa"/>
            <w:tcBorders>
              <w:left w:val="nil"/>
            </w:tcBorders>
            <w:tcMar>
              <w:top w:w="28" w:type="dxa"/>
              <w:bottom w:w="28" w:type="dxa"/>
            </w:tcMar>
          </w:tcPr>
          <w:p w14:paraId="0276148E" w14:textId="77777777" w:rsidR="005F7696" w:rsidRPr="00056F9A" w:rsidRDefault="005F7696" w:rsidP="000853E1">
            <w:pPr>
              <w:keepLines/>
              <w:spacing w:before="0" w:after="0"/>
              <w:ind w:left="-57" w:right="-57"/>
              <w:jc w:val="right"/>
              <w:rPr>
                <w:rFonts w:cs="Arial"/>
                <w:szCs w:val="20"/>
              </w:rPr>
            </w:pPr>
            <w:r w:rsidRPr="00056F9A">
              <w:t>53,554</w:t>
            </w:r>
          </w:p>
        </w:tc>
        <w:tc>
          <w:tcPr>
            <w:tcW w:w="791" w:type="dxa"/>
            <w:tcBorders>
              <w:right w:val="nil"/>
            </w:tcBorders>
            <w:tcMar>
              <w:top w:w="28" w:type="dxa"/>
              <w:bottom w:w="28" w:type="dxa"/>
            </w:tcMar>
          </w:tcPr>
          <w:p w14:paraId="06FF2CDC" w14:textId="77777777" w:rsidR="005F7696" w:rsidRPr="00056F9A" w:rsidRDefault="005F7696" w:rsidP="000853E1">
            <w:pPr>
              <w:keepLines/>
              <w:spacing w:before="0" w:after="0"/>
              <w:ind w:left="-57" w:right="-57"/>
              <w:jc w:val="right"/>
              <w:rPr>
                <w:rFonts w:cs="Arial"/>
                <w:szCs w:val="20"/>
              </w:rPr>
            </w:pPr>
            <w:r w:rsidRPr="00056F9A">
              <w:t>16,924</w:t>
            </w:r>
          </w:p>
        </w:tc>
        <w:tc>
          <w:tcPr>
            <w:tcW w:w="792" w:type="dxa"/>
            <w:tcBorders>
              <w:left w:val="nil"/>
              <w:right w:val="nil"/>
            </w:tcBorders>
            <w:tcMar>
              <w:top w:w="28" w:type="dxa"/>
              <w:bottom w:w="28" w:type="dxa"/>
            </w:tcMar>
          </w:tcPr>
          <w:p w14:paraId="066899EB" w14:textId="77777777" w:rsidR="005F7696" w:rsidRPr="00056F9A" w:rsidRDefault="005F7696" w:rsidP="000853E1">
            <w:pPr>
              <w:keepLines/>
              <w:spacing w:before="0" w:after="0"/>
              <w:ind w:left="-57" w:right="-57"/>
              <w:jc w:val="right"/>
              <w:rPr>
                <w:rFonts w:cs="Arial"/>
                <w:szCs w:val="20"/>
              </w:rPr>
            </w:pPr>
            <w:r w:rsidRPr="00056F9A">
              <w:t>13,102</w:t>
            </w:r>
          </w:p>
        </w:tc>
        <w:tc>
          <w:tcPr>
            <w:tcW w:w="791" w:type="dxa"/>
            <w:tcBorders>
              <w:left w:val="nil"/>
              <w:right w:val="nil"/>
            </w:tcBorders>
            <w:tcMar>
              <w:top w:w="28" w:type="dxa"/>
              <w:bottom w:w="28" w:type="dxa"/>
            </w:tcMar>
          </w:tcPr>
          <w:p w14:paraId="75E573FF" w14:textId="77777777" w:rsidR="005F7696" w:rsidRPr="00056F9A" w:rsidRDefault="005F7696" w:rsidP="000853E1">
            <w:pPr>
              <w:keepLines/>
              <w:spacing w:before="0" w:after="0"/>
              <w:ind w:left="-57" w:right="-57"/>
              <w:jc w:val="right"/>
              <w:rPr>
                <w:rFonts w:cs="Arial"/>
                <w:szCs w:val="20"/>
              </w:rPr>
            </w:pPr>
            <w:r w:rsidRPr="00056F9A">
              <w:t>12,710</w:t>
            </w:r>
          </w:p>
        </w:tc>
        <w:tc>
          <w:tcPr>
            <w:tcW w:w="792" w:type="dxa"/>
            <w:tcBorders>
              <w:left w:val="nil"/>
            </w:tcBorders>
            <w:tcMar>
              <w:top w:w="28" w:type="dxa"/>
              <w:bottom w:w="28" w:type="dxa"/>
            </w:tcMar>
          </w:tcPr>
          <w:p w14:paraId="7E9FF1F3" w14:textId="77777777" w:rsidR="005F7696" w:rsidRPr="00056F9A" w:rsidRDefault="005F7696" w:rsidP="000853E1">
            <w:pPr>
              <w:keepLines/>
              <w:spacing w:before="0" w:after="0"/>
              <w:ind w:left="-57"/>
              <w:jc w:val="right"/>
              <w:rPr>
                <w:rFonts w:cs="Arial"/>
                <w:szCs w:val="20"/>
              </w:rPr>
            </w:pPr>
            <w:r w:rsidRPr="00056F9A">
              <w:t>10,818</w:t>
            </w:r>
          </w:p>
        </w:tc>
      </w:tr>
      <w:tr w:rsidR="005F7696" w:rsidRPr="00056F9A" w14:paraId="2EB87125" w14:textId="77777777" w:rsidTr="000853E1">
        <w:tc>
          <w:tcPr>
            <w:tcW w:w="1148" w:type="dxa"/>
            <w:tcMar>
              <w:top w:w="28" w:type="dxa"/>
              <w:bottom w:w="28" w:type="dxa"/>
            </w:tcMar>
          </w:tcPr>
          <w:p w14:paraId="21E574B5" w14:textId="77777777" w:rsidR="005F7696" w:rsidRPr="00056F9A" w:rsidRDefault="005F7696" w:rsidP="000853E1">
            <w:pPr>
              <w:keepLines/>
              <w:spacing w:before="0" w:after="0"/>
              <w:ind w:right="-57"/>
              <w:rPr>
                <w:rFonts w:cs="Arial"/>
                <w:szCs w:val="20"/>
              </w:rPr>
            </w:pPr>
            <w:r w:rsidRPr="00056F9A">
              <w:rPr>
                <w:rFonts w:cs="Arial"/>
                <w:szCs w:val="20"/>
              </w:rPr>
              <w:t>COD</w:t>
            </w:r>
          </w:p>
        </w:tc>
        <w:tc>
          <w:tcPr>
            <w:tcW w:w="974" w:type="dxa"/>
            <w:tcMar>
              <w:top w:w="28" w:type="dxa"/>
              <w:bottom w:w="28" w:type="dxa"/>
            </w:tcMar>
            <w:vAlign w:val="center"/>
          </w:tcPr>
          <w:p w14:paraId="7ABB0DA1" w14:textId="77777777" w:rsidR="005F7696" w:rsidRPr="00056F9A" w:rsidRDefault="005F7696" w:rsidP="000853E1">
            <w:pPr>
              <w:keepLines/>
              <w:spacing w:before="0" w:after="0"/>
              <w:ind w:left="-57" w:right="-57"/>
              <w:jc w:val="center"/>
              <w:rPr>
                <w:rFonts w:cs="Arial"/>
                <w:szCs w:val="20"/>
              </w:rPr>
            </w:pPr>
            <w:r w:rsidRPr="00056F9A">
              <w:rPr>
                <w:rFonts w:cs="Arial"/>
                <w:szCs w:val="20"/>
              </w:rPr>
              <w:t>06/2022</w:t>
            </w:r>
          </w:p>
        </w:tc>
        <w:tc>
          <w:tcPr>
            <w:tcW w:w="1904" w:type="dxa"/>
            <w:tcMar>
              <w:top w:w="28" w:type="dxa"/>
              <w:bottom w:w="28" w:type="dxa"/>
            </w:tcMar>
            <w:vAlign w:val="center"/>
          </w:tcPr>
          <w:p w14:paraId="7506DD6F" w14:textId="77777777" w:rsidR="005F7696" w:rsidRPr="00056F9A" w:rsidRDefault="005F7696" w:rsidP="000853E1">
            <w:pPr>
              <w:keepLines/>
              <w:spacing w:before="0" w:after="0"/>
              <w:ind w:left="-57" w:right="-57"/>
              <w:jc w:val="center"/>
              <w:rPr>
                <w:rFonts w:cs="Arial"/>
                <w:szCs w:val="20"/>
              </w:rPr>
            </w:pPr>
            <w:r w:rsidRPr="00056F9A">
              <w:rPr>
                <w:rFonts w:cs="Arial"/>
                <w:szCs w:val="20"/>
              </w:rPr>
              <w:t>08/1996 - 01/2022</w:t>
            </w:r>
          </w:p>
        </w:tc>
        <w:tc>
          <w:tcPr>
            <w:tcW w:w="1152" w:type="dxa"/>
            <w:tcBorders>
              <w:right w:val="nil"/>
            </w:tcBorders>
            <w:tcMar>
              <w:top w:w="28" w:type="dxa"/>
              <w:bottom w:w="28" w:type="dxa"/>
            </w:tcMar>
            <w:vAlign w:val="bottom"/>
          </w:tcPr>
          <w:p w14:paraId="2369E695"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9,517</w:t>
            </w:r>
          </w:p>
        </w:tc>
        <w:tc>
          <w:tcPr>
            <w:tcW w:w="864" w:type="dxa"/>
            <w:tcBorders>
              <w:left w:val="nil"/>
            </w:tcBorders>
            <w:tcMar>
              <w:top w:w="28" w:type="dxa"/>
              <w:bottom w:w="28" w:type="dxa"/>
            </w:tcMar>
            <w:vAlign w:val="bottom"/>
          </w:tcPr>
          <w:p w14:paraId="30BFB454"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9,517</w:t>
            </w:r>
          </w:p>
        </w:tc>
        <w:tc>
          <w:tcPr>
            <w:tcW w:w="791" w:type="dxa"/>
            <w:tcBorders>
              <w:right w:val="nil"/>
            </w:tcBorders>
            <w:tcMar>
              <w:top w:w="28" w:type="dxa"/>
              <w:bottom w:w="28" w:type="dxa"/>
            </w:tcMar>
            <w:vAlign w:val="bottom"/>
          </w:tcPr>
          <w:p w14:paraId="4575B7F5"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30</w:t>
            </w:r>
          </w:p>
        </w:tc>
        <w:tc>
          <w:tcPr>
            <w:tcW w:w="792" w:type="dxa"/>
            <w:tcBorders>
              <w:left w:val="nil"/>
              <w:right w:val="nil"/>
            </w:tcBorders>
            <w:tcMar>
              <w:top w:w="28" w:type="dxa"/>
              <w:bottom w:w="28" w:type="dxa"/>
            </w:tcMar>
            <w:vAlign w:val="bottom"/>
          </w:tcPr>
          <w:p w14:paraId="501F09BF"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86</w:t>
            </w:r>
          </w:p>
        </w:tc>
        <w:tc>
          <w:tcPr>
            <w:tcW w:w="791" w:type="dxa"/>
            <w:tcBorders>
              <w:left w:val="nil"/>
              <w:right w:val="nil"/>
            </w:tcBorders>
            <w:tcMar>
              <w:top w:w="28" w:type="dxa"/>
              <w:bottom w:w="28" w:type="dxa"/>
            </w:tcMar>
            <w:vAlign w:val="bottom"/>
          </w:tcPr>
          <w:p w14:paraId="51C5B2C3"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1099</w:t>
            </w:r>
          </w:p>
        </w:tc>
        <w:tc>
          <w:tcPr>
            <w:tcW w:w="792" w:type="dxa"/>
            <w:tcBorders>
              <w:left w:val="nil"/>
            </w:tcBorders>
            <w:tcMar>
              <w:top w:w="28" w:type="dxa"/>
              <w:bottom w:w="28" w:type="dxa"/>
            </w:tcMar>
            <w:vAlign w:val="bottom"/>
          </w:tcPr>
          <w:p w14:paraId="2867BC88" w14:textId="77777777" w:rsidR="005F7696" w:rsidRPr="00056F9A" w:rsidRDefault="005F7696" w:rsidP="000853E1">
            <w:pPr>
              <w:keepLines/>
              <w:spacing w:before="0" w:after="0"/>
              <w:ind w:left="-57"/>
              <w:jc w:val="right"/>
              <w:rPr>
                <w:rFonts w:cs="Arial"/>
                <w:szCs w:val="20"/>
              </w:rPr>
            </w:pPr>
            <w:r w:rsidRPr="00056F9A">
              <w:rPr>
                <w:rFonts w:cs="Arial"/>
                <w:color w:val="000000"/>
                <w:szCs w:val="20"/>
              </w:rPr>
              <w:t>8302</w:t>
            </w:r>
          </w:p>
        </w:tc>
      </w:tr>
      <w:tr w:rsidR="005F7696" w:rsidRPr="00056F9A" w14:paraId="6F0F59B5" w14:textId="77777777" w:rsidTr="000853E1">
        <w:tc>
          <w:tcPr>
            <w:tcW w:w="1148" w:type="dxa"/>
            <w:tcMar>
              <w:top w:w="28" w:type="dxa"/>
              <w:bottom w:w="28" w:type="dxa"/>
            </w:tcMar>
          </w:tcPr>
          <w:p w14:paraId="74D953B5" w14:textId="77777777" w:rsidR="005F7696" w:rsidRPr="00056F9A" w:rsidRDefault="005F7696" w:rsidP="000853E1">
            <w:pPr>
              <w:keepLines/>
              <w:spacing w:before="0" w:after="0"/>
              <w:ind w:right="-57"/>
              <w:rPr>
                <w:rFonts w:cs="Arial"/>
                <w:szCs w:val="20"/>
              </w:rPr>
            </w:pPr>
            <w:r w:rsidRPr="00056F9A">
              <w:rPr>
                <w:rFonts w:cs="Arial"/>
                <w:szCs w:val="20"/>
              </w:rPr>
              <w:t>Cancer</w:t>
            </w:r>
          </w:p>
        </w:tc>
        <w:tc>
          <w:tcPr>
            <w:tcW w:w="974" w:type="dxa"/>
            <w:tcMar>
              <w:top w:w="28" w:type="dxa"/>
              <w:bottom w:w="28" w:type="dxa"/>
            </w:tcMar>
            <w:vAlign w:val="center"/>
          </w:tcPr>
          <w:p w14:paraId="506D3A98" w14:textId="77777777" w:rsidR="005F7696" w:rsidRPr="00056F9A" w:rsidRDefault="005F7696" w:rsidP="000853E1">
            <w:pPr>
              <w:keepLines/>
              <w:spacing w:before="0" w:after="0"/>
              <w:ind w:left="-57" w:right="-57"/>
              <w:jc w:val="center"/>
              <w:rPr>
                <w:rFonts w:cs="Arial"/>
                <w:szCs w:val="20"/>
              </w:rPr>
            </w:pPr>
            <w:r w:rsidRPr="00056F9A">
              <w:rPr>
                <w:rFonts w:cs="Arial"/>
                <w:szCs w:val="20"/>
              </w:rPr>
              <w:t>09/2021</w:t>
            </w:r>
          </w:p>
        </w:tc>
        <w:tc>
          <w:tcPr>
            <w:tcW w:w="1904" w:type="dxa"/>
            <w:tcMar>
              <w:top w:w="28" w:type="dxa"/>
              <w:bottom w:w="28" w:type="dxa"/>
            </w:tcMar>
            <w:vAlign w:val="center"/>
          </w:tcPr>
          <w:p w14:paraId="096DAC2B" w14:textId="77777777" w:rsidR="005F7696" w:rsidRPr="00056F9A" w:rsidRDefault="005F7696" w:rsidP="000853E1">
            <w:pPr>
              <w:keepLines/>
              <w:spacing w:before="0" w:after="0"/>
              <w:ind w:left="-57" w:right="-57"/>
              <w:jc w:val="center"/>
              <w:rPr>
                <w:rFonts w:cs="Arial"/>
                <w:szCs w:val="20"/>
              </w:rPr>
            </w:pPr>
            <w:r w:rsidRPr="00056F9A">
              <w:rPr>
                <w:rFonts w:cs="Arial"/>
                <w:szCs w:val="20"/>
              </w:rPr>
              <w:t>01/1982 - 12/2017</w:t>
            </w:r>
          </w:p>
        </w:tc>
        <w:tc>
          <w:tcPr>
            <w:tcW w:w="1152" w:type="dxa"/>
            <w:tcBorders>
              <w:right w:val="nil"/>
            </w:tcBorders>
            <w:tcMar>
              <w:top w:w="28" w:type="dxa"/>
              <w:bottom w:w="28" w:type="dxa"/>
            </w:tcMar>
            <w:vAlign w:val="bottom"/>
          </w:tcPr>
          <w:p w14:paraId="4F72A405"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7,472</w:t>
            </w:r>
          </w:p>
        </w:tc>
        <w:tc>
          <w:tcPr>
            <w:tcW w:w="864" w:type="dxa"/>
            <w:tcBorders>
              <w:left w:val="nil"/>
            </w:tcBorders>
            <w:tcMar>
              <w:top w:w="28" w:type="dxa"/>
              <w:bottom w:w="28" w:type="dxa"/>
            </w:tcMar>
            <w:vAlign w:val="bottom"/>
          </w:tcPr>
          <w:p w14:paraId="7C0B28B5"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6,661</w:t>
            </w:r>
          </w:p>
        </w:tc>
        <w:tc>
          <w:tcPr>
            <w:tcW w:w="791" w:type="dxa"/>
            <w:tcBorders>
              <w:right w:val="nil"/>
            </w:tcBorders>
            <w:tcMar>
              <w:top w:w="28" w:type="dxa"/>
              <w:bottom w:w="28" w:type="dxa"/>
            </w:tcMar>
            <w:vAlign w:val="bottom"/>
          </w:tcPr>
          <w:p w14:paraId="5325A03D"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79</w:t>
            </w:r>
          </w:p>
        </w:tc>
        <w:tc>
          <w:tcPr>
            <w:tcW w:w="792" w:type="dxa"/>
            <w:tcBorders>
              <w:left w:val="nil"/>
              <w:right w:val="nil"/>
            </w:tcBorders>
            <w:tcMar>
              <w:top w:w="28" w:type="dxa"/>
              <w:bottom w:w="28" w:type="dxa"/>
            </w:tcMar>
            <w:vAlign w:val="bottom"/>
          </w:tcPr>
          <w:p w14:paraId="658120FF"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380</w:t>
            </w:r>
          </w:p>
        </w:tc>
        <w:tc>
          <w:tcPr>
            <w:tcW w:w="791" w:type="dxa"/>
            <w:tcBorders>
              <w:left w:val="nil"/>
              <w:right w:val="nil"/>
            </w:tcBorders>
            <w:tcMar>
              <w:top w:w="28" w:type="dxa"/>
              <w:bottom w:w="28" w:type="dxa"/>
            </w:tcMar>
            <w:vAlign w:val="bottom"/>
          </w:tcPr>
          <w:p w14:paraId="25DBB280"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2,432</w:t>
            </w:r>
          </w:p>
        </w:tc>
        <w:tc>
          <w:tcPr>
            <w:tcW w:w="792" w:type="dxa"/>
            <w:tcBorders>
              <w:left w:val="nil"/>
            </w:tcBorders>
            <w:tcMar>
              <w:top w:w="28" w:type="dxa"/>
              <w:bottom w:w="28" w:type="dxa"/>
            </w:tcMar>
            <w:vAlign w:val="bottom"/>
          </w:tcPr>
          <w:p w14:paraId="785BA67F" w14:textId="77777777" w:rsidR="005F7696" w:rsidRPr="00056F9A" w:rsidRDefault="005F7696" w:rsidP="000853E1">
            <w:pPr>
              <w:keepLines/>
              <w:spacing w:before="0" w:after="0"/>
              <w:ind w:left="-57"/>
              <w:jc w:val="right"/>
              <w:rPr>
                <w:rFonts w:cs="Arial"/>
                <w:szCs w:val="20"/>
              </w:rPr>
            </w:pPr>
            <w:r w:rsidRPr="00056F9A">
              <w:rPr>
                <w:rFonts w:cs="Arial"/>
                <w:color w:val="000000"/>
                <w:szCs w:val="20"/>
              </w:rPr>
              <w:t>3,770</w:t>
            </w:r>
          </w:p>
        </w:tc>
      </w:tr>
      <w:tr w:rsidR="005F7696" w:rsidRPr="00056F9A" w14:paraId="6D3A24CB" w14:textId="77777777" w:rsidTr="000853E1">
        <w:tc>
          <w:tcPr>
            <w:tcW w:w="1148" w:type="dxa"/>
            <w:tcMar>
              <w:top w:w="28" w:type="dxa"/>
              <w:bottom w:w="28" w:type="dxa"/>
            </w:tcMar>
          </w:tcPr>
          <w:p w14:paraId="3AF17375" w14:textId="77777777" w:rsidR="005F7696" w:rsidRPr="00056F9A" w:rsidRDefault="005F7696" w:rsidP="000853E1">
            <w:pPr>
              <w:keepLines/>
              <w:spacing w:before="0" w:after="0"/>
              <w:ind w:right="-57"/>
              <w:rPr>
                <w:rFonts w:cs="Arial"/>
                <w:szCs w:val="20"/>
              </w:rPr>
            </w:pPr>
            <w:r w:rsidRPr="00056F9A">
              <w:rPr>
                <w:rFonts w:cs="Arial"/>
                <w:szCs w:val="20"/>
              </w:rPr>
              <w:t>AC</w:t>
            </w:r>
          </w:p>
        </w:tc>
        <w:tc>
          <w:tcPr>
            <w:tcW w:w="974" w:type="dxa"/>
            <w:tcMar>
              <w:top w:w="28" w:type="dxa"/>
              <w:bottom w:w="28" w:type="dxa"/>
            </w:tcMar>
            <w:vAlign w:val="center"/>
          </w:tcPr>
          <w:p w14:paraId="5BE72F56" w14:textId="77777777" w:rsidR="005F7696" w:rsidRPr="00056F9A" w:rsidRDefault="005F7696" w:rsidP="000853E1">
            <w:pPr>
              <w:keepLines/>
              <w:spacing w:before="0" w:after="0"/>
              <w:ind w:left="-57" w:right="-57"/>
              <w:jc w:val="center"/>
              <w:rPr>
                <w:rFonts w:cs="Arial"/>
                <w:szCs w:val="20"/>
              </w:rPr>
            </w:pPr>
            <w:r w:rsidRPr="00056F9A">
              <w:rPr>
                <w:rFonts w:cs="Arial"/>
                <w:szCs w:val="20"/>
              </w:rPr>
              <w:t>07/2022</w:t>
            </w:r>
          </w:p>
        </w:tc>
        <w:tc>
          <w:tcPr>
            <w:tcW w:w="1904" w:type="dxa"/>
            <w:tcMar>
              <w:top w:w="28" w:type="dxa"/>
              <w:bottom w:w="28" w:type="dxa"/>
            </w:tcMar>
            <w:vAlign w:val="center"/>
          </w:tcPr>
          <w:p w14:paraId="4F0FDC4B" w14:textId="77777777" w:rsidR="005F7696" w:rsidRPr="00056F9A" w:rsidRDefault="005F7696" w:rsidP="000853E1">
            <w:pPr>
              <w:keepLines/>
              <w:spacing w:before="0" w:after="0"/>
              <w:ind w:left="-57" w:right="-57"/>
              <w:jc w:val="center"/>
              <w:rPr>
                <w:rFonts w:cs="Arial"/>
                <w:szCs w:val="20"/>
              </w:rPr>
            </w:pPr>
            <w:r w:rsidRPr="00056F9A">
              <w:rPr>
                <w:rFonts w:cs="Arial"/>
                <w:szCs w:val="20"/>
              </w:rPr>
              <w:t>*</w:t>
            </w:r>
          </w:p>
        </w:tc>
        <w:tc>
          <w:tcPr>
            <w:tcW w:w="1152" w:type="dxa"/>
            <w:tcBorders>
              <w:right w:val="nil"/>
            </w:tcBorders>
            <w:tcMar>
              <w:top w:w="28" w:type="dxa"/>
              <w:bottom w:w="28" w:type="dxa"/>
            </w:tcMar>
            <w:vAlign w:val="bottom"/>
          </w:tcPr>
          <w:p w14:paraId="2E831239" w14:textId="77777777" w:rsidR="005F7696" w:rsidRPr="00056F9A" w:rsidRDefault="005F7696" w:rsidP="000853E1">
            <w:pPr>
              <w:keepLines/>
              <w:spacing w:before="0" w:after="0"/>
              <w:ind w:left="-57" w:right="-57"/>
              <w:jc w:val="center"/>
              <w:rPr>
                <w:rFonts w:cs="Arial"/>
                <w:szCs w:val="20"/>
              </w:rPr>
            </w:pPr>
            <w:r w:rsidRPr="00056F9A">
              <w:rPr>
                <w:rFonts w:cs="Arial"/>
                <w:szCs w:val="20"/>
              </w:rPr>
              <w:t>*</w:t>
            </w:r>
          </w:p>
        </w:tc>
        <w:tc>
          <w:tcPr>
            <w:tcW w:w="864" w:type="dxa"/>
            <w:tcBorders>
              <w:left w:val="nil"/>
            </w:tcBorders>
            <w:tcMar>
              <w:top w:w="28" w:type="dxa"/>
              <w:bottom w:w="28" w:type="dxa"/>
            </w:tcMar>
            <w:vAlign w:val="bottom"/>
          </w:tcPr>
          <w:p w14:paraId="755EDA8A"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14,333</w:t>
            </w:r>
          </w:p>
        </w:tc>
        <w:tc>
          <w:tcPr>
            <w:tcW w:w="791" w:type="dxa"/>
            <w:tcBorders>
              <w:right w:val="nil"/>
            </w:tcBorders>
            <w:tcMar>
              <w:top w:w="28" w:type="dxa"/>
              <w:bottom w:w="28" w:type="dxa"/>
            </w:tcMar>
            <w:vAlign w:val="bottom"/>
          </w:tcPr>
          <w:p w14:paraId="52F2C50F"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w:t>
            </w:r>
          </w:p>
        </w:tc>
        <w:tc>
          <w:tcPr>
            <w:tcW w:w="792" w:type="dxa"/>
            <w:tcBorders>
              <w:left w:val="nil"/>
              <w:right w:val="nil"/>
            </w:tcBorders>
            <w:tcMar>
              <w:top w:w="28" w:type="dxa"/>
              <w:bottom w:w="28" w:type="dxa"/>
            </w:tcMar>
            <w:vAlign w:val="bottom"/>
          </w:tcPr>
          <w:p w14:paraId="467EC410"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w:t>
            </w:r>
          </w:p>
        </w:tc>
        <w:tc>
          <w:tcPr>
            <w:tcW w:w="791" w:type="dxa"/>
            <w:tcBorders>
              <w:left w:val="nil"/>
              <w:right w:val="nil"/>
            </w:tcBorders>
            <w:tcMar>
              <w:top w:w="28" w:type="dxa"/>
              <w:bottom w:w="28" w:type="dxa"/>
            </w:tcMar>
            <w:vAlign w:val="bottom"/>
          </w:tcPr>
          <w:p w14:paraId="08347E12"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3,935</w:t>
            </w:r>
          </w:p>
        </w:tc>
        <w:tc>
          <w:tcPr>
            <w:tcW w:w="792" w:type="dxa"/>
            <w:tcBorders>
              <w:left w:val="nil"/>
            </w:tcBorders>
            <w:tcMar>
              <w:top w:w="28" w:type="dxa"/>
              <w:bottom w:w="28" w:type="dxa"/>
            </w:tcMar>
            <w:vAlign w:val="bottom"/>
          </w:tcPr>
          <w:p w14:paraId="60D52D5D" w14:textId="77777777" w:rsidR="005F7696" w:rsidRPr="00056F9A" w:rsidRDefault="005F7696" w:rsidP="000853E1">
            <w:pPr>
              <w:keepLines/>
              <w:spacing w:before="0" w:after="0"/>
              <w:ind w:left="-57"/>
              <w:jc w:val="right"/>
              <w:rPr>
                <w:rFonts w:cs="Arial"/>
                <w:szCs w:val="20"/>
              </w:rPr>
            </w:pPr>
            <w:r w:rsidRPr="00056F9A">
              <w:rPr>
                <w:rFonts w:cs="Arial"/>
                <w:color w:val="000000"/>
                <w:szCs w:val="20"/>
              </w:rPr>
              <w:t>10,98</w:t>
            </w:r>
          </w:p>
        </w:tc>
      </w:tr>
      <w:tr w:rsidR="005F7696" w:rsidRPr="00056F9A" w14:paraId="417124A6" w14:textId="77777777" w:rsidTr="000853E1">
        <w:tc>
          <w:tcPr>
            <w:tcW w:w="1148" w:type="dxa"/>
            <w:tcMar>
              <w:top w:w="28" w:type="dxa"/>
              <w:bottom w:w="28" w:type="dxa"/>
            </w:tcMar>
          </w:tcPr>
          <w:p w14:paraId="6AA2820B" w14:textId="77777777" w:rsidR="005F7696" w:rsidRPr="00056F9A" w:rsidRDefault="005F7696" w:rsidP="000853E1">
            <w:pPr>
              <w:keepLines/>
              <w:spacing w:before="0" w:after="0"/>
              <w:ind w:right="-57"/>
              <w:rPr>
                <w:rFonts w:cs="Arial"/>
                <w:szCs w:val="20"/>
              </w:rPr>
            </w:pPr>
            <w:r w:rsidRPr="00056F9A">
              <w:rPr>
                <w:rFonts w:cs="Arial"/>
                <w:szCs w:val="20"/>
              </w:rPr>
              <w:t>DVA-AC</w:t>
            </w:r>
          </w:p>
        </w:tc>
        <w:tc>
          <w:tcPr>
            <w:tcW w:w="974" w:type="dxa"/>
            <w:tcMar>
              <w:top w:w="28" w:type="dxa"/>
              <w:bottom w:w="28" w:type="dxa"/>
            </w:tcMar>
            <w:vAlign w:val="center"/>
          </w:tcPr>
          <w:p w14:paraId="7763DB66" w14:textId="77777777" w:rsidR="005F7696" w:rsidRPr="00056F9A" w:rsidRDefault="005F7696" w:rsidP="000853E1">
            <w:pPr>
              <w:keepLines/>
              <w:spacing w:before="0" w:after="0"/>
              <w:ind w:left="-57" w:right="-57"/>
              <w:jc w:val="center"/>
              <w:rPr>
                <w:rFonts w:cs="Arial"/>
                <w:szCs w:val="20"/>
              </w:rPr>
            </w:pPr>
            <w:r w:rsidRPr="00056F9A">
              <w:rPr>
                <w:rFonts w:cs="Arial"/>
                <w:szCs w:val="20"/>
              </w:rPr>
              <w:t>06/2021</w:t>
            </w:r>
          </w:p>
        </w:tc>
        <w:tc>
          <w:tcPr>
            <w:tcW w:w="1904" w:type="dxa"/>
            <w:tcMar>
              <w:top w:w="28" w:type="dxa"/>
              <w:bottom w:w="28" w:type="dxa"/>
            </w:tcMar>
            <w:vAlign w:val="center"/>
          </w:tcPr>
          <w:p w14:paraId="4CE4DE7A" w14:textId="77777777" w:rsidR="005F7696" w:rsidRPr="00056F9A" w:rsidRDefault="005F7696" w:rsidP="000853E1">
            <w:pPr>
              <w:keepLines/>
              <w:spacing w:before="0" w:after="0"/>
              <w:ind w:left="-57" w:right="-57"/>
              <w:jc w:val="center"/>
              <w:rPr>
                <w:rFonts w:cs="Arial"/>
                <w:szCs w:val="20"/>
              </w:rPr>
            </w:pPr>
            <w:r w:rsidRPr="00056F9A">
              <w:rPr>
                <w:rFonts w:cs="Arial"/>
                <w:szCs w:val="20"/>
              </w:rPr>
              <w:t>*</w:t>
            </w:r>
          </w:p>
        </w:tc>
        <w:tc>
          <w:tcPr>
            <w:tcW w:w="1152" w:type="dxa"/>
            <w:tcBorders>
              <w:right w:val="nil"/>
            </w:tcBorders>
            <w:tcMar>
              <w:top w:w="28" w:type="dxa"/>
              <w:bottom w:w="28" w:type="dxa"/>
            </w:tcMar>
            <w:vAlign w:val="bottom"/>
          </w:tcPr>
          <w:p w14:paraId="0337C311"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26,484</w:t>
            </w:r>
          </w:p>
        </w:tc>
        <w:tc>
          <w:tcPr>
            <w:tcW w:w="864" w:type="dxa"/>
            <w:tcBorders>
              <w:left w:val="nil"/>
            </w:tcBorders>
            <w:tcMar>
              <w:top w:w="28" w:type="dxa"/>
              <w:bottom w:w="28" w:type="dxa"/>
            </w:tcMar>
            <w:vAlign w:val="bottom"/>
          </w:tcPr>
          <w:p w14:paraId="0D43275D"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2,396</w:t>
            </w:r>
          </w:p>
        </w:tc>
        <w:tc>
          <w:tcPr>
            <w:tcW w:w="791" w:type="dxa"/>
            <w:tcBorders>
              <w:right w:val="nil"/>
            </w:tcBorders>
            <w:tcMar>
              <w:top w:w="28" w:type="dxa"/>
              <w:bottom w:w="28" w:type="dxa"/>
            </w:tcMar>
            <w:vAlign w:val="bottom"/>
          </w:tcPr>
          <w:p w14:paraId="6449D980"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w:t>
            </w:r>
          </w:p>
        </w:tc>
        <w:tc>
          <w:tcPr>
            <w:tcW w:w="792" w:type="dxa"/>
            <w:tcBorders>
              <w:left w:val="nil"/>
              <w:right w:val="nil"/>
            </w:tcBorders>
            <w:tcMar>
              <w:top w:w="28" w:type="dxa"/>
              <w:bottom w:w="28" w:type="dxa"/>
            </w:tcMar>
            <w:vAlign w:val="bottom"/>
          </w:tcPr>
          <w:p w14:paraId="0029F59C"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w:t>
            </w:r>
          </w:p>
        </w:tc>
        <w:tc>
          <w:tcPr>
            <w:tcW w:w="791" w:type="dxa"/>
            <w:tcBorders>
              <w:left w:val="nil"/>
              <w:right w:val="nil"/>
            </w:tcBorders>
            <w:tcMar>
              <w:top w:w="28" w:type="dxa"/>
              <w:bottom w:w="28" w:type="dxa"/>
            </w:tcMar>
            <w:vAlign w:val="bottom"/>
          </w:tcPr>
          <w:p w14:paraId="64C01E5D" w14:textId="77777777" w:rsidR="005F7696" w:rsidRPr="00056F9A" w:rsidRDefault="005F7696" w:rsidP="000853E1">
            <w:pPr>
              <w:keepLines/>
              <w:spacing w:before="0" w:after="0"/>
              <w:ind w:left="-57" w:right="-57"/>
              <w:jc w:val="right"/>
              <w:rPr>
                <w:rFonts w:cs="Arial"/>
                <w:szCs w:val="20"/>
              </w:rPr>
            </w:pPr>
            <w:r w:rsidRPr="00056F9A">
              <w:rPr>
                <w:rFonts w:cs="Arial"/>
                <w:color w:val="000000"/>
                <w:szCs w:val="20"/>
              </w:rPr>
              <w:t>32</w:t>
            </w:r>
          </w:p>
        </w:tc>
        <w:tc>
          <w:tcPr>
            <w:tcW w:w="792" w:type="dxa"/>
            <w:tcBorders>
              <w:left w:val="nil"/>
            </w:tcBorders>
            <w:tcMar>
              <w:top w:w="28" w:type="dxa"/>
              <w:bottom w:w="28" w:type="dxa"/>
            </w:tcMar>
            <w:vAlign w:val="bottom"/>
          </w:tcPr>
          <w:p w14:paraId="3959B492" w14:textId="77777777" w:rsidR="005F7696" w:rsidRPr="00056F9A" w:rsidRDefault="005F7696" w:rsidP="000853E1">
            <w:pPr>
              <w:keepLines/>
              <w:spacing w:before="0" w:after="0"/>
              <w:ind w:left="-57"/>
              <w:jc w:val="right"/>
              <w:rPr>
                <w:rFonts w:cs="Arial"/>
                <w:szCs w:val="20"/>
              </w:rPr>
            </w:pPr>
            <w:r w:rsidRPr="00056F9A">
              <w:rPr>
                <w:rFonts w:cs="Arial"/>
                <w:color w:val="000000"/>
                <w:szCs w:val="20"/>
              </w:rPr>
              <w:t>2,289</w:t>
            </w:r>
          </w:p>
        </w:tc>
      </w:tr>
    </w:tbl>
    <w:bookmarkEnd w:id="780"/>
    <w:p w14:paraId="172A4A6A" w14:textId="77777777" w:rsidR="00FE01C6" w:rsidRPr="00056F9A" w:rsidRDefault="005F7696" w:rsidP="005F7696">
      <w:pPr>
        <w:spacing w:before="0" w:after="160" w:line="259" w:lineRule="auto"/>
        <w:jc w:val="left"/>
        <w:rPr>
          <w:i/>
        </w:rPr>
      </w:pPr>
      <w:r w:rsidRPr="00056F9A">
        <w:t xml:space="preserve">* </w:t>
      </w:r>
      <w:r w:rsidRPr="00056F9A">
        <w:rPr>
          <w:i/>
        </w:rPr>
        <w:t>Dates vary among component datasets, see Table 5.3 for details</w:t>
      </w:r>
      <w:bookmarkStart w:id="781" w:name="_Toc56156873"/>
    </w:p>
    <w:p w14:paraId="37137033" w14:textId="77777777" w:rsidR="00FE01C6" w:rsidRPr="00056F9A" w:rsidRDefault="00FE01C6" w:rsidP="005F7696">
      <w:pPr>
        <w:spacing w:before="0" w:after="160" w:line="259" w:lineRule="auto"/>
        <w:jc w:val="left"/>
        <w:rPr>
          <w:i/>
        </w:rPr>
      </w:pPr>
    </w:p>
    <w:p w14:paraId="557EC21D" w14:textId="0EA7D284" w:rsidR="005F7696" w:rsidRPr="00056F9A" w:rsidRDefault="005F7696" w:rsidP="0000266C">
      <w:pPr>
        <w:pStyle w:val="Caption"/>
      </w:pPr>
      <w:bookmarkStart w:id="782" w:name="_Toc87869427"/>
      <w:r w:rsidRPr="00056F9A">
        <w:t xml:space="preserve">Table </w:t>
      </w:r>
      <w:fldSimple w:instr=" STYLEREF 1 \s ">
        <w:r w:rsidR="007D19D7">
          <w:rPr>
            <w:noProof/>
          </w:rPr>
          <w:t>5</w:t>
        </w:r>
      </w:fldSimple>
      <w:r w:rsidR="00327D59" w:rsidRPr="00056F9A">
        <w:noBreakHyphen/>
      </w:r>
      <w:fldSimple w:instr=" SEQ Table \* ARABIC \s 1 ">
        <w:r w:rsidR="007D19D7">
          <w:rPr>
            <w:noProof/>
          </w:rPr>
          <w:t>3</w:t>
        </w:r>
      </w:fldSimple>
      <w:r w:rsidRPr="00056F9A">
        <w:t xml:space="preserve"> ALSWH linked data coverage: Aged Care Programs (</w:t>
      </w:r>
      <w:proofErr w:type="gramStart"/>
      <w:r w:rsidRPr="00056F9A">
        <w:t>at</w:t>
      </w:r>
      <w:proofErr w:type="gramEnd"/>
      <w:r w:rsidRPr="00056F9A">
        <w:t xml:space="preserve"> </w:t>
      </w:r>
      <w:r w:rsidR="002B2D8C">
        <w:t>November</w:t>
      </w:r>
      <w:r w:rsidR="002B2D8C" w:rsidRPr="00056F9A">
        <w:t xml:space="preserve"> </w:t>
      </w:r>
      <w:r w:rsidRPr="00056F9A">
        <w:t>2022)</w:t>
      </w:r>
      <w:bookmarkEnd w:id="781"/>
      <w:bookmarkEnd w:id="782"/>
    </w:p>
    <w:tbl>
      <w:tblPr>
        <w:tblStyle w:val="TableGrid"/>
        <w:tblW w:w="9209" w:type="dxa"/>
        <w:tblLayout w:type="fixed"/>
        <w:tblLook w:val="04A0" w:firstRow="1" w:lastRow="0" w:firstColumn="1" w:lastColumn="0" w:noHBand="0" w:noVBand="1"/>
      </w:tblPr>
      <w:tblGrid>
        <w:gridCol w:w="3539"/>
        <w:gridCol w:w="1843"/>
        <w:gridCol w:w="992"/>
        <w:gridCol w:w="851"/>
        <w:gridCol w:w="992"/>
        <w:gridCol w:w="992"/>
      </w:tblGrid>
      <w:tr w:rsidR="005F7696" w:rsidRPr="00056F9A" w14:paraId="1DADE535" w14:textId="77777777" w:rsidTr="000853E1">
        <w:trPr>
          <w:tblHeader/>
        </w:trPr>
        <w:tc>
          <w:tcPr>
            <w:tcW w:w="3539" w:type="dxa"/>
            <w:vMerge w:val="restart"/>
            <w:shd w:val="clear" w:color="auto" w:fill="FFF2CC"/>
            <w:vAlign w:val="center"/>
          </w:tcPr>
          <w:p w14:paraId="7AE9BD9B" w14:textId="77777777" w:rsidR="005F7696" w:rsidRPr="00056F9A" w:rsidRDefault="005F7696" w:rsidP="000853E1">
            <w:pPr>
              <w:spacing w:before="0" w:after="0"/>
              <w:ind w:right="-57"/>
              <w:jc w:val="left"/>
              <w:rPr>
                <w:b/>
                <w:szCs w:val="20"/>
              </w:rPr>
            </w:pPr>
            <w:r w:rsidRPr="00056F9A">
              <w:rPr>
                <w:b/>
                <w:szCs w:val="20"/>
              </w:rPr>
              <w:t>Program and content</w:t>
            </w:r>
          </w:p>
        </w:tc>
        <w:tc>
          <w:tcPr>
            <w:tcW w:w="1843" w:type="dxa"/>
            <w:vMerge w:val="restart"/>
            <w:tcBorders>
              <w:bottom w:val="nil"/>
            </w:tcBorders>
            <w:shd w:val="clear" w:color="auto" w:fill="FFF2CC"/>
            <w:vAlign w:val="center"/>
          </w:tcPr>
          <w:p w14:paraId="741BD2CD" w14:textId="77777777" w:rsidR="005F7696" w:rsidRPr="00056F9A" w:rsidRDefault="005F7696" w:rsidP="000853E1">
            <w:pPr>
              <w:spacing w:before="0" w:after="0"/>
              <w:ind w:left="-57" w:right="-57"/>
              <w:jc w:val="center"/>
              <w:rPr>
                <w:b/>
                <w:szCs w:val="20"/>
              </w:rPr>
            </w:pPr>
            <w:r w:rsidRPr="00056F9A">
              <w:rPr>
                <w:b/>
                <w:szCs w:val="20"/>
              </w:rPr>
              <w:t>Coverage</w:t>
            </w:r>
          </w:p>
          <w:p w14:paraId="6A72E719" w14:textId="77777777" w:rsidR="005F7696" w:rsidRPr="00056F9A" w:rsidRDefault="005F7696" w:rsidP="000853E1">
            <w:pPr>
              <w:spacing w:before="0" w:after="0"/>
              <w:ind w:left="-57" w:right="-57"/>
              <w:jc w:val="center"/>
              <w:rPr>
                <w:b/>
                <w:szCs w:val="20"/>
              </w:rPr>
            </w:pPr>
            <w:r w:rsidRPr="00056F9A">
              <w:rPr>
                <w:b/>
                <w:sz w:val="16"/>
                <w:szCs w:val="16"/>
              </w:rPr>
              <w:t>MM/YYYY</w:t>
            </w:r>
          </w:p>
        </w:tc>
        <w:tc>
          <w:tcPr>
            <w:tcW w:w="992" w:type="dxa"/>
            <w:vMerge w:val="restart"/>
            <w:tcBorders>
              <w:right w:val="nil"/>
            </w:tcBorders>
            <w:shd w:val="clear" w:color="auto" w:fill="FFF2CC"/>
            <w:vAlign w:val="center"/>
          </w:tcPr>
          <w:p w14:paraId="5518A82F" w14:textId="77777777" w:rsidR="005F7696" w:rsidRPr="00056F9A" w:rsidRDefault="005F7696" w:rsidP="000853E1">
            <w:pPr>
              <w:spacing w:before="0" w:after="0"/>
              <w:ind w:left="-57" w:right="-57"/>
              <w:jc w:val="center"/>
              <w:rPr>
                <w:b/>
                <w:sz w:val="16"/>
                <w:szCs w:val="16"/>
              </w:rPr>
            </w:pPr>
            <w:r w:rsidRPr="00056F9A">
              <w:rPr>
                <w:b/>
                <w:szCs w:val="20"/>
              </w:rPr>
              <w:t>Records</w:t>
            </w:r>
          </w:p>
          <w:p w14:paraId="2DF907D0" w14:textId="77777777" w:rsidR="005F7696" w:rsidRPr="00056F9A" w:rsidRDefault="005F7696" w:rsidP="000853E1">
            <w:pPr>
              <w:spacing w:before="0" w:after="0"/>
              <w:ind w:left="-57" w:right="-57"/>
              <w:jc w:val="center"/>
              <w:rPr>
                <w:b/>
                <w:sz w:val="16"/>
                <w:szCs w:val="16"/>
              </w:rPr>
            </w:pPr>
            <w:r w:rsidRPr="00056F9A">
              <w:rPr>
                <w:b/>
                <w:sz w:val="16"/>
                <w:szCs w:val="16"/>
              </w:rPr>
              <w:t>N</w:t>
            </w:r>
          </w:p>
        </w:tc>
        <w:tc>
          <w:tcPr>
            <w:tcW w:w="851" w:type="dxa"/>
            <w:vMerge w:val="restart"/>
            <w:tcBorders>
              <w:left w:val="nil"/>
            </w:tcBorders>
            <w:shd w:val="clear" w:color="auto" w:fill="FFF2CC"/>
            <w:vAlign w:val="center"/>
          </w:tcPr>
          <w:p w14:paraId="45AD9040" w14:textId="77777777" w:rsidR="005F7696" w:rsidRPr="00056F9A" w:rsidRDefault="005F7696" w:rsidP="000853E1">
            <w:pPr>
              <w:spacing w:before="0" w:after="0"/>
              <w:ind w:left="-57" w:right="-57"/>
              <w:jc w:val="center"/>
              <w:rPr>
                <w:b/>
                <w:sz w:val="16"/>
                <w:szCs w:val="16"/>
              </w:rPr>
            </w:pPr>
            <w:r w:rsidRPr="00056F9A">
              <w:rPr>
                <w:b/>
                <w:szCs w:val="20"/>
              </w:rPr>
              <w:t>Women</w:t>
            </w:r>
          </w:p>
          <w:p w14:paraId="2E83D15A" w14:textId="77777777" w:rsidR="005F7696" w:rsidRPr="00056F9A" w:rsidRDefault="005F7696" w:rsidP="000853E1">
            <w:pPr>
              <w:spacing w:before="0" w:after="0"/>
              <w:ind w:left="-57" w:right="-57"/>
              <w:jc w:val="center"/>
              <w:rPr>
                <w:b/>
                <w:sz w:val="16"/>
                <w:szCs w:val="16"/>
              </w:rPr>
            </w:pPr>
            <w:r w:rsidRPr="00056F9A">
              <w:rPr>
                <w:b/>
                <w:sz w:val="16"/>
                <w:szCs w:val="16"/>
              </w:rPr>
              <w:t>Total N</w:t>
            </w:r>
          </w:p>
        </w:tc>
        <w:tc>
          <w:tcPr>
            <w:tcW w:w="1984" w:type="dxa"/>
            <w:gridSpan w:val="2"/>
            <w:tcBorders>
              <w:bottom w:val="nil"/>
            </w:tcBorders>
            <w:shd w:val="clear" w:color="auto" w:fill="FFF2CC"/>
            <w:vAlign w:val="center"/>
          </w:tcPr>
          <w:p w14:paraId="120324F7" w14:textId="77777777" w:rsidR="005F7696" w:rsidRPr="00056F9A" w:rsidRDefault="005F7696" w:rsidP="000853E1">
            <w:pPr>
              <w:spacing w:before="0" w:after="0"/>
              <w:ind w:left="-57" w:right="-57"/>
              <w:jc w:val="center"/>
              <w:rPr>
                <w:b/>
                <w:szCs w:val="20"/>
              </w:rPr>
            </w:pPr>
            <w:r w:rsidRPr="00056F9A">
              <w:rPr>
                <w:b/>
                <w:szCs w:val="20"/>
              </w:rPr>
              <w:t>Women, by cohort</w:t>
            </w:r>
          </w:p>
        </w:tc>
      </w:tr>
      <w:tr w:rsidR="005F7696" w:rsidRPr="00056F9A" w14:paraId="67972E85" w14:textId="77777777" w:rsidTr="000853E1">
        <w:trPr>
          <w:tblHeader/>
        </w:trPr>
        <w:tc>
          <w:tcPr>
            <w:tcW w:w="3539" w:type="dxa"/>
            <w:vMerge/>
            <w:shd w:val="clear" w:color="auto" w:fill="FFF2CC"/>
            <w:vAlign w:val="center"/>
          </w:tcPr>
          <w:p w14:paraId="333EF50D" w14:textId="77777777" w:rsidR="005F7696" w:rsidRPr="00056F9A" w:rsidRDefault="005F7696" w:rsidP="000853E1">
            <w:pPr>
              <w:spacing w:before="0" w:after="0"/>
              <w:ind w:right="-57"/>
              <w:jc w:val="left"/>
              <w:rPr>
                <w:b/>
                <w:szCs w:val="20"/>
              </w:rPr>
            </w:pPr>
          </w:p>
        </w:tc>
        <w:tc>
          <w:tcPr>
            <w:tcW w:w="1843" w:type="dxa"/>
            <w:vMerge/>
            <w:tcBorders>
              <w:top w:val="nil"/>
              <w:bottom w:val="nil"/>
            </w:tcBorders>
            <w:shd w:val="clear" w:color="auto" w:fill="FFF2CC"/>
            <w:vAlign w:val="center"/>
          </w:tcPr>
          <w:p w14:paraId="114BC28D" w14:textId="77777777" w:rsidR="005F7696" w:rsidRPr="00056F9A" w:rsidRDefault="005F7696" w:rsidP="000853E1">
            <w:pPr>
              <w:spacing w:before="0" w:after="0"/>
              <w:ind w:left="-57" w:right="-57"/>
              <w:jc w:val="center"/>
              <w:rPr>
                <w:b/>
                <w:szCs w:val="20"/>
              </w:rPr>
            </w:pPr>
          </w:p>
        </w:tc>
        <w:tc>
          <w:tcPr>
            <w:tcW w:w="992" w:type="dxa"/>
            <w:vMerge/>
            <w:tcBorders>
              <w:right w:val="nil"/>
            </w:tcBorders>
            <w:shd w:val="clear" w:color="auto" w:fill="FFF2CC"/>
            <w:vAlign w:val="center"/>
          </w:tcPr>
          <w:p w14:paraId="227351FF" w14:textId="77777777" w:rsidR="005F7696" w:rsidRPr="00056F9A" w:rsidRDefault="005F7696" w:rsidP="000853E1">
            <w:pPr>
              <w:spacing w:before="0" w:after="0"/>
              <w:ind w:left="-57" w:right="-57"/>
              <w:jc w:val="center"/>
              <w:rPr>
                <w:b/>
                <w:szCs w:val="20"/>
              </w:rPr>
            </w:pPr>
          </w:p>
        </w:tc>
        <w:tc>
          <w:tcPr>
            <w:tcW w:w="851" w:type="dxa"/>
            <w:vMerge/>
            <w:tcBorders>
              <w:left w:val="nil"/>
            </w:tcBorders>
            <w:shd w:val="clear" w:color="auto" w:fill="FFF2CC"/>
            <w:vAlign w:val="center"/>
          </w:tcPr>
          <w:p w14:paraId="3D1D7502" w14:textId="77777777" w:rsidR="005F7696" w:rsidRPr="00056F9A" w:rsidRDefault="005F7696" w:rsidP="000853E1">
            <w:pPr>
              <w:spacing w:before="0" w:after="0"/>
              <w:ind w:left="-57" w:right="-57"/>
              <w:jc w:val="center"/>
              <w:rPr>
                <w:b/>
                <w:szCs w:val="20"/>
              </w:rPr>
            </w:pPr>
          </w:p>
        </w:tc>
        <w:tc>
          <w:tcPr>
            <w:tcW w:w="992" w:type="dxa"/>
            <w:tcBorders>
              <w:top w:val="nil"/>
              <w:right w:val="nil"/>
            </w:tcBorders>
            <w:shd w:val="clear" w:color="auto" w:fill="FFF2CC"/>
            <w:vAlign w:val="center"/>
          </w:tcPr>
          <w:p w14:paraId="2E1EB19B" w14:textId="77777777" w:rsidR="005F7696" w:rsidRPr="00056F9A" w:rsidRDefault="005F7696" w:rsidP="000853E1">
            <w:pPr>
              <w:keepLines/>
              <w:spacing w:before="0" w:after="0"/>
              <w:ind w:left="-57"/>
              <w:jc w:val="right"/>
              <w:rPr>
                <w:b/>
                <w:sz w:val="16"/>
                <w:szCs w:val="16"/>
              </w:rPr>
            </w:pPr>
            <w:r w:rsidRPr="00056F9A">
              <w:rPr>
                <w:b/>
                <w:sz w:val="16"/>
                <w:szCs w:val="16"/>
              </w:rPr>
              <w:t>1946-51</w:t>
            </w:r>
          </w:p>
          <w:p w14:paraId="6A906604" w14:textId="77777777" w:rsidR="005F7696" w:rsidRPr="00056F9A" w:rsidRDefault="005F7696" w:rsidP="000853E1">
            <w:pPr>
              <w:spacing w:before="0" w:after="0"/>
              <w:ind w:left="-57" w:right="-57"/>
              <w:jc w:val="center"/>
              <w:rPr>
                <w:b/>
                <w:szCs w:val="20"/>
              </w:rPr>
            </w:pPr>
            <w:r w:rsidRPr="00056F9A">
              <w:rPr>
                <w:b/>
                <w:sz w:val="16"/>
                <w:szCs w:val="16"/>
              </w:rPr>
              <w:t>N</w:t>
            </w:r>
          </w:p>
        </w:tc>
        <w:tc>
          <w:tcPr>
            <w:tcW w:w="992" w:type="dxa"/>
            <w:tcBorders>
              <w:top w:val="nil"/>
              <w:left w:val="nil"/>
            </w:tcBorders>
            <w:shd w:val="clear" w:color="auto" w:fill="FFF2CC"/>
            <w:vAlign w:val="center"/>
          </w:tcPr>
          <w:p w14:paraId="40A69812" w14:textId="77777777" w:rsidR="005F7696" w:rsidRPr="00056F9A" w:rsidRDefault="005F7696" w:rsidP="000853E1">
            <w:pPr>
              <w:keepLines/>
              <w:spacing w:before="0" w:after="0"/>
              <w:ind w:left="-57" w:right="-57"/>
              <w:jc w:val="right"/>
              <w:rPr>
                <w:b/>
                <w:sz w:val="16"/>
                <w:szCs w:val="16"/>
              </w:rPr>
            </w:pPr>
            <w:r w:rsidRPr="00056F9A">
              <w:rPr>
                <w:b/>
                <w:sz w:val="16"/>
                <w:szCs w:val="16"/>
              </w:rPr>
              <w:t>1921-26</w:t>
            </w:r>
          </w:p>
          <w:p w14:paraId="5224C49A" w14:textId="77777777" w:rsidR="005F7696" w:rsidRPr="00056F9A" w:rsidRDefault="005F7696" w:rsidP="000853E1">
            <w:pPr>
              <w:spacing w:before="0" w:after="0"/>
              <w:ind w:left="-57"/>
              <w:jc w:val="center"/>
              <w:rPr>
                <w:b/>
                <w:szCs w:val="20"/>
              </w:rPr>
            </w:pPr>
            <w:r w:rsidRPr="00056F9A">
              <w:rPr>
                <w:b/>
                <w:sz w:val="16"/>
                <w:szCs w:val="16"/>
              </w:rPr>
              <w:t>N</w:t>
            </w:r>
          </w:p>
        </w:tc>
      </w:tr>
      <w:tr w:rsidR="005F7696" w:rsidRPr="00056F9A" w14:paraId="6AABCED2" w14:textId="77777777" w:rsidTr="000853E1">
        <w:tc>
          <w:tcPr>
            <w:tcW w:w="3539" w:type="dxa"/>
            <w:tcMar>
              <w:top w:w="28" w:type="dxa"/>
              <w:bottom w:w="28" w:type="dxa"/>
            </w:tcMar>
            <w:vAlign w:val="center"/>
          </w:tcPr>
          <w:p w14:paraId="2DE097B5" w14:textId="77777777" w:rsidR="005F7696" w:rsidRPr="00056F9A" w:rsidRDefault="005F7696" w:rsidP="000853E1">
            <w:pPr>
              <w:spacing w:before="0" w:after="0"/>
              <w:ind w:right="-57"/>
              <w:jc w:val="left"/>
              <w:rPr>
                <w:rFonts w:cs="Arial"/>
                <w:szCs w:val="20"/>
              </w:rPr>
            </w:pPr>
            <w:r w:rsidRPr="00056F9A">
              <w:rPr>
                <w:rFonts w:cs="Arial"/>
                <w:szCs w:val="20"/>
              </w:rPr>
              <w:t>Aged Care Assessment Program (ACAP)</w:t>
            </w:r>
            <w:r w:rsidRPr="00056F9A">
              <w:rPr>
                <w:rFonts w:cs="Arial"/>
                <w:szCs w:val="20"/>
                <w:vertAlign w:val="superscript"/>
              </w:rPr>
              <w:t xml:space="preserve"> 1</w:t>
            </w:r>
            <w:r w:rsidRPr="00056F9A">
              <w:rPr>
                <w:rFonts w:cs="Arial"/>
                <w:szCs w:val="20"/>
              </w:rPr>
              <w:t xml:space="preserve"> - Assessments</w:t>
            </w:r>
          </w:p>
        </w:tc>
        <w:tc>
          <w:tcPr>
            <w:tcW w:w="1843" w:type="dxa"/>
            <w:tcMar>
              <w:top w:w="28" w:type="dxa"/>
              <w:bottom w:w="28" w:type="dxa"/>
            </w:tcMar>
            <w:vAlign w:val="center"/>
          </w:tcPr>
          <w:p w14:paraId="1C28CA1B" w14:textId="77777777" w:rsidR="005F7696" w:rsidRPr="00056F9A" w:rsidRDefault="005F7696" w:rsidP="000853E1">
            <w:pPr>
              <w:spacing w:before="0" w:after="0"/>
              <w:ind w:left="-57" w:right="-57"/>
              <w:jc w:val="center"/>
              <w:rPr>
                <w:rFonts w:cs="Arial"/>
                <w:szCs w:val="20"/>
              </w:rPr>
            </w:pPr>
            <w:r w:rsidRPr="00056F9A">
              <w:rPr>
                <w:rFonts w:cs="Arial"/>
                <w:szCs w:val="20"/>
              </w:rPr>
              <w:t>04/2003- 05/2016</w:t>
            </w:r>
          </w:p>
        </w:tc>
        <w:tc>
          <w:tcPr>
            <w:tcW w:w="992" w:type="dxa"/>
            <w:tcBorders>
              <w:right w:val="nil"/>
            </w:tcBorders>
            <w:tcMar>
              <w:top w:w="28" w:type="dxa"/>
              <w:bottom w:w="28" w:type="dxa"/>
            </w:tcMar>
            <w:vAlign w:val="center"/>
          </w:tcPr>
          <w:p w14:paraId="63DE2EFF" w14:textId="77777777" w:rsidR="005F7696" w:rsidRPr="00056F9A" w:rsidRDefault="005F7696" w:rsidP="000853E1">
            <w:pPr>
              <w:spacing w:before="0" w:after="0"/>
              <w:ind w:left="-57" w:right="-57"/>
              <w:jc w:val="right"/>
              <w:rPr>
                <w:rFonts w:cs="Arial"/>
                <w:szCs w:val="20"/>
              </w:rPr>
            </w:pPr>
            <w:r w:rsidRPr="00056F9A">
              <w:t>17,230</w:t>
            </w:r>
          </w:p>
        </w:tc>
        <w:tc>
          <w:tcPr>
            <w:tcW w:w="851" w:type="dxa"/>
            <w:tcBorders>
              <w:left w:val="nil"/>
            </w:tcBorders>
            <w:tcMar>
              <w:top w:w="28" w:type="dxa"/>
              <w:bottom w:w="28" w:type="dxa"/>
            </w:tcMar>
            <w:vAlign w:val="center"/>
          </w:tcPr>
          <w:p w14:paraId="5DBDC786" w14:textId="77777777" w:rsidR="005F7696" w:rsidRPr="00056F9A" w:rsidRDefault="005F7696" w:rsidP="000853E1">
            <w:pPr>
              <w:spacing w:before="0" w:after="0"/>
              <w:ind w:left="-57" w:right="-57"/>
              <w:jc w:val="right"/>
              <w:rPr>
                <w:rFonts w:cs="Arial"/>
                <w:szCs w:val="20"/>
              </w:rPr>
            </w:pPr>
            <w:r w:rsidRPr="00056F9A">
              <w:t>7,562</w:t>
            </w:r>
          </w:p>
        </w:tc>
        <w:tc>
          <w:tcPr>
            <w:tcW w:w="992" w:type="dxa"/>
            <w:tcBorders>
              <w:right w:val="nil"/>
            </w:tcBorders>
            <w:tcMar>
              <w:top w:w="28" w:type="dxa"/>
              <w:bottom w:w="28" w:type="dxa"/>
            </w:tcMar>
            <w:vAlign w:val="center"/>
          </w:tcPr>
          <w:p w14:paraId="549C462E" w14:textId="77777777" w:rsidR="005F7696" w:rsidRPr="00056F9A" w:rsidRDefault="005F7696" w:rsidP="000853E1">
            <w:pPr>
              <w:spacing w:before="0" w:after="0"/>
              <w:ind w:left="-57" w:right="-57"/>
              <w:jc w:val="right"/>
              <w:rPr>
                <w:rFonts w:cs="Arial"/>
                <w:szCs w:val="20"/>
              </w:rPr>
            </w:pPr>
            <w:r w:rsidRPr="00056F9A">
              <w:t>311</w:t>
            </w:r>
          </w:p>
        </w:tc>
        <w:tc>
          <w:tcPr>
            <w:tcW w:w="992" w:type="dxa"/>
            <w:tcBorders>
              <w:left w:val="nil"/>
            </w:tcBorders>
            <w:tcMar>
              <w:top w:w="28" w:type="dxa"/>
              <w:bottom w:w="28" w:type="dxa"/>
            </w:tcMar>
            <w:vAlign w:val="center"/>
          </w:tcPr>
          <w:p w14:paraId="0A3D3F23" w14:textId="77777777" w:rsidR="005F7696" w:rsidRPr="00056F9A" w:rsidRDefault="005F7696" w:rsidP="000853E1">
            <w:pPr>
              <w:spacing w:before="0" w:after="0"/>
              <w:ind w:left="-57"/>
              <w:jc w:val="right"/>
              <w:rPr>
                <w:rFonts w:cs="Arial"/>
                <w:szCs w:val="20"/>
              </w:rPr>
            </w:pPr>
            <w:r w:rsidRPr="00056F9A">
              <w:t>7,251</w:t>
            </w:r>
          </w:p>
        </w:tc>
      </w:tr>
      <w:tr w:rsidR="005F7696" w:rsidRPr="00056F9A" w14:paraId="64744D50" w14:textId="77777777" w:rsidTr="000853E1">
        <w:tc>
          <w:tcPr>
            <w:tcW w:w="3539" w:type="dxa"/>
            <w:tcMar>
              <w:top w:w="28" w:type="dxa"/>
              <w:bottom w:w="28" w:type="dxa"/>
            </w:tcMar>
            <w:vAlign w:val="center"/>
          </w:tcPr>
          <w:p w14:paraId="5C2A3577" w14:textId="77777777" w:rsidR="005F7696" w:rsidRPr="00056F9A" w:rsidRDefault="005F7696" w:rsidP="000853E1">
            <w:pPr>
              <w:spacing w:before="0" w:after="0"/>
              <w:ind w:right="-57"/>
              <w:jc w:val="left"/>
            </w:pPr>
            <w:r w:rsidRPr="00056F9A">
              <w:t xml:space="preserve">Aged Care Funding Instrument </w:t>
            </w:r>
          </w:p>
          <w:p w14:paraId="5A51F4A4" w14:textId="77777777" w:rsidR="005F7696" w:rsidRPr="00056F9A" w:rsidRDefault="005F7696" w:rsidP="000853E1">
            <w:pPr>
              <w:spacing w:before="0" w:after="0"/>
              <w:ind w:right="-57"/>
              <w:jc w:val="left"/>
              <w:rPr>
                <w:rFonts w:cs="Arial"/>
                <w:szCs w:val="20"/>
              </w:rPr>
            </w:pPr>
            <w:r w:rsidRPr="00056F9A">
              <w:t>(ACFI)</w:t>
            </w:r>
            <w:r w:rsidRPr="00056F9A">
              <w:rPr>
                <w:vertAlign w:val="superscript"/>
              </w:rPr>
              <w:t xml:space="preserve"> </w:t>
            </w:r>
            <w:proofErr w:type="gramStart"/>
            <w:r w:rsidRPr="00056F9A">
              <w:rPr>
                <w:vertAlign w:val="superscript"/>
              </w:rPr>
              <w:t xml:space="preserve">2 </w:t>
            </w:r>
            <w:r w:rsidRPr="00056F9A">
              <w:t xml:space="preserve"> -</w:t>
            </w:r>
            <w:proofErr w:type="gramEnd"/>
            <w:r w:rsidRPr="00056F9A">
              <w:t xml:space="preserve"> Assessments</w:t>
            </w:r>
          </w:p>
        </w:tc>
        <w:tc>
          <w:tcPr>
            <w:tcW w:w="1843" w:type="dxa"/>
            <w:tcMar>
              <w:top w:w="28" w:type="dxa"/>
              <w:bottom w:w="28" w:type="dxa"/>
            </w:tcMar>
            <w:vAlign w:val="center"/>
          </w:tcPr>
          <w:p w14:paraId="15230C53" w14:textId="77777777" w:rsidR="005F7696" w:rsidRPr="00056F9A" w:rsidRDefault="005F7696" w:rsidP="000853E1">
            <w:pPr>
              <w:spacing w:before="0" w:after="0"/>
              <w:ind w:left="-57" w:right="-57"/>
              <w:jc w:val="center"/>
              <w:rPr>
                <w:rFonts w:cs="Arial"/>
                <w:szCs w:val="20"/>
              </w:rPr>
            </w:pPr>
            <w:r w:rsidRPr="00056F9A">
              <w:rPr>
                <w:rFonts w:cs="Arial"/>
                <w:color w:val="000000"/>
                <w:szCs w:val="20"/>
              </w:rPr>
              <w:t xml:space="preserve">04/2008 </w:t>
            </w:r>
            <w:r w:rsidRPr="00056F9A">
              <w:rPr>
                <w:rFonts w:cs="Arial"/>
                <w:szCs w:val="20"/>
              </w:rPr>
              <w:t xml:space="preserve">- </w:t>
            </w:r>
            <w:r w:rsidRPr="00056F9A">
              <w:rPr>
                <w:rFonts w:cs="Arial"/>
                <w:color w:val="000000"/>
                <w:szCs w:val="20"/>
              </w:rPr>
              <w:t>09/2021</w:t>
            </w:r>
          </w:p>
        </w:tc>
        <w:tc>
          <w:tcPr>
            <w:tcW w:w="992" w:type="dxa"/>
            <w:tcBorders>
              <w:right w:val="nil"/>
            </w:tcBorders>
            <w:tcMar>
              <w:top w:w="28" w:type="dxa"/>
              <w:bottom w:w="28" w:type="dxa"/>
            </w:tcMar>
            <w:vAlign w:val="center"/>
          </w:tcPr>
          <w:p w14:paraId="7C9C9055" w14:textId="77777777" w:rsidR="005F7696" w:rsidRPr="00056F9A" w:rsidRDefault="005F7696" w:rsidP="000853E1">
            <w:pPr>
              <w:spacing w:before="0" w:after="0"/>
              <w:ind w:left="-57" w:right="-57"/>
              <w:jc w:val="right"/>
              <w:rPr>
                <w:rFonts w:cs="Arial"/>
                <w:szCs w:val="20"/>
              </w:rPr>
            </w:pPr>
            <w:r w:rsidRPr="00056F9A">
              <w:t>13,009</w:t>
            </w:r>
          </w:p>
        </w:tc>
        <w:tc>
          <w:tcPr>
            <w:tcW w:w="851" w:type="dxa"/>
            <w:tcBorders>
              <w:left w:val="nil"/>
            </w:tcBorders>
            <w:tcMar>
              <w:top w:w="28" w:type="dxa"/>
              <w:bottom w:w="28" w:type="dxa"/>
            </w:tcMar>
            <w:vAlign w:val="center"/>
          </w:tcPr>
          <w:p w14:paraId="1D5A1853" w14:textId="77777777" w:rsidR="005F7696" w:rsidRPr="00056F9A" w:rsidRDefault="005F7696" w:rsidP="000853E1">
            <w:pPr>
              <w:spacing w:before="0" w:after="0"/>
              <w:ind w:left="-57" w:right="-57"/>
              <w:jc w:val="right"/>
              <w:rPr>
                <w:rFonts w:cs="Arial"/>
                <w:szCs w:val="20"/>
              </w:rPr>
            </w:pPr>
            <w:r w:rsidRPr="00056F9A">
              <w:t>5,111</w:t>
            </w:r>
          </w:p>
        </w:tc>
        <w:tc>
          <w:tcPr>
            <w:tcW w:w="992" w:type="dxa"/>
            <w:tcBorders>
              <w:right w:val="nil"/>
            </w:tcBorders>
            <w:tcMar>
              <w:top w:w="28" w:type="dxa"/>
              <w:bottom w:w="28" w:type="dxa"/>
            </w:tcMar>
            <w:vAlign w:val="center"/>
          </w:tcPr>
          <w:p w14:paraId="2463DCFB" w14:textId="77777777" w:rsidR="005F7696" w:rsidRPr="00056F9A" w:rsidRDefault="005F7696" w:rsidP="000853E1">
            <w:pPr>
              <w:spacing w:before="0" w:after="0"/>
              <w:ind w:left="-57" w:right="-57"/>
              <w:jc w:val="right"/>
              <w:rPr>
                <w:rFonts w:cs="Arial"/>
                <w:szCs w:val="20"/>
              </w:rPr>
            </w:pPr>
            <w:r w:rsidRPr="00056F9A">
              <w:t>196</w:t>
            </w:r>
          </w:p>
        </w:tc>
        <w:tc>
          <w:tcPr>
            <w:tcW w:w="992" w:type="dxa"/>
            <w:tcBorders>
              <w:left w:val="nil"/>
            </w:tcBorders>
            <w:tcMar>
              <w:top w:w="28" w:type="dxa"/>
              <w:bottom w:w="28" w:type="dxa"/>
            </w:tcMar>
            <w:vAlign w:val="center"/>
          </w:tcPr>
          <w:p w14:paraId="26213ED6" w14:textId="77777777" w:rsidR="005F7696" w:rsidRPr="00056F9A" w:rsidRDefault="005F7696" w:rsidP="000853E1">
            <w:pPr>
              <w:spacing w:before="0" w:after="0"/>
              <w:ind w:left="-57"/>
              <w:jc w:val="right"/>
              <w:rPr>
                <w:rFonts w:cs="Arial"/>
                <w:szCs w:val="20"/>
              </w:rPr>
            </w:pPr>
            <w:r w:rsidRPr="00056F9A">
              <w:t>4,915</w:t>
            </w:r>
          </w:p>
        </w:tc>
      </w:tr>
      <w:tr w:rsidR="005F7696" w:rsidRPr="00056F9A" w14:paraId="44678AD9" w14:textId="77777777" w:rsidTr="000853E1">
        <w:tc>
          <w:tcPr>
            <w:tcW w:w="3539" w:type="dxa"/>
            <w:tcMar>
              <w:top w:w="28" w:type="dxa"/>
              <w:bottom w:w="28" w:type="dxa"/>
            </w:tcMar>
            <w:vAlign w:val="center"/>
          </w:tcPr>
          <w:p w14:paraId="5CC6F165" w14:textId="77777777" w:rsidR="005F7696" w:rsidRPr="00056F9A" w:rsidRDefault="005F7696" w:rsidP="000853E1">
            <w:pPr>
              <w:spacing w:before="0" w:after="0"/>
              <w:ind w:right="-57"/>
              <w:jc w:val="left"/>
              <w:rPr>
                <w:rFonts w:cs="Arial"/>
                <w:color w:val="000000"/>
                <w:szCs w:val="20"/>
              </w:rPr>
            </w:pPr>
            <w:r w:rsidRPr="00056F9A">
              <w:t>Commonwealth Home Support Program (CHSP)</w:t>
            </w:r>
            <w:r w:rsidRPr="00056F9A">
              <w:rPr>
                <w:vertAlign w:val="superscript"/>
              </w:rPr>
              <w:t xml:space="preserve"> 3</w:t>
            </w:r>
            <w:r w:rsidRPr="00056F9A">
              <w:t xml:space="preserve"> - Services</w:t>
            </w:r>
          </w:p>
        </w:tc>
        <w:tc>
          <w:tcPr>
            <w:tcW w:w="1843" w:type="dxa"/>
            <w:tcMar>
              <w:top w:w="28" w:type="dxa"/>
              <w:bottom w:w="28" w:type="dxa"/>
            </w:tcMar>
            <w:vAlign w:val="center"/>
          </w:tcPr>
          <w:p w14:paraId="572788C8" w14:textId="77777777" w:rsidR="005F7696" w:rsidRPr="00056F9A" w:rsidRDefault="005F7696" w:rsidP="000853E1">
            <w:pPr>
              <w:spacing w:before="0" w:after="0"/>
              <w:ind w:left="-57" w:right="-57"/>
              <w:jc w:val="center"/>
              <w:rPr>
                <w:rFonts w:cs="Arial"/>
                <w:szCs w:val="20"/>
              </w:rPr>
            </w:pPr>
            <w:r w:rsidRPr="00056F9A">
              <w:rPr>
                <w:rFonts w:cs="Arial"/>
                <w:color w:val="000000"/>
                <w:szCs w:val="20"/>
              </w:rPr>
              <w:t xml:space="preserve">04/2016 </w:t>
            </w:r>
            <w:r w:rsidRPr="00056F9A">
              <w:rPr>
                <w:rFonts w:cs="Arial"/>
                <w:szCs w:val="20"/>
              </w:rPr>
              <w:t>-</w:t>
            </w:r>
            <w:r w:rsidRPr="00056F9A">
              <w:rPr>
                <w:rFonts w:cs="Arial"/>
                <w:color w:val="000000"/>
                <w:szCs w:val="20"/>
              </w:rPr>
              <w:t xml:space="preserve"> 06/2020</w:t>
            </w:r>
          </w:p>
        </w:tc>
        <w:tc>
          <w:tcPr>
            <w:tcW w:w="992" w:type="dxa"/>
            <w:tcBorders>
              <w:right w:val="nil"/>
            </w:tcBorders>
            <w:tcMar>
              <w:top w:w="28" w:type="dxa"/>
              <w:bottom w:w="28" w:type="dxa"/>
            </w:tcMar>
            <w:vAlign w:val="center"/>
          </w:tcPr>
          <w:p w14:paraId="22B73960" w14:textId="77777777" w:rsidR="005F7696" w:rsidRPr="00056F9A" w:rsidRDefault="005F7696" w:rsidP="000853E1">
            <w:pPr>
              <w:spacing w:before="0" w:after="0"/>
              <w:ind w:left="-57" w:right="-57"/>
              <w:jc w:val="right"/>
              <w:rPr>
                <w:rFonts w:cs="Arial"/>
                <w:szCs w:val="20"/>
              </w:rPr>
            </w:pPr>
            <w:r w:rsidRPr="00056F9A">
              <w:t>340,850</w:t>
            </w:r>
          </w:p>
        </w:tc>
        <w:tc>
          <w:tcPr>
            <w:tcW w:w="851" w:type="dxa"/>
            <w:tcBorders>
              <w:left w:val="nil"/>
            </w:tcBorders>
            <w:tcMar>
              <w:top w:w="28" w:type="dxa"/>
              <w:bottom w:w="28" w:type="dxa"/>
            </w:tcMar>
            <w:vAlign w:val="center"/>
          </w:tcPr>
          <w:p w14:paraId="6A20CDBF" w14:textId="77777777" w:rsidR="005F7696" w:rsidRPr="00056F9A" w:rsidRDefault="005F7696" w:rsidP="000853E1">
            <w:pPr>
              <w:spacing w:before="0" w:after="0"/>
              <w:ind w:left="-57" w:right="-57"/>
              <w:jc w:val="right"/>
              <w:rPr>
                <w:rFonts w:cs="Arial"/>
                <w:szCs w:val="20"/>
              </w:rPr>
            </w:pPr>
            <w:r w:rsidRPr="00056F9A">
              <w:t>4,262</w:t>
            </w:r>
          </w:p>
        </w:tc>
        <w:tc>
          <w:tcPr>
            <w:tcW w:w="992" w:type="dxa"/>
            <w:tcBorders>
              <w:right w:val="nil"/>
            </w:tcBorders>
            <w:tcMar>
              <w:top w:w="28" w:type="dxa"/>
              <w:bottom w:w="28" w:type="dxa"/>
            </w:tcMar>
            <w:vAlign w:val="center"/>
          </w:tcPr>
          <w:p w14:paraId="0782093C" w14:textId="77777777" w:rsidR="005F7696" w:rsidRPr="00056F9A" w:rsidRDefault="005F7696" w:rsidP="000853E1">
            <w:pPr>
              <w:spacing w:before="0" w:after="0"/>
              <w:ind w:left="-57" w:right="-57"/>
              <w:jc w:val="right"/>
              <w:rPr>
                <w:rFonts w:cs="Arial"/>
                <w:szCs w:val="20"/>
              </w:rPr>
            </w:pPr>
            <w:r w:rsidRPr="00056F9A">
              <w:t>2,430</w:t>
            </w:r>
          </w:p>
        </w:tc>
        <w:tc>
          <w:tcPr>
            <w:tcW w:w="992" w:type="dxa"/>
            <w:tcBorders>
              <w:left w:val="nil"/>
            </w:tcBorders>
            <w:tcMar>
              <w:top w:w="28" w:type="dxa"/>
              <w:bottom w:w="28" w:type="dxa"/>
            </w:tcMar>
            <w:vAlign w:val="center"/>
          </w:tcPr>
          <w:p w14:paraId="22A8E50B" w14:textId="77777777" w:rsidR="005F7696" w:rsidRPr="00056F9A" w:rsidRDefault="005F7696" w:rsidP="000853E1">
            <w:pPr>
              <w:spacing w:before="0" w:after="0"/>
              <w:ind w:left="-57"/>
              <w:jc w:val="right"/>
              <w:rPr>
                <w:rFonts w:cs="Arial"/>
                <w:szCs w:val="20"/>
              </w:rPr>
            </w:pPr>
            <w:r w:rsidRPr="00056F9A">
              <w:t>1,832</w:t>
            </w:r>
          </w:p>
        </w:tc>
      </w:tr>
      <w:tr w:rsidR="005F7696" w14:paraId="7EF84118" w14:textId="77777777" w:rsidTr="000853E1">
        <w:tc>
          <w:tcPr>
            <w:tcW w:w="3539" w:type="dxa"/>
            <w:tcBorders>
              <w:bottom w:val="single" w:sz="4" w:space="0" w:color="auto"/>
            </w:tcBorders>
            <w:tcMar>
              <w:top w:w="28" w:type="dxa"/>
              <w:bottom w:w="28" w:type="dxa"/>
            </w:tcMar>
            <w:vAlign w:val="center"/>
          </w:tcPr>
          <w:p w14:paraId="534674FB" w14:textId="77777777" w:rsidR="005F7696" w:rsidRPr="00056F9A" w:rsidRDefault="005F7696" w:rsidP="000853E1">
            <w:pPr>
              <w:spacing w:before="0" w:after="0"/>
              <w:ind w:right="-57"/>
              <w:jc w:val="left"/>
              <w:rPr>
                <w:rFonts w:cs="Arial"/>
                <w:szCs w:val="20"/>
              </w:rPr>
            </w:pPr>
            <w:r w:rsidRPr="00056F9A">
              <w:t>Home and Community Care (HACC)</w:t>
            </w:r>
            <w:r w:rsidRPr="00056F9A">
              <w:rPr>
                <w:vertAlign w:val="superscript"/>
              </w:rPr>
              <w:t xml:space="preserve"> 3</w:t>
            </w:r>
            <w:r w:rsidRPr="00056F9A">
              <w:t xml:space="preserve"> </w:t>
            </w:r>
            <w:proofErr w:type="gramStart"/>
            <w:r w:rsidRPr="00056F9A">
              <w:t>-  Services</w:t>
            </w:r>
            <w:proofErr w:type="gramEnd"/>
          </w:p>
        </w:tc>
        <w:tc>
          <w:tcPr>
            <w:tcW w:w="1843" w:type="dxa"/>
            <w:tcBorders>
              <w:bottom w:val="single" w:sz="4" w:space="0" w:color="auto"/>
            </w:tcBorders>
            <w:tcMar>
              <w:top w:w="28" w:type="dxa"/>
              <w:bottom w:w="28" w:type="dxa"/>
            </w:tcMar>
            <w:vAlign w:val="center"/>
          </w:tcPr>
          <w:p w14:paraId="5102AC55" w14:textId="77777777" w:rsidR="005F7696" w:rsidRPr="00056F9A" w:rsidRDefault="005F7696" w:rsidP="000853E1">
            <w:pPr>
              <w:spacing w:before="0" w:after="0"/>
              <w:ind w:left="-57" w:right="-57"/>
              <w:jc w:val="center"/>
              <w:rPr>
                <w:rFonts w:cs="Arial"/>
                <w:szCs w:val="20"/>
              </w:rPr>
            </w:pPr>
            <w:r w:rsidRPr="00056F9A">
              <w:rPr>
                <w:rFonts w:cs="Arial"/>
                <w:color w:val="000000"/>
                <w:szCs w:val="20"/>
              </w:rPr>
              <w:t xml:space="preserve">01/2000 </w:t>
            </w:r>
            <w:r w:rsidRPr="00056F9A">
              <w:rPr>
                <w:rFonts w:cs="Arial"/>
                <w:szCs w:val="20"/>
              </w:rPr>
              <w:t>- 07/2015</w:t>
            </w:r>
          </w:p>
        </w:tc>
        <w:tc>
          <w:tcPr>
            <w:tcW w:w="992" w:type="dxa"/>
            <w:tcBorders>
              <w:bottom w:val="single" w:sz="4" w:space="0" w:color="auto"/>
              <w:right w:val="nil"/>
            </w:tcBorders>
            <w:tcMar>
              <w:top w:w="28" w:type="dxa"/>
              <w:bottom w:w="28" w:type="dxa"/>
            </w:tcMar>
            <w:vAlign w:val="center"/>
          </w:tcPr>
          <w:p w14:paraId="6E9A08FA" w14:textId="77777777" w:rsidR="005F7696" w:rsidRPr="00056F9A" w:rsidRDefault="005F7696" w:rsidP="000853E1">
            <w:pPr>
              <w:spacing w:before="0" w:after="0"/>
              <w:ind w:left="-57" w:right="-57"/>
              <w:jc w:val="right"/>
              <w:rPr>
                <w:rFonts w:cs="Arial"/>
                <w:szCs w:val="20"/>
              </w:rPr>
            </w:pPr>
            <w:r w:rsidRPr="00056F9A">
              <w:t>166,109</w:t>
            </w:r>
          </w:p>
        </w:tc>
        <w:tc>
          <w:tcPr>
            <w:tcW w:w="851" w:type="dxa"/>
            <w:tcBorders>
              <w:left w:val="nil"/>
              <w:bottom w:val="single" w:sz="4" w:space="0" w:color="auto"/>
            </w:tcBorders>
            <w:tcMar>
              <w:top w:w="28" w:type="dxa"/>
              <w:bottom w:w="28" w:type="dxa"/>
            </w:tcMar>
            <w:vAlign w:val="center"/>
          </w:tcPr>
          <w:p w14:paraId="26573F54" w14:textId="77777777" w:rsidR="005F7696" w:rsidRPr="00056F9A" w:rsidRDefault="005F7696" w:rsidP="000853E1">
            <w:pPr>
              <w:spacing w:before="0" w:after="0"/>
              <w:ind w:left="-57" w:right="-57"/>
              <w:jc w:val="right"/>
              <w:rPr>
                <w:rFonts w:cs="Arial"/>
                <w:szCs w:val="20"/>
              </w:rPr>
            </w:pPr>
            <w:r w:rsidRPr="00056F9A">
              <w:t>11,216</w:t>
            </w:r>
          </w:p>
        </w:tc>
        <w:tc>
          <w:tcPr>
            <w:tcW w:w="992" w:type="dxa"/>
            <w:tcBorders>
              <w:bottom w:val="single" w:sz="4" w:space="0" w:color="auto"/>
              <w:right w:val="nil"/>
            </w:tcBorders>
            <w:tcMar>
              <w:top w:w="28" w:type="dxa"/>
              <w:bottom w:w="28" w:type="dxa"/>
            </w:tcMar>
            <w:vAlign w:val="center"/>
          </w:tcPr>
          <w:p w14:paraId="7C25518E" w14:textId="77777777" w:rsidR="005F7696" w:rsidRPr="00056F9A" w:rsidRDefault="005F7696" w:rsidP="000853E1">
            <w:pPr>
              <w:spacing w:before="0" w:after="0"/>
              <w:ind w:left="-57" w:right="-57"/>
              <w:jc w:val="right"/>
              <w:rPr>
                <w:rFonts w:cs="Arial"/>
                <w:szCs w:val="20"/>
              </w:rPr>
            </w:pPr>
            <w:r w:rsidRPr="00056F9A">
              <w:t>2,118</w:t>
            </w:r>
          </w:p>
        </w:tc>
        <w:tc>
          <w:tcPr>
            <w:tcW w:w="992" w:type="dxa"/>
            <w:tcBorders>
              <w:left w:val="nil"/>
              <w:bottom w:val="single" w:sz="4" w:space="0" w:color="auto"/>
            </w:tcBorders>
            <w:tcMar>
              <w:top w:w="28" w:type="dxa"/>
              <w:bottom w:w="28" w:type="dxa"/>
            </w:tcMar>
            <w:vAlign w:val="center"/>
          </w:tcPr>
          <w:p w14:paraId="3EB69ED6" w14:textId="77777777" w:rsidR="005F7696" w:rsidRPr="00056F9A" w:rsidRDefault="005F7696" w:rsidP="000853E1">
            <w:pPr>
              <w:spacing w:before="0" w:after="0"/>
              <w:ind w:left="-57"/>
              <w:jc w:val="right"/>
              <w:rPr>
                <w:rFonts w:cs="Arial"/>
                <w:szCs w:val="20"/>
              </w:rPr>
            </w:pPr>
            <w:r w:rsidRPr="00056F9A">
              <w:t>9,098</w:t>
            </w:r>
          </w:p>
        </w:tc>
      </w:tr>
      <w:tr w:rsidR="005F7696" w14:paraId="3B2CCFEB" w14:textId="77777777" w:rsidTr="000853E1">
        <w:tc>
          <w:tcPr>
            <w:tcW w:w="3539" w:type="dxa"/>
            <w:tcBorders>
              <w:bottom w:val="nil"/>
            </w:tcBorders>
            <w:tcMar>
              <w:top w:w="28" w:type="dxa"/>
              <w:bottom w:w="28" w:type="dxa"/>
            </w:tcMar>
            <w:vAlign w:val="center"/>
          </w:tcPr>
          <w:p w14:paraId="14E62F41" w14:textId="77777777" w:rsidR="005F7696" w:rsidRPr="00BF5AD5" w:rsidRDefault="005F7696" w:rsidP="000853E1">
            <w:pPr>
              <w:spacing w:before="0" w:after="0"/>
              <w:ind w:right="-57"/>
              <w:jc w:val="left"/>
              <w:rPr>
                <w:rFonts w:cs="Arial"/>
                <w:color w:val="000000"/>
                <w:szCs w:val="20"/>
                <w:highlight w:val="yellow"/>
              </w:rPr>
            </w:pPr>
            <w:r w:rsidRPr="00595395">
              <w:t xml:space="preserve">Home Care Program </w:t>
            </w:r>
            <w:r>
              <w:t>(</w:t>
            </w:r>
            <w:r w:rsidRPr="00A17332">
              <w:t>HCP</w:t>
            </w:r>
            <w:r>
              <w:t>)</w:t>
            </w:r>
            <w:r w:rsidRPr="00B3583C">
              <w:rPr>
                <w:vertAlign w:val="superscript"/>
              </w:rPr>
              <w:t xml:space="preserve"> 3</w:t>
            </w:r>
            <w:r>
              <w:t xml:space="preserve"> </w:t>
            </w:r>
            <w:r w:rsidRPr="00595395">
              <w:t xml:space="preserve">and predecessor programs </w:t>
            </w:r>
          </w:p>
          <w:p w14:paraId="5DAF9C11" w14:textId="77777777" w:rsidR="005F7696" w:rsidRPr="00BF5AD5" w:rsidRDefault="005F7696" w:rsidP="000853E1">
            <w:pPr>
              <w:spacing w:before="0" w:after="0"/>
              <w:ind w:right="-57"/>
              <w:jc w:val="left"/>
              <w:rPr>
                <w:rFonts w:cs="Arial"/>
                <w:color w:val="000000"/>
                <w:szCs w:val="20"/>
                <w:highlight w:val="yellow"/>
              </w:rPr>
            </w:pPr>
            <w:r>
              <w:t xml:space="preserve">- </w:t>
            </w:r>
            <w:r w:rsidRPr="0001149E">
              <w:t>Assessments</w:t>
            </w:r>
          </w:p>
        </w:tc>
        <w:tc>
          <w:tcPr>
            <w:tcW w:w="1843" w:type="dxa"/>
            <w:tcBorders>
              <w:bottom w:val="nil"/>
            </w:tcBorders>
            <w:tcMar>
              <w:top w:w="28" w:type="dxa"/>
              <w:bottom w:w="28" w:type="dxa"/>
            </w:tcMar>
            <w:vAlign w:val="bottom"/>
          </w:tcPr>
          <w:p w14:paraId="35030EA5" w14:textId="77777777" w:rsidR="005F7696" w:rsidRPr="0080679A" w:rsidRDefault="005F7696" w:rsidP="000853E1">
            <w:pPr>
              <w:spacing w:before="0" w:after="0"/>
              <w:ind w:left="-57" w:right="-57"/>
              <w:jc w:val="center"/>
              <w:rPr>
                <w:rFonts w:cs="Arial"/>
                <w:szCs w:val="20"/>
              </w:rPr>
            </w:pPr>
            <w:r>
              <w:rPr>
                <w:rFonts w:cs="Arial"/>
                <w:color w:val="000000"/>
                <w:szCs w:val="20"/>
              </w:rPr>
              <w:t xml:space="preserve">01/1996 </w:t>
            </w:r>
            <w:r w:rsidRPr="00B3583C">
              <w:rPr>
                <w:rFonts w:cs="Arial"/>
                <w:szCs w:val="20"/>
              </w:rPr>
              <w:t>-</w:t>
            </w:r>
            <w:r>
              <w:rPr>
                <w:rFonts w:cs="Arial"/>
                <w:szCs w:val="20"/>
              </w:rPr>
              <w:t xml:space="preserve"> </w:t>
            </w:r>
            <w:r>
              <w:rPr>
                <w:rFonts w:cs="Arial"/>
                <w:color w:val="000000"/>
                <w:szCs w:val="20"/>
              </w:rPr>
              <w:t>06/2020</w:t>
            </w:r>
          </w:p>
        </w:tc>
        <w:tc>
          <w:tcPr>
            <w:tcW w:w="992" w:type="dxa"/>
            <w:tcBorders>
              <w:bottom w:val="nil"/>
              <w:right w:val="nil"/>
            </w:tcBorders>
            <w:tcMar>
              <w:top w:w="28" w:type="dxa"/>
              <w:bottom w:w="28" w:type="dxa"/>
            </w:tcMar>
            <w:vAlign w:val="bottom"/>
          </w:tcPr>
          <w:p w14:paraId="51559AF2" w14:textId="77777777" w:rsidR="005F7696" w:rsidRPr="00BF5AD5" w:rsidRDefault="005F7696" w:rsidP="000853E1">
            <w:pPr>
              <w:spacing w:before="0" w:after="0"/>
              <w:ind w:left="-57" w:right="-57"/>
              <w:jc w:val="right"/>
              <w:rPr>
                <w:rFonts w:cs="Arial"/>
                <w:szCs w:val="20"/>
                <w:highlight w:val="yellow"/>
              </w:rPr>
            </w:pPr>
            <w:r w:rsidRPr="008B2786">
              <w:t>5,606</w:t>
            </w:r>
          </w:p>
        </w:tc>
        <w:tc>
          <w:tcPr>
            <w:tcW w:w="851" w:type="dxa"/>
            <w:tcBorders>
              <w:left w:val="nil"/>
              <w:bottom w:val="nil"/>
            </w:tcBorders>
            <w:tcMar>
              <w:top w:w="28" w:type="dxa"/>
              <w:bottom w:w="28" w:type="dxa"/>
            </w:tcMar>
            <w:vAlign w:val="bottom"/>
          </w:tcPr>
          <w:p w14:paraId="5C2608EF" w14:textId="77777777" w:rsidR="005F7696" w:rsidRPr="00BF5AD5" w:rsidRDefault="005F7696" w:rsidP="000853E1">
            <w:pPr>
              <w:spacing w:before="0" w:after="0"/>
              <w:ind w:left="-57" w:right="-57"/>
              <w:jc w:val="right"/>
              <w:rPr>
                <w:rFonts w:cs="Arial"/>
                <w:szCs w:val="20"/>
                <w:highlight w:val="yellow"/>
              </w:rPr>
            </w:pPr>
            <w:r w:rsidRPr="008B2786">
              <w:t>2,942</w:t>
            </w:r>
          </w:p>
        </w:tc>
        <w:tc>
          <w:tcPr>
            <w:tcW w:w="992" w:type="dxa"/>
            <w:tcBorders>
              <w:bottom w:val="nil"/>
              <w:right w:val="nil"/>
            </w:tcBorders>
            <w:tcMar>
              <w:top w:w="28" w:type="dxa"/>
              <w:bottom w:w="28" w:type="dxa"/>
            </w:tcMar>
            <w:vAlign w:val="bottom"/>
          </w:tcPr>
          <w:p w14:paraId="3A319C8E" w14:textId="77777777" w:rsidR="005F7696" w:rsidRPr="00BF5AD5" w:rsidRDefault="005F7696" w:rsidP="000853E1">
            <w:pPr>
              <w:spacing w:before="0" w:after="0"/>
              <w:ind w:left="-57" w:right="-57"/>
              <w:jc w:val="right"/>
              <w:rPr>
                <w:rFonts w:cs="Arial"/>
                <w:szCs w:val="20"/>
                <w:highlight w:val="yellow"/>
              </w:rPr>
            </w:pPr>
            <w:r w:rsidRPr="008B2786">
              <w:t>344</w:t>
            </w:r>
          </w:p>
        </w:tc>
        <w:tc>
          <w:tcPr>
            <w:tcW w:w="992" w:type="dxa"/>
            <w:tcBorders>
              <w:left w:val="nil"/>
              <w:bottom w:val="nil"/>
            </w:tcBorders>
            <w:tcMar>
              <w:top w:w="28" w:type="dxa"/>
              <w:bottom w:w="28" w:type="dxa"/>
            </w:tcMar>
            <w:vAlign w:val="bottom"/>
          </w:tcPr>
          <w:p w14:paraId="1C4FC45C" w14:textId="77777777" w:rsidR="005F7696" w:rsidRPr="00BF5AD5" w:rsidRDefault="005F7696" w:rsidP="000853E1">
            <w:pPr>
              <w:spacing w:before="0" w:after="0"/>
              <w:ind w:left="-57"/>
              <w:jc w:val="right"/>
              <w:rPr>
                <w:rFonts w:cs="Arial"/>
                <w:szCs w:val="20"/>
                <w:highlight w:val="yellow"/>
              </w:rPr>
            </w:pPr>
            <w:r w:rsidRPr="008B2786">
              <w:t>2,598</w:t>
            </w:r>
          </w:p>
        </w:tc>
      </w:tr>
      <w:tr w:rsidR="005F7696" w14:paraId="2B8B5070" w14:textId="77777777" w:rsidTr="000853E1">
        <w:tc>
          <w:tcPr>
            <w:tcW w:w="3539" w:type="dxa"/>
            <w:tcBorders>
              <w:top w:val="nil"/>
              <w:bottom w:val="nil"/>
            </w:tcBorders>
            <w:tcMar>
              <w:top w:w="28" w:type="dxa"/>
              <w:bottom w:w="28" w:type="dxa"/>
            </w:tcMar>
            <w:vAlign w:val="center"/>
          </w:tcPr>
          <w:p w14:paraId="413143B0" w14:textId="77777777" w:rsidR="005F7696" w:rsidRPr="00BF5AD5" w:rsidRDefault="005F7696" w:rsidP="000853E1">
            <w:pPr>
              <w:spacing w:before="0" w:after="0"/>
              <w:ind w:right="-57"/>
              <w:jc w:val="left"/>
              <w:rPr>
                <w:rFonts w:cs="Arial"/>
                <w:color w:val="000000"/>
                <w:szCs w:val="20"/>
                <w:highlight w:val="yellow"/>
              </w:rPr>
            </w:pPr>
            <w:r>
              <w:t xml:space="preserve">- </w:t>
            </w:r>
            <w:r w:rsidRPr="0001149E">
              <w:t>Care level</w:t>
            </w:r>
          </w:p>
        </w:tc>
        <w:tc>
          <w:tcPr>
            <w:tcW w:w="1843" w:type="dxa"/>
            <w:tcBorders>
              <w:top w:val="nil"/>
              <w:bottom w:val="nil"/>
            </w:tcBorders>
            <w:tcMar>
              <w:top w:w="28" w:type="dxa"/>
              <w:bottom w:w="28" w:type="dxa"/>
            </w:tcMar>
            <w:vAlign w:val="center"/>
          </w:tcPr>
          <w:p w14:paraId="19FE7E32" w14:textId="77777777" w:rsidR="005F7696" w:rsidRPr="0080679A" w:rsidRDefault="005F7696" w:rsidP="000853E1">
            <w:pPr>
              <w:spacing w:before="0" w:after="0"/>
              <w:ind w:left="-57" w:right="-57"/>
              <w:jc w:val="center"/>
              <w:rPr>
                <w:rFonts w:cs="Arial"/>
                <w:szCs w:val="20"/>
              </w:rPr>
            </w:pPr>
            <w:r>
              <w:rPr>
                <w:rFonts w:cs="Arial"/>
                <w:color w:val="000000"/>
                <w:szCs w:val="20"/>
              </w:rPr>
              <w:t xml:space="preserve">07/1995 </w:t>
            </w:r>
            <w:r w:rsidRPr="00B3583C">
              <w:rPr>
                <w:rFonts w:cs="Arial"/>
                <w:szCs w:val="20"/>
              </w:rPr>
              <w:t>-</w:t>
            </w:r>
            <w:r>
              <w:rPr>
                <w:rFonts w:cs="Arial"/>
                <w:szCs w:val="20"/>
              </w:rPr>
              <w:t xml:space="preserve"> </w:t>
            </w:r>
            <w:r>
              <w:rPr>
                <w:rFonts w:cs="Arial"/>
                <w:color w:val="000000"/>
                <w:szCs w:val="20"/>
              </w:rPr>
              <w:t>06/2020</w:t>
            </w:r>
          </w:p>
        </w:tc>
        <w:tc>
          <w:tcPr>
            <w:tcW w:w="992" w:type="dxa"/>
            <w:tcBorders>
              <w:top w:val="nil"/>
              <w:bottom w:val="nil"/>
              <w:right w:val="nil"/>
            </w:tcBorders>
            <w:tcMar>
              <w:top w:w="28" w:type="dxa"/>
              <w:bottom w:w="28" w:type="dxa"/>
            </w:tcMar>
          </w:tcPr>
          <w:p w14:paraId="533C1409" w14:textId="77777777" w:rsidR="005F7696" w:rsidRPr="00BF5AD5" w:rsidRDefault="005F7696" w:rsidP="000853E1">
            <w:pPr>
              <w:spacing w:before="0" w:after="0"/>
              <w:ind w:left="-57" w:right="-57"/>
              <w:jc w:val="right"/>
              <w:rPr>
                <w:rFonts w:cs="Arial"/>
                <w:szCs w:val="20"/>
                <w:highlight w:val="yellow"/>
              </w:rPr>
            </w:pPr>
            <w:r w:rsidRPr="00AF0D09">
              <w:t>3,425</w:t>
            </w:r>
          </w:p>
        </w:tc>
        <w:tc>
          <w:tcPr>
            <w:tcW w:w="851" w:type="dxa"/>
            <w:tcBorders>
              <w:top w:val="nil"/>
              <w:left w:val="nil"/>
              <w:bottom w:val="nil"/>
            </w:tcBorders>
            <w:tcMar>
              <w:top w:w="28" w:type="dxa"/>
              <w:bottom w:w="28" w:type="dxa"/>
            </w:tcMar>
          </w:tcPr>
          <w:p w14:paraId="42D98F3C" w14:textId="77777777" w:rsidR="005F7696" w:rsidRPr="00BF5AD5" w:rsidRDefault="005F7696" w:rsidP="000853E1">
            <w:pPr>
              <w:spacing w:before="0" w:after="0"/>
              <w:ind w:left="-57" w:right="-57"/>
              <w:jc w:val="right"/>
              <w:rPr>
                <w:rFonts w:cs="Arial"/>
                <w:szCs w:val="20"/>
                <w:highlight w:val="yellow"/>
              </w:rPr>
            </w:pPr>
            <w:r w:rsidRPr="00AF0D09">
              <w:t>2,788</w:t>
            </w:r>
          </w:p>
        </w:tc>
        <w:tc>
          <w:tcPr>
            <w:tcW w:w="992" w:type="dxa"/>
            <w:tcBorders>
              <w:top w:val="nil"/>
              <w:bottom w:val="nil"/>
              <w:right w:val="nil"/>
            </w:tcBorders>
            <w:tcMar>
              <w:top w:w="28" w:type="dxa"/>
              <w:bottom w:w="28" w:type="dxa"/>
            </w:tcMar>
          </w:tcPr>
          <w:p w14:paraId="2F58D534" w14:textId="77777777" w:rsidR="005F7696" w:rsidRPr="00BF5AD5" w:rsidRDefault="005F7696" w:rsidP="000853E1">
            <w:pPr>
              <w:spacing w:before="0" w:after="0"/>
              <w:ind w:left="-57" w:right="-57"/>
              <w:jc w:val="right"/>
              <w:rPr>
                <w:rFonts w:cs="Arial"/>
                <w:szCs w:val="20"/>
                <w:highlight w:val="yellow"/>
              </w:rPr>
            </w:pPr>
            <w:r w:rsidRPr="00AF0D09">
              <w:t>265</w:t>
            </w:r>
          </w:p>
        </w:tc>
        <w:tc>
          <w:tcPr>
            <w:tcW w:w="992" w:type="dxa"/>
            <w:tcBorders>
              <w:top w:val="nil"/>
              <w:left w:val="nil"/>
              <w:bottom w:val="nil"/>
            </w:tcBorders>
            <w:tcMar>
              <w:top w:w="28" w:type="dxa"/>
              <w:bottom w:w="28" w:type="dxa"/>
            </w:tcMar>
          </w:tcPr>
          <w:p w14:paraId="7DF7EEA6" w14:textId="77777777" w:rsidR="005F7696" w:rsidRPr="00BF5AD5" w:rsidRDefault="005F7696" w:rsidP="000853E1">
            <w:pPr>
              <w:spacing w:before="0" w:after="0"/>
              <w:ind w:left="-57"/>
              <w:jc w:val="right"/>
              <w:rPr>
                <w:rFonts w:cs="Arial"/>
                <w:szCs w:val="20"/>
                <w:highlight w:val="yellow"/>
              </w:rPr>
            </w:pPr>
            <w:r w:rsidRPr="00AF0D09">
              <w:t>2,523</w:t>
            </w:r>
          </w:p>
        </w:tc>
      </w:tr>
      <w:tr w:rsidR="005F7696" w14:paraId="35470D8E" w14:textId="77777777" w:rsidTr="000853E1">
        <w:tc>
          <w:tcPr>
            <w:tcW w:w="3539" w:type="dxa"/>
            <w:tcBorders>
              <w:top w:val="nil"/>
            </w:tcBorders>
            <w:tcMar>
              <w:top w:w="28" w:type="dxa"/>
              <w:bottom w:w="28" w:type="dxa"/>
            </w:tcMar>
            <w:vAlign w:val="center"/>
          </w:tcPr>
          <w:p w14:paraId="1A99B587" w14:textId="77777777" w:rsidR="005F7696" w:rsidRPr="00BF5AD5" w:rsidRDefault="005F7696" w:rsidP="000853E1">
            <w:pPr>
              <w:spacing w:before="0" w:after="0"/>
              <w:ind w:right="-57"/>
              <w:jc w:val="left"/>
              <w:rPr>
                <w:rFonts w:cs="Arial"/>
                <w:color w:val="000000"/>
                <w:szCs w:val="20"/>
                <w:highlight w:val="yellow"/>
              </w:rPr>
            </w:pPr>
            <w:r>
              <w:t xml:space="preserve">- Leave </w:t>
            </w:r>
          </w:p>
        </w:tc>
        <w:tc>
          <w:tcPr>
            <w:tcW w:w="1843" w:type="dxa"/>
            <w:tcBorders>
              <w:top w:val="nil"/>
            </w:tcBorders>
            <w:tcMar>
              <w:top w:w="28" w:type="dxa"/>
              <w:bottom w:w="28" w:type="dxa"/>
            </w:tcMar>
            <w:vAlign w:val="center"/>
          </w:tcPr>
          <w:p w14:paraId="15D5B18B" w14:textId="77777777" w:rsidR="005F7696" w:rsidRPr="0080679A" w:rsidRDefault="005F7696" w:rsidP="000853E1">
            <w:pPr>
              <w:spacing w:before="0" w:after="0"/>
              <w:ind w:left="-57" w:right="-57"/>
              <w:jc w:val="center"/>
              <w:rPr>
                <w:rFonts w:cs="Arial"/>
                <w:szCs w:val="20"/>
              </w:rPr>
            </w:pPr>
            <w:r>
              <w:rPr>
                <w:rFonts w:cs="Arial"/>
                <w:color w:val="000000"/>
                <w:szCs w:val="20"/>
              </w:rPr>
              <w:t xml:space="preserve">08/1997 </w:t>
            </w:r>
            <w:r w:rsidRPr="00B3583C">
              <w:rPr>
                <w:rFonts w:cs="Arial"/>
                <w:szCs w:val="20"/>
              </w:rPr>
              <w:t>-</w:t>
            </w:r>
            <w:r>
              <w:rPr>
                <w:rFonts w:cs="Arial"/>
                <w:szCs w:val="20"/>
              </w:rPr>
              <w:t xml:space="preserve"> </w:t>
            </w:r>
            <w:r>
              <w:rPr>
                <w:rFonts w:cs="Arial"/>
                <w:color w:val="000000"/>
                <w:szCs w:val="20"/>
              </w:rPr>
              <w:t>06/2020</w:t>
            </w:r>
          </w:p>
        </w:tc>
        <w:tc>
          <w:tcPr>
            <w:tcW w:w="992" w:type="dxa"/>
            <w:tcBorders>
              <w:top w:val="nil"/>
              <w:right w:val="nil"/>
            </w:tcBorders>
            <w:tcMar>
              <w:top w:w="28" w:type="dxa"/>
              <w:bottom w:w="28" w:type="dxa"/>
            </w:tcMar>
          </w:tcPr>
          <w:p w14:paraId="4208EF7F" w14:textId="77777777" w:rsidR="005F7696" w:rsidRPr="00BF5AD5" w:rsidRDefault="005F7696" w:rsidP="000853E1">
            <w:pPr>
              <w:spacing w:before="0" w:after="0"/>
              <w:ind w:left="-57" w:right="-57"/>
              <w:jc w:val="right"/>
              <w:rPr>
                <w:rFonts w:cs="Arial"/>
                <w:szCs w:val="20"/>
                <w:highlight w:val="yellow"/>
              </w:rPr>
            </w:pPr>
            <w:r w:rsidRPr="007A21F3">
              <w:t>7,469</w:t>
            </w:r>
          </w:p>
        </w:tc>
        <w:tc>
          <w:tcPr>
            <w:tcW w:w="851" w:type="dxa"/>
            <w:tcBorders>
              <w:top w:val="nil"/>
              <w:left w:val="nil"/>
            </w:tcBorders>
            <w:tcMar>
              <w:top w:w="28" w:type="dxa"/>
              <w:bottom w:w="28" w:type="dxa"/>
            </w:tcMar>
          </w:tcPr>
          <w:p w14:paraId="6BD8B858" w14:textId="77777777" w:rsidR="005F7696" w:rsidRPr="00BF5AD5" w:rsidRDefault="005F7696" w:rsidP="000853E1">
            <w:pPr>
              <w:spacing w:before="0" w:after="0"/>
              <w:ind w:left="-57" w:right="-57"/>
              <w:jc w:val="right"/>
              <w:rPr>
                <w:rFonts w:cs="Arial"/>
                <w:szCs w:val="20"/>
                <w:highlight w:val="yellow"/>
              </w:rPr>
            </w:pPr>
            <w:r w:rsidRPr="007A21F3">
              <w:t>2,041</w:t>
            </w:r>
          </w:p>
        </w:tc>
        <w:tc>
          <w:tcPr>
            <w:tcW w:w="992" w:type="dxa"/>
            <w:tcBorders>
              <w:top w:val="nil"/>
              <w:right w:val="nil"/>
            </w:tcBorders>
            <w:tcMar>
              <w:top w:w="28" w:type="dxa"/>
              <w:bottom w:w="28" w:type="dxa"/>
            </w:tcMar>
          </w:tcPr>
          <w:p w14:paraId="742506AB" w14:textId="77777777" w:rsidR="005F7696" w:rsidRPr="00BF5AD5" w:rsidRDefault="005F7696" w:rsidP="000853E1">
            <w:pPr>
              <w:spacing w:before="0" w:after="0"/>
              <w:ind w:left="-57" w:right="-57"/>
              <w:jc w:val="right"/>
              <w:rPr>
                <w:rFonts w:cs="Arial"/>
                <w:szCs w:val="20"/>
                <w:highlight w:val="yellow"/>
              </w:rPr>
            </w:pPr>
            <w:r w:rsidRPr="007A21F3">
              <w:t>143</w:t>
            </w:r>
          </w:p>
        </w:tc>
        <w:tc>
          <w:tcPr>
            <w:tcW w:w="992" w:type="dxa"/>
            <w:tcBorders>
              <w:top w:val="nil"/>
              <w:left w:val="nil"/>
            </w:tcBorders>
            <w:tcMar>
              <w:top w:w="28" w:type="dxa"/>
              <w:bottom w:w="28" w:type="dxa"/>
            </w:tcMar>
          </w:tcPr>
          <w:p w14:paraId="4B7DD451" w14:textId="77777777" w:rsidR="005F7696" w:rsidRPr="00BF5AD5" w:rsidRDefault="005F7696" w:rsidP="000853E1">
            <w:pPr>
              <w:spacing w:before="0" w:after="0"/>
              <w:ind w:left="-57"/>
              <w:jc w:val="right"/>
              <w:rPr>
                <w:rFonts w:cs="Arial"/>
                <w:szCs w:val="20"/>
                <w:highlight w:val="yellow"/>
              </w:rPr>
            </w:pPr>
            <w:r w:rsidRPr="007A21F3">
              <w:t>1,898</w:t>
            </w:r>
          </w:p>
        </w:tc>
      </w:tr>
      <w:tr w:rsidR="005F7696" w14:paraId="169BC294" w14:textId="77777777" w:rsidTr="000853E1">
        <w:tc>
          <w:tcPr>
            <w:tcW w:w="3539" w:type="dxa"/>
            <w:tcBorders>
              <w:top w:val="nil"/>
              <w:bottom w:val="single" w:sz="4" w:space="0" w:color="auto"/>
            </w:tcBorders>
            <w:tcMar>
              <w:top w:w="28" w:type="dxa"/>
              <w:bottom w:w="28" w:type="dxa"/>
            </w:tcMar>
            <w:vAlign w:val="center"/>
          </w:tcPr>
          <w:p w14:paraId="01DFCA2B" w14:textId="77777777" w:rsidR="005F7696" w:rsidRDefault="005F7696" w:rsidP="000853E1">
            <w:pPr>
              <w:spacing w:before="0" w:after="0"/>
              <w:ind w:right="-57"/>
              <w:jc w:val="left"/>
            </w:pPr>
            <w:r>
              <w:t>National Screening and Assessment Form - Assessments</w:t>
            </w:r>
          </w:p>
        </w:tc>
        <w:tc>
          <w:tcPr>
            <w:tcW w:w="1843" w:type="dxa"/>
            <w:tcBorders>
              <w:top w:val="nil"/>
              <w:bottom w:val="single" w:sz="4" w:space="0" w:color="auto"/>
            </w:tcBorders>
            <w:tcMar>
              <w:top w:w="28" w:type="dxa"/>
              <w:bottom w:w="28" w:type="dxa"/>
            </w:tcMar>
            <w:vAlign w:val="center"/>
          </w:tcPr>
          <w:p w14:paraId="015B9556" w14:textId="77777777" w:rsidR="005F7696" w:rsidDel="00D46326" w:rsidRDefault="005F7696" w:rsidP="000853E1">
            <w:pPr>
              <w:spacing w:before="0" w:after="0"/>
              <w:ind w:left="-57" w:right="-57"/>
              <w:jc w:val="center"/>
              <w:rPr>
                <w:rFonts w:cs="Arial"/>
                <w:color w:val="000000"/>
                <w:szCs w:val="20"/>
              </w:rPr>
            </w:pPr>
            <w:r>
              <w:rPr>
                <w:rFonts w:cs="Arial"/>
                <w:color w:val="000000"/>
                <w:szCs w:val="20"/>
              </w:rPr>
              <w:t xml:space="preserve">04/2000 </w:t>
            </w:r>
            <w:r w:rsidRPr="00B3583C">
              <w:rPr>
                <w:rFonts w:cs="Arial"/>
                <w:szCs w:val="20"/>
              </w:rPr>
              <w:t>-</w:t>
            </w:r>
            <w:r>
              <w:rPr>
                <w:rFonts w:cs="Arial"/>
                <w:color w:val="000000"/>
                <w:szCs w:val="20"/>
              </w:rPr>
              <w:t xml:space="preserve"> 06/2020</w:t>
            </w:r>
          </w:p>
        </w:tc>
        <w:tc>
          <w:tcPr>
            <w:tcW w:w="992" w:type="dxa"/>
            <w:tcBorders>
              <w:top w:val="nil"/>
              <w:bottom w:val="single" w:sz="4" w:space="0" w:color="auto"/>
              <w:right w:val="nil"/>
            </w:tcBorders>
            <w:tcMar>
              <w:top w:w="28" w:type="dxa"/>
              <w:bottom w:w="28" w:type="dxa"/>
            </w:tcMar>
            <w:vAlign w:val="center"/>
          </w:tcPr>
          <w:p w14:paraId="317CC32F" w14:textId="77777777" w:rsidR="005F7696" w:rsidRPr="007A21F3" w:rsidRDefault="005F7696" w:rsidP="000853E1">
            <w:pPr>
              <w:spacing w:before="0" w:after="0"/>
              <w:ind w:left="-57" w:right="-57"/>
              <w:jc w:val="right"/>
            </w:pPr>
            <w:r w:rsidRPr="009E6070">
              <w:t>7,237</w:t>
            </w:r>
          </w:p>
        </w:tc>
        <w:tc>
          <w:tcPr>
            <w:tcW w:w="851" w:type="dxa"/>
            <w:tcBorders>
              <w:top w:val="nil"/>
              <w:left w:val="nil"/>
              <w:bottom w:val="single" w:sz="4" w:space="0" w:color="auto"/>
            </w:tcBorders>
            <w:tcMar>
              <w:top w:w="28" w:type="dxa"/>
              <w:bottom w:w="28" w:type="dxa"/>
            </w:tcMar>
            <w:vAlign w:val="center"/>
          </w:tcPr>
          <w:p w14:paraId="1A58C2BA" w14:textId="77777777" w:rsidR="005F7696" w:rsidRPr="007A21F3" w:rsidRDefault="005F7696" w:rsidP="000853E1">
            <w:pPr>
              <w:spacing w:before="0" w:after="0"/>
              <w:ind w:left="-57" w:right="-57"/>
              <w:jc w:val="right"/>
            </w:pPr>
            <w:r w:rsidRPr="009E6070">
              <w:t>4,167</w:t>
            </w:r>
          </w:p>
        </w:tc>
        <w:tc>
          <w:tcPr>
            <w:tcW w:w="992" w:type="dxa"/>
            <w:tcBorders>
              <w:top w:val="nil"/>
              <w:bottom w:val="single" w:sz="4" w:space="0" w:color="auto"/>
              <w:right w:val="nil"/>
            </w:tcBorders>
            <w:tcMar>
              <w:top w:w="28" w:type="dxa"/>
              <w:bottom w:w="28" w:type="dxa"/>
            </w:tcMar>
            <w:vAlign w:val="center"/>
          </w:tcPr>
          <w:p w14:paraId="5A332C67" w14:textId="77777777" w:rsidR="005F7696" w:rsidRPr="007A21F3" w:rsidRDefault="005F7696" w:rsidP="000853E1">
            <w:pPr>
              <w:spacing w:before="0" w:after="0"/>
              <w:ind w:left="-57" w:right="-57"/>
              <w:jc w:val="right"/>
            </w:pPr>
            <w:r w:rsidRPr="009E6070">
              <w:t>2,163</w:t>
            </w:r>
          </w:p>
        </w:tc>
        <w:tc>
          <w:tcPr>
            <w:tcW w:w="992" w:type="dxa"/>
            <w:tcBorders>
              <w:top w:val="nil"/>
              <w:left w:val="nil"/>
              <w:bottom w:val="single" w:sz="4" w:space="0" w:color="auto"/>
            </w:tcBorders>
            <w:tcMar>
              <w:top w:w="28" w:type="dxa"/>
              <w:bottom w:w="28" w:type="dxa"/>
            </w:tcMar>
            <w:vAlign w:val="center"/>
          </w:tcPr>
          <w:p w14:paraId="783B50E8" w14:textId="77777777" w:rsidR="005F7696" w:rsidRPr="007A21F3" w:rsidRDefault="005F7696" w:rsidP="000853E1">
            <w:pPr>
              <w:spacing w:before="0" w:after="0"/>
              <w:ind w:left="-57"/>
              <w:jc w:val="right"/>
            </w:pPr>
            <w:r w:rsidRPr="009E6070">
              <w:t>2,004</w:t>
            </w:r>
          </w:p>
        </w:tc>
      </w:tr>
      <w:tr w:rsidR="005F7696" w14:paraId="5682028A" w14:textId="77777777" w:rsidTr="000853E1">
        <w:tc>
          <w:tcPr>
            <w:tcW w:w="3539" w:type="dxa"/>
            <w:tcBorders>
              <w:bottom w:val="dashSmallGap" w:sz="4" w:space="0" w:color="808080" w:themeColor="background1" w:themeShade="80"/>
            </w:tcBorders>
            <w:tcMar>
              <w:top w:w="28" w:type="dxa"/>
              <w:bottom w:w="28" w:type="dxa"/>
            </w:tcMar>
            <w:vAlign w:val="center"/>
          </w:tcPr>
          <w:p w14:paraId="708469A0" w14:textId="77777777" w:rsidR="005F7696" w:rsidRDefault="005F7696" w:rsidP="000853E1">
            <w:pPr>
              <w:spacing w:before="0" w:after="0"/>
              <w:ind w:right="-57"/>
              <w:jc w:val="left"/>
            </w:pPr>
            <w:r w:rsidRPr="009A70DC">
              <w:t xml:space="preserve">Residential Aged Care </w:t>
            </w:r>
            <w:r>
              <w:t>(</w:t>
            </w:r>
            <w:r w:rsidRPr="00A17332">
              <w:t>RAC</w:t>
            </w:r>
            <w:r>
              <w:t>)</w:t>
            </w:r>
          </w:p>
          <w:p w14:paraId="22D5125E" w14:textId="77777777" w:rsidR="005F7696" w:rsidRPr="00BF5AD5" w:rsidRDefault="005F7696" w:rsidP="000853E1">
            <w:pPr>
              <w:spacing w:before="0" w:after="0"/>
              <w:ind w:right="-57"/>
              <w:jc w:val="left"/>
              <w:rPr>
                <w:rFonts w:cs="Arial"/>
                <w:color w:val="000000"/>
                <w:szCs w:val="20"/>
                <w:highlight w:val="yellow"/>
              </w:rPr>
            </w:pPr>
            <w:r>
              <w:t xml:space="preserve">- </w:t>
            </w:r>
            <w:r w:rsidRPr="0001149E">
              <w:t>Services</w:t>
            </w:r>
          </w:p>
        </w:tc>
        <w:tc>
          <w:tcPr>
            <w:tcW w:w="1843" w:type="dxa"/>
            <w:tcBorders>
              <w:bottom w:val="dashSmallGap" w:sz="4" w:space="0" w:color="808080" w:themeColor="background1" w:themeShade="80"/>
            </w:tcBorders>
            <w:tcMar>
              <w:top w:w="28" w:type="dxa"/>
              <w:bottom w:w="28" w:type="dxa"/>
            </w:tcMar>
            <w:vAlign w:val="bottom"/>
          </w:tcPr>
          <w:p w14:paraId="632E61B5" w14:textId="77777777" w:rsidR="005F7696" w:rsidRPr="0080679A" w:rsidRDefault="005F7696" w:rsidP="000853E1">
            <w:pPr>
              <w:spacing w:before="0" w:after="0"/>
              <w:ind w:left="-57" w:right="-57"/>
              <w:jc w:val="center"/>
              <w:rPr>
                <w:rFonts w:cs="Arial"/>
                <w:szCs w:val="20"/>
              </w:rPr>
            </w:pPr>
            <w:r>
              <w:rPr>
                <w:rFonts w:cs="Arial"/>
                <w:color w:val="000000"/>
                <w:szCs w:val="20"/>
              </w:rPr>
              <w:t>11/1982 - 06/2020</w:t>
            </w:r>
          </w:p>
        </w:tc>
        <w:tc>
          <w:tcPr>
            <w:tcW w:w="992" w:type="dxa"/>
            <w:tcBorders>
              <w:bottom w:val="dashSmallGap" w:sz="4" w:space="0" w:color="808080" w:themeColor="background1" w:themeShade="80"/>
              <w:right w:val="nil"/>
            </w:tcBorders>
            <w:tcMar>
              <w:top w:w="28" w:type="dxa"/>
              <w:bottom w:w="28" w:type="dxa"/>
            </w:tcMar>
            <w:vAlign w:val="bottom"/>
          </w:tcPr>
          <w:p w14:paraId="05675A7D" w14:textId="77777777" w:rsidR="005F7696" w:rsidRPr="00BF5AD5" w:rsidRDefault="005F7696" w:rsidP="000853E1">
            <w:pPr>
              <w:spacing w:before="0" w:after="0"/>
              <w:ind w:left="-57" w:right="-57"/>
              <w:jc w:val="right"/>
              <w:rPr>
                <w:rFonts w:cs="Arial"/>
                <w:color w:val="000000"/>
                <w:szCs w:val="20"/>
                <w:highlight w:val="yellow"/>
              </w:rPr>
            </w:pPr>
            <w:r w:rsidRPr="007247DD">
              <w:t>16</w:t>
            </w:r>
            <w:r>
              <w:t>,</w:t>
            </w:r>
            <w:r w:rsidRPr="007247DD">
              <w:t>393</w:t>
            </w:r>
          </w:p>
        </w:tc>
        <w:tc>
          <w:tcPr>
            <w:tcW w:w="851" w:type="dxa"/>
            <w:tcBorders>
              <w:left w:val="nil"/>
              <w:bottom w:val="dashSmallGap" w:sz="4" w:space="0" w:color="808080" w:themeColor="background1" w:themeShade="80"/>
            </w:tcBorders>
            <w:tcMar>
              <w:top w:w="28" w:type="dxa"/>
              <w:bottom w:w="28" w:type="dxa"/>
            </w:tcMar>
            <w:vAlign w:val="bottom"/>
          </w:tcPr>
          <w:p w14:paraId="690718F1" w14:textId="77777777" w:rsidR="005F7696" w:rsidRPr="00BF5AD5" w:rsidRDefault="005F7696" w:rsidP="000853E1">
            <w:pPr>
              <w:spacing w:before="0" w:after="0"/>
              <w:ind w:left="-57" w:right="-57"/>
              <w:jc w:val="right"/>
              <w:rPr>
                <w:rFonts w:cs="Arial"/>
                <w:color w:val="000000"/>
                <w:szCs w:val="20"/>
                <w:highlight w:val="yellow"/>
              </w:rPr>
            </w:pPr>
            <w:r w:rsidRPr="007247DD">
              <w:t>7,297</w:t>
            </w:r>
          </w:p>
        </w:tc>
        <w:tc>
          <w:tcPr>
            <w:tcW w:w="992" w:type="dxa"/>
            <w:tcBorders>
              <w:bottom w:val="dashSmallGap" w:sz="4" w:space="0" w:color="808080" w:themeColor="background1" w:themeShade="80"/>
              <w:right w:val="nil"/>
            </w:tcBorders>
            <w:tcMar>
              <w:top w:w="28" w:type="dxa"/>
              <w:bottom w:w="28" w:type="dxa"/>
            </w:tcMar>
            <w:vAlign w:val="bottom"/>
          </w:tcPr>
          <w:p w14:paraId="5054C3D8" w14:textId="77777777" w:rsidR="005F7696" w:rsidRPr="00BF5AD5" w:rsidRDefault="005F7696" w:rsidP="000853E1">
            <w:pPr>
              <w:spacing w:before="0" w:after="0"/>
              <w:ind w:left="-57" w:right="-57"/>
              <w:jc w:val="right"/>
              <w:rPr>
                <w:rFonts w:cs="Arial"/>
                <w:color w:val="000000"/>
                <w:szCs w:val="20"/>
                <w:highlight w:val="yellow"/>
              </w:rPr>
            </w:pPr>
            <w:r w:rsidRPr="007247DD">
              <w:t>274</w:t>
            </w:r>
          </w:p>
        </w:tc>
        <w:tc>
          <w:tcPr>
            <w:tcW w:w="992" w:type="dxa"/>
            <w:tcBorders>
              <w:left w:val="nil"/>
              <w:bottom w:val="dashSmallGap" w:sz="4" w:space="0" w:color="808080" w:themeColor="background1" w:themeShade="80"/>
            </w:tcBorders>
            <w:tcMar>
              <w:top w:w="28" w:type="dxa"/>
              <w:bottom w:w="28" w:type="dxa"/>
            </w:tcMar>
            <w:vAlign w:val="bottom"/>
          </w:tcPr>
          <w:p w14:paraId="5EEA1DB1" w14:textId="77777777" w:rsidR="005F7696" w:rsidRPr="00BF5AD5" w:rsidRDefault="005F7696" w:rsidP="000853E1">
            <w:pPr>
              <w:spacing w:before="0" w:after="0"/>
              <w:ind w:left="-57"/>
              <w:jc w:val="right"/>
              <w:rPr>
                <w:rFonts w:cs="Arial"/>
                <w:color w:val="000000"/>
                <w:szCs w:val="20"/>
                <w:highlight w:val="yellow"/>
              </w:rPr>
            </w:pPr>
            <w:r w:rsidRPr="007247DD">
              <w:t>7,023</w:t>
            </w:r>
          </w:p>
        </w:tc>
      </w:tr>
      <w:tr w:rsidR="005F7696" w14:paraId="454C664A" w14:textId="77777777" w:rsidTr="000853E1">
        <w:trPr>
          <w:trHeight w:val="397"/>
        </w:trPr>
        <w:tc>
          <w:tcPr>
            <w:tcW w:w="3539" w:type="dxa"/>
            <w:tcBorders>
              <w:top w:val="dashSmallGap" w:sz="4" w:space="0" w:color="808080" w:themeColor="background1" w:themeShade="80"/>
            </w:tcBorders>
            <w:tcMar>
              <w:top w:w="28" w:type="dxa"/>
              <w:bottom w:w="28" w:type="dxa"/>
            </w:tcMar>
            <w:vAlign w:val="center"/>
          </w:tcPr>
          <w:p w14:paraId="54A84FE8" w14:textId="77777777" w:rsidR="005F7696" w:rsidRPr="00BF5AD5" w:rsidRDefault="005F7696" w:rsidP="000853E1">
            <w:pPr>
              <w:spacing w:before="0" w:after="0"/>
              <w:ind w:right="-57"/>
              <w:jc w:val="left"/>
              <w:rPr>
                <w:rFonts w:cs="Arial"/>
                <w:szCs w:val="20"/>
                <w:highlight w:val="yellow"/>
              </w:rPr>
            </w:pPr>
            <w:r>
              <w:t>- Leave</w:t>
            </w:r>
          </w:p>
        </w:tc>
        <w:tc>
          <w:tcPr>
            <w:tcW w:w="1843" w:type="dxa"/>
            <w:tcBorders>
              <w:top w:val="dashSmallGap" w:sz="4" w:space="0" w:color="808080" w:themeColor="background1" w:themeShade="80"/>
            </w:tcBorders>
            <w:tcMar>
              <w:top w:w="28" w:type="dxa"/>
              <w:bottom w:w="28" w:type="dxa"/>
            </w:tcMar>
            <w:vAlign w:val="center"/>
          </w:tcPr>
          <w:p w14:paraId="580E6713" w14:textId="77777777" w:rsidR="005F7696" w:rsidRPr="0080679A" w:rsidRDefault="005F7696" w:rsidP="000853E1">
            <w:pPr>
              <w:spacing w:before="0" w:after="0"/>
              <w:ind w:left="-57" w:right="-57"/>
              <w:jc w:val="center"/>
              <w:rPr>
                <w:rFonts w:cs="Arial"/>
                <w:szCs w:val="20"/>
              </w:rPr>
            </w:pPr>
            <w:r>
              <w:rPr>
                <w:rFonts w:cs="Arial"/>
                <w:color w:val="000000"/>
                <w:szCs w:val="20"/>
              </w:rPr>
              <w:t>09/1997 - 06/2020</w:t>
            </w:r>
          </w:p>
        </w:tc>
        <w:tc>
          <w:tcPr>
            <w:tcW w:w="992" w:type="dxa"/>
            <w:tcBorders>
              <w:top w:val="dashSmallGap" w:sz="4" w:space="0" w:color="808080" w:themeColor="background1" w:themeShade="80"/>
              <w:right w:val="nil"/>
            </w:tcBorders>
            <w:tcMar>
              <w:top w:w="28" w:type="dxa"/>
              <w:bottom w:w="28" w:type="dxa"/>
            </w:tcMar>
            <w:vAlign w:val="center"/>
          </w:tcPr>
          <w:p w14:paraId="3B951E0B" w14:textId="77777777" w:rsidR="005F7696" w:rsidRPr="00BF5AD5" w:rsidRDefault="005F7696" w:rsidP="000853E1">
            <w:pPr>
              <w:spacing w:before="0" w:after="0"/>
              <w:ind w:left="-57" w:right="-57"/>
              <w:jc w:val="right"/>
              <w:rPr>
                <w:rFonts w:cs="Arial"/>
                <w:color w:val="000000"/>
                <w:szCs w:val="20"/>
                <w:highlight w:val="yellow"/>
              </w:rPr>
            </w:pPr>
            <w:r w:rsidRPr="00551E8F">
              <w:t>19,799</w:t>
            </w:r>
          </w:p>
        </w:tc>
        <w:tc>
          <w:tcPr>
            <w:tcW w:w="851" w:type="dxa"/>
            <w:tcBorders>
              <w:top w:val="dashSmallGap" w:sz="4" w:space="0" w:color="808080" w:themeColor="background1" w:themeShade="80"/>
              <w:left w:val="nil"/>
            </w:tcBorders>
            <w:tcMar>
              <w:top w:w="28" w:type="dxa"/>
              <w:bottom w:w="28" w:type="dxa"/>
            </w:tcMar>
            <w:vAlign w:val="center"/>
          </w:tcPr>
          <w:p w14:paraId="62AE532D" w14:textId="77777777" w:rsidR="005F7696" w:rsidRPr="00BF5AD5" w:rsidRDefault="005F7696" w:rsidP="000853E1">
            <w:pPr>
              <w:spacing w:before="0" w:after="0"/>
              <w:ind w:left="-57" w:right="-57"/>
              <w:jc w:val="right"/>
              <w:rPr>
                <w:rFonts w:cs="Arial"/>
                <w:color w:val="000000"/>
                <w:szCs w:val="20"/>
                <w:highlight w:val="yellow"/>
              </w:rPr>
            </w:pPr>
            <w:r w:rsidRPr="00551E8F">
              <w:t>4,914</w:t>
            </w:r>
          </w:p>
        </w:tc>
        <w:tc>
          <w:tcPr>
            <w:tcW w:w="992" w:type="dxa"/>
            <w:tcBorders>
              <w:top w:val="dashSmallGap" w:sz="4" w:space="0" w:color="808080" w:themeColor="background1" w:themeShade="80"/>
              <w:right w:val="nil"/>
            </w:tcBorders>
            <w:tcMar>
              <w:top w:w="28" w:type="dxa"/>
              <w:bottom w:w="28" w:type="dxa"/>
            </w:tcMar>
            <w:vAlign w:val="center"/>
          </w:tcPr>
          <w:p w14:paraId="54B9D49D" w14:textId="77777777" w:rsidR="005F7696" w:rsidRPr="00BF5AD5" w:rsidRDefault="005F7696" w:rsidP="000853E1">
            <w:pPr>
              <w:spacing w:before="0" w:after="0"/>
              <w:ind w:left="-57" w:right="-57"/>
              <w:jc w:val="right"/>
              <w:rPr>
                <w:rFonts w:cs="Arial"/>
                <w:color w:val="000000"/>
                <w:szCs w:val="20"/>
                <w:highlight w:val="yellow"/>
              </w:rPr>
            </w:pPr>
            <w:r w:rsidRPr="00551E8F">
              <w:t>124</w:t>
            </w:r>
          </w:p>
        </w:tc>
        <w:tc>
          <w:tcPr>
            <w:tcW w:w="992" w:type="dxa"/>
            <w:tcBorders>
              <w:top w:val="dashSmallGap" w:sz="4" w:space="0" w:color="808080" w:themeColor="background1" w:themeShade="80"/>
              <w:left w:val="nil"/>
            </w:tcBorders>
            <w:tcMar>
              <w:top w:w="28" w:type="dxa"/>
              <w:bottom w:w="28" w:type="dxa"/>
            </w:tcMar>
            <w:vAlign w:val="center"/>
          </w:tcPr>
          <w:p w14:paraId="781E811E" w14:textId="77777777" w:rsidR="005F7696" w:rsidRPr="00BF5AD5" w:rsidRDefault="005F7696" w:rsidP="000853E1">
            <w:pPr>
              <w:spacing w:before="0" w:after="0"/>
              <w:ind w:left="-57"/>
              <w:jc w:val="right"/>
              <w:rPr>
                <w:rFonts w:cs="Arial"/>
                <w:color w:val="000000"/>
                <w:szCs w:val="20"/>
                <w:highlight w:val="yellow"/>
              </w:rPr>
            </w:pPr>
            <w:r w:rsidRPr="00551E8F">
              <w:t>4,790</w:t>
            </w:r>
          </w:p>
        </w:tc>
      </w:tr>
      <w:tr w:rsidR="005F7696" w14:paraId="2F54AF70" w14:textId="77777777" w:rsidTr="000853E1">
        <w:trPr>
          <w:trHeight w:val="397"/>
        </w:trPr>
        <w:tc>
          <w:tcPr>
            <w:tcW w:w="3539" w:type="dxa"/>
            <w:tcMar>
              <w:top w:w="28" w:type="dxa"/>
              <w:bottom w:w="28" w:type="dxa"/>
            </w:tcMar>
            <w:vAlign w:val="center"/>
          </w:tcPr>
          <w:p w14:paraId="1EFD119B" w14:textId="77777777" w:rsidR="005F7696" w:rsidRPr="00BF5AD5" w:rsidRDefault="005F7696" w:rsidP="000853E1">
            <w:pPr>
              <w:spacing w:before="0" w:after="0"/>
              <w:ind w:right="-57"/>
              <w:jc w:val="left"/>
              <w:rPr>
                <w:rFonts w:cs="Arial"/>
                <w:color w:val="000000"/>
                <w:szCs w:val="20"/>
                <w:highlight w:val="yellow"/>
              </w:rPr>
            </w:pPr>
            <w:r w:rsidRPr="00086211">
              <w:t xml:space="preserve">Resident Classification Scale </w:t>
            </w:r>
            <w:r>
              <w:t>(</w:t>
            </w:r>
            <w:r w:rsidRPr="00A17332">
              <w:t>RCS</w:t>
            </w:r>
            <w:r>
              <w:t>)</w:t>
            </w:r>
            <w:r>
              <w:rPr>
                <w:vertAlign w:val="superscript"/>
              </w:rPr>
              <w:t xml:space="preserve"> 4</w:t>
            </w:r>
            <w:r>
              <w:t xml:space="preserve"> - </w:t>
            </w:r>
            <w:r w:rsidRPr="0001149E">
              <w:t>Assessments</w:t>
            </w:r>
          </w:p>
        </w:tc>
        <w:tc>
          <w:tcPr>
            <w:tcW w:w="1843" w:type="dxa"/>
            <w:tcMar>
              <w:top w:w="28" w:type="dxa"/>
              <w:bottom w:w="28" w:type="dxa"/>
            </w:tcMar>
            <w:vAlign w:val="center"/>
          </w:tcPr>
          <w:p w14:paraId="6D993049" w14:textId="77777777" w:rsidR="005F7696" w:rsidRPr="0080679A" w:rsidRDefault="005F7696" w:rsidP="000853E1">
            <w:pPr>
              <w:spacing w:before="0" w:after="0"/>
              <w:ind w:left="-57" w:right="-57"/>
              <w:jc w:val="center"/>
              <w:rPr>
                <w:rFonts w:cs="Arial"/>
                <w:color w:val="000000"/>
                <w:szCs w:val="20"/>
              </w:rPr>
            </w:pPr>
            <w:r>
              <w:rPr>
                <w:rFonts w:cs="Arial"/>
                <w:color w:val="000000"/>
                <w:szCs w:val="20"/>
              </w:rPr>
              <w:t>10/1997 - 07/2008</w:t>
            </w:r>
          </w:p>
        </w:tc>
        <w:tc>
          <w:tcPr>
            <w:tcW w:w="992" w:type="dxa"/>
            <w:tcBorders>
              <w:right w:val="nil"/>
            </w:tcBorders>
            <w:tcMar>
              <w:top w:w="28" w:type="dxa"/>
              <w:bottom w:w="28" w:type="dxa"/>
            </w:tcMar>
            <w:vAlign w:val="center"/>
          </w:tcPr>
          <w:p w14:paraId="28DE5D94" w14:textId="77777777" w:rsidR="005F7696" w:rsidRPr="00BF5AD5" w:rsidRDefault="005F7696" w:rsidP="000853E1">
            <w:pPr>
              <w:spacing w:before="0" w:after="0"/>
              <w:ind w:left="-57" w:right="-57"/>
              <w:jc w:val="right"/>
              <w:rPr>
                <w:rFonts w:cs="Arial"/>
                <w:color w:val="000000"/>
                <w:szCs w:val="20"/>
                <w:highlight w:val="yellow"/>
              </w:rPr>
            </w:pPr>
            <w:r w:rsidRPr="006B6324">
              <w:t>6,209</w:t>
            </w:r>
          </w:p>
        </w:tc>
        <w:tc>
          <w:tcPr>
            <w:tcW w:w="851" w:type="dxa"/>
            <w:tcBorders>
              <w:left w:val="nil"/>
            </w:tcBorders>
            <w:tcMar>
              <w:top w:w="28" w:type="dxa"/>
              <w:bottom w:w="28" w:type="dxa"/>
            </w:tcMar>
            <w:vAlign w:val="center"/>
          </w:tcPr>
          <w:p w14:paraId="75B8B062" w14:textId="77777777" w:rsidR="005F7696" w:rsidRPr="00BF5AD5" w:rsidRDefault="005F7696" w:rsidP="000853E1">
            <w:pPr>
              <w:spacing w:before="0" w:after="0"/>
              <w:ind w:left="-57" w:right="-57"/>
              <w:jc w:val="right"/>
              <w:rPr>
                <w:rFonts w:cs="Arial"/>
                <w:color w:val="000000"/>
                <w:szCs w:val="20"/>
                <w:highlight w:val="yellow"/>
              </w:rPr>
            </w:pPr>
            <w:r w:rsidRPr="006B6324">
              <w:t>1,907</w:t>
            </w:r>
          </w:p>
        </w:tc>
        <w:tc>
          <w:tcPr>
            <w:tcW w:w="992" w:type="dxa"/>
            <w:tcBorders>
              <w:right w:val="nil"/>
            </w:tcBorders>
            <w:tcMar>
              <w:top w:w="28" w:type="dxa"/>
              <w:bottom w:w="28" w:type="dxa"/>
            </w:tcMar>
            <w:vAlign w:val="center"/>
          </w:tcPr>
          <w:p w14:paraId="49539397" w14:textId="77777777" w:rsidR="005F7696" w:rsidRPr="00BF5AD5" w:rsidRDefault="005F7696" w:rsidP="000853E1">
            <w:pPr>
              <w:spacing w:before="0" w:after="0"/>
              <w:ind w:left="-57" w:right="-57"/>
              <w:jc w:val="right"/>
              <w:rPr>
                <w:rFonts w:cs="Arial"/>
                <w:color w:val="000000"/>
                <w:szCs w:val="20"/>
                <w:highlight w:val="yellow"/>
              </w:rPr>
            </w:pPr>
            <w:r w:rsidRPr="006B6324">
              <w:t>24</w:t>
            </w:r>
          </w:p>
        </w:tc>
        <w:tc>
          <w:tcPr>
            <w:tcW w:w="992" w:type="dxa"/>
            <w:tcBorders>
              <w:left w:val="nil"/>
            </w:tcBorders>
            <w:tcMar>
              <w:top w:w="28" w:type="dxa"/>
              <w:bottom w:w="28" w:type="dxa"/>
            </w:tcMar>
            <w:vAlign w:val="center"/>
          </w:tcPr>
          <w:p w14:paraId="2651E897" w14:textId="77777777" w:rsidR="005F7696" w:rsidRPr="00BF5AD5" w:rsidRDefault="005F7696" w:rsidP="000853E1">
            <w:pPr>
              <w:spacing w:before="0" w:after="0"/>
              <w:ind w:left="-57"/>
              <w:jc w:val="right"/>
              <w:rPr>
                <w:rFonts w:cs="Arial"/>
                <w:color w:val="000000"/>
                <w:szCs w:val="20"/>
                <w:highlight w:val="yellow"/>
              </w:rPr>
            </w:pPr>
            <w:r w:rsidRPr="006B6324">
              <w:t>1,883</w:t>
            </w:r>
          </w:p>
        </w:tc>
      </w:tr>
      <w:tr w:rsidR="005F7696" w14:paraId="40C94E8D" w14:textId="77777777" w:rsidTr="000853E1">
        <w:trPr>
          <w:trHeight w:val="397"/>
        </w:trPr>
        <w:tc>
          <w:tcPr>
            <w:tcW w:w="3539" w:type="dxa"/>
            <w:tcMar>
              <w:top w:w="28" w:type="dxa"/>
              <w:bottom w:w="28" w:type="dxa"/>
            </w:tcMar>
            <w:vAlign w:val="center"/>
          </w:tcPr>
          <w:p w14:paraId="5EDB3992" w14:textId="77777777" w:rsidR="005F7696" w:rsidRPr="00BF5AD5" w:rsidRDefault="005F7696" w:rsidP="000853E1">
            <w:pPr>
              <w:spacing w:before="0" w:after="0"/>
              <w:ind w:right="-57"/>
              <w:jc w:val="left"/>
              <w:rPr>
                <w:rFonts w:cs="Arial"/>
                <w:color w:val="000000"/>
                <w:szCs w:val="20"/>
                <w:highlight w:val="yellow"/>
              </w:rPr>
            </w:pPr>
            <w:r w:rsidRPr="009713C7">
              <w:lastRenderedPageBreak/>
              <w:t xml:space="preserve">Transition Care Program </w:t>
            </w:r>
            <w:r>
              <w:t>(</w:t>
            </w:r>
            <w:r w:rsidRPr="00A17332">
              <w:t>TCP</w:t>
            </w:r>
            <w:r>
              <w:t xml:space="preserve">) - </w:t>
            </w:r>
            <w:r w:rsidRPr="0001149E">
              <w:t>Services</w:t>
            </w:r>
          </w:p>
        </w:tc>
        <w:tc>
          <w:tcPr>
            <w:tcW w:w="1843" w:type="dxa"/>
            <w:tcMar>
              <w:top w:w="28" w:type="dxa"/>
              <w:bottom w:w="28" w:type="dxa"/>
            </w:tcMar>
            <w:vAlign w:val="center"/>
          </w:tcPr>
          <w:p w14:paraId="1B3C86BC" w14:textId="77777777" w:rsidR="005F7696" w:rsidRPr="0080679A" w:rsidRDefault="005F7696" w:rsidP="000853E1">
            <w:pPr>
              <w:spacing w:before="0" w:after="0"/>
              <w:ind w:left="-57" w:right="-57"/>
              <w:jc w:val="center"/>
              <w:rPr>
                <w:rFonts w:cs="Arial"/>
                <w:color w:val="000000"/>
                <w:szCs w:val="20"/>
              </w:rPr>
            </w:pPr>
            <w:r>
              <w:rPr>
                <w:rFonts w:cs="Arial"/>
                <w:color w:val="000000"/>
                <w:szCs w:val="20"/>
              </w:rPr>
              <w:t>04/2006 - 01/2020</w:t>
            </w:r>
          </w:p>
        </w:tc>
        <w:tc>
          <w:tcPr>
            <w:tcW w:w="992" w:type="dxa"/>
            <w:tcBorders>
              <w:right w:val="nil"/>
            </w:tcBorders>
            <w:tcMar>
              <w:top w:w="28" w:type="dxa"/>
              <w:bottom w:w="28" w:type="dxa"/>
            </w:tcMar>
            <w:vAlign w:val="center"/>
          </w:tcPr>
          <w:p w14:paraId="7C0994F6" w14:textId="77777777" w:rsidR="005F7696" w:rsidRPr="00BF5AD5" w:rsidRDefault="005F7696" w:rsidP="000853E1">
            <w:pPr>
              <w:spacing w:before="0" w:after="0"/>
              <w:ind w:left="-57" w:right="-57"/>
              <w:jc w:val="right"/>
              <w:rPr>
                <w:rFonts w:cs="Arial"/>
                <w:color w:val="000000"/>
                <w:szCs w:val="20"/>
                <w:highlight w:val="yellow"/>
              </w:rPr>
            </w:pPr>
            <w:r w:rsidRPr="001B081D">
              <w:t>3,622</w:t>
            </w:r>
          </w:p>
        </w:tc>
        <w:tc>
          <w:tcPr>
            <w:tcW w:w="851" w:type="dxa"/>
            <w:tcBorders>
              <w:left w:val="nil"/>
            </w:tcBorders>
            <w:tcMar>
              <w:top w:w="28" w:type="dxa"/>
              <w:bottom w:w="28" w:type="dxa"/>
            </w:tcMar>
            <w:vAlign w:val="center"/>
          </w:tcPr>
          <w:p w14:paraId="16A4AA30" w14:textId="77777777" w:rsidR="005F7696" w:rsidRPr="00BF5AD5" w:rsidRDefault="005F7696" w:rsidP="000853E1">
            <w:pPr>
              <w:spacing w:before="0" w:after="0"/>
              <w:ind w:left="-57" w:right="-57"/>
              <w:jc w:val="right"/>
              <w:rPr>
                <w:rFonts w:cs="Arial"/>
                <w:color w:val="000000"/>
                <w:szCs w:val="20"/>
                <w:highlight w:val="yellow"/>
              </w:rPr>
            </w:pPr>
            <w:r w:rsidRPr="001B081D">
              <w:t>1,064</w:t>
            </w:r>
          </w:p>
        </w:tc>
        <w:tc>
          <w:tcPr>
            <w:tcW w:w="992" w:type="dxa"/>
            <w:tcBorders>
              <w:right w:val="nil"/>
            </w:tcBorders>
            <w:tcMar>
              <w:top w:w="28" w:type="dxa"/>
              <w:bottom w:w="28" w:type="dxa"/>
            </w:tcMar>
            <w:vAlign w:val="center"/>
          </w:tcPr>
          <w:p w14:paraId="4621C0FD" w14:textId="77777777" w:rsidR="005F7696" w:rsidRPr="00BF5AD5" w:rsidRDefault="005F7696" w:rsidP="000853E1">
            <w:pPr>
              <w:spacing w:before="0" w:after="0"/>
              <w:ind w:left="-57" w:right="-57"/>
              <w:jc w:val="right"/>
              <w:rPr>
                <w:rFonts w:cs="Arial"/>
                <w:color w:val="000000"/>
                <w:szCs w:val="20"/>
                <w:highlight w:val="yellow"/>
              </w:rPr>
            </w:pPr>
            <w:r w:rsidRPr="001B081D">
              <w:t>116</w:t>
            </w:r>
          </w:p>
        </w:tc>
        <w:tc>
          <w:tcPr>
            <w:tcW w:w="992" w:type="dxa"/>
            <w:tcBorders>
              <w:left w:val="nil"/>
            </w:tcBorders>
            <w:tcMar>
              <w:top w:w="28" w:type="dxa"/>
              <w:bottom w:w="28" w:type="dxa"/>
            </w:tcMar>
            <w:vAlign w:val="center"/>
          </w:tcPr>
          <w:p w14:paraId="17F583AD" w14:textId="77777777" w:rsidR="005F7696" w:rsidRPr="00BF5AD5" w:rsidRDefault="005F7696" w:rsidP="000853E1">
            <w:pPr>
              <w:spacing w:before="0" w:after="0"/>
              <w:ind w:left="-57"/>
              <w:jc w:val="right"/>
              <w:rPr>
                <w:rFonts w:cs="Arial"/>
                <w:color w:val="000000"/>
                <w:szCs w:val="20"/>
                <w:highlight w:val="yellow"/>
              </w:rPr>
            </w:pPr>
            <w:r w:rsidRPr="001B081D">
              <w:t>948</w:t>
            </w:r>
          </w:p>
        </w:tc>
      </w:tr>
      <w:tr w:rsidR="005F7696" w:rsidRPr="00247D58" w14:paraId="1BFFBA74" w14:textId="77777777" w:rsidTr="000853E1">
        <w:tc>
          <w:tcPr>
            <w:tcW w:w="3539" w:type="dxa"/>
            <w:shd w:val="clear" w:color="auto" w:fill="auto"/>
            <w:tcMar>
              <w:top w:w="28" w:type="dxa"/>
              <w:bottom w:w="28" w:type="dxa"/>
            </w:tcMar>
            <w:vAlign w:val="center"/>
          </w:tcPr>
          <w:p w14:paraId="05D754BD" w14:textId="77777777" w:rsidR="005F7696" w:rsidRPr="00247D58" w:rsidRDefault="005F7696" w:rsidP="000853E1">
            <w:pPr>
              <w:spacing w:before="0" w:after="0"/>
              <w:ind w:right="-57"/>
              <w:jc w:val="left"/>
              <w:rPr>
                <w:rFonts w:cs="Arial"/>
                <w:szCs w:val="20"/>
              </w:rPr>
            </w:pPr>
            <w:r w:rsidRPr="00247D58">
              <w:rPr>
                <w:rFonts w:cs="Arial"/>
                <w:szCs w:val="20"/>
              </w:rPr>
              <w:t>DVA Veterans’ Home Care - service plans</w:t>
            </w:r>
          </w:p>
        </w:tc>
        <w:tc>
          <w:tcPr>
            <w:tcW w:w="1843" w:type="dxa"/>
            <w:shd w:val="clear" w:color="auto" w:fill="auto"/>
            <w:tcMar>
              <w:top w:w="28" w:type="dxa"/>
              <w:bottom w:w="28" w:type="dxa"/>
            </w:tcMar>
            <w:vAlign w:val="center"/>
          </w:tcPr>
          <w:p w14:paraId="30DA7E26" w14:textId="77777777" w:rsidR="005F7696" w:rsidRPr="00247D58" w:rsidRDefault="005F7696" w:rsidP="000853E1">
            <w:pPr>
              <w:spacing w:before="0" w:after="0"/>
              <w:ind w:left="-57" w:right="-57"/>
              <w:jc w:val="center"/>
              <w:rPr>
                <w:rFonts w:cs="Arial"/>
                <w:szCs w:val="20"/>
              </w:rPr>
            </w:pPr>
            <w:r w:rsidRPr="00247D58">
              <w:rPr>
                <w:rFonts w:cs="Arial"/>
                <w:color w:val="000000"/>
                <w:szCs w:val="20"/>
              </w:rPr>
              <w:t>01/2001- 01/20</w:t>
            </w:r>
            <w:r>
              <w:rPr>
                <w:rFonts w:cs="Arial"/>
                <w:color w:val="000000"/>
                <w:szCs w:val="20"/>
              </w:rPr>
              <w:t>21</w:t>
            </w:r>
          </w:p>
        </w:tc>
        <w:tc>
          <w:tcPr>
            <w:tcW w:w="992" w:type="dxa"/>
            <w:tcBorders>
              <w:right w:val="nil"/>
            </w:tcBorders>
            <w:shd w:val="clear" w:color="auto" w:fill="auto"/>
            <w:tcMar>
              <w:top w:w="28" w:type="dxa"/>
              <w:bottom w:w="28" w:type="dxa"/>
            </w:tcMar>
            <w:vAlign w:val="center"/>
          </w:tcPr>
          <w:p w14:paraId="49264714" w14:textId="77777777" w:rsidR="005F7696" w:rsidRPr="00247D58" w:rsidRDefault="005F7696" w:rsidP="000853E1">
            <w:pPr>
              <w:spacing w:before="0" w:after="0"/>
              <w:ind w:left="-57" w:right="-57"/>
              <w:jc w:val="right"/>
              <w:rPr>
                <w:rFonts w:cs="Arial"/>
                <w:color w:val="000000"/>
                <w:szCs w:val="20"/>
              </w:rPr>
            </w:pPr>
            <w:r>
              <w:rPr>
                <w:rFonts w:cs="Arial"/>
                <w:color w:val="000000"/>
                <w:szCs w:val="20"/>
              </w:rPr>
              <w:t>31,791</w:t>
            </w:r>
          </w:p>
        </w:tc>
        <w:tc>
          <w:tcPr>
            <w:tcW w:w="851" w:type="dxa"/>
            <w:tcBorders>
              <w:left w:val="nil"/>
            </w:tcBorders>
            <w:shd w:val="clear" w:color="auto" w:fill="auto"/>
            <w:tcMar>
              <w:top w:w="28" w:type="dxa"/>
              <w:bottom w:w="28" w:type="dxa"/>
            </w:tcMar>
            <w:vAlign w:val="center"/>
          </w:tcPr>
          <w:p w14:paraId="5C81AAD9" w14:textId="77777777" w:rsidR="005F7696" w:rsidRPr="00247D58" w:rsidRDefault="005F7696" w:rsidP="000853E1">
            <w:pPr>
              <w:spacing w:before="0" w:after="0"/>
              <w:ind w:left="-57" w:right="-57"/>
              <w:jc w:val="right"/>
              <w:rPr>
                <w:rFonts w:cs="Arial"/>
                <w:color w:val="000000"/>
                <w:szCs w:val="20"/>
              </w:rPr>
            </w:pPr>
            <w:r>
              <w:rPr>
                <w:rFonts w:cs="Arial"/>
                <w:color w:val="000000"/>
                <w:szCs w:val="20"/>
              </w:rPr>
              <w:t>2,156</w:t>
            </w:r>
          </w:p>
        </w:tc>
        <w:tc>
          <w:tcPr>
            <w:tcW w:w="992" w:type="dxa"/>
            <w:tcBorders>
              <w:right w:val="nil"/>
            </w:tcBorders>
            <w:shd w:val="clear" w:color="auto" w:fill="auto"/>
            <w:tcMar>
              <w:top w:w="28" w:type="dxa"/>
              <w:bottom w:w="28" w:type="dxa"/>
            </w:tcMar>
            <w:vAlign w:val="center"/>
          </w:tcPr>
          <w:p w14:paraId="758425D7" w14:textId="77777777" w:rsidR="005F7696" w:rsidRPr="00247D58" w:rsidRDefault="005F7696" w:rsidP="000853E1">
            <w:pPr>
              <w:spacing w:before="0" w:after="0"/>
              <w:ind w:left="-57" w:right="-57"/>
              <w:jc w:val="right"/>
              <w:rPr>
                <w:rFonts w:cs="Arial"/>
                <w:color w:val="000000"/>
                <w:szCs w:val="20"/>
              </w:rPr>
            </w:pPr>
            <w:r>
              <w:rPr>
                <w:rFonts w:cs="Arial"/>
                <w:color w:val="000000"/>
                <w:szCs w:val="20"/>
              </w:rPr>
              <w:t>52</w:t>
            </w:r>
          </w:p>
        </w:tc>
        <w:tc>
          <w:tcPr>
            <w:tcW w:w="992" w:type="dxa"/>
            <w:tcBorders>
              <w:left w:val="nil"/>
            </w:tcBorders>
            <w:shd w:val="clear" w:color="auto" w:fill="auto"/>
            <w:tcMar>
              <w:top w:w="28" w:type="dxa"/>
              <w:bottom w:w="28" w:type="dxa"/>
            </w:tcMar>
            <w:vAlign w:val="center"/>
          </w:tcPr>
          <w:p w14:paraId="69AC8F3B" w14:textId="77777777" w:rsidR="005F7696" w:rsidRPr="00247D58" w:rsidRDefault="005F7696" w:rsidP="000853E1">
            <w:pPr>
              <w:spacing w:before="0" w:after="0"/>
              <w:ind w:left="-57"/>
              <w:jc w:val="right"/>
              <w:rPr>
                <w:rFonts w:cs="Arial"/>
                <w:color w:val="000000"/>
                <w:szCs w:val="20"/>
              </w:rPr>
            </w:pPr>
            <w:r>
              <w:rPr>
                <w:rFonts w:cs="Arial"/>
                <w:color w:val="000000"/>
                <w:szCs w:val="20"/>
              </w:rPr>
              <w:t>2,104</w:t>
            </w:r>
          </w:p>
        </w:tc>
      </w:tr>
      <w:tr w:rsidR="005F7696" w14:paraId="2CBA3263" w14:textId="77777777" w:rsidTr="000853E1">
        <w:tc>
          <w:tcPr>
            <w:tcW w:w="3539" w:type="dxa"/>
            <w:shd w:val="clear" w:color="auto" w:fill="auto"/>
            <w:tcMar>
              <w:top w:w="28" w:type="dxa"/>
              <w:bottom w:w="28" w:type="dxa"/>
            </w:tcMar>
            <w:vAlign w:val="center"/>
          </w:tcPr>
          <w:p w14:paraId="3CA0BCD2" w14:textId="77777777" w:rsidR="005F7696" w:rsidRPr="00247D58" w:rsidRDefault="005F7696" w:rsidP="000853E1">
            <w:pPr>
              <w:spacing w:before="0" w:after="0"/>
              <w:ind w:right="-57"/>
              <w:jc w:val="left"/>
              <w:rPr>
                <w:rFonts w:cs="Arial"/>
                <w:szCs w:val="20"/>
              </w:rPr>
            </w:pPr>
            <w:r w:rsidRPr="00247D58">
              <w:rPr>
                <w:rFonts w:cs="Arial"/>
                <w:szCs w:val="20"/>
              </w:rPr>
              <w:t xml:space="preserve">DVA Community Nursing - </w:t>
            </w:r>
            <w:r>
              <w:rPr>
                <w:rFonts w:cs="Arial"/>
                <w:szCs w:val="20"/>
              </w:rPr>
              <w:t>services</w:t>
            </w:r>
          </w:p>
        </w:tc>
        <w:tc>
          <w:tcPr>
            <w:tcW w:w="1843" w:type="dxa"/>
            <w:shd w:val="clear" w:color="auto" w:fill="auto"/>
            <w:tcMar>
              <w:top w:w="28" w:type="dxa"/>
              <w:bottom w:w="28" w:type="dxa"/>
            </w:tcMar>
            <w:vAlign w:val="center"/>
          </w:tcPr>
          <w:p w14:paraId="7D78A578" w14:textId="77777777" w:rsidR="005F7696" w:rsidRPr="00247D58" w:rsidRDefault="005F7696" w:rsidP="000853E1">
            <w:pPr>
              <w:spacing w:before="0" w:after="0"/>
              <w:ind w:left="-57" w:right="-57"/>
              <w:jc w:val="center"/>
              <w:rPr>
                <w:rFonts w:cs="Arial"/>
                <w:szCs w:val="20"/>
              </w:rPr>
            </w:pPr>
            <w:r w:rsidRPr="00247D58">
              <w:rPr>
                <w:rFonts w:cs="Arial"/>
                <w:color w:val="000000"/>
                <w:szCs w:val="20"/>
              </w:rPr>
              <w:t xml:space="preserve">05/1998- </w:t>
            </w:r>
            <w:r>
              <w:rPr>
                <w:rFonts w:cs="Arial"/>
                <w:color w:val="000000"/>
                <w:szCs w:val="20"/>
              </w:rPr>
              <w:t>12</w:t>
            </w:r>
            <w:r w:rsidRPr="00247D58">
              <w:rPr>
                <w:rFonts w:cs="Arial"/>
                <w:color w:val="000000"/>
                <w:szCs w:val="20"/>
              </w:rPr>
              <w:t>/20</w:t>
            </w:r>
            <w:r>
              <w:rPr>
                <w:rFonts w:cs="Arial"/>
                <w:color w:val="000000"/>
                <w:szCs w:val="20"/>
              </w:rPr>
              <w:t>20</w:t>
            </w:r>
          </w:p>
        </w:tc>
        <w:tc>
          <w:tcPr>
            <w:tcW w:w="992" w:type="dxa"/>
            <w:tcBorders>
              <w:right w:val="nil"/>
            </w:tcBorders>
            <w:shd w:val="clear" w:color="auto" w:fill="auto"/>
            <w:tcMar>
              <w:top w:w="28" w:type="dxa"/>
              <w:bottom w:w="28" w:type="dxa"/>
            </w:tcMar>
            <w:vAlign w:val="center"/>
          </w:tcPr>
          <w:p w14:paraId="1870DCFD" w14:textId="77777777" w:rsidR="005F7696" w:rsidRPr="00247D58" w:rsidRDefault="005F7696" w:rsidP="000853E1">
            <w:pPr>
              <w:spacing w:before="0" w:after="0"/>
              <w:ind w:left="-57" w:right="-57"/>
              <w:jc w:val="right"/>
              <w:rPr>
                <w:rFonts w:cs="Arial"/>
                <w:color w:val="000000"/>
                <w:szCs w:val="20"/>
              </w:rPr>
            </w:pPr>
            <w:r>
              <w:rPr>
                <w:rFonts w:cs="Arial"/>
                <w:color w:val="000000"/>
                <w:szCs w:val="20"/>
              </w:rPr>
              <w:t>55,974</w:t>
            </w:r>
          </w:p>
        </w:tc>
        <w:tc>
          <w:tcPr>
            <w:tcW w:w="851" w:type="dxa"/>
            <w:tcBorders>
              <w:left w:val="nil"/>
            </w:tcBorders>
            <w:shd w:val="clear" w:color="auto" w:fill="auto"/>
            <w:tcMar>
              <w:top w:w="28" w:type="dxa"/>
              <w:bottom w:w="28" w:type="dxa"/>
            </w:tcMar>
            <w:vAlign w:val="center"/>
          </w:tcPr>
          <w:p w14:paraId="3CDA9B12" w14:textId="77777777" w:rsidR="005F7696" w:rsidRPr="00247D58" w:rsidRDefault="005F7696" w:rsidP="000853E1">
            <w:pPr>
              <w:spacing w:before="0" w:after="0"/>
              <w:ind w:left="-57" w:right="-57"/>
              <w:jc w:val="right"/>
              <w:rPr>
                <w:rFonts w:cs="Arial"/>
                <w:color w:val="000000"/>
                <w:szCs w:val="20"/>
              </w:rPr>
            </w:pPr>
            <w:r w:rsidRPr="00247D58">
              <w:rPr>
                <w:rFonts w:cs="Arial"/>
                <w:color w:val="000000"/>
                <w:szCs w:val="20"/>
              </w:rPr>
              <w:t>1,</w:t>
            </w:r>
            <w:r>
              <w:rPr>
                <w:rFonts w:cs="Arial"/>
                <w:color w:val="000000"/>
                <w:szCs w:val="20"/>
              </w:rPr>
              <w:t>713</w:t>
            </w:r>
          </w:p>
        </w:tc>
        <w:tc>
          <w:tcPr>
            <w:tcW w:w="992" w:type="dxa"/>
            <w:tcBorders>
              <w:right w:val="nil"/>
            </w:tcBorders>
            <w:shd w:val="clear" w:color="auto" w:fill="auto"/>
            <w:tcMar>
              <w:top w:w="28" w:type="dxa"/>
              <w:bottom w:w="28" w:type="dxa"/>
            </w:tcMar>
            <w:vAlign w:val="center"/>
          </w:tcPr>
          <w:p w14:paraId="297BCE1E" w14:textId="77777777" w:rsidR="005F7696" w:rsidRPr="00247D58" w:rsidRDefault="005F7696" w:rsidP="000853E1">
            <w:pPr>
              <w:spacing w:before="0" w:after="0"/>
              <w:ind w:left="-57" w:right="-57"/>
              <w:jc w:val="right"/>
              <w:rPr>
                <w:rFonts w:cs="Arial"/>
                <w:color w:val="000000"/>
                <w:szCs w:val="20"/>
              </w:rPr>
            </w:pPr>
            <w:r w:rsidRPr="00247D58">
              <w:rPr>
                <w:rFonts w:cs="Arial"/>
                <w:color w:val="000000"/>
                <w:szCs w:val="20"/>
              </w:rPr>
              <w:t>1</w:t>
            </w:r>
            <w:r>
              <w:rPr>
                <w:rFonts w:cs="Arial"/>
                <w:color w:val="000000"/>
                <w:szCs w:val="20"/>
              </w:rPr>
              <w:t>7</w:t>
            </w:r>
          </w:p>
        </w:tc>
        <w:tc>
          <w:tcPr>
            <w:tcW w:w="992" w:type="dxa"/>
            <w:tcBorders>
              <w:left w:val="nil"/>
            </w:tcBorders>
            <w:shd w:val="clear" w:color="auto" w:fill="auto"/>
            <w:tcMar>
              <w:top w:w="28" w:type="dxa"/>
              <w:bottom w:w="28" w:type="dxa"/>
            </w:tcMar>
            <w:vAlign w:val="center"/>
          </w:tcPr>
          <w:p w14:paraId="0D9F20CE" w14:textId="77777777" w:rsidR="005F7696" w:rsidRPr="00247D58" w:rsidRDefault="005F7696" w:rsidP="000853E1">
            <w:pPr>
              <w:spacing w:before="0" w:after="0"/>
              <w:ind w:left="-57"/>
              <w:jc w:val="right"/>
              <w:rPr>
                <w:rFonts w:cs="Arial"/>
                <w:color w:val="000000"/>
                <w:szCs w:val="20"/>
              </w:rPr>
            </w:pPr>
            <w:r w:rsidRPr="00247D58">
              <w:rPr>
                <w:rFonts w:cs="Arial"/>
                <w:color w:val="000000"/>
                <w:szCs w:val="20"/>
              </w:rPr>
              <w:t>1,6</w:t>
            </w:r>
            <w:r>
              <w:rPr>
                <w:rFonts w:cs="Arial"/>
                <w:color w:val="000000"/>
                <w:szCs w:val="20"/>
              </w:rPr>
              <w:t>96</w:t>
            </w:r>
          </w:p>
        </w:tc>
      </w:tr>
    </w:tbl>
    <w:p w14:paraId="7E2BD89A" w14:textId="77777777" w:rsidR="005F7696" w:rsidRPr="0080679A" w:rsidRDefault="005F7696" w:rsidP="005F7696">
      <w:pPr>
        <w:pStyle w:val="ListParagraph"/>
        <w:spacing w:after="0" w:line="240" w:lineRule="auto"/>
        <w:ind w:left="0"/>
        <w:rPr>
          <w:i/>
          <w:iCs/>
        </w:rPr>
      </w:pPr>
      <w:r w:rsidRPr="0080679A">
        <w:rPr>
          <w:i/>
          <w:iCs/>
          <w:vertAlign w:val="superscript"/>
        </w:rPr>
        <w:t>1</w:t>
      </w:r>
      <w:r>
        <w:rPr>
          <w:i/>
          <w:iCs/>
        </w:rPr>
        <w:t xml:space="preserve"> ACAP was replaced by NSAF from 2016</w:t>
      </w:r>
    </w:p>
    <w:p w14:paraId="73218793" w14:textId="77777777" w:rsidR="005F7696" w:rsidRDefault="005F7696" w:rsidP="005F7696">
      <w:pPr>
        <w:spacing w:before="0" w:after="0" w:line="240" w:lineRule="auto"/>
        <w:rPr>
          <w:i/>
          <w:iCs/>
        </w:rPr>
      </w:pPr>
      <w:r w:rsidRPr="0080679A">
        <w:rPr>
          <w:vertAlign w:val="superscript"/>
        </w:rPr>
        <w:t>2</w:t>
      </w:r>
      <w:r>
        <w:rPr>
          <w:vertAlign w:val="superscript"/>
        </w:rPr>
        <w:t xml:space="preserve"> </w:t>
      </w:r>
      <w:r>
        <w:rPr>
          <w:i/>
          <w:iCs/>
        </w:rPr>
        <w:t>ACFI was i</w:t>
      </w:r>
      <w:r w:rsidRPr="0080679A">
        <w:rPr>
          <w:i/>
          <w:iCs/>
        </w:rPr>
        <w:t xml:space="preserve">ntroduced </w:t>
      </w:r>
      <w:r>
        <w:rPr>
          <w:i/>
          <w:iCs/>
        </w:rPr>
        <w:t xml:space="preserve">in </w:t>
      </w:r>
      <w:r w:rsidRPr="0080679A">
        <w:rPr>
          <w:i/>
          <w:iCs/>
        </w:rPr>
        <w:t>2008</w:t>
      </w:r>
    </w:p>
    <w:p w14:paraId="685B0783" w14:textId="77777777" w:rsidR="005F7696" w:rsidRPr="0080679A" w:rsidRDefault="005F7696" w:rsidP="005F7696">
      <w:pPr>
        <w:spacing w:before="0" w:after="0" w:line="240" w:lineRule="auto"/>
        <w:rPr>
          <w:i/>
          <w:iCs/>
        </w:rPr>
      </w:pPr>
      <w:r w:rsidRPr="0080679A">
        <w:rPr>
          <w:i/>
          <w:iCs/>
          <w:vertAlign w:val="superscript"/>
        </w:rPr>
        <w:t>3</w:t>
      </w:r>
      <w:r>
        <w:rPr>
          <w:i/>
          <w:iCs/>
        </w:rPr>
        <w:t xml:space="preserve"> HACC was r</w:t>
      </w:r>
      <w:r w:rsidRPr="0080679A">
        <w:rPr>
          <w:i/>
          <w:iCs/>
        </w:rPr>
        <w:t>eplaced by CHSP from 2015</w:t>
      </w:r>
    </w:p>
    <w:p w14:paraId="073C2933" w14:textId="77267365" w:rsidR="005F7696" w:rsidRDefault="005F7696" w:rsidP="005F7696">
      <w:pPr>
        <w:spacing w:before="0" w:after="0" w:line="240" w:lineRule="auto"/>
        <w:rPr>
          <w:i/>
          <w:iCs/>
        </w:rPr>
      </w:pPr>
      <w:r>
        <w:rPr>
          <w:i/>
          <w:iCs/>
          <w:vertAlign w:val="superscript"/>
        </w:rPr>
        <w:t>4</w:t>
      </w:r>
      <w:r>
        <w:rPr>
          <w:i/>
          <w:iCs/>
        </w:rPr>
        <w:t xml:space="preserve"> </w:t>
      </w:r>
      <w:r w:rsidRPr="0080679A">
        <w:rPr>
          <w:i/>
          <w:iCs/>
        </w:rPr>
        <w:t xml:space="preserve">RCS </w:t>
      </w:r>
      <w:r>
        <w:rPr>
          <w:i/>
          <w:iCs/>
        </w:rPr>
        <w:t xml:space="preserve">was </w:t>
      </w:r>
      <w:r w:rsidRPr="0080679A">
        <w:rPr>
          <w:i/>
          <w:iCs/>
        </w:rPr>
        <w:t>replaced by ACFI in 2008</w:t>
      </w:r>
    </w:p>
    <w:p w14:paraId="1925E207" w14:textId="1FB16319" w:rsidR="00FE01C6" w:rsidRDefault="00FE01C6" w:rsidP="005F7696">
      <w:pPr>
        <w:spacing w:before="0" w:after="0" w:line="240" w:lineRule="auto"/>
        <w:rPr>
          <w:i/>
          <w:iCs/>
        </w:rPr>
      </w:pPr>
    </w:p>
    <w:p w14:paraId="7333729F" w14:textId="77777777" w:rsidR="00FE01C6" w:rsidRDefault="00FE01C6" w:rsidP="005F7696">
      <w:pPr>
        <w:spacing w:before="0" w:after="0" w:line="240" w:lineRule="auto"/>
        <w:rPr>
          <w:i/>
          <w:iCs/>
        </w:rPr>
      </w:pPr>
    </w:p>
    <w:p w14:paraId="2A053FA1" w14:textId="77777777" w:rsidR="005F7696" w:rsidRDefault="005F7696" w:rsidP="005F7696">
      <w:pPr>
        <w:pStyle w:val="Heading3"/>
        <w:spacing w:line="240" w:lineRule="auto"/>
        <w:jc w:val="left"/>
      </w:pPr>
      <w:bookmarkStart w:id="783" w:name="_Toc124762787"/>
      <w:r w:rsidRPr="00566C49">
        <w:t>State and Territory collections</w:t>
      </w:r>
      <w:bookmarkEnd w:id="783"/>
    </w:p>
    <w:p w14:paraId="2666BC83" w14:textId="77777777" w:rsidR="005F7696" w:rsidRDefault="005F7696" w:rsidP="005F7696">
      <w:pPr>
        <w:pStyle w:val="2012TechReportBodytext"/>
      </w:pPr>
      <w:r>
        <w:t>Current State and Territory linked data collections are listed in Table 5-4; coverage is shown in Table 5-5. We expect to update State-based collections every two years. Probabilistic linkage is performed by designated Data Linkage Units for each jurisdiction, with data extracted by the relevant Department. Access to South Australian, Northern Territory, Tasmanian and Victorian collections is facilitated by the Population Health Research Network (approvals for other collections pre-date this facility). In late 2021/ early 2022 we received NSW and ACT collections.  There are two outstanding collections in 2022: we are waiting on sign-off of governance documents for WA linkage; and, while our re-application for the Victorian Perinatal Data Collection was approved by the custodians in late 2021, the source dataset is not yet available to the Centre for Data Linkage Victoria to effect linkage. In 2022 we will commence re-applying for the next state linkage round.</w:t>
      </w:r>
    </w:p>
    <w:p w14:paraId="4E5AA9D5" w14:textId="77777777" w:rsidR="005F7696" w:rsidRPr="00B9354F" w:rsidRDefault="005F7696" w:rsidP="0000266C">
      <w:pPr>
        <w:pStyle w:val="Caption"/>
      </w:pPr>
    </w:p>
    <w:p w14:paraId="07322BB8" w14:textId="2FBBD5C3" w:rsidR="005F7696" w:rsidRPr="00B9354F" w:rsidRDefault="005F7696" w:rsidP="0000266C">
      <w:pPr>
        <w:pStyle w:val="Caption"/>
      </w:pPr>
      <w:bookmarkStart w:id="784" w:name="_Ref56154426"/>
      <w:bookmarkStart w:id="785" w:name="_Toc56156874"/>
      <w:bookmarkStart w:id="786" w:name="_Toc87869428"/>
      <w:r w:rsidRPr="00B9354F">
        <w:t xml:space="preserve">Table </w:t>
      </w:r>
      <w:fldSimple w:instr=" STYLEREF 1 \s ">
        <w:r w:rsidR="007D19D7">
          <w:rPr>
            <w:noProof/>
          </w:rPr>
          <w:t>5</w:t>
        </w:r>
      </w:fldSimple>
      <w:r w:rsidR="00327D59">
        <w:noBreakHyphen/>
      </w:r>
      <w:fldSimple w:instr=" SEQ Table \* ARABIC \s 1 ">
        <w:r w:rsidR="007D19D7">
          <w:rPr>
            <w:noProof/>
          </w:rPr>
          <w:t>4</w:t>
        </w:r>
      </w:fldSimple>
      <w:bookmarkEnd w:id="784"/>
      <w:r w:rsidRPr="00B9354F">
        <w:t xml:space="preserve"> ALSWH linked data holdings: State/Territory (</w:t>
      </w:r>
      <w:proofErr w:type="gramStart"/>
      <w:r w:rsidRPr="00B9354F">
        <w:t>at</w:t>
      </w:r>
      <w:proofErr w:type="gramEnd"/>
      <w:r w:rsidRPr="00B9354F">
        <w:t xml:space="preserve"> </w:t>
      </w:r>
      <w:r w:rsidR="002B2D8C">
        <w:t xml:space="preserve">November </w:t>
      </w:r>
      <w:r w:rsidR="004D72B1">
        <w:t>2022</w:t>
      </w:r>
      <w:r w:rsidRPr="00B9354F">
        <w:t>)</w:t>
      </w:r>
      <w:bookmarkEnd w:id="785"/>
      <w:bookmarkEnd w:id="786"/>
    </w:p>
    <w:tbl>
      <w:tblPr>
        <w:tblStyle w:val="TableGrid"/>
        <w:tblW w:w="9209" w:type="dxa"/>
        <w:tblLook w:val="04A0" w:firstRow="1" w:lastRow="0" w:firstColumn="1" w:lastColumn="0" w:noHBand="0" w:noVBand="1"/>
      </w:tblPr>
      <w:tblGrid>
        <w:gridCol w:w="1980"/>
        <w:gridCol w:w="1984"/>
        <w:gridCol w:w="5245"/>
      </w:tblGrid>
      <w:tr w:rsidR="005F7696" w:rsidRPr="00B9354F" w14:paraId="56D621CC" w14:textId="77777777" w:rsidTr="000853E1">
        <w:trPr>
          <w:tblHeader/>
        </w:trPr>
        <w:tc>
          <w:tcPr>
            <w:tcW w:w="1980" w:type="dxa"/>
            <w:shd w:val="clear" w:color="auto" w:fill="E5DFEC" w:themeFill="accent4" w:themeFillTint="33"/>
            <w:vAlign w:val="center"/>
          </w:tcPr>
          <w:p w14:paraId="2AC3F56E" w14:textId="77777777" w:rsidR="005F7696" w:rsidRPr="00B9354F" w:rsidRDefault="005F7696" w:rsidP="000853E1">
            <w:pPr>
              <w:spacing w:before="0" w:after="0"/>
              <w:jc w:val="left"/>
              <w:rPr>
                <w:b/>
                <w:szCs w:val="20"/>
              </w:rPr>
            </w:pPr>
            <w:r w:rsidRPr="00B9354F">
              <w:rPr>
                <w:b/>
                <w:szCs w:val="20"/>
              </w:rPr>
              <w:t>Data custodian</w:t>
            </w:r>
          </w:p>
        </w:tc>
        <w:tc>
          <w:tcPr>
            <w:tcW w:w="1984" w:type="dxa"/>
            <w:shd w:val="clear" w:color="auto" w:fill="E5DFEC" w:themeFill="accent4" w:themeFillTint="33"/>
            <w:vAlign w:val="center"/>
          </w:tcPr>
          <w:p w14:paraId="3AAB50A8" w14:textId="77777777" w:rsidR="005F7696" w:rsidRPr="00B9354F" w:rsidRDefault="005F7696" w:rsidP="000853E1">
            <w:pPr>
              <w:spacing w:before="0" w:after="0"/>
              <w:jc w:val="left"/>
              <w:rPr>
                <w:b/>
                <w:szCs w:val="20"/>
              </w:rPr>
            </w:pPr>
            <w:r w:rsidRPr="00B9354F">
              <w:rPr>
                <w:b/>
                <w:szCs w:val="20"/>
              </w:rPr>
              <w:t>Data linkage unit</w:t>
            </w:r>
          </w:p>
        </w:tc>
        <w:tc>
          <w:tcPr>
            <w:tcW w:w="5245" w:type="dxa"/>
            <w:tcBorders>
              <w:bottom w:val="single" w:sz="4" w:space="0" w:color="auto"/>
            </w:tcBorders>
            <w:shd w:val="clear" w:color="auto" w:fill="E5DFEC" w:themeFill="accent4" w:themeFillTint="33"/>
            <w:vAlign w:val="center"/>
          </w:tcPr>
          <w:p w14:paraId="594212BF" w14:textId="77777777" w:rsidR="005F7696" w:rsidRPr="00B9354F" w:rsidRDefault="005F7696" w:rsidP="000853E1">
            <w:pPr>
              <w:spacing w:before="0" w:after="0"/>
              <w:jc w:val="left"/>
              <w:rPr>
                <w:b/>
                <w:szCs w:val="20"/>
              </w:rPr>
            </w:pPr>
            <w:r w:rsidRPr="00B9354F">
              <w:rPr>
                <w:b/>
                <w:szCs w:val="20"/>
              </w:rPr>
              <w:t>Collection Name</w:t>
            </w:r>
          </w:p>
        </w:tc>
      </w:tr>
      <w:tr w:rsidR="005F7696" w:rsidRPr="00B9354F" w14:paraId="1AD90822" w14:textId="77777777" w:rsidTr="000853E1">
        <w:tc>
          <w:tcPr>
            <w:tcW w:w="1980" w:type="dxa"/>
            <w:tcMar>
              <w:top w:w="28" w:type="dxa"/>
              <w:bottom w:w="28" w:type="dxa"/>
            </w:tcMar>
          </w:tcPr>
          <w:p w14:paraId="6FDB64F9" w14:textId="77777777" w:rsidR="005F7696" w:rsidRPr="00B9354F" w:rsidRDefault="005F7696" w:rsidP="000853E1">
            <w:pPr>
              <w:spacing w:before="0" w:after="0"/>
              <w:jc w:val="left"/>
              <w:rPr>
                <w:szCs w:val="20"/>
              </w:rPr>
            </w:pPr>
            <w:r w:rsidRPr="00B9354F">
              <w:rPr>
                <w:szCs w:val="20"/>
              </w:rPr>
              <w:t>ACT Health</w:t>
            </w:r>
          </w:p>
        </w:tc>
        <w:tc>
          <w:tcPr>
            <w:tcW w:w="1984" w:type="dxa"/>
            <w:tcMar>
              <w:top w:w="28" w:type="dxa"/>
              <w:bottom w:w="28" w:type="dxa"/>
            </w:tcMar>
          </w:tcPr>
          <w:p w14:paraId="4EBDAACE" w14:textId="77777777" w:rsidR="005F7696" w:rsidRPr="00B9354F" w:rsidRDefault="005F7696" w:rsidP="000853E1">
            <w:pPr>
              <w:spacing w:before="0" w:after="0"/>
              <w:jc w:val="left"/>
              <w:rPr>
                <w:szCs w:val="20"/>
              </w:rPr>
            </w:pPr>
            <w:r w:rsidRPr="00B9354F">
              <w:rPr>
                <w:szCs w:val="20"/>
              </w:rPr>
              <w:t>Centre for Health Record Linkage (</w:t>
            </w:r>
            <w:proofErr w:type="spellStart"/>
            <w:r w:rsidRPr="00B9354F">
              <w:rPr>
                <w:szCs w:val="20"/>
              </w:rPr>
              <w:t>CHeReL</w:t>
            </w:r>
            <w:proofErr w:type="spellEnd"/>
            <w:r w:rsidRPr="00B9354F">
              <w:rPr>
                <w:szCs w:val="20"/>
              </w:rPr>
              <w:t>)</w:t>
            </w:r>
          </w:p>
        </w:tc>
        <w:tc>
          <w:tcPr>
            <w:tcW w:w="5245" w:type="dxa"/>
            <w:tcMar>
              <w:top w:w="28" w:type="dxa"/>
              <w:bottom w:w="28" w:type="dxa"/>
            </w:tcMar>
          </w:tcPr>
          <w:p w14:paraId="5D4E6E89"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ACT Admitted Patient Care</w:t>
            </w:r>
          </w:p>
          <w:p w14:paraId="24F36579"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ACT Emergency Department Data Collection</w:t>
            </w:r>
          </w:p>
          <w:p w14:paraId="2888956C"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ACT Perinatal Data Collection</w:t>
            </w:r>
          </w:p>
        </w:tc>
      </w:tr>
      <w:tr w:rsidR="005F7696" w:rsidRPr="00B9354F" w14:paraId="715E8E21" w14:textId="77777777" w:rsidTr="000853E1">
        <w:tc>
          <w:tcPr>
            <w:tcW w:w="1980" w:type="dxa"/>
            <w:tcMar>
              <w:top w:w="28" w:type="dxa"/>
              <w:bottom w:w="28" w:type="dxa"/>
            </w:tcMar>
          </w:tcPr>
          <w:p w14:paraId="1319C729" w14:textId="77777777" w:rsidR="005F7696" w:rsidRPr="00B9354F" w:rsidRDefault="005F7696" w:rsidP="000853E1">
            <w:pPr>
              <w:spacing w:before="0" w:after="0"/>
              <w:jc w:val="left"/>
              <w:rPr>
                <w:szCs w:val="20"/>
              </w:rPr>
            </w:pPr>
            <w:r w:rsidRPr="00B9354F">
              <w:rPr>
                <w:szCs w:val="20"/>
              </w:rPr>
              <w:t>NSW Ministry of Health</w:t>
            </w:r>
          </w:p>
        </w:tc>
        <w:tc>
          <w:tcPr>
            <w:tcW w:w="1984" w:type="dxa"/>
            <w:tcMar>
              <w:top w:w="28" w:type="dxa"/>
              <w:bottom w:w="28" w:type="dxa"/>
            </w:tcMar>
          </w:tcPr>
          <w:p w14:paraId="5EFA3C52" w14:textId="77777777" w:rsidR="005F7696" w:rsidRPr="00B9354F" w:rsidRDefault="005F7696" w:rsidP="000853E1">
            <w:pPr>
              <w:spacing w:before="0" w:after="0"/>
              <w:jc w:val="left"/>
              <w:rPr>
                <w:szCs w:val="20"/>
              </w:rPr>
            </w:pPr>
            <w:proofErr w:type="spellStart"/>
            <w:r w:rsidRPr="00B9354F">
              <w:rPr>
                <w:szCs w:val="20"/>
              </w:rPr>
              <w:t>CHeReL</w:t>
            </w:r>
            <w:proofErr w:type="spellEnd"/>
          </w:p>
        </w:tc>
        <w:tc>
          <w:tcPr>
            <w:tcW w:w="5245" w:type="dxa"/>
            <w:tcMar>
              <w:top w:w="28" w:type="dxa"/>
              <w:bottom w:w="28" w:type="dxa"/>
            </w:tcMar>
          </w:tcPr>
          <w:p w14:paraId="40E8FA1E"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NSW Admitted Patients Data Collection</w:t>
            </w:r>
          </w:p>
          <w:p w14:paraId="44D0330E"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NSW Emergency Department Data Collection</w:t>
            </w:r>
          </w:p>
          <w:p w14:paraId="024377FB"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NSW Perinatal Data Collection</w:t>
            </w:r>
          </w:p>
        </w:tc>
      </w:tr>
      <w:tr w:rsidR="005F7696" w:rsidRPr="00B9354F" w14:paraId="1AE40748" w14:textId="77777777" w:rsidTr="000853E1">
        <w:tc>
          <w:tcPr>
            <w:tcW w:w="1980" w:type="dxa"/>
            <w:tcMar>
              <w:top w:w="28" w:type="dxa"/>
              <w:bottom w:w="28" w:type="dxa"/>
            </w:tcMar>
          </w:tcPr>
          <w:p w14:paraId="537F7FCD" w14:textId="77777777" w:rsidR="005F7696" w:rsidRPr="00B9354F" w:rsidRDefault="005F7696" w:rsidP="000853E1">
            <w:pPr>
              <w:spacing w:before="0" w:after="0"/>
              <w:jc w:val="left"/>
              <w:rPr>
                <w:szCs w:val="20"/>
              </w:rPr>
            </w:pPr>
            <w:r w:rsidRPr="00B9354F">
              <w:rPr>
                <w:szCs w:val="20"/>
              </w:rPr>
              <w:t>Queensland Health</w:t>
            </w:r>
          </w:p>
        </w:tc>
        <w:tc>
          <w:tcPr>
            <w:tcW w:w="1984" w:type="dxa"/>
            <w:tcMar>
              <w:top w:w="28" w:type="dxa"/>
              <w:bottom w:w="28" w:type="dxa"/>
            </w:tcMar>
          </w:tcPr>
          <w:p w14:paraId="5D56B6F5" w14:textId="77777777" w:rsidR="005F7696" w:rsidRPr="00B9354F" w:rsidRDefault="005F7696" w:rsidP="000853E1">
            <w:pPr>
              <w:spacing w:before="0" w:after="0"/>
              <w:jc w:val="left"/>
              <w:rPr>
                <w:szCs w:val="20"/>
              </w:rPr>
            </w:pPr>
            <w:r w:rsidRPr="00B9354F">
              <w:rPr>
                <w:szCs w:val="20"/>
              </w:rPr>
              <w:t>Statistical Services Branch</w:t>
            </w:r>
          </w:p>
        </w:tc>
        <w:tc>
          <w:tcPr>
            <w:tcW w:w="5245" w:type="dxa"/>
            <w:tcMar>
              <w:top w:w="28" w:type="dxa"/>
              <w:bottom w:w="28" w:type="dxa"/>
            </w:tcMar>
          </w:tcPr>
          <w:p w14:paraId="62B5CCE3"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Queensland Hospital Admitted Patient Data Collection</w:t>
            </w:r>
          </w:p>
          <w:p w14:paraId="73821247"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Queensland Emergency Department Collection</w:t>
            </w:r>
          </w:p>
          <w:p w14:paraId="60042A9F"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Queensland Perinatal Data Collection</w:t>
            </w:r>
          </w:p>
        </w:tc>
      </w:tr>
      <w:tr w:rsidR="005F7696" w:rsidRPr="00B9354F" w14:paraId="1F61BF18" w14:textId="77777777" w:rsidTr="000853E1">
        <w:tc>
          <w:tcPr>
            <w:tcW w:w="1980" w:type="dxa"/>
            <w:tcMar>
              <w:top w:w="28" w:type="dxa"/>
              <w:bottom w:w="28" w:type="dxa"/>
            </w:tcMar>
          </w:tcPr>
          <w:p w14:paraId="38F80FC0" w14:textId="77777777" w:rsidR="005F7696" w:rsidRPr="00B9354F" w:rsidRDefault="005F7696" w:rsidP="000853E1">
            <w:pPr>
              <w:spacing w:before="0" w:after="0"/>
              <w:jc w:val="left"/>
              <w:rPr>
                <w:szCs w:val="20"/>
              </w:rPr>
            </w:pPr>
            <w:r w:rsidRPr="00B9354F">
              <w:rPr>
                <w:szCs w:val="20"/>
              </w:rPr>
              <w:lastRenderedPageBreak/>
              <w:t>SA Department for Health and Wellbeing</w:t>
            </w:r>
          </w:p>
        </w:tc>
        <w:tc>
          <w:tcPr>
            <w:tcW w:w="1984" w:type="dxa"/>
            <w:tcMar>
              <w:top w:w="28" w:type="dxa"/>
              <w:bottom w:w="28" w:type="dxa"/>
            </w:tcMar>
          </w:tcPr>
          <w:p w14:paraId="1F81143D" w14:textId="77777777" w:rsidR="005F7696" w:rsidRPr="00B9354F" w:rsidRDefault="005F7696" w:rsidP="000853E1">
            <w:pPr>
              <w:spacing w:before="0" w:after="0"/>
              <w:jc w:val="left"/>
              <w:rPr>
                <w:szCs w:val="20"/>
              </w:rPr>
            </w:pPr>
            <w:r w:rsidRPr="00B9354F">
              <w:rPr>
                <w:szCs w:val="20"/>
              </w:rPr>
              <w:t>SA NT Datalink</w:t>
            </w:r>
          </w:p>
        </w:tc>
        <w:tc>
          <w:tcPr>
            <w:tcW w:w="5245" w:type="dxa"/>
            <w:tcMar>
              <w:top w:w="28" w:type="dxa"/>
              <w:bottom w:w="28" w:type="dxa"/>
            </w:tcMar>
          </w:tcPr>
          <w:p w14:paraId="35F239AF"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SA Public Hospital Separations</w:t>
            </w:r>
          </w:p>
          <w:p w14:paraId="289BBA07"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SA Public Hospital Emergency Department Data Collection</w:t>
            </w:r>
          </w:p>
          <w:p w14:paraId="793C7502"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SA Perinatal Statistics Data Collection</w:t>
            </w:r>
          </w:p>
        </w:tc>
      </w:tr>
      <w:tr w:rsidR="005F7696" w:rsidRPr="00B9354F" w14:paraId="6EB128CF" w14:textId="77777777" w:rsidTr="000853E1">
        <w:tc>
          <w:tcPr>
            <w:tcW w:w="1980" w:type="dxa"/>
            <w:tcMar>
              <w:top w:w="28" w:type="dxa"/>
              <w:bottom w:w="28" w:type="dxa"/>
            </w:tcMar>
          </w:tcPr>
          <w:p w14:paraId="03ECCED1" w14:textId="77777777" w:rsidR="005F7696" w:rsidRPr="00B9354F" w:rsidRDefault="005F7696" w:rsidP="000853E1">
            <w:pPr>
              <w:spacing w:before="0" w:after="0"/>
              <w:jc w:val="left"/>
              <w:rPr>
                <w:szCs w:val="20"/>
              </w:rPr>
            </w:pPr>
            <w:r w:rsidRPr="00B9354F">
              <w:rPr>
                <w:szCs w:val="20"/>
              </w:rPr>
              <w:t>Northern Territory Department of Health</w:t>
            </w:r>
          </w:p>
        </w:tc>
        <w:tc>
          <w:tcPr>
            <w:tcW w:w="1984" w:type="dxa"/>
            <w:tcMar>
              <w:top w:w="28" w:type="dxa"/>
              <w:bottom w:w="28" w:type="dxa"/>
            </w:tcMar>
          </w:tcPr>
          <w:p w14:paraId="2EC6EC43" w14:textId="77777777" w:rsidR="005F7696" w:rsidRPr="00B9354F" w:rsidRDefault="005F7696" w:rsidP="000853E1">
            <w:pPr>
              <w:spacing w:before="0" w:after="0"/>
              <w:jc w:val="left"/>
              <w:rPr>
                <w:szCs w:val="20"/>
              </w:rPr>
            </w:pPr>
            <w:r w:rsidRPr="00B9354F">
              <w:rPr>
                <w:szCs w:val="20"/>
              </w:rPr>
              <w:t>SA NT Datalink</w:t>
            </w:r>
          </w:p>
        </w:tc>
        <w:tc>
          <w:tcPr>
            <w:tcW w:w="5245" w:type="dxa"/>
            <w:tcMar>
              <w:top w:w="28" w:type="dxa"/>
              <w:bottom w:w="28" w:type="dxa"/>
            </w:tcMar>
          </w:tcPr>
          <w:p w14:paraId="206292FE"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NT Public Hospital Inpatient Activity</w:t>
            </w:r>
          </w:p>
          <w:p w14:paraId="00ADED26"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NT Public Hospital Emergency Department Data Collection</w:t>
            </w:r>
          </w:p>
          <w:p w14:paraId="2B6F7A3C"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NT Perinatal Trends Data Collection</w:t>
            </w:r>
          </w:p>
        </w:tc>
      </w:tr>
      <w:tr w:rsidR="005F7696" w:rsidRPr="00B9354F" w14:paraId="1C01A8A9" w14:textId="77777777" w:rsidTr="000853E1">
        <w:tc>
          <w:tcPr>
            <w:tcW w:w="1980" w:type="dxa"/>
            <w:tcMar>
              <w:top w:w="28" w:type="dxa"/>
              <w:bottom w:w="28" w:type="dxa"/>
            </w:tcMar>
          </w:tcPr>
          <w:p w14:paraId="1D7790D0" w14:textId="77777777" w:rsidR="005F7696" w:rsidRPr="00B9354F" w:rsidRDefault="005F7696" w:rsidP="000853E1">
            <w:pPr>
              <w:spacing w:before="0" w:after="0"/>
              <w:jc w:val="left"/>
              <w:rPr>
                <w:szCs w:val="20"/>
              </w:rPr>
            </w:pPr>
            <w:r w:rsidRPr="00B9354F">
              <w:rPr>
                <w:szCs w:val="20"/>
              </w:rPr>
              <w:t>Department of Health Tasmania</w:t>
            </w:r>
          </w:p>
        </w:tc>
        <w:tc>
          <w:tcPr>
            <w:tcW w:w="1984" w:type="dxa"/>
            <w:tcMar>
              <w:top w:w="28" w:type="dxa"/>
              <w:bottom w:w="28" w:type="dxa"/>
            </w:tcMar>
          </w:tcPr>
          <w:p w14:paraId="0EFB4452" w14:textId="77777777" w:rsidR="005F7696" w:rsidRPr="00B9354F" w:rsidRDefault="005F7696" w:rsidP="000853E1">
            <w:pPr>
              <w:spacing w:before="0" w:after="0"/>
              <w:jc w:val="left"/>
              <w:rPr>
                <w:szCs w:val="20"/>
              </w:rPr>
            </w:pPr>
            <w:r w:rsidRPr="00B9354F">
              <w:rPr>
                <w:szCs w:val="20"/>
              </w:rPr>
              <w:t>Tasmanian Data Linkage Unit (TDLU)</w:t>
            </w:r>
          </w:p>
        </w:tc>
        <w:tc>
          <w:tcPr>
            <w:tcW w:w="5245" w:type="dxa"/>
            <w:tcMar>
              <w:top w:w="28" w:type="dxa"/>
              <w:bottom w:w="28" w:type="dxa"/>
            </w:tcMar>
          </w:tcPr>
          <w:p w14:paraId="5878BF93"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 xml:space="preserve">Tasmanian Public Hospital Admitted Patient Episodes </w:t>
            </w:r>
          </w:p>
          <w:p w14:paraId="2B5A56AD"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Tasmanian Emergency Department Presentations</w:t>
            </w:r>
          </w:p>
          <w:p w14:paraId="43BBF062"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Tasmanian Perinatal Data Collection</w:t>
            </w:r>
          </w:p>
        </w:tc>
      </w:tr>
      <w:tr w:rsidR="005F7696" w:rsidRPr="00B9354F" w14:paraId="717713A6" w14:textId="77777777" w:rsidTr="000853E1">
        <w:tc>
          <w:tcPr>
            <w:tcW w:w="1980" w:type="dxa"/>
            <w:tcBorders>
              <w:bottom w:val="single" w:sz="4" w:space="0" w:color="auto"/>
            </w:tcBorders>
            <w:tcMar>
              <w:top w:w="28" w:type="dxa"/>
              <w:bottom w:w="28" w:type="dxa"/>
            </w:tcMar>
          </w:tcPr>
          <w:p w14:paraId="06B012B2" w14:textId="77777777" w:rsidR="005F7696" w:rsidRPr="00B9354F" w:rsidRDefault="005F7696" w:rsidP="000853E1">
            <w:pPr>
              <w:spacing w:before="0" w:after="0"/>
              <w:jc w:val="left"/>
              <w:rPr>
                <w:szCs w:val="20"/>
              </w:rPr>
            </w:pPr>
            <w:r w:rsidRPr="00B9354F">
              <w:rPr>
                <w:szCs w:val="20"/>
              </w:rPr>
              <w:t>Department of Health and Human Services Victoria</w:t>
            </w:r>
          </w:p>
        </w:tc>
        <w:tc>
          <w:tcPr>
            <w:tcW w:w="1984" w:type="dxa"/>
            <w:tcBorders>
              <w:bottom w:val="single" w:sz="4" w:space="0" w:color="auto"/>
            </w:tcBorders>
            <w:tcMar>
              <w:top w:w="28" w:type="dxa"/>
              <w:bottom w:w="28" w:type="dxa"/>
            </w:tcMar>
          </w:tcPr>
          <w:p w14:paraId="2BC9EC17" w14:textId="77777777" w:rsidR="005F7696" w:rsidRPr="00B9354F" w:rsidRDefault="005F7696" w:rsidP="000853E1">
            <w:pPr>
              <w:spacing w:before="0" w:after="0"/>
              <w:jc w:val="left"/>
              <w:rPr>
                <w:szCs w:val="20"/>
              </w:rPr>
            </w:pPr>
            <w:r w:rsidRPr="00B9354F">
              <w:rPr>
                <w:szCs w:val="20"/>
              </w:rPr>
              <w:t>Centre for Data Linkage Victoria (CVDL)</w:t>
            </w:r>
          </w:p>
        </w:tc>
        <w:tc>
          <w:tcPr>
            <w:tcW w:w="5245" w:type="dxa"/>
            <w:tcMar>
              <w:top w:w="28" w:type="dxa"/>
              <w:bottom w:w="28" w:type="dxa"/>
            </w:tcMar>
          </w:tcPr>
          <w:p w14:paraId="7C72F562"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Victorian Admitted Episodes Dataset</w:t>
            </w:r>
          </w:p>
          <w:p w14:paraId="613CB84C"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Victorian Emergency Minimum Dataset</w:t>
            </w:r>
          </w:p>
        </w:tc>
      </w:tr>
      <w:tr w:rsidR="005F7696" w:rsidRPr="00B9354F" w14:paraId="1986C7E6" w14:textId="77777777" w:rsidTr="000853E1">
        <w:tc>
          <w:tcPr>
            <w:tcW w:w="1980" w:type="dxa"/>
            <w:tcMar>
              <w:top w:w="28" w:type="dxa"/>
              <w:bottom w:w="28" w:type="dxa"/>
            </w:tcMar>
          </w:tcPr>
          <w:p w14:paraId="0039B18F" w14:textId="77777777" w:rsidR="005F7696" w:rsidRPr="00B9354F" w:rsidRDefault="005F7696" w:rsidP="000853E1">
            <w:pPr>
              <w:spacing w:before="0" w:after="0"/>
              <w:jc w:val="left"/>
              <w:rPr>
                <w:szCs w:val="20"/>
              </w:rPr>
            </w:pPr>
            <w:r w:rsidRPr="00B9354F">
              <w:rPr>
                <w:szCs w:val="20"/>
              </w:rPr>
              <w:t>Victorian Agency for Health Information (VAHI)</w:t>
            </w:r>
            <w:r w:rsidRPr="00B9354F">
              <w:rPr>
                <w:szCs w:val="20"/>
                <w:vertAlign w:val="superscript"/>
              </w:rPr>
              <w:t>1</w:t>
            </w:r>
            <w:r w:rsidRPr="00B9354F">
              <w:rPr>
                <w:szCs w:val="20"/>
              </w:rPr>
              <w:t xml:space="preserve"> </w:t>
            </w:r>
          </w:p>
        </w:tc>
        <w:tc>
          <w:tcPr>
            <w:tcW w:w="1984" w:type="dxa"/>
            <w:tcMar>
              <w:top w:w="28" w:type="dxa"/>
              <w:bottom w:w="28" w:type="dxa"/>
            </w:tcMar>
          </w:tcPr>
          <w:p w14:paraId="405D5DF1" w14:textId="77777777" w:rsidR="005F7696" w:rsidRPr="00B9354F" w:rsidRDefault="005F7696" w:rsidP="000853E1">
            <w:pPr>
              <w:spacing w:before="0" w:after="0"/>
              <w:jc w:val="left"/>
              <w:rPr>
                <w:szCs w:val="20"/>
              </w:rPr>
            </w:pPr>
            <w:r w:rsidRPr="00B9354F">
              <w:rPr>
                <w:szCs w:val="20"/>
              </w:rPr>
              <w:t>CVDL</w:t>
            </w:r>
          </w:p>
        </w:tc>
        <w:tc>
          <w:tcPr>
            <w:tcW w:w="5245" w:type="dxa"/>
            <w:tcMar>
              <w:top w:w="28" w:type="dxa"/>
              <w:bottom w:w="28" w:type="dxa"/>
            </w:tcMar>
          </w:tcPr>
          <w:p w14:paraId="58E9B9B9"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Victorian Perinatal Data Collection</w:t>
            </w:r>
          </w:p>
        </w:tc>
      </w:tr>
      <w:tr w:rsidR="005F7696" w:rsidRPr="00B9354F" w14:paraId="380B4968" w14:textId="77777777" w:rsidTr="000853E1">
        <w:tc>
          <w:tcPr>
            <w:tcW w:w="1980" w:type="dxa"/>
            <w:tcMar>
              <w:top w:w="28" w:type="dxa"/>
              <w:bottom w:w="28" w:type="dxa"/>
            </w:tcMar>
          </w:tcPr>
          <w:p w14:paraId="62AF864A" w14:textId="77777777" w:rsidR="005F7696" w:rsidRPr="00B9354F" w:rsidRDefault="005F7696" w:rsidP="000853E1">
            <w:pPr>
              <w:spacing w:before="0" w:after="0"/>
              <w:jc w:val="left"/>
              <w:rPr>
                <w:szCs w:val="20"/>
              </w:rPr>
            </w:pPr>
            <w:r w:rsidRPr="00B9354F">
              <w:rPr>
                <w:szCs w:val="20"/>
              </w:rPr>
              <w:t>Department of Health Western Australia</w:t>
            </w:r>
          </w:p>
        </w:tc>
        <w:tc>
          <w:tcPr>
            <w:tcW w:w="1984" w:type="dxa"/>
            <w:tcMar>
              <w:top w:w="28" w:type="dxa"/>
              <w:bottom w:w="28" w:type="dxa"/>
            </w:tcMar>
          </w:tcPr>
          <w:p w14:paraId="02BFA685" w14:textId="77777777" w:rsidR="005F7696" w:rsidRPr="00B9354F" w:rsidRDefault="005F7696" w:rsidP="000853E1">
            <w:pPr>
              <w:spacing w:before="0" w:after="0"/>
              <w:jc w:val="left"/>
              <w:rPr>
                <w:szCs w:val="20"/>
              </w:rPr>
            </w:pPr>
            <w:r w:rsidRPr="00B9354F">
              <w:rPr>
                <w:szCs w:val="20"/>
              </w:rPr>
              <w:t>Data Linkage Branch</w:t>
            </w:r>
          </w:p>
        </w:tc>
        <w:tc>
          <w:tcPr>
            <w:tcW w:w="5245" w:type="dxa"/>
            <w:tcMar>
              <w:top w:w="28" w:type="dxa"/>
              <w:bottom w:w="28" w:type="dxa"/>
            </w:tcMar>
          </w:tcPr>
          <w:p w14:paraId="0D63E36F"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WA Hospital Morbidity Data Collection</w:t>
            </w:r>
          </w:p>
          <w:p w14:paraId="4C18C5C2"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WA Emergency Department Data Collection</w:t>
            </w:r>
          </w:p>
          <w:p w14:paraId="6D67894D" w14:textId="77777777" w:rsidR="005F7696" w:rsidRPr="00B9354F" w:rsidRDefault="005F7696" w:rsidP="00C472D7">
            <w:pPr>
              <w:pStyle w:val="ListParagraph"/>
              <w:numPr>
                <w:ilvl w:val="0"/>
                <w:numId w:val="64"/>
              </w:numPr>
              <w:spacing w:before="0" w:after="0"/>
              <w:ind w:left="170" w:hanging="170"/>
              <w:jc w:val="left"/>
              <w:rPr>
                <w:szCs w:val="20"/>
              </w:rPr>
            </w:pPr>
            <w:r w:rsidRPr="00B9354F">
              <w:rPr>
                <w:szCs w:val="20"/>
              </w:rPr>
              <w:t>WA Midwives Notification System</w:t>
            </w:r>
          </w:p>
        </w:tc>
      </w:tr>
    </w:tbl>
    <w:p w14:paraId="240BED21" w14:textId="77777777" w:rsidR="005F7696" w:rsidRPr="00B9354F" w:rsidRDefault="005F7696" w:rsidP="005F7696">
      <w:pPr>
        <w:spacing w:after="0" w:line="240" w:lineRule="auto"/>
        <w:rPr>
          <w:i/>
        </w:rPr>
      </w:pPr>
      <w:r w:rsidRPr="00B9354F">
        <w:rPr>
          <w:szCs w:val="20"/>
          <w:vertAlign w:val="superscript"/>
        </w:rPr>
        <w:t>1</w:t>
      </w:r>
      <w:r w:rsidRPr="00B9354F">
        <w:t xml:space="preserve"> </w:t>
      </w:r>
      <w:r w:rsidRPr="00B9354F">
        <w:rPr>
          <w:i/>
        </w:rPr>
        <w:t>on behalf of the Victorian Consultative Council on Obstetric and Paediatric Mortality and Morbidity</w:t>
      </w:r>
    </w:p>
    <w:p w14:paraId="7894D65D" w14:textId="77777777" w:rsidR="005F7696" w:rsidRDefault="005F7696" w:rsidP="0000266C">
      <w:pPr>
        <w:pStyle w:val="Caption"/>
      </w:pPr>
    </w:p>
    <w:p w14:paraId="0508CEC5" w14:textId="77777777" w:rsidR="005F7696" w:rsidRPr="0088601F" w:rsidRDefault="005F7696" w:rsidP="005F7696">
      <w:pPr>
        <w:spacing w:before="40" w:after="40" w:line="240" w:lineRule="auto"/>
      </w:pPr>
    </w:p>
    <w:p w14:paraId="3DF1138A" w14:textId="3FF1A9BB" w:rsidR="005F7696" w:rsidRPr="00B9354F" w:rsidRDefault="005F7696" w:rsidP="0000266C">
      <w:pPr>
        <w:pStyle w:val="Caption"/>
      </w:pPr>
      <w:bookmarkStart w:id="787" w:name="_Toc87869429"/>
      <w:r w:rsidRPr="00B9354F">
        <w:t xml:space="preserve">Table </w:t>
      </w:r>
      <w:fldSimple w:instr=" STYLEREF 1 \s ">
        <w:r w:rsidR="007D19D7">
          <w:rPr>
            <w:noProof/>
          </w:rPr>
          <w:t>5</w:t>
        </w:r>
      </w:fldSimple>
      <w:r w:rsidR="00327D59">
        <w:noBreakHyphen/>
      </w:r>
      <w:fldSimple w:instr=" SEQ Table \* ARABIC \s 1 ">
        <w:r w:rsidR="007D19D7">
          <w:rPr>
            <w:noProof/>
          </w:rPr>
          <w:t>5</w:t>
        </w:r>
      </w:fldSimple>
      <w:r w:rsidRPr="00B9354F">
        <w:t xml:space="preserve"> ALSWH linked data coverage: State/Territory (</w:t>
      </w:r>
      <w:proofErr w:type="gramStart"/>
      <w:r w:rsidRPr="00B9354F">
        <w:t>at</w:t>
      </w:r>
      <w:proofErr w:type="gramEnd"/>
      <w:r>
        <w:t xml:space="preserve"> </w:t>
      </w:r>
      <w:r w:rsidR="002B2D8C">
        <w:t xml:space="preserve">November </w:t>
      </w:r>
      <w:r w:rsidRPr="00B9354F">
        <w:t>202</w:t>
      </w:r>
      <w:r>
        <w:t>2</w:t>
      </w:r>
      <w:r w:rsidRPr="00B9354F">
        <w:t>)</w:t>
      </w:r>
      <w:bookmarkEnd w:id="787"/>
    </w:p>
    <w:tbl>
      <w:tblPr>
        <w:tblStyle w:val="TableGrid"/>
        <w:tblW w:w="9209" w:type="dxa"/>
        <w:tblLayout w:type="fixed"/>
        <w:tblLook w:val="04A0" w:firstRow="1" w:lastRow="0" w:firstColumn="1" w:lastColumn="0" w:noHBand="0" w:noVBand="1"/>
      </w:tblPr>
      <w:tblGrid>
        <w:gridCol w:w="845"/>
        <w:gridCol w:w="710"/>
        <w:gridCol w:w="992"/>
        <w:gridCol w:w="1983"/>
        <w:gridCol w:w="921"/>
        <w:gridCol w:w="922"/>
        <w:gridCol w:w="709"/>
        <w:gridCol w:w="709"/>
        <w:gridCol w:w="709"/>
        <w:gridCol w:w="709"/>
      </w:tblGrid>
      <w:tr w:rsidR="005F7696" w:rsidRPr="00B9354F" w14:paraId="20842C6A" w14:textId="77777777" w:rsidTr="000853E1">
        <w:trPr>
          <w:tblHeader/>
        </w:trPr>
        <w:tc>
          <w:tcPr>
            <w:tcW w:w="1555" w:type="dxa"/>
            <w:gridSpan w:val="2"/>
            <w:vMerge w:val="restart"/>
            <w:shd w:val="clear" w:color="auto" w:fill="FFF2CC"/>
            <w:vAlign w:val="center"/>
          </w:tcPr>
          <w:p w14:paraId="648762E8" w14:textId="77777777" w:rsidR="005F7696" w:rsidRPr="00B9354F" w:rsidRDefault="005F7696" w:rsidP="000853E1">
            <w:pPr>
              <w:spacing w:before="0" w:after="0"/>
              <w:ind w:left="-57" w:right="-57"/>
              <w:jc w:val="center"/>
              <w:rPr>
                <w:b/>
                <w:szCs w:val="20"/>
              </w:rPr>
            </w:pPr>
            <w:bookmarkStart w:id="788" w:name="_Hlk107911483"/>
            <w:r w:rsidRPr="00B9354F">
              <w:rPr>
                <w:b/>
                <w:szCs w:val="20"/>
              </w:rPr>
              <w:t>State and Collection</w:t>
            </w:r>
          </w:p>
        </w:tc>
        <w:tc>
          <w:tcPr>
            <w:tcW w:w="992" w:type="dxa"/>
            <w:vMerge w:val="restart"/>
            <w:shd w:val="clear" w:color="auto" w:fill="FFF2CC"/>
            <w:vAlign w:val="center"/>
          </w:tcPr>
          <w:p w14:paraId="38EA4CF3" w14:textId="77777777" w:rsidR="005F7696" w:rsidRPr="00B9354F" w:rsidRDefault="005F7696" w:rsidP="000853E1">
            <w:pPr>
              <w:spacing w:before="0" w:after="0"/>
              <w:ind w:left="-57" w:right="-57"/>
              <w:jc w:val="center"/>
              <w:rPr>
                <w:b/>
                <w:szCs w:val="20"/>
              </w:rPr>
            </w:pPr>
            <w:r w:rsidRPr="00B9354F">
              <w:rPr>
                <w:b/>
                <w:szCs w:val="20"/>
              </w:rPr>
              <w:t>Updated</w:t>
            </w:r>
          </w:p>
          <w:p w14:paraId="0F96EAFC" w14:textId="77777777" w:rsidR="005F7696" w:rsidRPr="00B9354F" w:rsidRDefault="005F7696" w:rsidP="000853E1">
            <w:pPr>
              <w:spacing w:before="0" w:after="0"/>
              <w:ind w:left="-57" w:right="-57"/>
              <w:jc w:val="center"/>
              <w:rPr>
                <w:b/>
                <w:sz w:val="16"/>
                <w:szCs w:val="16"/>
              </w:rPr>
            </w:pPr>
            <w:r w:rsidRPr="00B9354F">
              <w:rPr>
                <w:b/>
                <w:sz w:val="16"/>
                <w:szCs w:val="16"/>
              </w:rPr>
              <w:t>MM/YYYY</w:t>
            </w:r>
          </w:p>
        </w:tc>
        <w:tc>
          <w:tcPr>
            <w:tcW w:w="1983" w:type="dxa"/>
            <w:vMerge w:val="restart"/>
            <w:tcBorders>
              <w:bottom w:val="nil"/>
            </w:tcBorders>
            <w:shd w:val="clear" w:color="auto" w:fill="FFF2CC"/>
            <w:vAlign w:val="center"/>
          </w:tcPr>
          <w:p w14:paraId="2BC17DD2" w14:textId="77777777" w:rsidR="005F7696" w:rsidRPr="00B9354F" w:rsidRDefault="005F7696" w:rsidP="000853E1">
            <w:pPr>
              <w:spacing w:before="0" w:after="0"/>
              <w:ind w:left="-57" w:right="-57"/>
              <w:jc w:val="center"/>
              <w:rPr>
                <w:b/>
                <w:szCs w:val="20"/>
              </w:rPr>
            </w:pPr>
            <w:r w:rsidRPr="00B9354F">
              <w:rPr>
                <w:b/>
                <w:szCs w:val="20"/>
              </w:rPr>
              <w:t>Coverage</w:t>
            </w:r>
          </w:p>
          <w:p w14:paraId="3904A493" w14:textId="77777777" w:rsidR="005F7696" w:rsidRPr="00B9354F" w:rsidRDefault="005F7696" w:rsidP="000853E1">
            <w:pPr>
              <w:spacing w:before="0" w:after="0"/>
              <w:ind w:left="-57" w:right="-57"/>
              <w:jc w:val="center"/>
              <w:rPr>
                <w:b/>
                <w:szCs w:val="20"/>
              </w:rPr>
            </w:pPr>
            <w:r w:rsidRPr="00B9354F">
              <w:rPr>
                <w:b/>
                <w:sz w:val="16"/>
                <w:szCs w:val="16"/>
              </w:rPr>
              <w:t>MM/YYYY</w:t>
            </w:r>
          </w:p>
        </w:tc>
        <w:tc>
          <w:tcPr>
            <w:tcW w:w="921" w:type="dxa"/>
            <w:vMerge w:val="restart"/>
            <w:tcBorders>
              <w:right w:val="nil"/>
            </w:tcBorders>
            <w:shd w:val="clear" w:color="auto" w:fill="FFF2CC"/>
            <w:vAlign w:val="center"/>
          </w:tcPr>
          <w:p w14:paraId="022A7997" w14:textId="77777777" w:rsidR="005F7696" w:rsidRPr="00B9354F" w:rsidRDefault="005F7696" w:rsidP="000853E1">
            <w:pPr>
              <w:spacing w:before="0" w:after="0"/>
              <w:ind w:left="-57" w:right="-57"/>
              <w:jc w:val="center"/>
              <w:rPr>
                <w:b/>
                <w:szCs w:val="20"/>
              </w:rPr>
            </w:pPr>
            <w:r w:rsidRPr="00B9354F">
              <w:rPr>
                <w:b/>
                <w:szCs w:val="20"/>
              </w:rPr>
              <w:t>Records</w:t>
            </w:r>
          </w:p>
          <w:p w14:paraId="328755B2" w14:textId="77777777" w:rsidR="005F7696" w:rsidRPr="00B9354F" w:rsidRDefault="005F7696" w:rsidP="000853E1">
            <w:pPr>
              <w:spacing w:before="0" w:after="0"/>
              <w:ind w:left="-57" w:right="-57"/>
              <w:jc w:val="center"/>
              <w:rPr>
                <w:b/>
                <w:sz w:val="16"/>
                <w:szCs w:val="16"/>
              </w:rPr>
            </w:pPr>
            <w:r w:rsidRPr="00B9354F">
              <w:rPr>
                <w:b/>
                <w:sz w:val="16"/>
                <w:szCs w:val="16"/>
              </w:rPr>
              <w:t>N</w:t>
            </w:r>
          </w:p>
        </w:tc>
        <w:tc>
          <w:tcPr>
            <w:tcW w:w="922" w:type="dxa"/>
            <w:vMerge w:val="restart"/>
            <w:tcBorders>
              <w:left w:val="nil"/>
            </w:tcBorders>
            <w:shd w:val="clear" w:color="auto" w:fill="FFF2CC"/>
            <w:vAlign w:val="center"/>
          </w:tcPr>
          <w:p w14:paraId="0CEF5E38" w14:textId="77777777" w:rsidR="005F7696" w:rsidRPr="00B9354F" w:rsidRDefault="005F7696" w:rsidP="000853E1">
            <w:pPr>
              <w:spacing w:before="0" w:after="0"/>
              <w:ind w:left="-57" w:right="-57"/>
              <w:jc w:val="center"/>
              <w:rPr>
                <w:b/>
                <w:szCs w:val="20"/>
              </w:rPr>
            </w:pPr>
            <w:r w:rsidRPr="00B9354F">
              <w:rPr>
                <w:b/>
                <w:szCs w:val="20"/>
              </w:rPr>
              <w:t>Women</w:t>
            </w:r>
          </w:p>
          <w:p w14:paraId="55FE3893" w14:textId="77777777" w:rsidR="005F7696" w:rsidRPr="00B9354F" w:rsidRDefault="005F7696" w:rsidP="000853E1">
            <w:pPr>
              <w:spacing w:before="0" w:after="0"/>
              <w:ind w:left="-57" w:right="-57"/>
              <w:jc w:val="center"/>
              <w:rPr>
                <w:b/>
                <w:sz w:val="16"/>
                <w:szCs w:val="16"/>
              </w:rPr>
            </w:pPr>
            <w:r w:rsidRPr="00B9354F">
              <w:rPr>
                <w:b/>
                <w:sz w:val="16"/>
                <w:szCs w:val="16"/>
              </w:rPr>
              <w:t>Total N</w:t>
            </w:r>
          </w:p>
        </w:tc>
        <w:tc>
          <w:tcPr>
            <w:tcW w:w="2836" w:type="dxa"/>
            <w:gridSpan w:val="4"/>
            <w:tcBorders>
              <w:bottom w:val="nil"/>
            </w:tcBorders>
            <w:shd w:val="clear" w:color="auto" w:fill="FFF2CC"/>
            <w:vAlign w:val="center"/>
          </w:tcPr>
          <w:p w14:paraId="14CD3C04" w14:textId="77777777" w:rsidR="005F7696" w:rsidRPr="00B9354F" w:rsidRDefault="005F7696" w:rsidP="000853E1">
            <w:pPr>
              <w:spacing w:before="0" w:after="0"/>
              <w:ind w:left="-57" w:right="-57"/>
              <w:jc w:val="center"/>
              <w:rPr>
                <w:b/>
                <w:szCs w:val="20"/>
              </w:rPr>
            </w:pPr>
            <w:r w:rsidRPr="00B9354F">
              <w:rPr>
                <w:b/>
                <w:szCs w:val="20"/>
              </w:rPr>
              <w:t>Women, by cohort</w:t>
            </w:r>
          </w:p>
        </w:tc>
      </w:tr>
      <w:tr w:rsidR="005F7696" w:rsidRPr="00B9354F" w14:paraId="092DE3BA" w14:textId="77777777" w:rsidTr="000853E1">
        <w:trPr>
          <w:tblHeader/>
        </w:trPr>
        <w:tc>
          <w:tcPr>
            <w:tcW w:w="1555" w:type="dxa"/>
            <w:gridSpan w:val="2"/>
            <w:vMerge/>
            <w:shd w:val="clear" w:color="auto" w:fill="FFF2CC"/>
            <w:vAlign w:val="center"/>
          </w:tcPr>
          <w:p w14:paraId="09A89283" w14:textId="77777777" w:rsidR="005F7696" w:rsidRPr="00B9354F" w:rsidRDefault="005F7696" w:rsidP="000853E1">
            <w:pPr>
              <w:spacing w:before="0" w:after="0"/>
              <w:ind w:left="-57" w:right="-57"/>
              <w:jc w:val="center"/>
              <w:rPr>
                <w:b/>
                <w:szCs w:val="20"/>
              </w:rPr>
            </w:pPr>
          </w:p>
        </w:tc>
        <w:tc>
          <w:tcPr>
            <w:tcW w:w="992" w:type="dxa"/>
            <w:vMerge/>
            <w:shd w:val="clear" w:color="auto" w:fill="FFF2CC"/>
            <w:vAlign w:val="center"/>
          </w:tcPr>
          <w:p w14:paraId="23096151" w14:textId="77777777" w:rsidR="005F7696" w:rsidRPr="00B9354F" w:rsidRDefault="005F7696" w:rsidP="000853E1">
            <w:pPr>
              <w:spacing w:before="0" w:after="0"/>
              <w:ind w:left="-57" w:right="-57"/>
              <w:jc w:val="center"/>
              <w:rPr>
                <w:b/>
                <w:szCs w:val="20"/>
              </w:rPr>
            </w:pPr>
          </w:p>
        </w:tc>
        <w:tc>
          <w:tcPr>
            <w:tcW w:w="1983" w:type="dxa"/>
            <w:vMerge/>
            <w:tcBorders>
              <w:top w:val="nil"/>
              <w:bottom w:val="nil"/>
            </w:tcBorders>
            <w:shd w:val="clear" w:color="auto" w:fill="FFF2CC"/>
            <w:vAlign w:val="center"/>
          </w:tcPr>
          <w:p w14:paraId="39E71CF8" w14:textId="77777777" w:rsidR="005F7696" w:rsidRPr="00B9354F" w:rsidRDefault="005F7696" w:rsidP="000853E1">
            <w:pPr>
              <w:spacing w:before="0" w:after="0"/>
              <w:ind w:left="-57" w:right="-57"/>
              <w:jc w:val="center"/>
              <w:rPr>
                <w:b/>
                <w:szCs w:val="20"/>
              </w:rPr>
            </w:pPr>
          </w:p>
        </w:tc>
        <w:tc>
          <w:tcPr>
            <w:tcW w:w="921" w:type="dxa"/>
            <w:vMerge/>
            <w:tcBorders>
              <w:right w:val="nil"/>
            </w:tcBorders>
            <w:shd w:val="clear" w:color="auto" w:fill="FFF2CC"/>
            <w:vAlign w:val="center"/>
          </w:tcPr>
          <w:p w14:paraId="724F26F0" w14:textId="77777777" w:rsidR="005F7696" w:rsidRPr="00B9354F" w:rsidRDefault="005F7696" w:rsidP="000853E1">
            <w:pPr>
              <w:spacing w:before="0" w:after="0"/>
              <w:ind w:left="-57" w:right="-57"/>
              <w:jc w:val="center"/>
              <w:rPr>
                <w:b/>
                <w:szCs w:val="20"/>
              </w:rPr>
            </w:pPr>
          </w:p>
        </w:tc>
        <w:tc>
          <w:tcPr>
            <w:tcW w:w="922" w:type="dxa"/>
            <w:vMerge/>
            <w:tcBorders>
              <w:left w:val="nil"/>
            </w:tcBorders>
            <w:shd w:val="clear" w:color="auto" w:fill="FFF2CC"/>
            <w:vAlign w:val="center"/>
          </w:tcPr>
          <w:p w14:paraId="6195C503" w14:textId="77777777" w:rsidR="005F7696" w:rsidRPr="00B9354F" w:rsidRDefault="005F7696" w:rsidP="000853E1">
            <w:pPr>
              <w:spacing w:before="0" w:after="0"/>
              <w:ind w:left="-57" w:right="-57"/>
              <w:jc w:val="center"/>
              <w:rPr>
                <w:b/>
                <w:szCs w:val="20"/>
              </w:rPr>
            </w:pPr>
          </w:p>
        </w:tc>
        <w:tc>
          <w:tcPr>
            <w:tcW w:w="709" w:type="dxa"/>
            <w:tcBorders>
              <w:top w:val="nil"/>
              <w:right w:val="nil"/>
            </w:tcBorders>
            <w:shd w:val="clear" w:color="auto" w:fill="FFF2CC"/>
            <w:vAlign w:val="center"/>
          </w:tcPr>
          <w:p w14:paraId="49B3FFCC" w14:textId="77777777" w:rsidR="005F7696" w:rsidRPr="00B9354F" w:rsidRDefault="005F7696" w:rsidP="000853E1">
            <w:pPr>
              <w:spacing w:before="0" w:after="0"/>
              <w:ind w:left="-57" w:right="-57"/>
              <w:jc w:val="center"/>
              <w:rPr>
                <w:b/>
                <w:sz w:val="16"/>
                <w:szCs w:val="16"/>
              </w:rPr>
            </w:pPr>
            <w:r w:rsidRPr="00B9354F">
              <w:rPr>
                <w:b/>
                <w:sz w:val="16"/>
                <w:szCs w:val="16"/>
              </w:rPr>
              <w:t>1989-95</w:t>
            </w:r>
          </w:p>
          <w:p w14:paraId="19690AAE" w14:textId="77777777" w:rsidR="005F7696" w:rsidRPr="00B9354F" w:rsidDel="00F91A58" w:rsidRDefault="005F7696" w:rsidP="000853E1">
            <w:pPr>
              <w:spacing w:before="0" w:after="0"/>
              <w:ind w:left="-57" w:right="-57"/>
              <w:jc w:val="center"/>
              <w:rPr>
                <w:b/>
                <w:szCs w:val="20"/>
              </w:rPr>
            </w:pPr>
            <w:r w:rsidRPr="00B9354F">
              <w:rPr>
                <w:b/>
                <w:sz w:val="16"/>
                <w:szCs w:val="16"/>
              </w:rPr>
              <w:t>N</w:t>
            </w:r>
          </w:p>
        </w:tc>
        <w:tc>
          <w:tcPr>
            <w:tcW w:w="709" w:type="dxa"/>
            <w:tcBorders>
              <w:top w:val="nil"/>
              <w:left w:val="nil"/>
              <w:right w:val="nil"/>
            </w:tcBorders>
            <w:shd w:val="clear" w:color="auto" w:fill="FFF2CC"/>
            <w:vAlign w:val="center"/>
          </w:tcPr>
          <w:p w14:paraId="6DCB7951" w14:textId="77777777" w:rsidR="005F7696" w:rsidRPr="00B9354F" w:rsidRDefault="005F7696" w:rsidP="000853E1">
            <w:pPr>
              <w:spacing w:before="0" w:after="0"/>
              <w:ind w:left="-57" w:right="-57"/>
              <w:jc w:val="center"/>
              <w:rPr>
                <w:b/>
                <w:sz w:val="16"/>
                <w:szCs w:val="16"/>
              </w:rPr>
            </w:pPr>
            <w:r w:rsidRPr="00B9354F">
              <w:rPr>
                <w:b/>
                <w:sz w:val="16"/>
                <w:szCs w:val="16"/>
              </w:rPr>
              <w:t>1973-78</w:t>
            </w:r>
          </w:p>
          <w:p w14:paraId="31FA1CE6" w14:textId="77777777" w:rsidR="005F7696" w:rsidRPr="00B9354F" w:rsidDel="00F91A58" w:rsidRDefault="005F7696" w:rsidP="000853E1">
            <w:pPr>
              <w:spacing w:before="0" w:after="0"/>
              <w:ind w:left="-57" w:right="-57"/>
              <w:jc w:val="center"/>
              <w:rPr>
                <w:b/>
                <w:szCs w:val="20"/>
              </w:rPr>
            </w:pPr>
            <w:r w:rsidRPr="00B9354F">
              <w:rPr>
                <w:b/>
                <w:sz w:val="16"/>
                <w:szCs w:val="16"/>
              </w:rPr>
              <w:t>N</w:t>
            </w:r>
          </w:p>
        </w:tc>
        <w:tc>
          <w:tcPr>
            <w:tcW w:w="709" w:type="dxa"/>
            <w:tcBorders>
              <w:top w:val="nil"/>
              <w:left w:val="nil"/>
              <w:right w:val="nil"/>
            </w:tcBorders>
            <w:shd w:val="clear" w:color="auto" w:fill="FFF2CC"/>
            <w:vAlign w:val="center"/>
          </w:tcPr>
          <w:p w14:paraId="633382C9" w14:textId="77777777" w:rsidR="005F7696" w:rsidRPr="00B9354F" w:rsidRDefault="005F7696" w:rsidP="000853E1">
            <w:pPr>
              <w:spacing w:before="0" w:after="0"/>
              <w:ind w:left="-57" w:right="-57"/>
              <w:jc w:val="center"/>
              <w:rPr>
                <w:b/>
                <w:sz w:val="16"/>
                <w:szCs w:val="16"/>
              </w:rPr>
            </w:pPr>
            <w:r w:rsidRPr="00B9354F">
              <w:rPr>
                <w:b/>
                <w:sz w:val="16"/>
                <w:szCs w:val="16"/>
              </w:rPr>
              <w:t>1946-51</w:t>
            </w:r>
          </w:p>
          <w:p w14:paraId="4A2D540D" w14:textId="77777777" w:rsidR="005F7696" w:rsidRPr="00B9354F" w:rsidDel="00F91A58" w:rsidRDefault="005F7696" w:rsidP="000853E1">
            <w:pPr>
              <w:spacing w:before="0" w:after="0"/>
              <w:ind w:left="-57" w:right="-57"/>
              <w:jc w:val="center"/>
              <w:rPr>
                <w:b/>
                <w:szCs w:val="20"/>
              </w:rPr>
            </w:pPr>
            <w:r w:rsidRPr="00B9354F">
              <w:rPr>
                <w:b/>
                <w:sz w:val="16"/>
                <w:szCs w:val="16"/>
              </w:rPr>
              <w:t>N</w:t>
            </w:r>
          </w:p>
        </w:tc>
        <w:tc>
          <w:tcPr>
            <w:tcW w:w="709" w:type="dxa"/>
            <w:tcBorders>
              <w:top w:val="nil"/>
              <w:left w:val="nil"/>
            </w:tcBorders>
            <w:shd w:val="clear" w:color="auto" w:fill="FFF2CC"/>
            <w:vAlign w:val="center"/>
          </w:tcPr>
          <w:p w14:paraId="47FE5A4D" w14:textId="77777777" w:rsidR="005F7696" w:rsidRPr="00B9354F" w:rsidRDefault="005F7696" w:rsidP="000853E1">
            <w:pPr>
              <w:spacing w:before="0" w:after="0"/>
              <w:ind w:left="-57" w:right="-57"/>
              <w:jc w:val="center"/>
              <w:rPr>
                <w:b/>
                <w:sz w:val="16"/>
                <w:szCs w:val="16"/>
              </w:rPr>
            </w:pPr>
            <w:r w:rsidRPr="00B9354F">
              <w:rPr>
                <w:b/>
                <w:sz w:val="16"/>
                <w:szCs w:val="16"/>
              </w:rPr>
              <w:t>1921-26</w:t>
            </w:r>
          </w:p>
          <w:p w14:paraId="03DB252D" w14:textId="77777777" w:rsidR="005F7696" w:rsidRPr="00B9354F" w:rsidDel="00F91A58" w:rsidRDefault="005F7696" w:rsidP="000853E1">
            <w:pPr>
              <w:spacing w:before="0" w:after="0"/>
              <w:ind w:left="-57" w:right="-57"/>
              <w:jc w:val="center"/>
              <w:rPr>
                <w:b/>
                <w:szCs w:val="20"/>
              </w:rPr>
            </w:pPr>
            <w:r w:rsidRPr="00B9354F">
              <w:rPr>
                <w:b/>
                <w:sz w:val="16"/>
                <w:szCs w:val="16"/>
              </w:rPr>
              <w:t>N</w:t>
            </w:r>
          </w:p>
        </w:tc>
      </w:tr>
      <w:tr w:rsidR="005F7696" w:rsidRPr="00B9354F" w14:paraId="7EF0D45B" w14:textId="77777777" w:rsidTr="000853E1">
        <w:tc>
          <w:tcPr>
            <w:tcW w:w="845" w:type="dxa"/>
            <w:vMerge w:val="restart"/>
            <w:tcMar>
              <w:top w:w="28" w:type="dxa"/>
              <w:bottom w:w="28" w:type="dxa"/>
            </w:tcMar>
            <w:vAlign w:val="center"/>
          </w:tcPr>
          <w:p w14:paraId="408608C6" w14:textId="77777777" w:rsidR="005F7696" w:rsidRPr="00B9354F" w:rsidRDefault="005F7696" w:rsidP="000853E1">
            <w:pPr>
              <w:spacing w:before="0" w:after="0"/>
              <w:ind w:right="-57"/>
              <w:rPr>
                <w:rFonts w:cs="Arial"/>
                <w:szCs w:val="20"/>
              </w:rPr>
            </w:pPr>
            <w:r w:rsidRPr="00B9354F">
              <w:rPr>
                <w:rFonts w:cs="Arial"/>
                <w:color w:val="000000"/>
                <w:sz w:val="22"/>
                <w:szCs w:val="22"/>
              </w:rPr>
              <w:t>ACT</w:t>
            </w:r>
          </w:p>
        </w:tc>
        <w:tc>
          <w:tcPr>
            <w:tcW w:w="710" w:type="dxa"/>
            <w:tcBorders>
              <w:bottom w:val="nil"/>
            </w:tcBorders>
            <w:tcMar>
              <w:top w:w="28" w:type="dxa"/>
              <w:bottom w:w="28" w:type="dxa"/>
            </w:tcMar>
            <w:vAlign w:val="center"/>
          </w:tcPr>
          <w:p w14:paraId="710B623A" w14:textId="77777777" w:rsidR="005F7696" w:rsidRPr="00B9354F" w:rsidRDefault="005F7696" w:rsidP="000853E1">
            <w:pPr>
              <w:spacing w:before="0" w:after="0"/>
              <w:ind w:left="-57" w:right="-57"/>
              <w:jc w:val="center"/>
              <w:rPr>
                <w:rFonts w:cs="Arial"/>
                <w:szCs w:val="20"/>
              </w:rPr>
            </w:pPr>
            <w:r w:rsidRPr="00B9354F">
              <w:rPr>
                <w:rFonts w:cs="Arial"/>
                <w:szCs w:val="20"/>
              </w:rPr>
              <w:t>A</w:t>
            </w:r>
          </w:p>
        </w:tc>
        <w:tc>
          <w:tcPr>
            <w:tcW w:w="992" w:type="dxa"/>
            <w:tcBorders>
              <w:bottom w:val="nil"/>
            </w:tcBorders>
            <w:tcMar>
              <w:top w:w="28" w:type="dxa"/>
              <w:bottom w:w="28" w:type="dxa"/>
            </w:tcMar>
            <w:vAlign w:val="center"/>
          </w:tcPr>
          <w:p w14:paraId="5CC44427" w14:textId="77777777" w:rsidR="005F7696" w:rsidRPr="00B9354F" w:rsidRDefault="005F7696" w:rsidP="000853E1">
            <w:pPr>
              <w:spacing w:before="0" w:after="0"/>
              <w:ind w:left="-57" w:right="-57"/>
              <w:jc w:val="center"/>
              <w:rPr>
                <w:rFonts w:cs="Arial"/>
                <w:szCs w:val="20"/>
              </w:rPr>
            </w:pPr>
            <w:r w:rsidRPr="00B9354F">
              <w:rPr>
                <w:rFonts w:cs="Arial"/>
                <w:szCs w:val="20"/>
              </w:rPr>
              <w:t>0</w:t>
            </w:r>
            <w:r>
              <w:rPr>
                <w:rFonts w:cs="Arial"/>
                <w:szCs w:val="20"/>
              </w:rPr>
              <w:t>3</w:t>
            </w:r>
            <w:r w:rsidRPr="00B9354F">
              <w:rPr>
                <w:rFonts w:cs="Arial"/>
                <w:szCs w:val="20"/>
              </w:rPr>
              <w:t>/202</w:t>
            </w:r>
            <w:r>
              <w:rPr>
                <w:rFonts w:cs="Arial"/>
                <w:szCs w:val="20"/>
              </w:rPr>
              <w:t>2</w:t>
            </w:r>
          </w:p>
        </w:tc>
        <w:tc>
          <w:tcPr>
            <w:tcW w:w="1983" w:type="dxa"/>
            <w:tcBorders>
              <w:bottom w:val="nil"/>
            </w:tcBorders>
            <w:tcMar>
              <w:top w:w="28" w:type="dxa"/>
              <w:bottom w:w="28" w:type="dxa"/>
            </w:tcMar>
            <w:vAlign w:val="center"/>
          </w:tcPr>
          <w:p w14:paraId="70777A63" w14:textId="77777777" w:rsidR="005F7696" w:rsidRPr="00B9354F" w:rsidRDefault="005F7696" w:rsidP="000853E1">
            <w:pPr>
              <w:spacing w:before="0" w:after="0"/>
              <w:ind w:left="-57" w:right="-57"/>
              <w:jc w:val="center"/>
              <w:rPr>
                <w:rFonts w:cs="Arial"/>
                <w:szCs w:val="20"/>
              </w:rPr>
            </w:pPr>
            <w:r w:rsidRPr="00B9354F">
              <w:rPr>
                <w:rFonts w:cs="Arial"/>
                <w:color w:val="000000"/>
                <w:szCs w:val="20"/>
              </w:rPr>
              <w:t>07/2004 - 06/20</w:t>
            </w:r>
            <w:r>
              <w:rPr>
                <w:rFonts w:cs="Arial"/>
                <w:color w:val="000000"/>
                <w:szCs w:val="20"/>
              </w:rPr>
              <w:t>20</w:t>
            </w:r>
          </w:p>
        </w:tc>
        <w:tc>
          <w:tcPr>
            <w:tcW w:w="921" w:type="dxa"/>
            <w:tcBorders>
              <w:bottom w:val="nil"/>
              <w:right w:val="nil"/>
            </w:tcBorders>
            <w:tcMar>
              <w:top w:w="28" w:type="dxa"/>
              <w:bottom w:w="28" w:type="dxa"/>
            </w:tcMar>
          </w:tcPr>
          <w:p w14:paraId="329F0939" w14:textId="77777777" w:rsidR="005F7696" w:rsidRPr="00B9354F" w:rsidRDefault="005F7696" w:rsidP="000853E1">
            <w:pPr>
              <w:spacing w:before="0" w:after="0"/>
              <w:ind w:left="-57" w:right="-57"/>
              <w:jc w:val="right"/>
              <w:rPr>
                <w:rFonts w:cs="Arial"/>
                <w:szCs w:val="20"/>
              </w:rPr>
            </w:pPr>
            <w:r w:rsidRPr="00416DF6">
              <w:t>3,521</w:t>
            </w:r>
          </w:p>
        </w:tc>
        <w:tc>
          <w:tcPr>
            <w:tcW w:w="922" w:type="dxa"/>
            <w:tcBorders>
              <w:left w:val="nil"/>
              <w:bottom w:val="nil"/>
            </w:tcBorders>
            <w:tcMar>
              <w:top w:w="28" w:type="dxa"/>
              <w:bottom w:w="28" w:type="dxa"/>
            </w:tcMar>
          </w:tcPr>
          <w:p w14:paraId="1A31A0DB" w14:textId="77777777" w:rsidR="005F7696" w:rsidRPr="00B9354F" w:rsidRDefault="005F7696" w:rsidP="000853E1">
            <w:pPr>
              <w:spacing w:before="0" w:after="0"/>
              <w:ind w:left="-57" w:right="-57"/>
              <w:jc w:val="right"/>
              <w:rPr>
                <w:rFonts w:cs="Arial"/>
                <w:szCs w:val="20"/>
              </w:rPr>
            </w:pPr>
            <w:r w:rsidRPr="00416DF6">
              <w:t>1,061</w:t>
            </w:r>
          </w:p>
        </w:tc>
        <w:tc>
          <w:tcPr>
            <w:tcW w:w="709" w:type="dxa"/>
            <w:tcBorders>
              <w:bottom w:val="nil"/>
              <w:right w:val="nil"/>
            </w:tcBorders>
            <w:tcMar>
              <w:top w:w="28" w:type="dxa"/>
              <w:bottom w:w="28" w:type="dxa"/>
            </w:tcMar>
          </w:tcPr>
          <w:p w14:paraId="7CF4C088" w14:textId="77777777" w:rsidR="005F7696" w:rsidRPr="00B9354F" w:rsidRDefault="005F7696" w:rsidP="000853E1">
            <w:pPr>
              <w:spacing w:before="0" w:after="0"/>
              <w:ind w:left="-57" w:right="-57"/>
              <w:jc w:val="right"/>
              <w:rPr>
                <w:rFonts w:cs="Arial"/>
                <w:szCs w:val="20"/>
              </w:rPr>
            </w:pPr>
            <w:r w:rsidRPr="0064067D">
              <w:t>416</w:t>
            </w:r>
          </w:p>
        </w:tc>
        <w:tc>
          <w:tcPr>
            <w:tcW w:w="709" w:type="dxa"/>
            <w:tcBorders>
              <w:left w:val="nil"/>
              <w:bottom w:val="nil"/>
              <w:right w:val="nil"/>
            </w:tcBorders>
            <w:tcMar>
              <w:top w:w="28" w:type="dxa"/>
              <w:bottom w:w="28" w:type="dxa"/>
            </w:tcMar>
          </w:tcPr>
          <w:p w14:paraId="548B0C7A" w14:textId="77777777" w:rsidR="005F7696" w:rsidRPr="00B9354F" w:rsidRDefault="005F7696" w:rsidP="000853E1">
            <w:pPr>
              <w:spacing w:before="0" w:after="0"/>
              <w:ind w:left="-57" w:right="-57"/>
              <w:jc w:val="right"/>
              <w:rPr>
                <w:rFonts w:cs="Arial"/>
                <w:szCs w:val="20"/>
              </w:rPr>
            </w:pPr>
            <w:r w:rsidRPr="0064067D">
              <w:t>257</w:t>
            </w:r>
          </w:p>
        </w:tc>
        <w:tc>
          <w:tcPr>
            <w:tcW w:w="709" w:type="dxa"/>
            <w:tcBorders>
              <w:left w:val="nil"/>
              <w:bottom w:val="nil"/>
              <w:right w:val="nil"/>
            </w:tcBorders>
            <w:tcMar>
              <w:top w:w="28" w:type="dxa"/>
              <w:bottom w:w="28" w:type="dxa"/>
            </w:tcMar>
          </w:tcPr>
          <w:p w14:paraId="756A93E3" w14:textId="77777777" w:rsidR="005F7696" w:rsidRPr="00B9354F" w:rsidRDefault="005F7696" w:rsidP="000853E1">
            <w:pPr>
              <w:spacing w:before="0" w:after="0"/>
              <w:ind w:left="-57" w:right="-57"/>
              <w:jc w:val="right"/>
              <w:rPr>
                <w:rFonts w:cs="Arial"/>
                <w:szCs w:val="20"/>
              </w:rPr>
            </w:pPr>
            <w:r w:rsidRPr="0064067D">
              <w:t>174</w:t>
            </w:r>
          </w:p>
        </w:tc>
        <w:tc>
          <w:tcPr>
            <w:tcW w:w="709" w:type="dxa"/>
            <w:tcBorders>
              <w:left w:val="nil"/>
              <w:bottom w:val="nil"/>
            </w:tcBorders>
            <w:tcMar>
              <w:top w:w="28" w:type="dxa"/>
              <w:bottom w:w="28" w:type="dxa"/>
            </w:tcMar>
          </w:tcPr>
          <w:p w14:paraId="14B85711" w14:textId="77777777" w:rsidR="005F7696" w:rsidRPr="00B9354F" w:rsidRDefault="005F7696" w:rsidP="000853E1">
            <w:pPr>
              <w:spacing w:before="0" w:after="0"/>
              <w:ind w:left="-57"/>
              <w:jc w:val="right"/>
              <w:rPr>
                <w:rFonts w:cs="Arial"/>
                <w:szCs w:val="20"/>
              </w:rPr>
            </w:pPr>
            <w:r w:rsidRPr="0064067D">
              <w:t>214</w:t>
            </w:r>
          </w:p>
        </w:tc>
      </w:tr>
      <w:tr w:rsidR="005F7696" w:rsidRPr="00B9354F" w14:paraId="0454155D" w14:textId="77777777" w:rsidTr="000853E1">
        <w:tc>
          <w:tcPr>
            <w:tcW w:w="845" w:type="dxa"/>
            <w:vMerge/>
            <w:tcMar>
              <w:top w:w="28" w:type="dxa"/>
              <w:bottom w:w="28" w:type="dxa"/>
            </w:tcMar>
            <w:vAlign w:val="center"/>
          </w:tcPr>
          <w:p w14:paraId="780F9533" w14:textId="77777777" w:rsidR="005F7696" w:rsidRPr="00B9354F" w:rsidRDefault="005F7696" w:rsidP="000853E1">
            <w:pPr>
              <w:spacing w:before="0" w:after="0"/>
              <w:ind w:right="-57"/>
              <w:rPr>
                <w:rFonts w:cs="Arial"/>
                <w:color w:val="000000"/>
                <w:sz w:val="22"/>
                <w:szCs w:val="22"/>
              </w:rPr>
            </w:pPr>
          </w:p>
        </w:tc>
        <w:tc>
          <w:tcPr>
            <w:tcW w:w="710" w:type="dxa"/>
            <w:tcBorders>
              <w:top w:val="nil"/>
              <w:bottom w:val="nil"/>
            </w:tcBorders>
            <w:tcMar>
              <w:top w:w="28" w:type="dxa"/>
              <w:bottom w:w="28" w:type="dxa"/>
            </w:tcMar>
            <w:vAlign w:val="center"/>
          </w:tcPr>
          <w:p w14:paraId="08DBC655" w14:textId="77777777" w:rsidR="005F7696" w:rsidRPr="00B9354F" w:rsidRDefault="005F7696" w:rsidP="000853E1">
            <w:pPr>
              <w:spacing w:before="0" w:after="0"/>
              <w:ind w:left="-57" w:right="-57"/>
              <w:jc w:val="center"/>
              <w:rPr>
                <w:rFonts w:cs="Arial"/>
                <w:szCs w:val="20"/>
              </w:rPr>
            </w:pPr>
            <w:r w:rsidRPr="00B9354F">
              <w:rPr>
                <w:rFonts w:cs="Arial"/>
                <w:szCs w:val="20"/>
              </w:rPr>
              <w:t>E</w:t>
            </w:r>
          </w:p>
        </w:tc>
        <w:tc>
          <w:tcPr>
            <w:tcW w:w="992" w:type="dxa"/>
            <w:vMerge w:val="restart"/>
            <w:tcBorders>
              <w:top w:val="nil"/>
            </w:tcBorders>
            <w:tcMar>
              <w:top w:w="28" w:type="dxa"/>
              <w:bottom w:w="28" w:type="dxa"/>
            </w:tcMar>
            <w:vAlign w:val="center"/>
          </w:tcPr>
          <w:p w14:paraId="725467A5" w14:textId="77777777" w:rsidR="005F7696" w:rsidRPr="00B9354F" w:rsidRDefault="005F7696" w:rsidP="000853E1">
            <w:pPr>
              <w:spacing w:before="0" w:after="0"/>
              <w:ind w:left="-57" w:right="-57"/>
              <w:jc w:val="center"/>
              <w:rPr>
                <w:rFonts w:cs="Arial"/>
                <w:szCs w:val="20"/>
              </w:rPr>
            </w:pPr>
            <w:r>
              <w:rPr>
                <w:rFonts w:cs="Arial"/>
                <w:szCs w:val="20"/>
              </w:rPr>
              <w:t>02/2022</w:t>
            </w:r>
          </w:p>
        </w:tc>
        <w:tc>
          <w:tcPr>
            <w:tcW w:w="1983" w:type="dxa"/>
            <w:tcBorders>
              <w:top w:val="nil"/>
              <w:bottom w:val="nil"/>
            </w:tcBorders>
            <w:tcMar>
              <w:top w:w="28" w:type="dxa"/>
              <w:bottom w:w="28" w:type="dxa"/>
            </w:tcMar>
            <w:vAlign w:val="center"/>
          </w:tcPr>
          <w:p w14:paraId="2B190AB2" w14:textId="77777777" w:rsidR="005F7696" w:rsidRPr="00B9354F" w:rsidRDefault="005F7696" w:rsidP="000853E1">
            <w:pPr>
              <w:spacing w:before="0" w:after="0"/>
              <w:ind w:left="-57" w:right="-57"/>
              <w:jc w:val="center"/>
              <w:rPr>
                <w:rFonts w:cs="Arial"/>
                <w:color w:val="000000"/>
                <w:szCs w:val="20"/>
              </w:rPr>
            </w:pPr>
            <w:r w:rsidRPr="00B9354F">
              <w:rPr>
                <w:rFonts w:cs="Arial"/>
                <w:color w:val="000000"/>
                <w:szCs w:val="20"/>
              </w:rPr>
              <w:t>05/2005 - 06/20</w:t>
            </w:r>
            <w:r>
              <w:rPr>
                <w:rFonts w:cs="Arial"/>
                <w:color w:val="000000"/>
                <w:szCs w:val="20"/>
              </w:rPr>
              <w:t>20</w:t>
            </w:r>
          </w:p>
        </w:tc>
        <w:tc>
          <w:tcPr>
            <w:tcW w:w="921" w:type="dxa"/>
            <w:tcBorders>
              <w:top w:val="nil"/>
              <w:bottom w:val="nil"/>
              <w:right w:val="nil"/>
            </w:tcBorders>
            <w:tcMar>
              <w:top w:w="28" w:type="dxa"/>
              <w:bottom w:w="28" w:type="dxa"/>
            </w:tcMar>
          </w:tcPr>
          <w:p w14:paraId="7ABC1BE9" w14:textId="77777777" w:rsidR="005F7696" w:rsidRPr="00B9354F" w:rsidRDefault="005F7696" w:rsidP="000853E1">
            <w:pPr>
              <w:spacing w:before="0" w:after="0"/>
              <w:ind w:left="-57" w:right="-57"/>
              <w:jc w:val="right"/>
              <w:rPr>
                <w:rFonts w:cs="Arial"/>
                <w:color w:val="000000"/>
                <w:szCs w:val="20"/>
              </w:rPr>
            </w:pPr>
            <w:r w:rsidRPr="003D2193">
              <w:t>4,937</w:t>
            </w:r>
          </w:p>
        </w:tc>
        <w:tc>
          <w:tcPr>
            <w:tcW w:w="922" w:type="dxa"/>
            <w:tcBorders>
              <w:top w:val="nil"/>
              <w:left w:val="nil"/>
              <w:bottom w:val="nil"/>
            </w:tcBorders>
            <w:tcMar>
              <w:top w:w="28" w:type="dxa"/>
              <w:bottom w:w="28" w:type="dxa"/>
            </w:tcMar>
          </w:tcPr>
          <w:p w14:paraId="1D87C444" w14:textId="77777777" w:rsidR="005F7696" w:rsidRPr="00B9354F" w:rsidRDefault="005F7696" w:rsidP="000853E1">
            <w:pPr>
              <w:spacing w:before="0" w:after="0"/>
              <w:ind w:left="-57" w:right="-57"/>
              <w:jc w:val="right"/>
              <w:rPr>
                <w:rFonts w:cs="Arial"/>
                <w:color w:val="000000"/>
                <w:szCs w:val="20"/>
              </w:rPr>
            </w:pPr>
            <w:r w:rsidRPr="003D2193">
              <w:t>1,346</w:t>
            </w:r>
          </w:p>
        </w:tc>
        <w:tc>
          <w:tcPr>
            <w:tcW w:w="709" w:type="dxa"/>
            <w:tcBorders>
              <w:top w:val="nil"/>
              <w:bottom w:val="nil"/>
              <w:right w:val="nil"/>
            </w:tcBorders>
            <w:tcMar>
              <w:top w:w="28" w:type="dxa"/>
              <w:bottom w:w="28" w:type="dxa"/>
            </w:tcMar>
          </w:tcPr>
          <w:p w14:paraId="7C8119AD" w14:textId="77777777" w:rsidR="005F7696" w:rsidRPr="00B9354F" w:rsidRDefault="005F7696" w:rsidP="000853E1">
            <w:pPr>
              <w:spacing w:before="0" w:after="0"/>
              <w:ind w:left="-57" w:right="-57"/>
              <w:jc w:val="right"/>
              <w:rPr>
                <w:rFonts w:cs="Arial"/>
                <w:color w:val="000000"/>
                <w:szCs w:val="20"/>
              </w:rPr>
            </w:pPr>
            <w:r w:rsidRPr="009175B1">
              <w:t>706</w:t>
            </w:r>
          </w:p>
        </w:tc>
        <w:tc>
          <w:tcPr>
            <w:tcW w:w="709" w:type="dxa"/>
            <w:tcBorders>
              <w:top w:val="nil"/>
              <w:left w:val="nil"/>
              <w:bottom w:val="nil"/>
              <w:right w:val="nil"/>
            </w:tcBorders>
            <w:tcMar>
              <w:top w:w="28" w:type="dxa"/>
              <w:bottom w:w="28" w:type="dxa"/>
            </w:tcMar>
          </w:tcPr>
          <w:p w14:paraId="7FC2EBCB" w14:textId="77777777" w:rsidR="005F7696" w:rsidRPr="00B9354F" w:rsidRDefault="005F7696" w:rsidP="000853E1">
            <w:pPr>
              <w:spacing w:before="0" w:after="0"/>
              <w:ind w:left="-57" w:right="-57"/>
              <w:jc w:val="right"/>
              <w:rPr>
                <w:rFonts w:cs="Arial"/>
                <w:color w:val="000000"/>
                <w:szCs w:val="20"/>
              </w:rPr>
            </w:pPr>
            <w:r w:rsidRPr="009175B1">
              <w:t>281</w:t>
            </w:r>
          </w:p>
        </w:tc>
        <w:tc>
          <w:tcPr>
            <w:tcW w:w="709" w:type="dxa"/>
            <w:tcBorders>
              <w:top w:val="nil"/>
              <w:left w:val="nil"/>
              <w:bottom w:val="nil"/>
              <w:right w:val="nil"/>
            </w:tcBorders>
            <w:tcMar>
              <w:top w:w="28" w:type="dxa"/>
              <w:bottom w:w="28" w:type="dxa"/>
            </w:tcMar>
          </w:tcPr>
          <w:p w14:paraId="73DCC4F4" w14:textId="77777777" w:rsidR="005F7696" w:rsidRPr="00B9354F" w:rsidRDefault="005F7696" w:rsidP="000853E1">
            <w:pPr>
              <w:spacing w:before="0" w:after="0"/>
              <w:ind w:left="-57" w:right="-57"/>
              <w:jc w:val="right"/>
              <w:rPr>
                <w:rFonts w:cs="Arial"/>
                <w:color w:val="000000"/>
                <w:szCs w:val="20"/>
              </w:rPr>
            </w:pPr>
            <w:r w:rsidRPr="009175B1">
              <w:t>185</w:t>
            </w:r>
          </w:p>
        </w:tc>
        <w:tc>
          <w:tcPr>
            <w:tcW w:w="709" w:type="dxa"/>
            <w:tcBorders>
              <w:top w:val="nil"/>
              <w:left w:val="nil"/>
              <w:bottom w:val="nil"/>
            </w:tcBorders>
            <w:tcMar>
              <w:top w:w="28" w:type="dxa"/>
              <w:bottom w:w="28" w:type="dxa"/>
            </w:tcMar>
          </w:tcPr>
          <w:p w14:paraId="777CA85E" w14:textId="77777777" w:rsidR="005F7696" w:rsidRPr="00B9354F" w:rsidRDefault="005F7696" w:rsidP="000853E1">
            <w:pPr>
              <w:spacing w:before="0" w:after="0"/>
              <w:ind w:left="-57"/>
              <w:jc w:val="right"/>
              <w:rPr>
                <w:rFonts w:cs="Arial"/>
                <w:color w:val="000000"/>
                <w:szCs w:val="20"/>
              </w:rPr>
            </w:pPr>
            <w:r w:rsidRPr="009175B1">
              <w:t>174</w:t>
            </w:r>
          </w:p>
        </w:tc>
      </w:tr>
      <w:tr w:rsidR="005F7696" w:rsidRPr="00B9354F" w14:paraId="31EC5F2A" w14:textId="77777777" w:rsidTr="000853E1">
        <w:tc>
          <w:tcPr>
            <w:tcW w:w="845" w:type="dxa"/>
            <w:vMerge/>
            <w:tcMar>
              <w:top w:w="28" w:type="dxa"/>
              <w:bottom w:w="28" w:type="dxa"/>
            </w:tcMar>
            <w:vAlign w:val="center"/>
          </w:tcPr>
          <w:p w14:paraId="28C443F7" w14:textId="77777777" w:rsidR="005F7696" w:rsidRPr="00B9354F" w:rsidRDefault="005F7696" w:rsidP="000853E1">
            <w:pPr>
              <w:spacing w:before="0" w:after="0"/>
              <w:ind w:right="-57"/>
              <w:rPr>
                <w:rFonts w:cs="Arial"/>
                <w:szCs w:val="20"/>
              </w:rPr>
            </w:pPr>
          </w:p>
        </w:tc>
        <w:tc>
          <w:tcPr>
            <w:tcW w:w="710" w:type="dxa"/>
            <w:tcBorders>
              <w:top w:val="nil"/>
              <w:bottom w:val="nil"/>
            </w:tcBorders>
            <w:tcMar>
              <w:top w:w="28" w:type="dxa"/>
              <w:bottom w:w="28" w:type="dxa"/>
            </w:tcMar>
            <w:vAlign w:val="center"/>
          </w:tcPr>
          <w:p w14:paraId="0C701088" w14:textId="77777777" w:rsidR="005F7696" w:rsidRPr="00B9354F" w:rsidRDefault="005F7696" w:rsidP="000853E1">
            <w:pPr>
              <w:spacing w:before="0" w:after="0"/>
              <w:ind w:left="-57" w:right="-57"/>
              <w:jc w:val="center"/>
              <w:rPr>
                <w:rFonts w:cs="Arial"/>
                <w:szCs w:val="20"/>
              </w:rPr>
            </w:pPr>
            <w:r w:rsidRPr="00B9354F">
              <w:rPr>
                <w:rFonts w:cs="Arial"/>
                <w:szCs w:val="20"/>
              </w:rPr>
              <w:t>P</w:t>
            </w:r>
          </w:p>
        </w:tc>
        <w:tc>
          <w:tcPr>
            <w:tcW w:w="992" w:type="dxa"/>
            <w:vMerge/>
            <w:tcBorders>
              <w:bottom w:val="nil"/>
            </w:tcBorders>
            <w:tcMar>
              <w:top w:w="28" w:type="dxa"/>
              <w:bottom w:w="28" w:type="dxa"/>
            </w:tcMar>
            <w:vAlign w:val="center"/>
          </w:tcPr>
          <w:p w14:paraId="4236F4EB" w14:textId="77777777" w:rsidR="005F7696" w:rsidRPr="00B9354F" w:rsidRDefault="005F7696" w:rsidP="000853E1">
            <w:pPr>
              <w:spacing w:before="0" w:after="0"/>
              <w:ind w:left="-57" w:right="-57"/>
              <w:jc w:val="center"/>
              <w:rPr>
                <w:rFonts w:cs="Arial"/>
                <w:szCs w:val="20"/>
              </w:rPr>
            </w:pPr>
          </w:p>
        </w:tc>
        <w:tc>
          <w:tcPr>
            <w:tcW w:w="1983" w:type="dxa"/>
            <w:tcBorders>
              <w:top w:val="nil"/>
              <w:bottom w:val="nil"/>
            </w:tcBorders>
            <w:tcMar>
              <w:top w:w="28" w:type="dxa"/>
              <w:bottom w:w="28" w:type="dxa"/>
            </w:tcMar>
            <w:vAlign w:val="center"/>
          </w:tcPr>
          <w:p w14:paraId="515EA819" w14:textId="77777777" w:rsidR="005F7696" w:rsidRPr="00B9354F" w:rsidRDefault="005F7696" w:rsidP="000853E1">
            <w:pPr>
              <w:spacing w:before="0" w:after="0"/>
              <w:ind w:left="-57" w:right="-57"/>
              <w:jc w:val="center"/>
              <w:rPr>
                <w:rFonts w:cs="Arial"/>
                <w:szCs w:val="20"/>
              </w:rPr>
            </w:pPr>
            <w:r w:rsidRPr="00B9354F">
              <w:rPr>
                <w:rFonts w:cs="Arial"/>
                <w:color w:val="000000"/>
                <w:szCs w:val="20"/>
              </w:rPr>
              <w:t xml:space="preserve">05/1997 - </w:t>
            </w:r>
            <w:r>
              <w:rPr>
                <w:rFonts w:cs="Arial"/>
                <w:color w:val="000000"/>
                <w:szCs w:val="20"/>
              </w:rPr>
              <w:t>11</w:t>
            </w:r>
            <w:r w:rsidRPr="00B9354F">
              <w:rPr>
                <w:rFonts w:cs="Arial"/>
                <w:color w:val="000000"/>
                <w:szCs w:val="20"/>
              </w:rPr>
              <w:t>/201</w:t>
            </w:r>
            <w:r>
              <w:rPr>
                <w:rFonts w:cs="Arial"/>
                <w:color w:val="000000"/>
                <w:szCs w:val="20"/>
              </w:rPr>
              <w:t>7</w:t>
            </w:r>
          </w:p>
        </w:tc>
        <w:tc>
          <w:tcPr>
            <w:tcW w:w="921" w:type="dxa"/>
            <w:tcBorders>
              <w:top w:val="nil"/>
              <w:bottom w:val="nil"/>
              <w:right w:val="nil"/>
            </w:tcBorders>
            <w:tcMar>
              <w:top w:w="28" w:type="dxa"/>
              <w:bottom w:w="28" w:type="dxa"/>
            </w:tcMar>
          </w:tcPr>
          <w:p w14:paraId="3763A0EC" w14:textId="77777777" w:rsidR="005F7696" w:rsidRPr="00B9354F" w:rsidRDefault="005F7696" w:rsidP="000853E1">
            <w:pPr>
              <w:spacing w:before="0" w:after="0"/>
              <w:ind w:left="-57" w:right="-57"/>
              <w:jc w:val="right"/>
              <w:rPr>
                <w:rFonts w:cs="Arial"/>
                <w:szCs w:val="20"/>
              </w:rPr>
            </w:pPr>
            <w:r w:rsidRPr="006975B8">
              <w:t>397</w:t>
            </w:r>
          </w:p>
        </w:tc>
        <w:tc>
          <w:tcPr>
            <w:tcW w:w="922" w:type="dxa"/>
            <w:tcBorders>
              <w:top w:val="nil"/>
              <w:left w:val="nil"/>
              <w:bottom w:val="nil"/>
            </w:tcBorders>
            <w:tcMar>
              <w:top w:w="28" w:type="dxa"/>
              <w:bottom w:w="28" w:type="dxa"/>
            </w:tcMar>
          </w:tcPr>
          <w:p w14:paraId="04214F69" w14:textId="77777777" w:rsidR="005F7696" w:rsidRPr="00B9354F" w:rsidRDefault="005F7696" w:rsidP="000853E1">
            <w:pPr>
              <w:spacing w:before="0" w:after="0"/>
              <w:ind w:left="-57" w:right="-57"/>
              <w:jc w:val="right"/>
              <w:rPr>
                <w:rFonts w:cs="Arial"/>
                <w:szCs w:val="20"/>
              </w:rPr>
            </w:pPr>
            <w:r w:rsidRPr="006975B8">
              <w:t>242</w:t>
            </w:r>
          </w:p>
        </w:tc>
        <w:tc>
          <w:tcPr>
            <w:tcW w:w="709" w:type="dxa"/>
            <w:tcBorders>
              <w:top w:val="nil"/>
              <w:bottom w:val="nil"/>
              <w:right w:val="nil"/>
            </w:tcBorders>
            <w:tcMar>
              <w:top w:w="28" w:type="dxa"/>
              <w:bottom w:w="28" w:type="dxa"/>
            </w:tcMar>
          </w:tcPr>
          <w:p w14:paraId="0CF0222D" w14:textId="77777777" w:rsidR="005F7696" w:rsidRPr="00B9354F" w:rsidRDefault="005F7696" w:rsidP="000853E1">
            <w:pPr>
              <w:spacing w:before="0" w:after="0"/>
              <w:ind w:left="-57" w:right="-57"/>
              <w:jc w:val="right"/>
              <w:rPr>
                <w:rFonts w:cs="Arial"/>
                <w:szCs w:val="20"/>
              </w:rPr>
            </w:pPr>
            <w:r w:rsidRPr="00424795">
              <w:t>67</w:t>
            </w:r>
          </w:p>
        </w:tc>
        <w:tc>
          <w:tcPr>
            <w:tcW w:w="709" w:type="dxa"/>
            <w:tcBorders>
              <w:top w:val="nil"/>
              <w:left w:val="nil"/>
              <w:bottom w:val="nil"/>
              <w:right w:val="nil"/>
            </w:tcBorders>
            <w:tcMar>
              <w:top w:w="28" w:type="dxa"/>
              <w:bottom w:w="28" w:type="dxa"/>
            </w:tcMar>
          </w:tcPr>
          <w:p w14:paraId="735BC035" w14:textId="77777777" w:rsidR="005F7696" w:rsidRPr="00B9354F" w:rsidRDefault="005F7696" w:rsidP="000853E1">
            <w:pPr>
              <w:spacing w:before="0" w:after="0"/>
              <w:ind w:left="-57" w:right="-57"/>
              <w:jc w:val="right"/>
              <w:rPr>
                <w:rFonts w:cs="Arial"/>
                <w:szCs w:val="20"/>
              </w:rPr>
            </w:pPr>
            <w:r w:rsidRPr="00424795">
              <w:t>175</w:t>
            </w:r>
          </w:p>
        </w:tc>
        <w:tc>
          <w:tcPr>
            <w:tcW w:w="709" w:type="dxa"/>
            <w:tcBorders>
              <w:top w:val="nil"/>
              <w:left w:val="nil"/>
              <w:bottom w:val="nil"/>
              <w:right w:val="nil"/>
            </w:tcBorders>
            <w:tcMar>
              <w:top w:w="28" w:type="dxa"/>
              <w:bottom w:w="28" w:type="dxa"/>
            </w:tcMar>
          </w:tcPr>
          <w:p w14:paraId="21E9A35F" w14:textId="77777777" w:rsidR="005F7696" w:rsidRPr="00B9354F" w:rsidRDefault="005F7696" w:rsidP="000853E1">
            <w:pPr>
              <w:spacing w:before="0" w:after="0"/>
              <w:ind w:left="-57" w:right="-57"/>
              <w:jc w:val="right"/>
              <w:rPr>
                <w:rFonts w:cs="Arial"/>
                <w:szCs w:val="20"/>
              </w:rPr>
            </w:pPr>
            <w:r w:rsidRPr="00424795">
              <w:t>-</w:t>
            </w:r>
          </w:p>
        </w:tc>
        <w:tc>
          <w:tcPr>
            <w:tcW w:w="709" w:type="dxa"/>
            <w:tcBorders>
              <w:top w:val="nil"/>
              <w:left w:val="nil"/>
              <w:bottom w:val="nil"/>
            </w:tcBorders>
            <w:tcMar>
              <w:top w:w="28" w:type="dxa"/>
              <w:bottom w:w="28" w:type="dxa"/>
            </w:tcMar>
          </w:tcPr>
          <w:p w14:paraId="1B2D3F91" w14:textId="77777777" w:rsidR="005F7696" w:rsidRPr="00B9354F" w:rsidRDefault="005F7696" w:rsidP="000853E1">
            <w:pPr>
              <w:spacing w:before="0" w:after="0"/>
              <w:ind w:left="-57"/>
              <w:jc w:val="right"/>
              <w:rPr>
                <w:rFonts w:cs="Arial"/>
                <w:szCs w:val="20"/>
              </w:rPr>
            </w:pPr>
            <w:r w:rsidRPr="00424795">
              <w:t>-</w:t>
            </w:r>
          </w:p>
        </w:tc>
      </w:tr>
      <w:tr w:rsidR="005F7696" w:rsidRPr="00B9354F" w14:paraId="48900930" w14:textId="77777777" w:rsidTr="000853E1">
        <w:tc>
          <w:tcPr>
            <w:tcW w:w="845" w:type="dxa"/>
            <w:vMerge w:val="restart"/>
            <w:tcMar>
              <w:top w:w="28" w:type="dxa"/>
              <w:bottom w:w="28" w:type="dxa"/>
            </w:tcMar>
            <w:vAlign w:val="center"/>
          </w:tcPr>
          <w:p w14:paraId="540B9EA8" w14:textId="77777777" w:rsidR="005F7696" w:rsidRPr="00B9354F" w:rsidRDefault="005F7696" w:rsidP="000853E1">
            <w:pPr>
              <w:spacing w:before="0" w:after="0"/>
              <w:ind w:right="-57"/>
              <w:rPr>
                <w:rFonts w:cs="Arial"/>
                <w:szCs w:val="20"/>
              </w:rPr>
            </w:pPr>
            <w:r w:rsidRPr="00B9354F">
              <w:rPr>
                <w:rFonts w:cs="Arial"/>
                <w:color w:val="000000"/>
                <w:sz w:val="22"/>
                <w:szCs w:val="22"/>
              </w:rPr>
              <w:t>NSW</w:t>
            </w:r>
          </w:p>
        </w:tc>
        <w:tc>
          <w:tcPr>
            <w:tcW w:w="710" w:type="dxa"/>
            <w:tcBorders>
              <w:bottom w:val="nil"/>
            </w:tcBorders>
            <w:tcMar>
              <w:top w:w="28" w:type="dxa"/>
              <w:bottom w:w="28" w:type="dxa"/>
            </w:tcMar>
            <w:vAlign w:val="center"/>
          </w:tcPr>
          <w:p w14:paraId="5CD2690C" w14:textId="77777777" w:rsidR="005F7696" w:rsidRPr="00B9354F" w:rsidRDefault="005F7696" w:rsidP="000853E1">
            <w:pPr>
              <w:spacing w:before="0" w:after="0"/>
              <w:ind w:left="-57" w:right="-57"/>
              <w:jc w:val="center"/>
              <w:rPr>
                <w:rFonts w:cs="Arial"/>
                <w:szCs w:val="20"/>
              </w:rPr>
            </w:pPr>
            <w:r w:rsidRPr="00B9354F">
              <w:rPr>
                <w:rFonts w:cs="Arial"/>
                <w:szCs w:val="20"/>
              </w:rPr>
              <w:t>A</w:t>
            </w:r>
          </w:p>
        </w:tc>
        <w:tc>
          <w:tcPr>
            <w:tcW w:w="992" w:type="dxa"/>
            <w:vMerge w:val="restart"/>
            <w:tcBorders>
              <w:bottom w:val="nil"/>
            </w:tcBorders>
            <w:tcMar>
              <w:top w:w="28" w:type="dxa"/>
              <w:bottom w:w="28" w:type="dxa"/>
            </w:tcMar>
            <w:vAlign w:val="center"/>
          </w:tcPr>
          <w:p w14:paraId="0F14DF48" w14:textId="77777777" w:rsidR="005F7696" w:rsidRPr="00B9354F" w:rsidRDefault="005F7696" w:rsidP="000853E1">
            <w:pPr>
              <w:spacing w:before="0" w:after="0"/>
              <w:ind w:left="-57" w:right="-57"/>
              <w:jc w:val="center"/>
              <w:rPr>
                <w:rFonts w:cs="Arial"/>
                <w:szCs w:val="20"/>
              </w:rPr>
            </w:pPr>
            <w:r>
              <w:rPr>
                <w:rFonts w:cs="Arial"/>
                <w:szCs w:val="20"/>
              </w:rPr>
              <w:t>11</w:t>
            </w:r>
            <w:r w:rsidRPr="00B9354F">
              <w:rPr>
                <w:rFonts w:cs="Arial"/>
                <w:szCs w:val="20"/>
              </w:rPr>
              <w:t>/20</w:t>
            </w:r>
            <w:r>
              <w:rPr>
                <w:rFonts w:cs="Arial"/>
                <w:szCs w:val="20"/>
              </w:rPr>
              <w:t>21</w:t>
            </w:r>
          </w:p>
        </w:tc>
        <w:tc>
          <w:tcPr>
            <w:tcW w:w="1983" w:type="dxa"/>
            <w:tcBorders>
              <w:bottom w:val="nil"/>
            </w:tcBorders>
            <w:tcMar>
              <w:top w:w="28" w:type="dxa"/>
              <w:bottom w:w="28" w:type="dxa"/>
            </w:tcMar>
            <w:vAlign w:val="center"/>
          </w:tcPr>
          <w:p w14:paraId="2EC6928B" w14:textId="77777777" w:rsidR="005F7696" w:rsidRPr="00B9354F" w:rsidRDefault="005F7696" w:rsidP="000853E1">
            <w:pPr>
              <w:spacing w:before="0" w:after="0"/>
              <w:ind w:left="-57" w:right="-57"/>
              <w:jc w:val="center"/>
              <w:rPr>
                <w:rFonts w:cs="Arial"/>
                <w:szCs w:val="20"/>
              </w:rPr>
            </w:pPr>
            <w:r w:rsidRPr="00B9354F">
              <w:rPr>
                <w:rFonts w:cs="Arial"/>
                <w:color w:val="000000"/>
                <w:szCs w:val="20"/>
              </w:rPr>
              <w:t>0</w:t>
            </w:r>
            <w:r>
              <w:rPr>
                <w:rFonts w:cs="Arial"/>
                <w:color w:val="000000"/>
                <w:szCs w:val="20"/>
              </w:rPr>
              <w:t>6</w:t>
            </w:r>
            <w:r w:rsidRPr="00B9354F">
              <w:rPr>
                <w:rFonts w:cs="Arial"/>
                <w:color w:val="000000"/>
                <w:szCs w:val="20"/>
              </w:rPr>
              <w:t>/2001 - 03/20</w:t>
            </w:r>
            <w:r>
              <w:rPr>
                <w:rFonts w:cs="Arial"/>
                <w:color w:val="000000"/>
                <w:szCs w:val="20"/>
              </w:rPr>
              <w:t>21</w:t>
            </w:r>
          </w:p>
        </w:tc>
        <w:tc>
          <w:tcPr>
            <w:tcW w:w="921" w:type="dxa"/>
            <w:tcBorders>
              <w:bottom w:val="nil"/>
              <w:right w:val="nil"/>
            </w:tcBorders>
            <w:tcMar>
              <w:top w:w="28" w:type="dxa"/>
              <w:bottom w:w="28" w:type="dxa"/>
            </w:tcMar>
          </w:tcPr>
          <w:p w14:paraId="12F0999E" w14:textId="77777777" w:rsidR="005F7696" w:rsidRPr="00B9354F" w:rsidRDefault="005F7696" w:rsidP="000853E1">
            <w:pPr>
              <w:spacing w:before="0" w:after="0"/>
              <w:ind w:left="-57" w:right="-57"/>
              <w:jc w:val="right"/>
              <w:rPr>
                <w:rFonts w:cs="Arial"/>
                <w:szCs w:val="20"/>
              </w:rPr>
            </w:pPr>
            <w:r w:rsidRPr="00BC69F5">
              <w:t>120,540</w:t>
            </w:r>
          </w:p>
        </w:tc>
        <w:tc>
          <w:tcPr>
            <w:tcW w:w="922" w:type="dxa"/>
            <w:tcBorders>
              <w:left w:val="nil"/>
              <w:bottom w:val="nil"/>
            </w:tcBorders>
            <w:tcMar>
              <w:top w:w="28" w:type="dxa"/>
              <w:bottom w:w="28" w:type="dxa"/>
            </w:tcMar>
          </w:tcPr>
          <w:p w14:paraId="334201F0" w14:textId="77777777" w:rsidR="005F7696" w:rsidRPr="00B9354F" w:rsidRDefault="005F7696" w:rsidP="000853E1">
            <w:pPr>
              <w:spacing w:before="0" w:after="0"/>
              <w:ind w:left="-57" w:right="-57"/>
              <w:jc w:val="right"/>
              <w:rPr>
                <w:rFonts w:cs="Arial"/>
                <w:szCs w:val="20"/>
              </w:rPr>
            </w:pPr>
            <w:r w:rsidRPr="00BC69F5">
              <w:t>15,465</w:t>
            </w:r>
          </w:p>
        </w:tc>
        <w:tc>
          <w:tcPr>
            <w:tcW w:w="709" w:type="dxa"/>
            <w:tcBorders>
              <w:bottom w:val="nil"/>
              <w:right w:val="nil"/>
            </w:tcBorders>
            <w:tcMar>
              <w:top w:w="28" w:type="dxa"/>
              <w:bottom w:w="28" w:type="dxa"/>
            </w:tcMar>
          </w:tcPr>
          <w:p w14:paraId="06512F3B" w14:textId="77777777" w:rsidR="005F7696" w:rsidRPr="00B9354F" w:rsidRDefault="005F7696" w:rsidP="000853E1">
            <w:pPr>
              <w:spacing w:before="0" w:after="0"/>
              <w:ind w:left="-57" w:right="-57"/>
              <w:jc w:val="right"/>
              <w:rPr>
                <w:rFonts w:cs="Arial"/>
                <w:szCs w:val="20"/>
              </w:rPr>
            </w:pPr>
            <w:r w:rsidRPr="00BC69F5">
              <w:t>4,148</w:t>
            </w:r>
          </w:p>
        </w:tc>
        <w:tc>
          <w:tcPr>
            <w:tcW w:w="709" w:type="dxa"/>
            <w:tcBorders>
              <w:left w:val="nil"/>
              <w:bottom w:val="nil"/>
              <w:right w:val="nil"/>
            </w:tcBorders>
            <w:tcMar>
              <w:top w:w="28" w:type="dxa"/>
              <w:bottom w:w="28" w:type="dxa"/>
            </w:tcMar>
          </w:tcPr>
          <w:p w14:paraId="738D9225" w14:textId="77777777" w:rsidR="005F7696" w:rsidRPr="00B9354F" w:rsidRDefault="005F7696" w:rsidP="000853E1">
            <w:pPr>
              <w:spacing w:before="0" w:after="0"/>
              <w:ind w:left="-57" w:right="-57"/>
              <w:jc w:val="right"/>
              <w:rPr>
                <w:rFonts w:cs="Arial"/>
                <w:szCs w:val="20"/>
              </w:rPr>
            </w:pPr>
            <w:r w:rsidRPr="00BC69F5">
              <w:t>3,680</w:t>
            </w:r>
          </w:p>
        </w:tc>
        <w:tc>
          <w:tcPr>
            <w:tcW w:w="709" w:type="dxa"/>
            <w:tcBorders>
              <w:left w:val="nil"/>
              <w:bottom w:val="nil"/>
              <w:right w:val="nil"/>
            </w:tcBorders>
            <w:tcMar>
              <w:top w:w="28" w:type="dxa"/>
              <w:bottom w:w="28" w:type="dxa"/>
            </w:tcMar>
          </w:tcPr>
          <w:p w14:paraId="192C79A0" w14:textId="77777777" w:rsidR="005F7696" w:rsidRPr="00B9354F" w:rsidRDefault="005F7696" w:rsidP="000853E1">
            <w:pPr>
              <w:spacing w:before="0" w:after="0"/>
              <w:ind w:left="-57" w:right="-57"/>
              <w:jc w:val="right"/>
              <w:rPr>
                <w:rFonts w:cs="Arial"/>
                <w:szCs w:val="20"/>
              </w:rPr>
            </w:pPr>
            <w:r w:rsidRPr="00BC69F5">
              <w:t>3,697</w:t>
            </w:r>
          </w:p>
        </w:tc>
        <w:tc>
          <w:tcPr>
            <w:tcW w:w="709" w:type="dxa"/>
            <w:tcBorders>
              <w:left w:val="nil"/>
              <w:bottom w:val="nil"/>
            </w:tcBorders>
            <w:tcMar>
              <w:top w:w="28" w:type="dxa"/>
              <w:bottom w:w="28" w:type="dxa"/>
            </w:tcMar>
          </w:tcPr>
          <w:p w14:paraId="5A429D0E" w14:textId="77777777" w:rsidR="005F7696" w:rsidRPr="00B9354F" w:rsidRDefault="005F7696" w:rsidP="000853E1">
            <w:pPr>
              <w:spacing w:before="0" w:after="0"/>
              <w:ind w:left="-57"/>
              <w:jc w:val="right"/>
              <w:rPr>
                <w:rFonts w:cs="Arial"/>
                <w:szCs w:val="20"/>
              </w:rPr>
            </w:pPr>
            <w:r w:rsidRPr="00BC69F5">
              <w:t>3,940</w:t>
            </w:r>
          </w:p>
        </w:tc>
      </w:tr>
      <w:tr w:rsidR="005F7696" w:rsidRPr="00B9354F" w14:paraId="454929AF" w14:textId="77777777" w:rsidTr="000853E1">
        <w:tc>
          <w:tcPr>
            <w:tcW w:w="845" w:type="dxa"/>
            <w:vMerge/>
            <w:tcMar>
              <w:top w:w="28" w:type="dxa"/>
              <w:bottom w:w="28" w:type="dxa"/>
            </w:tcMar>
            <w:vAlign w:val="center"/>
          </w:tcPr>
          <w:p w14:paraId="58BD4DE1" w14:textId="77777777" w:rsidR="005F7696" w:rsidRPr="00B9354F" w:rsidRDefault="005F7696" w:rsidP="000853E1">
            <w:pPr>
              <w:spacing w:before="0" w:after="0"/>
              <w:ind w:right="-57"/>
              <w:rPr>
                <w:rFonts w:cs="Arial"/>
                <w:color w:val="000000"/>
                <w:sz w:val="22"/>
                <w:szCs w:val="22"/>
              </w:rPr>
            </w:pPr>
          </w:p>
        </w:tc>
        <w:tc>
          <w:tcPr>
            <w:tcW w:w="710" w:type="dxa"/>
            <w:tcBorders>
              <w:top w:val="nil"/>
              <w:bottom w:val="nil"/>
            </w:tcBorders>
            <w:tcMar>
              <w:top w:w="28" w:type="dxa"/>
              <w:bottom w:w="28" w:type="dxa"/>
            </w:tcMar>
            <w:vAlign w:val="center"/>
          </w:tcPr>
          <w:p w14:paraId="7161899A" w14:textId="77777777" w:rsidR="005F7696" w:rsidRPr="00B9354F" w:rsidRDefault="005F7696" w:rsidP="000853E1">
            <w:pPr>
              <w:spacing w:before="0" w:after="0"/>
              <w:ind w:left="-57" w:right="-57"/>
              <w:jc w:val="center"/>
              <w:rPr>
                <w:rFonts w:cs="Arial"/>
                <w:szCs w:val="20"/>
              </w:rPr>
            </w:pPr>
            <w:r w:rsidRPr="00B9354F">
              <w:rPr>
                <w:rFonts w:cs="Arial"/>
                <w:szCs w:val="20"/>
              </w:rPr>
              <w:t>E</w:t>
            </w:r>
          </w:p>
        </w:tc>
        <w:tc>
          <w:tcPr>
            <w:tcW w:w="992" w:type="dxa"/>
            <w:vMerge/>
            <w:tcBorders>
              <w:top w:val="nil"/>
              <w:bottom w:val="nil"/>
            </w:tcBorders>
            <w:tcMar>
              <w:top w:w="28" w:type="dxa"/>
              <w:bottom w:w="28" w:type="dxa"/>
            </w:tcMar>
            <w:vAlign w:val="center"/>
          </w:tcPr>
          <w:p w14:paraId="45E8C31E" w14:textId="77777777" w:rsidR="005F7696" w:rsidRPr="00B9354F" w:rsidRDefault="005F7696" w:rsidP="000853E1">
            <w:pPr>
              <w:spacing w:before="0" w:after="0"/>
              <w:ind w:left="-57" w:right="-57"/>
              <w:jc w:val="center"/>
              <w:rPr>
                <w:rFonts w:cs="Arial"/>
                <w:szCs w:val="20"/>
              </w:rPr>
            </w:pPr>
          </w:p>
        </w:tc>
        <w:tc>
          <w:tcPr>
            <w:tcW w:w="1983" w:type="dxa"/>
            <w:tcBorders>
              <w:top w:val="nil"/>
              <w:bottom w:val="nil"/>
            </w:tcBorders>
            <w:tcMar>
              <w:top w:w="28" w:type="dxa"/>
              <w:bottom w:w="28" w:type="dxa"/>
            </w:tcMar>
            <w:vAlign w:val="center"/>
          </w:tcPr>
          <w:p w14:paraId="0D923E94" w14:textId="77777777" w:rsidR="005F7696" w:rsidRPr="00B9354F" w:rsidRDefault="005F7696" w:rsidP="000853E1">
            <w:pPr>
              <w:spacing w:before="0" w:after="0"/>
              <w:ind w:left="-57" w:right="-57"/>
              <w:jc w:val="center"/>
              <w:rPr>
                <w:rFonts w:cs="Arial"/>
                <w:color w:val="000000"/>
                <w:szCs w:val="20"/>
              </w:rPr>
            </w:pPr>
            <w:r w:rsidRPr="00B9354F">
              <w:rPr>
                <w:rFonts w:cs="Arial"/>
                <w:color w:val="000000"/>
                <w:szCs w:val="20"/>
              </w:rPr>
              <w:t>01/2005 - 03/20</w:t>
            </w:r>
            <w:r>
              <w:rPr>
                <w:rFonts w:cs="Arial"/>
                <w:color w:val="000000"/>
                <w:szCs w:val="20"/>
              </w:rPr>
              <w:t>21</w:t>
            </w:r>
          </w:p>
        </w:tc>
        <w:tc>
          <w:tcPr>
            <w:tcW w:w="921" w:type="dxa"/>
            <w:tcBorders>
              <w:top w:val="nil"/>
              <w:bottom w:val="nil"/>
              <w:right w:val="nil"/>
            </w:tcBorders>
            <w:tcMar>
              <w:top w:w="28" w:type="dxa"/>
              <w:bottom w:w="28" w:type="dxa"/>
            </w:tcMar>
          </w:tcPr>
          <w:p w14:paraId="3E775DBA" w14:textId="77777777" w:rsidR="005F7696" w:rsidRPr="00B9354F" w:rsidRDefault="005F7696" w:rsidP="000853E1">
            <w:pPr>
              <w:spacing w:before="0" w:after="0"/>
              <w:ind w:left="-57" w:right="-57"/>
              <w:jc w:val="right"/>
              <w:rPr>
                <w:rFonts w:cs="Arial"/>
                <w:color w:val="000000"/>
                <w:szCs w:val="20"/>
              </w:rPr>
            </w:pPr>
            <w:r w:rsidRPr="00A75AD3">
              <w:t>76,750</w:t>
            </w:r>
          </w:p>
        </w:tc>
        <w:tc>
          <w:tcPr>
            <w:tcW w:w="922" w:type="dxa"/>
            <w:tcBorders>
              <w:top w:val="nil"/>
              <w:left w:val="nil"/>
              <w:bottom w:val="nil"/>
            </w:tcBorders>
            <w:tcMar>
              <w:top w:w="28" w:type="dxa"/>
              <w:bottom w:w="28" w:type="dxa"/>
            </w:tcMar>
          </w:tcPr>
          <w:p w14:paraId="045377A0" w14:textId="77777777" w:rsidR="005F7696" w:rsidRPr="00B9354F" w:rsidRDefault="005F7696" w:rsidP="000853E1">
            <w:pPr>
              <w:spacing w:before="0" w:after="0"/>
              <w:ind w:left="-57" w:right="-57"/>
              <w:jc w:val="right"/>
              <w:rPr>
                <w:rFonts w:cs="Arial"/>
                <w:color w:val="000000"/>
                <w:szCs w:val="20"/>
              </w:rPr>
            </w:pPr>
            <w:r w:rsidRPr="00A75AD3">
              <w:t>14,173</w:t>
            </w:r>
          </w:p>
        </w:tc>
        <w:tc>
          <w:tcPr>
            <w:tcW w:w="709" w:type="dxa"/>
            <w:tcBorders>
              <w:top w:val="nil"/>
              <w:bottom w:val="nil"/>
              <w:right w:val="nil"/>
            </w:tcBorders>
            <w:tcMar>
              <w:top w:w="28" w:type="dxa"/>
              <w:bottom w:w="28" w:type="dxa"/>
            </w:tcMar>
          </w:tcPr>
          <w:p w14:paraId="1120DA71" w14:textId="77777777" w:rsidR="005F7696" w:rsidRPr="00B9354F" w:rsidRDefault="005F7696" w:rsidP="000853E1">
            <w:pPr>
              <w:spacing w:before="0" w:after="0"/>
              <w:ind w:left="-57" w:right="-57"/>
              <w:jc w:val="right"/>
              <w:rPr>
                <w:rFonts w:cs="Arial"/>
                <w:color w:val="000000"/>
                <w:szCs w:val="20"/>
              </w:rPr>
            </w:pPr>
            <w:r w:rsidRPr="00A75AD3">
              <w:t>4,767</w:t>
            </w:r>
          </w:p>
        </w:tc>
        <w:tc>
          <w:tcPr>
            <w:tcW w:w="709" w:type="dxa"/>
            <w:tcBorders>
              <w:top w:val="nil"/>
              <w:left w:val="nil"/>
              <w:bottom w:val="nil"/>
              <w:right w:val="nil"/>
            </w:tcBorders>
            <w:tcMar>
              <w:top w:w="28" w:type="dxa"/>
              <w:bottom w:w="28" w:type="dxa"/>
            </w:tcMar>
          </w:tcPr>
          <w:p w14:paraId="3468E610" w14:textId="77777777" w:rsidR="005F7696" w:rsidRPr="00B9354F" w:rsidRDefault="005F7696" w:rsidP="000853E1">
            <w:pPr>
              <w:spacing w:before="0" w:after="0"/>
              <w:ind w:left="-57" w:right="-57"/>
              <w:jc w:val="right"/>
              <w:rPr>
                <w:rFonts w:cs="Arial"/>
                <w:color w:val="000000"/>
                <w:szCs w:val="20"/>
              </w:rPr>
            </w:pPr>
            <w:r w:rsidRPr="00A75AD3">
              <w:t>2,973</w:t>
            </w:r>
          </w:p>
        </w:tc>
        <w:tc>
          <w:tcPr>
            <w:tcW w:w="709" w:type="dxa"/>
            <w:tcBorders>
              <w:top w:val="nil"/>
              <w:left w:val="nil"/>
              <w:bottom w:val="nil"/>
              <w:right w:val="nil"/>
            </w:tcBorders>
            <w:tcMar>
              <w:top w:w="28" w:type="dxa"/>
              <w:bottom w:w="28" w:type="dxa"/>
            </w:tcMar>
          </w:tcPr>
          <w:p w14:paraId="374EB274" w14:textId="77777777" w:rsidR="005F7696" w:rsidRPr="00B9354F" w:rsidRDefault="005F7696" w:rsidP="000853E1">
            <w:pPr>
              <w:spacing w:before="0" w:after="0"/>
              <w:ind w:left="-57" w:right="-57"/>
              <w:jc w:val="right"/>
              <w:rPr>
                <w:rFonts w:cs="Arial"/>
                <w:color w:val="000000"/>
                <w:szCs w:val="20"/>
              </w:rPr>
            </w:pPr>
            <w:r w:rsidRPr="00A75AD3">
              <w:t>3,226</w:t>
            </w:r>
          </w:p>
        </w:tc>
        <w:tc>
          <w:tcPr>
            <w:tcW w:w="709" w:type="dxa"/>
            <w:tcBorders>
              <w:top w:val="nil"/>
              <w:left w:val="nil"/>
              <w:bottom w:val="nil"/>
            </w:tcBorders>
            <w:tcMar>
              <w:top w:w="28" w:type="dxa"/>
              <w:bottom w:w="28" w:type="dxa"/>
            </w:tcMar>
          </w:tcPr>
          <w:p w14:paraId="6120E049" w14:textId="77777777" w:rsidR="005F7696" w:rsidRPr="00B9354F" w:rsidRDefault="005F7696" w:rsidP="000853E1">
            <w:pPr>
              <w:spacing w:before="0" w:after="0"/>
              <w:ind w:left="-57"/>
              <w:jc w:val="right"/>
              <w:rPr>
                <w:rFonts w:cs="Arial"/>
                <w:color w:val="000000"/>
                <w:szCs w:val="20"/>
              </w:rPr>
            </w:pPr>
            <w:r w:rsidRPr="00A75AD3">
              <w:t>3,207</w:t>
            </w:r>
          </w:p>
        </w:tc>
      </w:tr>
      <w:tr w:rsidR="005F7696" w:rsidRPr="00B9354F" w14:paraId="754AAE01" w14:textId="77777777" w:rsidTr="000853E1">
        <w:tc>
          <w:tcPr>
            <w:tcW w:w="845" w:type="dxa"/>
            <w:vMerge/>
            <w:tcMar>
              <w:top w:w="28" w:type="dxa"/>
              <w:bottom w:w="28" w:type="dxa"/>
            </w:tcMar>
            <w:vAlign w:val="center"/>
          </w:tcPr>
          <w:p w14:paraId="22D0FE42" w14:textId="77777777" w:rsidR="005F7696" w:rsidRPr="00B9354F" w:rsidRDefault="005F7696" w:rsidP="000853E1">
            <w:pPr>
              <w:spacing w:before="0" w:after="0"/>
              <w:ind w:right="-57"/>
              <w:rPr>
                <w:rFonts w:cs="Arial"/>
                <w:szCs w:val="20"/>
              </w:rPr>
            </w:pPr>
          </w:p>
        </w:tc>
        <w:tc>
          <w:tcPr>
            <w:tcW w:w="710" w:type="dxa"/>
            <w:tcBorders>
              <w:top w:val="nil"/>
              <w:bottom w:val="single" w:sz="4" w:space="0" w:color="auto"/>
            </w:tcBorders>
            <w:tcMar>
              <w:top w:w="28" w:type="dxa"/>
              <w:bottom w:w="28" w:type="dxa"/>
            </w:tcMar>
            <w:vAlign w:val="center"/>
          </w:tcPr>
          <w:p w14:paraId="46B70218" w14:textId="77777777" w:rsidR="005F7696" w:rsidRPr="00B9354F" w:rsidRDefault="005F7696" w:rsidP="000853E1">
            <w:pPr>
              <w:spacing w:before="0" w:after="0"/>
              <w:ind w:left="-57" w:right="-57"/>
              <w:jc w:val="center"/>
              <w:rPr>
                <w:rFonts w:cs="Arial"/>
                <w:szCs w:val="20"/>
              </w:rPr>
            </w:pPr>
            <w:r w:rsidRPr="00B9354F">
              <w:rPr>
                <w:rFonts w:cs="Arial"/>
                <w:szCs w:val="20"/>
              </w:rPr>
              <w:t>P</w:t>
            </w:r>
          </w:p>
        </w:tc>
        <w:tc>
          <w:tcPr>
            <w:tcW w:w="992" w:type="dxa"/>
            <w:vMerge/>
            <w:tcBorders>
              <w:top w:val="nil"/>
              <w:bottom w:val="single" w:sz="4" w:space="0" w:color="auto"/>
            </w:tcBorders>
            <w:tcMar>
              <w:top w:w="28" w:type="dxa"/>
              <w:bottom w:w="28" w:type="dxa"/>
            </w:tcMar>
            <w:vAlign w:val="center"/>
          </w:tcPr>
          <w:p w14:paraId="75D81D92" w14:textId="77777777" w:rsidR="005F7696" w:rsidRPr="00B9354F" w:rsidRDefault="005F7696" w:rsidP="000853E1">
            <w:pPr>
              <w:spacing w:before="0" w:after="0"/>
              <w:ind w:left="-57" w:right="-57"/>
              <w:jc w:val="center"/>
              <w:rPr>
                <w:rFonts w:cs="Arial"/>
                <w:szCs w:val="20"/>
              </w:rPr>
            </w:pPr>
          </w:p>
        </w:tc>
        <w:tc>
          <w:tcPr>
            <w:tcW w:w="1983" w:type="dxa"/>
            <w:tcBorders>
              <w:top w:val="nil"/>
              <w:bottom w:val="single" w:sz="4" w:space="0" w:color="auto"/>
            </w:tcBorders>
            <w:tcMar>
              <w:top w:w="28" w:type="dxa"/>
              <w:bottom w:w="28" w:type="dxa"/>
            </w:tcMar>
            <w:vAlign w:val="center"/>
          </w:tcPr>
          <w:p w14:paraId="7EF3557C" w14:textId="77777777" w:rsidR="005F7696" w:rsidRPr="00B9354F" w:rsidRDefault="005F7696" w:rsidP="000853E1">
            <w:pPr>
              <w:spacing w:before="0" w:after="0"/>
              <w:ind w:left="-57" w:right="-57"/>
              <w:jc w:val="center"/>
              <w:rPr>
                <w:rFonts w:cs="Arial"/>
                <w:szCs w:val="20"/>
              </w:rPr>
            </w:pPr>
            <w:r w:rsidRPr="00B9354F">
              <w:rPr>
                <w:rFonts w:cs="Arial"/>
                <w:color w:val="000000"/>
                <w:szCs w:val="20"/>
              </w:rPr>
              <w:t>01/1994 - 12/20</w:t>
            </w:r>
            <w:r>
              <w:rPr>
                <w:rFonts w:cs="Arial"/>
                <w:color w:val="000000"/>
                <w:szCs w:val="20"/>
              </w:rPr>
              <w:t>20</w:t>
            </w:r>
          </w:p>
        </w:tc>
        <w:tc>
          <w:tcPr>
            <w:tcW w:w="921" w:type="dxa"/>
            <w:tcBorders>
              <w:top w:val="nil"/>
              <w:bottom w:val="single" w:sz="4" w:space="0" w:color="auto"/>
              <w:right w:val="nil"/>
            </w:tcBorders>
            <w:tcMar>
              <w:top w:w="28" w:type="dxa"/>
              <w:bottom w:w="28" w:type="dxa"/>
            </w:tcMar>
          </w:tcPr>
          <w:p w14:paraId="5823622B" w14:textId="77777777" w:rsidR="005F7696" w:rsidRPr="00B9354F" w:rsidRDefault="005F7696" w:rsidP="000853E1">
            <w:pPr>
              <w:spacing w:before="0" w:after="0"/>
              <w:ind w:left="-57" w:right="-57"/>
              <w:jc w:val="right"/>
              <w:rPr>
                <w:rFonts w:cs="Arial"/>
                <w:szCs w:val="20"/>
              </w:rPr>
            </w:pPr>
            <w:r w:rsidRPr="00A0708B">
              <w:t>8,003</w:t>
            </w:r>
          </w:p>
        </w:tc>
        <w:tc>
          <w:tcPr>
            <w:tcW w:w="922" w:type="dxa"/>
            <w:tcBorders>
              <w:top w:val="nil"/>
              <w:left w:val="nil"/>
              <w:bottom w:val="single" w:sz="4" w:space="0" w:color="auto"/>
            </w:tcBorders>
            <w:tcMar>
              <w:top w:w="28" w:type="dxa"/>
              <w:bottom w:w="28" w:type="dxa"/>
            </w:tcMar>
          </w:tcPr>
          <w:p w14:paraId="6079E9A8" w14:textId="77777777" w:rsidR="005F7696" w:rsidRPr="00B9354F" w:rsidRDefault="005F7696" w:rsidP="000853E1">
            <w:pPr>
              <w:spacing w:before="0" w:after="0"/>
              <w:ind w:left="-57" w:right="-57"/>
              <w:jc w:val="right"/>
              <w:rPr>
                <w:rFonts w:cs="Arial"/>
                <w:szCs w:val="20"/>
              </w:rPr>
            </w:pPr>
            <w:r w:rsidRPr="00A0708B">
              <w:t>3,861</w:t>
            </w:r>
          </w:p>
        </w:tc>
        <w:tc>
          <w:tcPr>
            <w:tcW w:w="709" w:type="dxa"/>
            <w:tcBorders>
              <w:top w:val="nil"/>
              <w:bottom w:val="single" w:sz="4" w:space="0" w:color="auto"/>
              <w:right w:val="nil"/>
            </w:tcBorders>
            <w:tcMar>
              <w:top w:w="28" w:type="dxa"/>
              <w:bottom w:w="28" w:type="dxa"/>
            </w:tcMar>
          </w:tcPr>
          <w:p w14:paraId="4005AA4C" w14:textId="77777777" w:rsidR="005F7696" w:rsidRPr="00B9354F" w:rsidRDefault="005F7696" w:rsidP="000853E1">
            <w:pPr>
              <w:spacing w:before="0" w:after="0"/>
              <w:ind w:left="-57" w:right="-57"/>
              <w:jc w:val="right"/>
              <w:rPr>
                <w:rFonts w:cs="Arial"/>
                <w:szCs w:val="20"/>
              </w:rPr>
            </w:pPr>
            <w:r w:rsidRPr="00A0708B">
              <w:t>917</w:t>
            </w:r>
          </w:p>
        </w:tc>
        <w:tc>
          <w:tcPr>
            <w:tcW w:w="709" w:type="dxa"/>
            <w:tcBorders>
              <w:top w:val="nil"/>
              <w:left w:val="nil"/>
              <w:bottom w:val="single" w:sz="4" w:space="0" w:color="auto"/>
              <w:right w:val="nil"/>
            </w:tcBorders>
            <w:tcMar>
              <w:top w:w="28" w:type="dxa"/>
              <w:bottom w:w="28" w:type="dxa"/>
            </w:tcMar>
          </w:tcPr>
          <w:p w14:paraId="3462FE67" w14:textId="77777777" w:rsidR="005F7696" w:rsidRPr="00B9354F" w:rsidRDefault="005F7696" w:rsidP="000853E1">
            <w:pPr>
              <w:spacing w:before="0" w:after="0"/>
              <w:ind w:left="-57" w:right="-57"/>
              <w:jc w:val="right"/>
              <w:rPr>
                <w:rFonts w:cs="Arial"/>
                <w:szCs w:val="20"/>
              </w:rPr>
            </w:pPr>
            <w:r w:rsidRPr="00A0708B">
              <w:t>2,944</w:t>
            </w:r>
          </w:p>
        </w:tc>
        <w:tc>
          <w:tcPr>
            <w:tcW w:w="709" w:type="dxa"/>
            <w:tcBorders>
              <w:top w:val="nil"/>
              <w:left w:val="nil"/>
              <w:bottom w:val="single" w:sz="4" w:space="0" w:color="auto"/>
              <w:right w:val="nil"/>
            </w:tcBorders>
            <w:tcMar>
              <w:top w:w="28" w:type="dxa"/>
              <w:bottom w:w="28" w:type="dxa"/>
            </w:tcMar>
          </w:tcPr>
          <w:p w14:paraId="54C67242" w14:textId="77777777" w:rsidR="005F7696" w:rsidRPr="00B9354F" w:rsidRDefault="005F7696" w:rsidP="000853E1">
            <w:pPr>
              <w:spacing w:before="0" w:after="0"/>
              <w:ind w:left="-57" w:right="-57"/>
              <w:jc w:val="right"/>
              <w:rPr>
                <w:rFonts w:cs="Arial"/>
                <w:szCs w:val="20"/>
              </w:rPr>
            </w:pPr>
            <w:r w:rsidRPr="00A0708B">
              <w:t>-</w:t>
            </w:r>
          </w:p>
        </w:tc>
        <w:tc>
          <w:tcPr>
            <w:tcW w:w="709" w:type="dxa"/>
            <w:tcBorders>
              <w:top w:val="nil"/>
              <w:left w:val="nil"/>
              <w:bottom w:val="single" w:sz="4" w:space="0" w:color="auto"/>
            </w:tcBorders>
            <w:tcMar>
              <w:top w:w="28" w:type="dxa"/>
              <w:bottom w:w="28" w:type="dxa"/>
            </w:tcMar>
          </w:tcPr>
          <w:p w14:paraId="5C1A3AB2" w14:textId="77777777" w:rsidR="005F7696" w:rsidRPr="00B9354F" w:rsidRDefault="005F7696" w:rsidP="000853E1">
            <w:pPr>
              <w:spacing w:before="0" w:after="0"/>
              <w:ind w:left="-57"/>
              <w:jc w:val="right"/>
              <w:rPr>
                <w:rFonts w:cs="Arial"/>
                <w:szCs w:val="20"/>
              </w:rPr>
            </w:pPr>
            <w:r w:rsidRPr="00A0708B">
              <w:t>-</w:t>
            </w:r>
          </w:p>
        </w:tc>
      </w:tr>
      <w:tr w:rsidR="005F7696" w:rsidRPr="00B9354F" w14:paraId="03001788" w14:textId="77777777" w:rsidTr="000853E1">
        <w:tc>
          <w:tcPr>
            <w:tcW w:w="845" w:type="dxa"/>
            <w:vMerge w:val="restart"/>
            <w:tcMar>
              <w:top w:w="28" w:type="dxa"/>
              <w:bottom w:w="28" w:type="dxa"/>
            </w:tcMar>
            <w:vAlign w:val="center"/>
          </w:tcPr>
          <w:p w14:paraId="4D02596B" w14:textId="77777777" w:rsidR="005F7696" w:rsidRPr="00B9354F" w:rsidRDefault="005F7696" w:rsidP="000853E1">
            <w:pPr>
              <w:spacing w:before="0" w:after="0"/>
              <w:ind w:right="-57"/>
              <w:rPr>
                <w:rFonts w:cs="Arial"/>
                <w:szCs w:val="20"/>
              </w:rPr>
            </w:pPr>
            <w:r w:rsidRPr="00B9354F">
              <w:rPr>
                <w:rFonts w:cs="Arial"/>
                <w:color w:val="000000"/>
                <w:sz w:val="22"/>
                <w:szCs w:val="22"/>
              </w:rPr>
              <w:t>NT</w:t>
            </w:r>
          </w:p>
        </w:tc>
        <w:tc>
          <w:tcPr>
            <w:tcW w:w="710" w:type="dxa"/>
            <w:tcBorders>
              <w:bottom w:val="nil"/>
            </w:tcBorders>
            <w:tcMar>
              <w:top w:w="28" w:type="dxa"/>
              <w:bottom w:w="28" w:type="dxa"/>
            </w:tcMar>
            <w:vAlign w:val="center"/>
          </w:tcPr>
          <w:p w14:paraId="6E2D3DDA" w14:textId="77777777" w:rsidR="005F7696" w:rsidRPr="00B9354F" w:rsidRDefault="005F7696" w:rsidP="000853E1">
            <w:pPr>
              <w:spacing w:before="0" w:after="0"/>
              <w:ind w:left="-57" w:right="-57"/>
              <w:jc w:val="center"/>
              <w:rPr>
                <w:rFonts w:cs="Arial"/>
                <w:szCs w:val="20"/>
              </w:rPr>
            </w:pPr>
            <w:r w:rsidRPr="00B9354F">
              <w:rPr>
                <w:rFonts w:cs="Arial"/>
                <w:szCs w:val="20"/>
              </w:rPr>
              <w:t>A</w:t>
            </w:r>
          </w:p>
        </w:tc>
        <w:tc>
          <w:tcPr>
            <w:tcW w:w="992" w:type="dxa"/>
            <w:vMerge w:val="restart"/>
            <w:tcMar>
              <w:top w:w="28" w:type="dxa"/>
              <w:bottom w:w="28" w:type="dxa"/>
            </w:tcMar>
            <w:vAlign w:val="center"/>
          </w:tcPr>
          <w:p w14:paraId="58AAC82F" w14:textId="77777777" w:rsidR="005F7696" w:rsidRPr="00B9354F" w:rsidRDefault="005F7696" w:rsidP="000853E1">
            <w:pPr>
              <w:spacing w:before="0" w:after="0"/>
              <w:ind w:left="-57" w:right="-57"/>
              <w:jc w:val="center"/>
              <w:rPr>
                <w:rFonts w:cs="Arial"/>
                <w:szCs w:val="20"/>
              </w:rPr>
            </w:pPr>
            <w:r w:rsidRPr="00B9354F">
              <w:rPr>
                <w:rFonts w:cs="Arial"/>
                <w:szCs w:val="20"/>
              </w:rPr>
              <w:t>07/2021</w:t>
            </w:r>
          </w:p>
        </w:tc>
        <w:tc>
          <w:tcPr>
            <w:tcW w:w="1983" w:type="dxa"/>
            <w:tcBorders>
              <w:bottom w:val="nil"/>
            </w:tcBorders>
            <w:tcMar>
              <w:top w:w="28" w:type="dxa"/>
              <w:bottom w:w="28" w:type="dxa"/>
            </w:tcMar>
            <w:vAlign w:val="center"/>
          </w:tcPr>
          <w:p w14:paraId="2ACE93CF" w14:textId="77777777" w:rsidR="005F7696" w:rsidRPr="00B9354F" w:rsidRDefault="005F7696" w:rsidP="000853E1">
            <w:pPr>
              <w:spacing w:before="0" w:after="0"/>
              <w:ind w:left="-57" w:right="-57"/>
              <w:jc w:val="center"/>
              <w:rPr>
                <w:rFonts w:cs="Arial"/>
                <w:szCs w:val="20"/>
              </w:rPr>
            </w:pPr>
            <w:r w:rsidRPr="00B9354F">
              <w:rPr>
                <w:rFonts w:cs="Arial"/>
                <w:color w:val="000000"/>
                <w:szCs w:val="20"/>
              </w:rPr>
              <w:t>06/2000 - 06/2019</w:t>
            </w:r>
          </w:p>
        </w:tc>
        <w:tc>
          <w:tcPr>
            <w:tcW w:w="921" w:type="dxa"/>
            <w:tcBorders>
              <w:bottom w:val="nil"/>
              <w:right w:val="nil"/>
            </w:tcBorders>
            <w:tcMar>
              <w:top w:w="28" w:type="dxa"/>
              <w:bottom w:w="28" w:type="dxa"/>
            </w:tcMar>
            <w:vAlign w:val="bottom"/>
          </w:tcPr>
          <w:p w14:paraId="520932C8"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2,7</w:t>
            </w:r>
            <w:r>
              <w:rPr>
                <w:rFonts w:cs="Arial"/>
                <w:color w:val="000000"/>
                <w:szCs w:val="20"/>
              </w:rPr>
              <w:t>5</w:t>
            </w:r>
            <w:r w:rsidRPr="00B9354F">
              <w:rPr>
                <w:rFonts w:cs="Arial"/>
                <w:color w:val="000000"/>
                <w:szCs w:val="20"/>
              </w:rPr>
              <w:t>3</w:t>
            </w:r>
          </w:p>
        </w:tc>
        <w:tc>
          <w:tcPr>
            <w:tcW w:w="922" w:type="dxa"/>
            <w:tcBorders>
              <w:left w:val="nil"/>
              <w:bottom w:val="nil"/>
            </w:tcBorders>
            <w:tcMar>
              <w:top w:w="28" w:type="dxa"/>
              <w:bottom w:w="28" w:type="dxa"/>
            </w:tcMar>
            <w:vAlign w:val="bottom"/>
          </w:tcPr>
          <w:p w14:paraId="45EE008B"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501</w:t>
            </w:r>
          </w:p>
        </w:tc>
        <w:tc>
          <w:tcPr>
            <w:tcW w:w="709" w:type="dxa"/>
            <w:tcBorders>
              <w:bottom w:val="nil"/>
              <w:right w:val="nil"/>
            </w:tcBorders>
            <w:tcMar>
              <w:top w:w="28" w:type="dxa"/>
              <w:bottom w:w="28" w:type="dxa"/>
            </w:tcMar>
            <w:vAlign w:val="bottom"/>
          </w:tcPr>
          <w:p w14:paraId="56979ED3"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1</w:t>
            </w:r>
            <w:r>
              <w:rPr>
                <w:rFonts w:cs="Arial"/>
                <w:color w:val="000000"/>
                <w:szCs w:val="20"/>
              </w:rPr>
              <w:t>48</w:t>
            </w:r>
          </w:p>
        </w:tc>
        <w:tc>
          <w:tcPr>
            <w:tcW w:w="709" w:type="dxa"/>
            <w:tcBorders>
              <w:left w:val="nil"/>
              <w:bottom w:val="nil"/>
              <w:right w:val="nil"/>
            </w:tcBorders>
            <w:tcMar>
              <w:top w:w="28" w:type="dxa"/>
              <w:bottom w:w="28" w:type="dxa"/>
            </w:tcMar>
            <w:vAlign w:val="bottom"/>
          </w:tcPr>
          <w:p w14:paraId="11B4E5B0"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1</w:t>
            </w:r>
            <w:r>
              <w:rPr>
                <w:rFonts w:cs="Arial"/>
                <w:color w:val="000000"/>
                <w:szCs w:val="20"/>
              </w:rPr>
              <w:t>68</w:t>
            </w:r>
          </w:p>
        </w:tc>
        <w:tc>
          <w:tcPr>
            <w:tcW w:w="709" w:type="dxa"/>
            <w:tcBorders>
              <w:left w:val="nil"/>
              <w:bottom w:val="nil"/>
              <w:right w:val="nil"/>
            </w:tcBorders>
            <w:tcMar>
              <w:top w:w="28" w:type="dxa"/>
              <w:bottom w:w="28" w:type="dxa"/>
            </w:tcMar>
            <w:vAlign w:val="bottom"/>
          </w:tcPr>
          <w:p w14:paraId="63DC4D07"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1</w:t>
            </w:r>
            <w:r>
              <w:rPr>
                <w:rFonts w:cs="Arial"/>
                <w:color w:val="000000"/>
                <w:szCs w:val="20"/>
              </w:rPr>
              <w:t>56</w:t>
            </w:r>
          </w:p>
        </w:tc>
        <w:tc>
          <w:tcPr>
            <w:tcW w:w="709" w:type="dxa"/>
            <w:tcBorders>
              <w:left w:val="nil"/>
              <w:bottom w:val="nil"/>
            </w:tcBorders>
            <w:tcMar>
              <w:top w:w="28" w:type="dxa"/>
              <w:bottom w:w="28" w:type="dxa"/>
            </w:tcMar>
            <w:vAlign w:val="bottom"/>
          </w:tcPr>
          <w:p w14:paraId="1583F94F" w14:textId="77777777" w:rsidR="005F7696" w:rsidRPr="00B9354F" w:rsidRDefault="005F7696" w:rsidP="000853E1">
            <w:pPr>
              <w:spacing w:before="0" w:after="0"/>
              <w:ind w:left="-57"/>
              <w:jc w:val="right"/>
              <w:rPr>
                <w:rFonts w:cs="Arial"/>
                <w:szCs w:val="20"/>
              </w:rPr>
            </w:pPr>
            <w:r w:rsidRPr="00B9354F">
              <w:rPr>
                <w:rFonts w:cs="Arial"/>
                <w:color w:val="000000"/>
                <w:szCs w:val="20"/>
              </w:rPr>
              <w:t>29</w:t>
            </w:r>
          </w:p>
        </w:tc>
      </w:tr>
      <w:tr w:rsidR="005F7696" w:rsidRPr="00B9354F" w14:paraId="3918680D" w14:textId="77777777" w:rsidTr="000853E1">
        <w:tc>
          <w:tcPr>
            <w:tcW w:w="845" w:type="dxa"/>
            <w:vMerge/>
            <w:tcMar>
              <w:top w:w="28" w:type="dxa"/>
              <w:bottom w:w="28" w:type="dxa"/>
            </w:tcMar>
            <w:vAlign w:val="center"/>
          </w:tcPr>
          <w:p w14:paraId="359368FD" w14:textId="77777777" w:rsidR="005F7696" w:rsidRPr="00B9354F" w:rsidRDefault="005F7696" w:rsidP="000853E1">
            <w:pPr>
              <w:spacing w:before="0" w:after="0"/>
              <w:ind w:right="-57"/>
              <w:rPr>
                <w:rFonts w:cs="Arial"/>
                <w:color w:val="000000"/>
                <w:sz w:val="22"/>
                <w:szCs w:val="22"/>
              </w:rPr>
            </w:pPr>
          </w:p>
        </w:tc>
        <w:tc>
          <w:tcPr>
            <w:tcW w:w="710" w:type="dxa"/>
            <w:tcBorders>
              <w:top w:val="nil"/>
              <w:bottom w:val="nil"/>
            </w:tcBorders>
            <w:tcMar>
              <w:top w:w="28" w:type="dxa"/>
              <w:bottom w:w="28" w:type="dxa"/>
            </w:tcMar>
            <w:vAlign w:val="center"/>
          </w:tcPr>
          <w:p w14:paraId="732F8EAC" w14:textId="77777777" w:rsidR="005F7696" w:rsidRPr="00B9354F" w:rsidRDefault="005F7696" w:rsidP="000853E1">
            <w:pPr>
              <w:spacing w:before="0" w:after="0"/>
              <w:ind w:left="-57" w:right="-57"/>
              <w:jc w:val="center"/>
              <w:rPr>
                <w:rFonts w:cs="Arial"/>
                <w:szCs w:val="20"/>
              </w:rPr>
            </w:pPr>
            <w:r w:rsidRPr="00B9354F">
              <w:rPr>
                <w:rFonts w:cs="Arial"/>
                <w:szCs w:val="20"/>
              </w:rPr>
              <w:t>E</w:t>
            </w:r>
          </w:p>
        </w:tc>
        <w:tc>
          <w:tcPr>
            <w:tcW w:w="992" w:type="dxa"/>
            <w:vMerge/>
            <w:tcMar>
              <w:top w:w="28" w:type="dxa"/>
              <w:bottom w:w="28" w:type="dxa"/>
            </w:tcMar>
            <w:vAlign w:val="center"/>
          </w:tcPr>
          <w:p w14:paraId="02814863" w14:textId="77777777" w:rsidR="005F7696" w:rsidRPr="00B9354F" w:rsidRDefault="005F7696" w:rsidP="000853E1">
            <w:pPr>
              <w:spacing w:before="0" w:after="0"/>
              <w:ind w:left="-57" w:right="-57"/>
              <w:jc w:val="center"/>
              <w:rPr>
                <w:rFonts w:cs="Arial"/>
                <w:szCs w:val="20"/>
              </w:rPr>
            </w:pPr>
          </w:p>
        </w:tc>
        <w:tc>
          <w:tcPr>
            <w:tcW w:w="1983" w:type="dxa"/>
            <w:tcBorders>
              <w:top w:val="nil"/>
              <w:bottom w:val="nil"/>
            </w:tcBorders>
            <w:tcMar>
              <w:top w:w="28" w:type="dxa"/>
              <w:bottom w:w="28" w:type="dxa"/>
            </w:tcMar>
            <w:vAlign w:val="center"/>
          </w:tcPr>
          <w:p w14:paraId="34C2A0A8" w14:textId="77777777" w:rsidR="005F7696" w:rsidRPr="00B9354F" w:rsidRDefault="005F7696" w:rsidP="000853E1">
            <w:pPr>
              <w:spacing w:before="0" w:after="0"/>
              <w:ind w:left="-57" w:right="-57"/>
              <w:jc w:val="center"/>
              <w:rPr>
                <w:rFonts w:cs="Arial"/>
                <w:color w:val="000000"/>
                <w:szCs w:val="20"/>
              </w:rPr>
            </w:pPr>
            <w:r w:rsidRPr="00B9354F">
              <w:rPr>
                <w:rFonts w:cs="Arial"/>
                <w:color w:val="000000"/>
                <w:szCs w:val="20"/>
              </w:rPr>
              <w:t>07/2000 - 06/2019</w:t>
            </w:r>
          </w:p>
        </w:tc>
        <w:tc>
          <w:tcPr>
            <w:tcW w:w="921" w:type="dxa"/>
            <w:tcBorders>
              <w:top w:val="nil"/>
              <w:bottom w:val="nil"/>
              <w:right w:val="nil"/>
            </w:tcBorders>
            <w:tcMar>
              <w:top w:w="28" w:type="dxa"/>
              <w:bottom w:w="28" w:type="dxa"/>
            </w:tcMar>
            <w:vAlign w:val="bottom"/>
          </w:tcPr>
          <w:p w14:paraId="299A2AB2"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3,</w:t>
            </w:r>
            <w:r>
              <w:rPr>
                <w:rFonts w:cs="Arial"/>
                <w:color w:val="000000"/>
                <w:szCs w:val="20"/>
              </w:rPr>
              <w:t>538</w:t>
            </w:r>
          </w:p>
        </w:tc>
        <w:tc>
          <w:tcPr>
            <w:tcW w:w="922" w:type="dxa"/>
            <w:tcBorders>
              <w:top w:val="nil"/>
              <w:left w:val="nil"/>
              <w:bottom w:val="nil"/>
            </w:tcBorders>
            <w:tcMar>
              <w:top w:w="28" w:type="dxa"/>
              <w:bottom w:w="28" w:type="dxa"/>
            </w:tcMar>
          </w:tcPr>
          <w:p w14:paraId="1A64BB18"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835</w:t>
            </w:r>
          </w:p>
        </w:tc>
        <w:tc>
          <w:tcPr>
            <w:tcW w:w="709" w:type="dxa"/>
            <w:tcBorders>
              <w:top w:val="nil"/>
              <w:bottom w:val="nil"/>
              <w:right w:val="nil"/>
            </w:tcBorders>
            <w:tcMar>
              <w:top w:w="28" w:type="dxa"/>
              <w:bottom w:w="28" w:type="dxa"/>
            </w:tcMar>
          </w:tcPr>
          <w:p w14:paraId="256A45B0" w14:textId="77777777" w:rsidR="005F7696" w:rsidRPr="00B9354F" w:rsidRDefault="005F7696" w:rsidP="000853E1">
            <w:pPr>
              <w:spacing w:before="0" w:after="0"/>
              <w:ind w:left="-57" w:right="-57"/>
              <w:jc w:val="right"/>
              <w:rPr>
                <w:rFonts w:cs="Arial"/>
                <w:color w:val="000000"/>
                <w:szCs w:val="20"/>
              </w:rPr>
            </w:pPr>
            <w:r>
              <w:rPr>
                <w:rFonts w:cs="Arial"/>
                <w:color w:val="000000"/>
                <w:szCs w:val="20"/>
              </w:rPr>
              <w:t>303</w:t>
            </w:r>
            <w:r w:rsidRPr="00B9354F">
              <w:rPr>
                <w:rFonts w:cs="Arial"/>
                <w:color w:val="000000"/>
                <w:szCs w:val="20"/>
              </w:rPr>
              <w:t>?</w:t>
            </w:r>
          </w:p>
        </w:tc>
        <w:tc>
          <w:tcPr>
            <w:tcW w:w="709" w:type="dxa"/>
            <w:tcBorders>
              <w:top w:val="nil"/>
              <w:left w:val="nil"/>
              <w:bottom w:val="nil"/>
              <w:right w:val="nil"/>
            </w:tcBorders>
            <w:tcMar>
              <w:top w:w="28" w:type="dxa"/>
              <w:bottom w:w="28" w:type="dxa"/>
            </w:tcMar>
          </w:tcPr>
          <w:p w14:paraId="79002CBA" w14:textId="77777777" w:rsidR="005F7696" w:rsidRPr="00B9354F" w:rsidRDefault="005F7696" w:rsidP="000853E1">
            <w:pPr>
              <w:spacing w:before="0" w:after="0"/>
              <w:ind w:left="-57" w:right="-57"/>
              <w:jc w:val="right"/>
              <w:rPr>
                <w:rFonts w:cs="Arial"/>
                <w:color w:val="000000"/>
                <w:szCs w:val="20"/>
              </w:rPr>
            </w:pPr>
            <w:r>
              <w:rPr>
                <w:rFonts w:cs="Arial"/>
                <w:color w:val="000000"/>
                <w:szCs w:val="20"/>
              </w:rPr>
              <w:t>213</w:t>
            </w:r>
          </w:p>
        </w:tc>
        <w:tc>
          <w:tcPr>
            <w:tcW w:w="709" w:type="dxa"/>
            <w:tcBorders>
              <w:top w:val="nil"/>
              <w:left w:val="nil"/>
              <w:bottom w:val="nil"/>
              <w:right w:val="nil"/>
            </w:tcBorders>
            <w:tcMar>
              <w:top w:w="28" w:type="dxa"/>
              <w:bottom w:w="28" w:type="dxa"/>
            </w:tcMar>
          </w:tcPr>
          <w:p w14:paraId="16C0D9D4" w14:textId="77777777" w:rsidR="005F7696" w:rsidRPr="00B9354F" w:rsidRDefault="005F7696" w:rsidP="000853E1">
            <w:pPr>
              <w:spacing w:before="0" w:after="0"/>
              <w:ind w:left="-57" w:right="-57"/>
              <w:jc w:val="right"/>
              <w:rPr>
                <w:rFonts w:cs="Arial"/>
                <w:color w:val="000000"/>
                <w:szCs w:val="20"/>
              </w:rPr>
            </w:pPr>
            <w:r>
              <w:rPr>
                <w:rFonts w:cs="Arial"/>
                <w:color w:val="000000"/>
                <w:szCs w:val="20"/>
              </w:rPr>
              <w:t>274</w:t>
            </w:r>
          </w:p>
        </w:tc>
        <w:tc>
          <w:tcPr>
            <w:tcW w:w="709" w:type="dxa"/>
            <w:tcBorders>
              <w:top w:val="nil"/>
              <w:left w:val="nil"/>
              <w:bottom w:val="nil"/>
            </w:tcBorders>
            <w:tcMar>
              <w:top w:w="28" w:type="dxa"/>
              <w:bottom w:w="28" w:type="dxa"/>
            </w:tcMar>
          </w:tcPr>
          <w:p w14:paraId="7F715009" w14:textId="77777777" w:rsidR="005F7696" w:rsidRPr="00B9354F" w:rsidRDefault="005F7696" w:rsidP="000853E1">
            <w:pPr>
              <w:spacing w:before="0" w:after="0"/>
              <w:ind w:left="-57"/>
              <w:jc w:val="right"/>
              <w:rPr>
                <w:rFonts w:cs="Arial"/>
                <w:color w:val="000000"/>
                <w:szCs w:val="20"/>
              </w:rPr>
            </w:pPr>
            <w:r>
              <w:rPr>
                <w:rFonts w:cs="Arial"/>
                <w:color w:val="000000"/>
                <w:szCs w:val="20"/>
              </w:rPr>
              <w:t>45</w:t>
            </w:r>
          </w:p>
        </w:tc>
      </w:tr>
      <w:tr w:rsidR="005F7696" w:rsidRPr="00B9354F" w14:paraId="61A87F68" w14:textId="77777777" w:rsidTr="000853E1">
        <w:tc>
          <w:tcPr>
            <w:tcW w:w="845" w:type="dxa"/>
            <w:vMerge/>
            <w:tcMar>
              <w:top w:w="28" w:type="dxa"/>
              <w:bottom w:w="28" w:type="dxa"/>
            </w:tcMar>
            <w:vAlign w:val="center"/>
          </w:tcPr>
          <w:p w14:paraId="785C7B15" w14:textId="77777777" w:rsidR="005F7696" w:rsidRPr="00B9354F" w:rsidRDefault="005F7696" w:rsidP="000853E1">
            <w:pPr>
              <w:spacing w:before="0" w:after="0"/>
              <w:ind w:right="-57"/>
              <w:rPr>
                <w:rFonts w:cs="Arial"/>
                <w:szCs w:val="20"/>
              </w:rPr>
            </w:pPr>
          </w:p>
        </w:tc>
        <w:tc>
          <w:tcPr>
            <w:tcW w:w="710" w:type="dxa"/>
            <w:tcBorders>
              <w:top w:val="nil"/>
              <w:bottom w:val="nil"/>
            </w:tcBorders>
            <w:tcMar>
              <w:top w:w="28" w:type="dxa"/>
              <w:bottom w:w="28" w:type="dxa"/>
            </w:tcMar>
            <w:vAlign w:val="center"/>
          </w:tcPr>
          <w:p w14:paraId="0EEAD5F5" w14:textId="77777777" w:rsidR="005F7696" w:rsidRPr="00B9354F" w:rsidRDefault="005F7696" w:rsidP="000853E1">
            <w:pPr>
              <w:spacing w:before="0" w:after="0"/>
              <w:ind w:left="-57" w:right="-57"/>
              <w:jc w:val="center"/>
              <w:rPr>
                <w:rFonts w:cs="Arial"/>
                <w:szCs w:val="20"/>
              </w:rPr>
            </w:pPr>
            <w:r w:rsidRPr="00B9354F">
              <w:rPr>
                <w:rFonts w:cs="Arial"/>
                <w:szCs w:val="20"/>
              </w:rPr>
              <w:t>P</w:t>
            </w:r>
          </w:p>
        </w:tc>
        <w:tc>
          <w:tcPr>
            <w:tcW w:w="992" w:type="dxa"/>
            <w:vMerge/>
            <w:tcBorders>
              <w:bottom w:val="nil"/>
            </w:tcBorders>
            <w:tcMar>
              <w:top w:w="28" w:type="dxa"/>
              <w:bottom w:w="28" w:type="dxa"/>
            </w:tcMar>
            <w:vAlign w:val="center"/>
          </w:tcPr>
          <w:p w14:paraId="621EDF42" w14:textId="77777777" w:rsidR="005F7696" w:rsidRPr="00B9354F" w:rsidRDefault="005F7696" w:rsidP="000853E1">
            <w:pPr>
              <w:spacing w:before="0" w:after="0"/>
              <w:ind w:left="-57" w:right="-57"/>
              <w:jc w:val="center"/>
              <w:rPr>
                <w:rFonts w:cs="Arial"/>
                <w:szCs w:val="20"/>
              </w:rPr>
            </w:pPr>
          </w:p>
        </w:tc>
        <w:tc>
          <w:tcPr>
            <w:tcW w:w="1983" w:type="dxa"/>
            <w:tcBorders>
              <w:top w:val="nil"/>
              <w:bottom w:val="nil"/>
            </w:tcBorders>
            <w:tcMar>
              <w:top w:w="28" w:type="dxa"/>
              <w:bottom w:w="28" w:type="dxa"/>
            </w:tcMar>
            <w:vAlign w:val="center"/>
          </w:tcPr>
          <w:p w14:paraId="5567DD36" w14:textId="77777777" w:rsidR="005F7696" w:rsidRPr="00B9354F" w:rsidRDefault="005F7696" w:rsidP="000853E1">
            <w:pPr>
              <w:spacing w:before="0" w:after="0"/>
              <w:ind w:left="-57" w:right="-57"/>
              <w:jc w:val="center"/>
              <w:rPr>
                <w:rFonts w:cs="Arial"/>
                <w:szCs w:val="20"/>
              </w:rPr>
            </w:pPr>
            <w:r w:rsidRPr="00B9354F">
              <w:rPr>
                <w:rFonts w:cs="Arial"/>
                <w:color w:val="000000"/>
                <w:szCs w:val="20"/>
              </w:rPr>
              <w:t>02/1986 - 12/2018</w:t>
            </w:r>
          </w:p>
        </w:tc>
        <w:tc>
          <w:tcPr>
            <w:tcW w:w="921" w:type="dxa"/>
            <w:tcBorders>
              <w:top w:val="nil"/>
              <w:bottom w:val="nil"/>
              <w:right w:val="nil"/>
            </w:tcBorders>
            <w:tcMar>
              <w:top w:w="28" w:type="dxa"/>
              <w:bottom w:w="28" w:type="dxa"/>
            </w:tcMar>
            <w:vAlign w:val="bottom"/>
          </w:tcPr>
          <w:p w14:paraId="0C9E5296"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331</w:t>
            </w:r>
          </w:p>
        </w:tc>
        <w:tc>
          <w:tcPr>
            <w:tcW w:w="922" w:type="dxa"/>
            <w:tcBorders>
              <w:top w:val="nil"/>
              <w:left w:val="nil"/>
              <w:bottom w:val="nil"/>
            </w:tcBorders>
            <w:tcMar>
              <w:top w:w="28" w:type="dxa"/>
              <w:bottom w:w="28" w:type="dxa"/>
            </w:tcMar>
            <w:vAlign w:val="bottom"/>
          </w:tcPr>
          <w:p w14:paraId="30D30289"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213</w:t>
            </w:r>
          </w:p>
        </w:tc>
        <w:tc>
          <w:tcPr>
            <w:tcW w:w="709" w:type="dxa"/>
            <w:tcBorders>
              <w:top w:val="nil"/>
              <w:bottom w:val="nil"/>
              <w:right w:val="nil"/>
            </w:tcBorders>
            <w:tcMar>
              <w:top w:w="28" w:type="dxa"/>
              <w:bottom w:w="28" w:type="dxa"/>
            </w:tcMar>
            <w:vAlign w:val="bottom"/>
          </w:tcPr>
          <w:p w14:paraId="2A150488"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53</w:t>
            </w:r>
          </w:p>
        </w:tc>
        <w:tc>
          <w:tcPr>
            <w:tcW w:w="709" w:type="dxa"/>
            <w:tcBorders>
              <w:top w:val="nil"/>
              <w:left w:val="nil"/>
              <w:bottom w:val="nil"/>
              <w:right w:val="nil"/>
            </w:tcBorders>
            <w:tcMar>
              <w:top w:w="28" w:type="dxa"/>
              <w:bottom w:w="28" w:type="dxa"/>
            </w:tcMar>
            <w:vAlign w:val="bottom"/>
          </w:tcPr>
          <w:p w14:paraId="035BA92E"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160</w:t>
            </w:r>
          </w:p>
        </w:tc>
        <w:tc>
          <w:tcPr>
            <w:tcW w:w="709" w:type="dxa"/>
            <w:tcBorders>
              <w:top w:val="nil"/>
              <w:left w:val="nil"/>
              <w:bottom w:val="nil"/>
              <w:right w:val="nil"/>
            </w:tcBorders>
            <w:tcMar>
              <w:top w:w="28" w:type="dxa"/>
              <w:bottom w:w="28" w:type="dxa"/>
            </w:tcMar>
            <w:vAlign w:val="bottom"/>
          </w:tcPr>
          <w:p w14:paraId="6E760008"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w:t>
            </w:r>
          </w:p>
        </w:tc>
        <w:tc>
          <w:tcPr>
            <w:tcW w:w="709" w:type="dxa"/>
            <w:tcBorders>
              <w:top w:val="nil"/>
              <w:left w:val="nil"/>
              <w:bottom w:val="nil"/>
            </w:tcBorders>
            <w:tcMar>
              <w:top w:w="28" w:type="dxa"/>
              <w:bottom w:w="28" w:type="dxa"/>
            </w:tcMar>
            <w:vAlign w:val="bottom"/>
          </w:tcPr>
          <w:p w14:paraId="3FEC2732" w14:textId="77777777" w:rsidR="005F7696" w:rsidRPr="00B9354F" w:rsidRDefault="005F7696" w:rsidP="000853E1">
            <w:pPr>
              <w:spacing w:before="0" w:after="0"/>
              <w:ind w:left="-57"/>
              <w:jc w:val="right"/>
              <w:rPr>
                <w:rFonts w:cs="Arial"/>
                <w:szCs w:val="20"/>
              </w:rPr>
            </w:pPr>
            <w:r w:rsidRPr="00B9354F">
              <w:rPr>
                <w:rFonts w:cs="Arial"/>
                <w:color w:val="000000"/>
                <w:szCs w:val="20"/>
              </w:rPr>
              <w:t>-</w:t>
            </w:r>
          </w:p>
        </w:tc>
      </w:tr>
      <w:tr w:rsidR="005F7696" w:rsidRPr="00B9354F" w14:paraId="38EC5DE6" w14:textId="77777777" w:rsidTr="000853E1">
        <w:tc>
          <w:tcPr>
            <w:tcW w:w="845" w:type="dxa"/>
            <w:vMerge w:val="restart"/>
            <w:tcMar>
              <w:top w:w="28" w:type="dxa"/>
              <w:bottom w:w="28" w:type="dxa"/>
            </w:tcMar>
            <w:vAlign w:val="center"/>
          </w:tcPr>
          <w:p w14:paraId="182C953F" w14:textId="77777777" w:rsidR="005F7696" w:rsidRPr="00B9354F" w:rsidRDefault="005F7696" w:rsidP="000853E1">
            <w:pPr>
              <w:spacing w:before="0" w:after="0"/>
              <w:ind w:right="-57"/>
              <w:rPr>
                <w:rFonts w:cs="Arial"/>
                <w:szCs w:val="20"/>
              </w:rPr>
            </w:pPr>
            <w:r w:rsidRPr="00B9354F">
              <w:rPr>
                <w:rFonts w:cs="Arial"/>
                <w:color w:val="000000"/>
                <w:sz w:val="22"/>
                <w:szCs w:val="22"/>
              </w:rPr>
              <w:lastRenderedPageBreak/>
              <w:t>QLD</w:t>
            </w:r>
          </w:p>
        </w:tc>
        <w:tc>
          <w:tcPr>
            <w:tcW w:w="710" w:type="dxa"/>
            <w:tcBorders>
              <w:bottom w:val="nil"/>
            </w:tcBorders>
            <w:tcMar>
              <w:top w:w="28" w:type="dxa"/>
              <w:bottom w:w="28" w:type="dxa"/>
            </w:tcMar>
            <w:vAlign w:val="center"/>
          </w:tcPr>
          <w:p w14:paraId="01664AE9" w14:textId="77777777" w:rsidR="005F7696" w:rsidRPr="00B9354F" w:rsidRDefault="005F7696" w:rsidP="000853E1">
            <w:pPr>
              <w:spacing w:before="0" w:after="0"/>
              <w:ind w:left="-57" w:right="-57"/>
              <w:jc w:val="center"/>
              <w:rPr>
                <w:rFonts w:cs="Arial"/>
                <w:szCs w:val="20"/>
              </w:rPr>
            </w:pPr>
            <w:r w:rsidRPr="00B9354F">
              <w:rPr>
                <w:rFonts w:cs="Arial"/>
                <w:szCs w:val="20"/>
              </w:rPr>
              <w:t>A</w:t>
            </w:r>
          </w:p>
        </w:tc>
        <w:tc>
          <w:tcPr>
            <w:tcW w:w="992" w:type="dxa"/>
            <w:vMerge w:val="restart"/>
            <w:tcBorders>
              <w:bottom w:val="nil"/>
            </w:tcBorders>
            <w:tcMar>
              <w:top w:w="28" w:type="dxa"/>
              <w:bottom w:w="28" w:type="dxa"/>
            </w:tcMar>
            <w:vAlign w:val="center"/>
          </w:tcPr>
          <w:p w14:paraId="4C5488E3" w14:textId="77777777" w:rsidR="005F7696" w:rsidRPr="00B9354F" w:rsidRDefault="005F7696" w:rsidP="000853E1">
            <w:pPr>
              <w:spacing w:before="0" w:after="0"/>
              <w:ind w:left="-57" w:right="-57"/>
              <w:jc w:val="center"/>
              <w:rPr>
                <w:rFonts w:cs="Arial"/>
                <w:szCs w:val="20"/>
              </w:rPr>
            </w:pPr>
            <w:r w:rsidRPr="00B9354F">
              <w:rPr>
                <w:rFonts w:cs="Arial"/>
                <w:szCs w:val="20"/>
              </w:rPr>
              <w:t>05/2021</w:t>
            </w:r>
          </w:p>
        </w:tc>
        <w:tc>
          <w:tcPr>
            <w:tcW w:w="1983" w:type="dxa"/>
            <w:tcBorders>
              <w:bottom w:val="nil"/>
            </w:tcBorders>
            <w:tcMar>
              <w:top w:w="28" w:type="dxa"/>
              <w:bottom w:w="28" w:type="dxa"/>
            </w:tcMar>
            <w:vAlign w:val="center"/>
          </w:tcPr>
          <w:p w14:paraId="621447CD" w14:textId="77777777" w:rsidR="005F7696" w:rsidRPr="00B9354F" w:rsidRDefault="005F7696" w:rsidP="000853E1">
            <w:pPr>
              <w:spacing w:before="0" w:after="0"/>
              <w:ind w:left="-57" w:right="-57"/>
              <w:jc w:val="center"/>
              <w:rPr>
                <w:rFonts w:cs="Arial"/>
                <w:szCs w:val="20"/>
              </w:rPr>
            </w:pPr>
            <w:r w:rsidRPr="00B9354F">
              <w:rPr>
                <w:rFonts w:cs="Arial"/>
                <w:color w:val="000000"/>
                <w:szCs w:val="20"/>
              </w:rPr>
              <w:t>06/2007- 06/2020</w:t>
            </w:r>
          </w:p>
        </w:tc>
        <w:tc>
          <w:tcPr>
            <w:tcW w:w="921" w:type="dxa"/>
            <w:tcBorders>
              <w:bottom w:val="nil"/>
              <w:right w:val="nil"/>
            </w:tcBorders>
            <w:tcMar>
              <w:top w:w="28" w:type="dxa"/>
              <w:bottom w:w="28" w:type="dxa"/>
            </w:tcMar>
            <w:vAlign w:val="bottom"/>
          </w:tcPr>
          <w:p w14:paraId="3F1378E3"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82,330</w:t>
            </w:r>
          </w:p>
        </w:tc>
        <w:tc>
          <w:tcPr>
            <w:tcW w:w="922" w:type="dxa"/>
            <w:tcBorders>
              <w:left w:val="nil"/>
              <w:bottom w:val="nil"/>
            </w:tcBorders>
            <w:tcMar>
              <w:top w:w="28" w:type="dxa"/>
              <w:bottom w:w="28" w:type="dxa"/>
            </w:tcMar>
            <w:vAlign w:val="bottom"/>
          </w:tcPr>
          <w:p w14:paraId="69116824"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11,140</w:t>
            </w:r>
          </w:p>
        </w:tc>
        <w:tc>
          <w:tcPr>
            <w:tcW w:w="709" w:type="dxa"/>
            <w:tcBorders>
              <w:bottom w:val="nil"/>
              <w:right w:val="nil"/>
            </w:tcBorders>
            <w:tcMar>
              <w:top w:w="28" w:type="dxa"/>
              <w:bottom w:w="28" w:type="dxa"/>
            </w:tcMar>
            <w:vAlign w:val="bottom"/>
          </w:tcPr>
          <w:p w14:paraId="5BD51873"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3,383</w:t>
            </w:r>
          </w:p>
        </w:tc>
        <w:tc>
          <w:tcPr>
            <w:tcW w:w="709" w:type="dxa"/>
            <w:tcBorders>
              <w:left w:val="nil"/>
              <w:bottom w:val="nil"/>
              <w:right w:val="nil"/>
            </w:tcBorders>
            <w:tcMar>
              <w:top w:w="28" w:type="dxa"/>
              <w:bottom w:w="28" w:type="dxa"/>
            </w:tcMar>
            <w:vAlign w:val="bottom"/>
          </w:tcPr>
          <w:p w14:paraId="1917D8C9"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2,826</w:t>
            </w:r>
          </w:p>
        </w:tc>
        <w:tc>
          <w:tcPr>
            <w:tcW w:w="709" w:type="dxa"/>
            <w:tcBorders>
              <w:left w:val="nil"/>
              <w:bottom w:val="nil"/>
              <w:right w:val="nil"/>
            </w:tcBorders>
            <w:tcMar>
              <w:top w:w="28" w:type="dxa"/>
              <w:bottom w:w="28" w:type="dxa"/>
            </w:tcMar>
            <w:vAlign w:val="bottom"/>
          </w:tcPr>
          <w:p w14:paraId="42E444CD"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3,114</w:t>
            </w:r>
          </w:p>
        </w:tc>
        <w:tc>
          <w:tcPr>
            <w:tcW w:w="709" w:type="dxa"/>
            <w:tcBorders>
              <w:left w:val="nil"/>
              <w:bottom w:val="nil"/>
            </w:tcBorders>
            <w:tcMar>
              <w:top w:w="28" w:type="dxa"/>
              <w:bottom w:w="28" w:type="dxa"/>
            </w:tcMar>
            <w:vAlign w:val="bottom"/>
          </w:tcPr>
          <w:p w14:paraId="4A3045A3" w14:textId="77777777" w:rsidR="005F7696" w:rsidRPr="00B9354F" w:rsidRDefault="005F7696" w:rsidP="000853E1">
            <w:pPr>
              <w:spacing w:before="0" w:after="0"/>
              <w:ind w:left="-57"/>
              <w:jc w:val="right"/>
              <w:rPr>
                <w:rFonts w:cs="Arial"/>
                <w:szCs w:val="20"/>
              </w:rPr>
            </w:pPr>
            <w:r w:rsidRPr="00B9354F">
              <w:rPr>
                <w:rFonts w:cs="Arial"/>
                <w:color w:val="000000"/>
                <w:szCs w:val="20"/>
              </w:rPr>
              <w:t>1,817</w:t>
            </w:r>
          </w:p>
        </w:tc>
      </w:tr>
      <w:tr w:rsidR="005F7696" w:rsidRPr="00B9354F" w14:paraId="17E9FE20" w14:textId="77777777" w:rsidTr="000853E1">
        <w:tc>
          <w:tcPr>
            <w:tcW w:w="845" w:type="dxa"/>
            <w:vMerge/>
            <w:tcMar>
              <w:top w:w="28" w:type="dxa"/>
              <w:bottom w:w="28" w:type="dxa"/>
            </w:tcMar>
            <w:vAlign w:val="center"/>
          </w:tcPr>
          <w:p w14:paraId="5EDB18AB" w14:textId="77777777" w:rsidR="005F7696" w:rsidRPr="00B9354F" w:rsidRDefault="005F7696" w:rsidP="000853E1">
            <w:pPr>
              <w:spacing w:before="0" w:after="0"/>
              <w:ind w:right="-57"/>
              <w:rPr>
                <w:rFonts w:cs="Arial"/>
                <w:color w:val="000000"/>
                <w:sz w:val="22"/>
                <w:szCs w:val="22"/>
              </w:rPr>
            </w:pPr>
          </w:p>
        </w:tc>
        <w:tc>
          <w:tcPr>
            <w:tcW w:w="710" w:type="dxa"/>
            <w:tcBorders>
              <w:top w:val="nil"/>
              <w:bottom w:val="nil"/>
            </w:tcBorders>
            <w:tcMar>
              <w:top w:w="28" w:type="dxa"/>
              <w:bottom w:w="28" w:type="dxa"/>
            </w:tcMar>
            <w:vAlign w:val="center"/>
          </w:tcPr>
          <w:p w14:paraId="164E4957" w14:textId="77777777" w:rsidR="005F7696" w:rsidRPr="00B9354F" w:rsidRDefault="005F7696" w:rsidP="000853E1">
            <w:pPr>
              <w:spacing w:before="0" w:after="0"/>
              <w:ind w:left="-57" w:right="-57"/>
              <w:jc w:val="center"/>
              <w:rPr>
                <w:rFonts w:cs="Arial"/>
                <w:szCs w:val="20"/>
              </w:rPr>
            </w:pPr>
            <w:r w:rsidRPr="00B9354F">
              <w:rPr>
                <w:rFonts w:cs="Arial"/>
                <w:szCs w:val="20"/>
              </w:rPr>
              <w:t>E</w:t>
            </w:r>
          </w:p>
        </w:tc>
        <w:tc>
          <w:tcPr>
            <w:tcW w:w="992" w:type="dxa"/>
            <w:vMerge/>
            <w:tcBorders>
              <w:top w:val="nil"/>
              <w:bottom w:val="nil"/>
            </w:tcBorders>
            <w:tcMar>
              <w:top w:w="28" w:type="dxa"/>
              <w:bottom w:w="28" w:type="dxa"/>
            </w:tcMar>
            <w:vAlign w:val="center"/>
          </w:tcPr>
          <w:p w14:paraId="546053B0" w14:textId="77777777" w:rsidR="005F7696" w:rsidRPr="00B9354F" w:rsidDel="008D6026" w:rsidRDefault="005F7696" w:rsidP="000853E1">
            <w:pPr>
              <w:spacing w:before="0" w:after="0"/>
              <w:ind w:left="-57" w:right="-57"/>
              <w:jc w:val="center"/>
              <w:rPr>
                <w:rFonts w:cs="Arial"/>
                <w:szCs w:val="20"/>
              </w:rPr>
            </w:pPr>
          </w:p>
        </w:tc>
        <w:tc>
          <w:tcPr>
            <w:tcW w:w="1983" w:type="dxa"/>
            <w:tcBorders>
              <w:top w:val="nil"/>
              <w:bottom w:val="nil"/>
            </w:tcBorders>
            <w:tcMar>
              <w:top w:w="28" w:type="dxa"/>
              <w:bottom w:w="28" w:type="dxa"/>
            </w:tcMar>
            <w:vAlign w:val="center"/>
          </w:tcPr>
          <w:p w14:paraId="0E7772EA" w14:textId="77777777" w:rsidR="005F7696" w:rsidRPr="00B9354F" w:rsidRDefault="005F7696" w:rsidP="000853E1">
            <w:pPr>
              <w:spacing w:before="0" w:after="0"/>
              <w:ind w:left="-57" w:right="-57"/>
              <w:jc w:val="center"/>
              <w:rPr>
                <w:rFonts w:cs="Arial"/>
                <w:color w:val="000000"/>
                <w:szCs w:val="20"/>
              </w:rPr>
            </w:pPr>
            <w:r w:rsidRPr="00B9354F">
              <w:rPr>
                <w:rFonts w:cs="Arial"/>
                <w:color w:val="000000"/>
                <w:szCs w:val="20"/>
              </w:rPr>
              <w:t>07/2009 - 06/2020</w:t>
            </w:r>
          </w:p>
        </w:tc>
        <w:tc>
          <w:tcPr>
            <w:tcW w:w="921" w:type="dxa"/>
            <w:tcBorders>
              <w:top w:val="nil"/>
              <w:bottom w:val="nil"/>
              <w:right w:val="nil"/>
            </w:tcBorders>
            <w:tcMar>
              <w:top w:w="28" w:type="dxa"/>
              <w:bottom w:w="28" w:type="dxa"/>
            </w:tcMar>
            <w:vAlign w:val="bottom"/>
          </w:tcPr>
          <w:p w14:paraId="178024AC"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36,746</w:t>
            </w:r>
          </w:p>
        </w:tc>
        <w:tc>
          <w:tcPr>
            <w:tcW w:w="922" w:type="dxa"/>
            <w:tcBorders>
              <w:top w:val="nil"/>
              <w:left w:val="nil"/>
              <w:bottom w:val="nil"/>
            </w:tcBorders>
            <w:tcMar>
              <w:top w:w="28" w:type="dxa"/>
              <w:bottom w:w="28" w:type="dxa"/>
            </w:tcMar>
            <w:vAlign w:val="bottom"/>
          </w:tcPr>
          <w:p w14:paraId="2A0B8DA9"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8,306</w:t>
            </w:r>
          </w:p>
        </w:tc>
        <w:tc>
          <w:tcPr>
            <w:tcW w:w="709" w:type="dxa"/>
            <w:tcBorders>
              <w:top w:val="nil"/>
              <w:bottom w:val="nil"/>
              <w:right w:val="nil"/>
            </w:tcBorders>
            <w:tcMar>
              <w:top w:w="28" w:type="dxa"/>
              <w:bottom w:w="28" w:type="dxa"/>
            </w:tcMar>
            <w:vAlign w:val="bottom"/>
          </w:tcPr>
          <w:p w14:paraId="1846688F"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3,091</w:t>
            </w:r>
          </w:p>
        </w:tc>
        <w:tc>
          <w:tcPr>
            <w:tcW w:w="709" w:type="dxa"/>
            <w:tcBorders>
              <w:top w:val="nil"/>
              <w:left w:val="nil"/>
              <w:bottom w:val="nil"/>
              <w:right w:val="nil"/>
            </w:tcBorders>
            <w:tcMar>
              <w:top w:w="28" w:type="dxa"/>
              <w:bottom w:w="28" w:type="dxa"/>
            </w:tcMar>
            <w:vAlign w:val="bottom"/>
          </w:tcPr>
          <w:p w14:paraId="6025F975"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1,881</w:t>
            </w:r>
          </w:p>
        </w:tc>
        <w:tc>
          <w:tcPr>
            <w:tcW w:w="709" w:type="dxa"/>
            <w:tcBorders>
              <w:top w:val="nil"/>
              <w:left w:val="nil"/>
              <w:bottom w:val="nil"/>
              <w:right w:val="nil"/>
            </w:tcBorders>
            <w:tcMar>
              <w:top w:w="28" w:type="dxa"/>
              <w:bottom w:w="28" w:type="dxa"/>
            </w:tcMar>
            <w:vAlign w:val="bottom"/>
          </w:tcPr>
          <w:p w14:paraId="2BDFF098"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2,098</w:t>
            </w:r>
          </w:p>
        </w:tc>
        <w:tc>
          <w:tcPr>
            <w:tcW w:w="709" w:type="dxa"/>
            <w:tcBorders>
              <w:top w:val="nil"/>
              <w:left w:val="nil"/>
              <w:bottom w:val="nil"/>
            </w:tcBorders>
            <w:tcMar>
              <w:top w:w="28" w:type="dxa"/>
              <w:bottom w:w="28" w:type="dxa"/>
            </w:tcMar>
            <w:vAlign w:val="bottom"/>
          </w:tcPr>
          <w:p w14:paraId="491DD10F" w14:textId="77777777" w:rsidR="005F7696" w:rsidRPr="00B9354F" w:rsidRDefault="005F7696" w:rsidP="000853E1">
            <w:pPr>
              <w:spacing w:before="0" w:after="0"/>
              <w:ind w:left="-57"/>
              <w:jc w:val="right"/>
              <w:rPr>
                <w:rFonts w:cs="Arial"/>
                <w:color w:val="000000"/>
                <w:szCs w:val="20"/>
              </w:rPr>
            </w:pPr>
            <w:r w:rsidRPr="00B9354F">
              <w:rPr>
                <w:rFonts w:cs="Arial"/>
                <w:color w:val="000000"/>
                <w:szCs w:val="20"/>
              </w:rPr>
              <w:t>1,236</w:t>
            </w:r>
          </w:p>
        </w:tc>
      </w:tr>
      <w:tr w:rsidR="005F7696" w:rsidRPr="00B9354F" w14:paraId="06CA0AAC" w14:textId="77777777" w:rsidTr="000853E1">
        <w:tc>
          <w:tcPr>
            <w:tcW w:w="845" w:type="dxa"/>
            <w:vMerge/>
            <w:tcMar>
              <w:top w:w="28" w:type="dxa"/>
              <w:bottom w:w="28" w:type="dxa"/>
            </w:tcMar>
            <w:vAlign w:val="center"/>
          </w:tcPr>
          <w:p w14:paraId="06C6C4A8" w14:textId="77777777" w:rsidR="005F7696" w:rsidRPr="00B9354F" w:rsidRDefault="005F7696" w:rsidP="000853E1">
            <w:pPr>
              <w:spacing w:before="0" w:after="0"/>
              <w:ind w:right="-57"/>
              <w:rPr>
                <w:rFonts w:cs="Arial"/>
                <w:szCs w:val="20"/>
              </w:rPr>
            </w:pPr>
          </w:p>
        </w:tc>
        <w:tc>
          <w:tcPr>
            <w:tcW w:w="710" w:type="dxa"/>
            <w:tcBorders>
              <w:top w:val="nil"/>
              <w:bottom w:val="nil"/>
            </w:tcBorders>
            <w:tcMar>
              <w:top w:w="28" w:type="dxa"/>
              <w:bottom w:w="28" w:type="dxa"/>
            </w:tcMar>
            <w:vAlign w:val="center"/>
          </w:tcPr>
          <w:p w14:paraId="127308E5" w14:textId="77777777" w:rsidR="005F7696" w:rsidRPr="00B9354F" w:rsidRDefault="005F7696" w:rsidP="000853E1">
            <w:pPr>
              <w:spacing w:before="0" w:after="0"/>
              <w:ind w:left="-57" w:right="-57"/>
              <w:jc w:val="center"/>
              <w:rPr>
                <w:rFonts w:cs="Arial"/>
                <w:szCs w:val="20"/>
              </w:rPr>
            </w:pPr>
            <w:r w:rsidRPr="00B9354F">
              <w:rPr>
                <w:rFonts w:cs="Arial"/>
                <w:szCs w:val="20"/>
              </w:rPr>
              <w:t>P</w:t>
            </w:r>
          </w:p>
        </w:tc>
        <w:tc>
          <w:tcPr>
            <w:tcW w:w="992" w:type="dxa"/>
            <w:vMerge/>
            <w:tcBorders>
              <w:top w:val="nil"/>
              <w:bottom w:val="nil"/>
            </w:tcBorders>
            <w:tcMar>
              <w:top w:w="28" w:type="dxa"/>
              <w:bottom w:w="28" w:type="dxa"/>
            </w:tcMar>
            <w:vAlign w:val="center"/>
          </w:tcPr>
          <w:p w14:paraId="622904F1" w14:textId="77777777" w:rsidR="005F7696" w:rsidRPr="00B9354F" w:rsidRDefault="005F7696" w:rsidP="000853E1">
            <w:pPr>
              <w:spacing w:before="0" w:after="0"/>
              <w:ind w:left="-57" w:right="-57"/>
              <w:jc w:val="center"/>
              <w:rPr>
                <w:rFonts w:cs="Arial"/>
                <w:szCs w:val="20"/>
              </w:rPr>
            </w:pPr>
          </w:p>
        </w:tc>
        <w:tc>
          <w:tcPr>
            <w:tcW w:w="1983" w:type="dxa"/>
            <w:tcBorders>
              <w:top w:val="nil"/>
              <w:bottom w:val="nil"/>
            </w:tcBorders>
            <w:tcMar>
              <w:top w:w="28" w:type="dxa"/>
              <w:bottom w:w="28" w:type="dxa"/>
            </w:tcMar>
            <w:vAlign w:val="center"/>
          </w:tcPr>
          <w:p w14:paraId="5AAF83E4" w14:textId="77777777" w:rsidR="005F7696" w:rsidRPr="00B9354F" w:rsidRDefault="005F7696" w:rsidP="000853E1">
            <w:pPr>
              <w:spacing w:before="0" w:after="0"/>
              <w:ind w:left="-57" w:right="-57"/>
              <w:jc w:val="center"/>
              <w:rPr>
                <w:rFonts w:cs="Arial"/>
                <w:szCs w:val="20"/>
              </w:rPr>
            </w:pPr>
            <w:r w:rsidRPr="00B9354F">
              <w:rPr>
                <w:rFonts w:cs="Arial"/>
                <w:color w:val="000000"/>
                <w:szCs w:val="20"/>
              </w:rPr>
              <w:t>07/2007 - 12/2019</w:t>
            </w:r>
          </w:p>
        </w:tc>
        <w:tc>
          <w:tcPr>
            <w:tcW w:w="921" w:type="dxa"/>
            <w:tcBorders>
              <w:top w:val="nil"/>
              <w:bottom w:val="nil"/>
              <w:right w:val="nil"/>
            </w:tcBorders>
            <w:tcMar>
              <w:top w:w="28" w:type="dxa"/>
              <w:bottom w:w="28" w:type="dxa"/>
            </w:tcMar>
            <w:vAlign w:val="bottom"/>
          </w:tcPr>
          <w:p w14:paraId="1A63A2B7"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3,628</w:t>
            </w:r>
          </w:p>
        </w:tc>
        <w:tc>
          <w:tcPr>
            <w:tcW w:w="922" w:type="dxa"/>
            <w:tcBorders>
              <w:top w:val="nil"/>
              <w:left w:val="nil"/>
              <w:bottom w:val="nil"/>
            </w:tcBorders>
            <w:tcMar>
              <w:top w:w="28" w:type="dxa"/>
              <w:bottom w:w="28" w:type="dxa"/>
            </w:tcMar>
            <w:vAlign w:val="bottom"/>
          </w:tcPr>
          <w:p w14:paraId="7B65F4A2"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2,298</w:t>
            </w:r>
          </w:p>
        </w:tc>
        <w:tc>
          <w:tcPr>
            <w:tcW w:w="709" w:type="dxa"/>
            <w:tcBorders>
              <w:top w:val="nil"/>
              <w:bottom w:val="nil"/>
              <w:right w:val="nil"/>
            </w:tcBorders>
            <w:tcMar>
              <w:top w:w="28" w:type="dxa"/>
              <w:bottom w:w="28" w:type="dxa"/>
            </w:tcMar>
            <w:vAlign w:val="bottom"/>
          </w:tcPr>
          <w:p w14:paraId="1166E6DC"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881</w:t>
            </w:r>
          </w:p>
        </w:tc>
        <w:tc>
          <w:tcPr>
            <w:tcW w:w="709" w:type="dxa"/>
            <w:tcBorders>
              <w:top w:val="nil"/>
              <w:left w:val="nil"/>
              <w:bottom w:val="nil"/>
              <w:right w:val="nil"/>
            </w:tcBorders>
            <w:tcMar>
              <w:top w:w="28" w:type="dxa"/>
              <w:bottom w:w="28" w:type="dxa"/>
            </w:tcMar>
            <w:vAlign w:val="bottom"/>
          </w:tcPr>
          <w:p w14:paraId="33B35113"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1,417</w:t>
            </w:r>
          </w:p>
        </w:tc>
        <w:tc>
          <w:tcPr>
            <w:tcW w:w="709" w:type="dxa"/>
            <w:tcBorders>
              <w:top w:val="nil"/>
              <w:left w:val="nil"/>
              <w:bottom w:val="nil"/>
              <w:right w:val="nil"/>
            </w:tcBorders>
            <w:tcMar>
              <w:top w:w="28" w:type="dxa"/>
              <w:bottom w:w="28" w:type="dxa"/>
            </w:tcMar>
            <w:vAlign w:val="bottom"/>
          </w:tcPr>
          <w:p w14:paraId="013A26DD"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w:t>
            </w:r>
          </w:p>
        </w:tc>
        <w:tc>
          <w:tcPr>
            <w:tcW w:w="709" w:type="dxa"/>
            <w:tcBorders>
              <w:top w:val="nil"/>
              <w:left w:val="nil"/>
              <w:bottom w:val="nil"/>
            </w:tcBorders>
            <w:tcMar>
              <w:top w:w="28" w:type="dxa"/>
              <w:bottom w:w="28" w:type="dxa"/>
            </w:tcMar>
            <w:vAlign w:val="bottom"/>
          </w:tcPr>
          <w:p w14:paraId="2EF1A169" w14:textId="77777777" w:rsidR="005F7696" w:rsidRPr="00B9354F" w:rsidRDefault="005F7696" w:rsidP="000853E1">
            <w:pPr>
              <w:spacing w:before="0" w:after="0"/>
              <w:ind w:left="-57"/>
              <w:jc w:val="right"/>
              <w:rPr>
                <w:rFonts w:cs="Arial"/>
                <w:szCs w:val="20"/>
              </w:rPr>
            </w:pPr>
            <w:r w:rsidRPr="00B9354F">
              <w:rPr>
                <w:rFonts w:cs="Arial"/>
                <w:color w:val="000000"/>
                <w:szCs w:val="20"/>
              </w:rPr>
              <w:t>-</w:t>
            </w:r>
          </w:p>
        </w:tc>
      </w:tr>
      <w:tr w:rsidR="005F7696" w:rsidRPr="00B9354F" w14:paraId="6EE2C213" w14:textId="77777777" w:rsidTr="000853E1">
        <w:tc>
          <w:tcPr>
            <w:tcW w:w="845" w:type="dxa"/>
            <w:vMerge w:val="restart"/>
            <w:tcMar>
              <w:top w:w="28" w:type="dxa"/>
              <w:bottom w:w="28" w:type="dxa"/>
            </w:tcMar>
            <w:vAlign w:val="center"/>
          </w:tcPr>
          <w:p w14:paraId="10081914" w14:textId="77777777" w:rsidR="005F7696" w:rsidRPr="00B9354F" w:rsidRDefault="005F7696" w:rsidP="000853E1">
            <w:pPr>
              <w:spacing w:before="0" w:after="0"/>
              <w:ind w:right="-57"/>
              <w:rPr>
                <w:rFonts w:cs="Arial"/>
                <w:szCs w:val="20"/>
              </w:rPr>
            </w:pPr>
            <w:r w:rsidRPr="00B9354F">
              <w:rPr>
                <w:rFonts w:cs="Arial"/>
                <w:color w:val="000000"/>
                <w:sz w:val="22"/>
                <w:szCs w:val="22"/>
              </w:rPr>
              <w:t>SA</w:t>
            </w:r>
          </w:p>
        </w:tc>
        <w:tc>
          <w:tcPr>
            <w:tcW w:w="710" w:type="dxa"/>
            <w:tcBorders>
              <w:bottom w:val="nil"/>
            </w:tcBorders>
            <w:tcMar>
              <w:top w:w="28" w:type="dxa"/>
              <w:bottom w:w="28" w:type="dxa"/>
            </w:tcMar>
            <w:vAlign w:val="center"/>
          </w:tcPr>
          <w:p w14:paraId="21B6D305" w14:textId="77777777" w:rsidR="005F7696" w:rsidRPr="00B9354F" w:rsidRDefault="005F7696" w:rsidP="000853E1">
            <w:pPr>
              <w:spacing w:before="0" w:after="0"/>
              <w:ind w:left="-57" w:right="-57"/>
              <w:jc w:val="center"/>
              <w:rPr>
                <w:rFonts w:cs="Arial"/>
                <w:szCs w:val="20"/>
              </w:rPr>
            </w:pPr>
            <w:r w:rsidRPr="00B9354F">
              <w:rPr>
                <w:rFonts w:cs="Arial"/>
                <w:szCs w:val="20"/>
              </w:rPr>
              <w:t>A</w:t>
            </w:r>
          </w:p>
        </w:tc>
        <w:tc>
          <w:tcPr>
            <w:tcW w:w="992" w:type="dxa"/>
            <w:vMerge w:val="restart"/>
            <w:tcMar>
              <w:top w:w="28" w:type="dxa"/>
              <w:bottom w:w="28" w:type="dxa"/>
            </w:tcMar>
            <w:vAlign w:val="center"/>
          </w:tcPr>
          <w:p w14:paraId="7DCA323A" w14:textId="77777777" w:rsidR="005F7696" w:rsidRPr="00B9354F" w:rsidRDefault="005F7696" w:rsidP="000853E1">
            <w:pPr>
              <w:spacing w:before="0" w:after="0"/>
              <w:ind w:left="-57" w:right="-57"/>
              <w:jc w:val="center"/>
              <w:rPr>
                <w:rFonts w:cs="Arial"/>
                <w:szCs w:val="20"/>
              </w:rPr>
            </w:pPr>
            <w:r w:rsidRPr="00B9354F">
              <w:rPr>
                <w:rFonts w:cs="Arial"/>
                <w:szCs w:val="20"/>
              </w:rPr>
              <w:t>03/2021</w:t>
            </w:r>
          </w:p>
        </w:tc>
        <w:tc>
          <w:tcPr>
            <w:tcW w:w="1983" w:type="dxa"/>
            <w:tcBorders>
              <w:bottom w:val="nil"/>
            </w:tcBorders>
            <w:tcMar>
              <w:top w:w="28" w:type="dxa"/>
              <w:bottom w:w="28" w:type="dxa"/>
            </w:tcMar>
            <w:vAlign w:val="center"/>
          </w:tcPr>
          <w:p w14:paraId="50F5E799" w14:textId="77777777" w:rsidR="005F7696" w:rsidRPr="00B9354F" w:rsidRDefault="005F7696" w:rsidP="000853E1">
            <w:pPr>
              <w:spacing w:before="0" w:after="0"/>
              <w:ind w:left="-57" w:right="-57"/>
              <w:jc w:val="center"/>
              <w:rPr>
                <w:rFonts w:cs="Arial"/>
                <w:szCs w:val="20"/>
              </w:rPr>
            </w:pPr>
            <w:r w:rsidRPr="00B9354F">
              <w:rPr>
                <w:rFonts w:cs="Arial"/>
                <w:color w:val="000000"/>
                <w:szCs w:val="20"/>
              </w:rPr>
              <w:t>6/2000 - 06/2021</w:t>
            </w:r>
          </w:p>
        </w:tc>
        <w:tc>
          <w:tcPr>
            <w:tcW w:w="921" w:type="dxa"/>
            <w:tcBorders>
              <w:bottom w:val="nil"/>
              <w:right w:val="nil"/>
            </w:tcBorders>
            <w:tcMar>
              <w:top w:w="28" w:type="dxa"/>
              <w:bottom w:w="28" w:type="dxa"/>
            </w:tcMar>
            <w:vAlign w:val="bottom"/>
          </w:tcPr>
          <w:p w14:paraId="04C2B8DE"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20,792</w:t>
            </w:r>
          </w:p>
        </w:tc>
        <w:tc>
          <w:tcPr>
            <w:tcW w:w="922" w:type="dxa"/>
            <w:tcBorders>
              <w:left w:val="nil"/>
              <w:bottom w:val="nil"/>
            </w:tcBorders>
            <w:tcMar>
              <w:top w:w="28" w:type="dxa"/>
              <w:bottom w:w="28" w:type="dxa"/>
            </w:tcMar>
            <w:vAlign w:val="bottom"/>
          </w:tcPr>
          <w:p w14:paraId="3D3ADFC9"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3,697</w:t>
            </w:r>
          </w:p>
        </w:tc>
        <w:tc>
          <w:tcPr>
            <w:tcW w:w="709" w:type="dxa"/>
            <w:tcBorders>
              <w:bottom w:val="nil"/>
              <w:right w:val="nil"/>
            </w:tcBorders>
            <w:tcMar>
              <w:top w:w="28" w:type="dxa"/>
              <w:bottom w:w="28" w:type="dxa"/>
            </w:tcMar>
            <w:vAlign w:val="bottom"/>
          </w:tcPr>
          <w:p w14:paraId="16A7F245"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856</w:t>
            </w:r>
          </w:p>
        </w:tc>
        <w:tc>
          <w:tcPr>
            <w:tcW w:w="709" w:type="dxa"/>
            <w:tcBorders>
              <w:left w:val="nil"/>
              <w:bottom w:val="nil"/>
              <w:right w:val="nil"/>
            </w:tcBorders>
            <w:tcMar>
              <w:top w:w="28" w:type="dxa"/>
              <w:bottom w:w="28" w:type="dxa"/>
            </w:tcMar>
            <w:vAlign w:val="bottom"/>
          </w:tcPr>
          <w:p w14:paraId="44060926"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884</w:t>
            </w:r>
          </w:p>
        </w:tc>
        <w:tc>
          <w:tcPr>
            <w:tcW w:w="709" w:type="dxa"/>
            <w:tcBorders>
              <w:left w:val="nil"/>
              <w:bottom w:val="nil"/>
              <w:right w:val="nil"/>
            </w:tcBorders>
            <w:tcMar>
              <w:top w:w="28" w:type="dxa"/>
              <w:bottom w:w="28" w:type="dxa"/>
            </w:tcMar>
            <w:vAlign w:val="bottom"/>
          </w:tcPr>
          <w:p w14:paraId="3699C69B"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913</w:t>
            </w:r>
          </w:p>
        </w:tc>
        <w:tc>
          <w:tcPr>
            <w:tcW w:w="709" w:type="dxa"/>
            <w:tcBorders>
              <w:left w:val="nil"/>
              <w:bottom w:val="nil"/>
            </w:tcBorders>
            <w:tcMar>
              <w:top w:w="28" w:type="dxa"/>
              <w:bottom w:w="28" w:type="dxa"/>
            </w:tcMar>
            <w:vAlign w:val="bottom"/>
          </w:tcPr>
          <w:p w14:paraId="4464ECF1" w14:textId="77777777" w:rsidR="005F7696" w:rsidRPr="00B9354F" w:rsidRDefault="005F7696" w:rsidP="000853E1">
            <w:pPr>
              <w:spacing w:before="0" w:after="0"/>
              <w:ind w:left="-57"/>
              <w:jc w:val="right"/>
              <w:rPr>
                <w:rFonts w:cs="Arial"/>
                <w:szCs w:val="20"/>
              </w:rPr>
            </w:pPr>
            <w:r w:rsidRPr="00B9354F">
              <w:rPr>
                <w:rFonts w:cs="Arial"/>
                <w:color w:val="000000"/>
                <w:szCs w:val="20"/>
              </w:rPr>
              <w:t>1,044</w:t>
            </w:r>
          </w:p>
        </w:tc>
      </w:tr>
      <w:tr w:rsidR="005F7696" w:rsidRPr="00B9354F" w14:paraId="395B21C9" w14:textId="77777777" w:rsidTr="000853E1">
        <w:tc>
          <w:tcPr>
            <w:tcW w:w="845" w:type="dxa"/>
            <w:vMerge/>
            <w:tcMar>
              <w:top w:w="28" w:type="dxa"/>
              <w:bottom w:w="28" w:type="dxa"/>
            </w:tcMar>
            <w:vAlign w:val="center"/>
          </w:tcPr>
          <w:p w14:paraId="0C3C3BA8" w14:textId="77777777" w:rsidR="005F7696" w:rsidRPr="00B9354F" w:rsidRDefault="005F7696" w:rsidP="000853E1">
            <w:pPr>
              <w:spacing w:before="0" w:after="0"/>
              <w:ind w:right="-57"/>
              <w:rPr>
                <w:rFonts w:cs="Arial"/>
                <w:color w:val="000000"/>
                <w:sz w:val="22"/>
                <w:szCs w:val="22"/>
              </w:rPr>
            </w:pPr>
          </w:p>
        </w:tc>
        <w:tc>
          <w:tcPr>
            <w:tcW w:w="710" w:type="dxa"/>
            <w:tcBorders>
              <w:top w:val="nil"/>
              <w:bottom w:val="nil"/>
            </w:tcBorders>
            <w:tcMar>
              <w:top w:w="28" w:type="dxa"/>
              <w:bottom w:w="28" w:type="dxa"/>
            </w:tcMar>
            <w:vAlign w:val="center"/>
          </w:tcPr>
          <w:p w14:paraId="7DC94D1B" w14:textId="77777777" w:rsidR="005F7696" w:rsidRPr="00B9354F" w:rsidRDefault="005F7696" w:rsidP="000853E1">
            <w:pPr>
              <w:spacing w:before="0" w:after="0"/>
              <w:ind w:left="-57" w:right="-57"/>
              <w:jc w:val="center"/>
              <w:rPr>
                <w:rFonts w:cs="Arial"/>
                <w:szCs w:val="20"/>
              </w:rPr>
            </w:pPr>
            <w:r w:rsidRPr="00B9354F">
              <w:rPr>
                <w:rFonts w:cs="Arial"/>
                <w:szCs w:val="20"/>
              </w:rPr>
              <w:t>E</w:t>
            </w:r>
          </w:p>
        </w:tc>
        <w:tc>
          <w:tcPr>
            <w:tcW w:w="992" w:type="dxa"/>
            <w:vMerge/>
            <w:tcBorders>
              <w:bottom w:val="nil"/>
            </w:tcBorders>
            <w:tcMar>
              <w:top w:w="28" w:type="dxa"/>
              <w:bottom w:w="28" w:type="dxa"/>
            </w:tcMar>
            <w:vAlign w:val="center"/>
          </w:tcPr>
          <w:p w14:paraId="2EA0040A" w14:textId="77777777" w:rsidR="005F7696" w:rsidRPr="00B9354F" w:rsidDel="00B61826" w:rsidRDefault="005F7696" w:rsidP="000853E1">
            <w:pPr>
              <w:spacing w:before="0" w:after="0"/>
              <w:ind w:left="-57" w:right="-57"/>
              <w:jc w:val="center"/>
              <w:rPr>
                <w:rFonts w:cs="Arial"/>
                <w:szCs w:val="20"/>
              </w:rPr>
            </w:pPr>
          </w:p>
        </w:tc>
        <w:tc>
          <w:tcPr>
            <w:tcW w:w="1983" w:type="dxa"/>
            <w:tcBorders>
              <w:top w:val="nil"/>
              <w:bottom w:val="nil"/>
            </w:tcBorders>
            <w:tcMar>
              <w:top w:w="28" w:type="dxa"/>
              <w:bottom w:w="28" w:type="dxa"/>
            </w:tcMar>
            <w:vAlign w:val="center"/>
          </w:tcPr>
          <w:p w14:paraId="4BC7B798" w14:textId="77777777" w:rsidR="005F7696" w:rsidRPr="00B9354F" w:rsidRDefault="005F7696" w:rsidP="000853E1">
            <w:pPr>
              <w:spacing w:before="0" w:after="0"/>
              <w:ind w:left="-57" w:right="-57"/>
              <w:jc w:val="center"/>
              <w:rPr>
                <w:rFonts w:cs="Arial"/>
                <w:color w:val="000000"/>
                <w:szCs w:val="20"/>
              </w:rPr>
            </w:pPr>
            <w:r w:rsidRPr="00B9354F">
              <w:rPr>
                <w:rFonts w:cs="Arial"/>
                <w:color w:val="000000"/>
                <w:szCs w:val="20"/>
              </w:rPr>
              <w:t>7/2003 - 06/2021</w:t>
            </w:r>
          </w:p>
        </w:tc>
        <w:tc>
          <w:tcPr>
            <w:tcW w:w="921" w:type="dxa"/>
            <w:tcBorders>
              <w:top w:val="nil"/>
              <w:bottom w:val="nil"/>
              <w:right w:val="nil"/>
            </w:tcBorders>
            <w:tcMar>
              <w:top w:w="28" w:type="dxa"/>
              <w:bottom w:w="28" w:type="dxa"/>
            </w:tcMar>
            <w:vAlign w:val="bottom"/>
          </w:tcPr>
          <w:p w14:paraId="47DB1264"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17,038</w:t>
            </w:r>
          </w:p>
        </w:tc>
        <w:tc>
          <w:tcPr>
            <w:tcW w:w="922" w:type="dxa"/>
            <w:tcBorders>
              <w:top w:val="nil"/>
              <w:left w:val="nil"/>
              <w:bottom w:val="nil"/>
            </w:tcBorders>
            <w:tcMar>
              <w:top w:w="28" w:type="dxa"/>
              <w:bottom w:w="28" w:type="dxa"/>
            </w:tcMar>
          </w:tcPr>
          <w:p w14:paraId="3A5D6DCE"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3,598</w:t>
            </w:r>
          </w:p>
        </w:tc>
        <w:tc>
          <w:tcPr>
            <w:tcW w:w="709" w:type="dxa"/>
            <w:tcBorders>
              <w:top w:val="nil"/>
              <w:bottom w:val="nil"/>
              <w:right w:val="nil"/>
            </w:tcBorders>
            <w:tcMar>
              <w:top w:w="28" w:type="dxa"/>
              <w:bottom w:w="28" w:type="dxa"/>
            </w:tcMar>
          </w:tcPr>
          <w:p w14:paraId="2D4A4BC2"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1,122</w:t>
            </w:r>
          </w:p>
        </w:tc>
        <w:tc>
          <w:tcPr>
            <w:tcW w:w="709" w:type="dxa"/>
            <w:tcBorders>
              <w:top w:val="nil"/>
              <w:left w:val="nil"/>
              <w:bottom w:val="nil"/>
              <w:right w:val="nil"/>
            </w:tcBorders>
            <w:tcMar>
              <w:top w:w="28" w:type="dxa"/>
              <w:bottom w:w="28" w:type="dxa"/>
            </w:tcMar>
          </w:tcPr>
          <w:p w14:paraId="164915BD"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794</w:t>
            </w:r>
          </w:p>
        </w:tc>
        <w:tc>
          <w:tcPr>
            <w:tcW w:w="709" w:type="dxa"/>
            <w:tcBorders>
              <w:top w:val="nil"/>
              <w:left w:val="nil"/>
              <w:bottom w:val="nil"/>
              <w:right w:val="nil"/>
            </w:tcBorders>
            <w:tcMar>
              <w:top w:w="28" w:type="dxa"/>
              <w:bottom w:w="28" w:type="dxa"/>
            </w:tcMar>
          </w:tcPr>
          <w:p w14:paraId="0CD3B959"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875</w:t>
            </w:r>
          </w:p>
        </w:tc>
        <w:tc>
          <w:tcPr>
            <w:tcW w:w="709" w:type="dxa"/>
            <w:tcBorders>
              <w:top w:val="nil"/>
              <w:left w:val="nil"/>
              <w:bottom w:val="nil"/>
            </w:tcBorders>
            <w:tcMar>
              <w:top w:w="28" w:type="dxa"/>
              <w:bottom w:w="28" w:type="dxa"/>
            </w:tcMar>
          </w:tcPr>
          <w:p w14:paraId="317A3BF6" w14:textId="77777777" w:rsidR="005F7696" w:rsidRPr="00B9354F" w:rsidRDefault="005F7696" w:rsidP="000853E1">
            <w:pPr>
              <w:spacing w:before="0" w:after="0"/>
              <w:ind w:left="-57"/>
              <w:jc w:val="right"/>
              <w:rPr>
                <w:rFonts w:cs="Arial"/>
                <w:color w:val="000000"/>
                <w:szCs w:val="20"/>
              </w:rPr>
            </w:pPr>
            <w:r w:rsidRPr="00B9354F">
              <w:rPr>
                <w:rFonts w:cs="Arial"/>
                <w:color w:val="000000"/>
                <w:szCs w:val="20"/>
              </w:rPr>
              <w:t>807</w:t>
            </w:r>
          </w:p>
        </w:tc>
      </w:tr>
      <w:tr w:rsidR="005F7696" w:rsidRPr="00B9354F" w14:paraId="56470FDA" w14:textId="77777777" w:rsidTr="000853E1">
        <w:tc>
          <w:tcPr>
            <w:tcW w:w="845" w:type="dxa"/>
            <w:vMerge/>
            <w:tcMar>
              <w:top w:w="28" w:type="dxa"/>
              <w:bottom w:w="28" w:type="dxa"/>
            </w:tcMar>
            <w:vAlign w:val="center"/>
          </w:tcPr>
          <w:p w14:paraId="782BF88E" w14:textId="77777777" w:rsidR="005F7696" w:rsidRPr="00B9354F" w:rsidRDefault="005F7696" w:rsidP="000853E1">
            <w:pPr>
              <w:spacing w:before="0" w:after="0"/>
              <w:ind w:right="-57"/>
              <w:rPr>
                <w:rFonts w:cs="Arial"/>
                <w:szCs w:val="20"/>
              </w:rPr>
            </w:pPr>
          </w:p>
        </w:tc>
        <w:tc>
          <w:tcPr>
            <w:tcW w:w="710" w:type="dxa"/>
            <w:tcBorders>
              <w:top w:val="nil"/>
              <w:bottom w:val="nil"/>
            </w:tcBorders>
            <w:tcMar>
              <w:top w:w="28" w:type="dxa"/>
              <w:bottom w:w="28" w:type="dxa"/>
            </w:tcMar>
            <w:vAlign w:val="center"/>
          </w:tcPr>
          <w:p w14:paraId="49EB45F0" w14:textId="77777777" w:rsidR="005F7696" w:rsidRPr="00B9354F" w:rsidRDefault="005F7696" w:rsidP="000853E1">
            <w:pPr>
              <w:spacing w:before="0" w:after="0"/>
              <w:ind w:left="-57" w:right="-57"/>
              <w:jc w:val="center"/>
              <w:rPr>
                <w:rFonts w:cs="Arial"/>
                <w:szCs w:val="20"/>
              </w:rPr>
            </w:pPr>
            <w:r w:rsidRPr="00B9354F">
              <w:rPr>
                <w:rFonts w:cs="Arial"/>
                <w:szCs w:val="20"/>
              </w:rPr>
              <w:t>P</w:t>
            </w:r>
          </w:p>
        </w:tc>
        <w:tc>
          <w:tcPr>
            <w:tcW w:w="992" w:type="dxa"/>
            <w:tcBorders>
              <w:top w:val="nil"/>
              <w:bottom w:val="nil"/>
            </w:tcBorders>
            <w:tcMar>
              <w:top w:w="28" w:type="dxa"/>
              <w:bottom w:w="28" w:type="dxa"/>
            </w:tcMar>
            <w:vAlign w:val="center"/>
          </w:tcPr>
          <w:p w14:paraId="61E6E6D2" w14:textId="77777777" w:rsidR="005F7696" w:rsidRPr="00B9354F" w:rsidRDefault="005F7696" w:rsidP="000853E1">
            <w:pPr>
              <w:spacing w:before="0" w:after="0"/>
              <w:ind w:left="-57" w:right="-57"/>
              <w:jc w:val="center"/>
              <w:rPr>
                <w:rFonts w:cs="Arial"/>
                <w:szCs w:val="20"/>
              </w:rPr>
            </w:pPr>
            <w:r>
              <w:rPr>
                <w:rFonts w:cs="Arial"/>
                <w:szCs w:val="20"/>
              </w:rPr>
              <w:t>08</w:t>
            </w:r>
            <w:r w:rsidRPr="00B9354F">
              <w:rPr>
                <w:rFonts w:cs="Arial"/>
                <w:szCs w:val="20"/>
              </w:rPr>
              <w:t>/20</w:t>
            </w:r>
            <w:r>
              <w:rPr>
                <w:rFonts w:cs="Arial"/>
                <w:szCs w:val="20"/>
              </w:rPr>
              <w:t>21</w:t>
            </w:r>
          </w:p>
        </w:tc>
        <w:tc>
          <w:tcPr>
            <w:tcW w:w="1983" w:type="dxa"/>
            <w:tcBorders>
              <w:top w:val="nil"/>
              <w:bottom w:val="nil"/>
            </w:tcBorders>
            <w:tcMar>
              <w:top w:w="28" w:type="dxa"/>
              <w:bottom w:w="28" w:type="dxa"/>
            </w:tcMar>
            <w:vAlign w:val="center"/>
          </w:tcPr>
          <w:p w14:paraId="7231EFEF" w14:textId="77777777" w:rsidR="005F7696" w:rsidRPr="00B9354F" w:rsidRDefault="005F7696" w:rsidP="000853E1">
            <w:pPr>
              <w:spacing w:before="0" w:after="0"/>
              <w:ind w:left="-57" w:right="-57"/>
              <w:jc w:val="center"/>
              <w:rPr>
                <w:rFonts w:cs="Arial"/>
                <w:szCs w:val="20"/>
              </w:rPr>
            </w:pPr>
            <w:r w:rsidRPr="00B9354F">
              <w:rPr>
                <w:rFonts w:cs="Arial"/>
                <w:color w:val="000000"/>
                <w:szCs w:val="20"/>
              </w:rPr>
              <w:t>03/1986 - 12/2016</w:t>
            </w:r>
          </w:p>
        </w:tc>
        <w:tc>
          <w:tcPr>
            <w:tcW w:w="921" w:type="dxa"/>
            <w:tcBorders>
              <w:top w:val="nil"/>
              <w:bottom w:val="nil"/>
              <w:right w:val="nil"/>
            </w:tcBorders>
            <w:tcMar>
              <w:top w:w="28" w:type="dxa"/>
              <w:bottom w:w="28" w:type="dxa"/>
            </w:tcMar>
            <w:vAlign w:val="bottom"/>
          </w:tcPr>
          <w:p w14:paraId="00CEA860"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2,306</w:t>
            </w:r>
          </w:p>
        </w:tc>
        <w:tc>
          <w:tcPr>
            <w:tcW w:w="922" w:type="dxa"/>
            <w:tcBorders>
              <w:top w:val="nil"/>
              <w:left w:val="nil"/>
              <w:bottom w:val="nil"/>
            </w:tcBorders>
            <w:tcMar>
              <w:top w:w="28" w:type="dxa"/>
              <w:bottom w:w="28" w:type="dxa"/>
            </w:tcMar>
            <w:vAlign w:val="bottom"/>
          </w:tcPr>
          <w:p w14:paraId="131E2ACB"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1,</w:t>
            </w:r>
            <w:r>
              <w:rPr>
                <w:rFonts w:cs="Arial"/>
                <w:color w:val="000000"/>
                <w:szCs w:val="20"/>
              </w:rPr>
              <w:t>061</w:t>
            </w:r>
          </w:p>
        </w:tc>
        <w:tc>
          <w:tcPr>
            <w:tcW w:w="709" w:type="dxa"/>
            <w:tcBorders>
              <w:top w:val="nil"/>
              <w:bottom w:val="nil"/>
              <w:right w:val="nil"/>
            </w:tcBorders>
            <w:tcMar>
              <w:top w:w="28" w:type="dxa"/>
              <w:bottom w:w="28" w:type="dxa"/>
            </w:tcMar>
            <w:vAlign w:val="bottom"/>
          </w:tcPr>
          <w:p w14:paraId="075C5EE7"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172</w:t>
            </w:r>
          </w:p>
        </w:tc>
        <w:tc>
          <w:tcPr>
            <w:tcW w:w="709" w:type="dxa"/>
            <w:tcBorders>
              <w:top w:val="nil"/>
              <w:left w:val="nil"/>
              <w:bottom w:val="nil"/>
              <w:right w:val="nil"/>
            </w:tcBorders>
            <w:tcMar>
              <w:top w:w="28" w:type="dxa"/>
              <w:bottom w:w="28" w:type="dxa"/>
            </w:tcMar>
            <w:vAlign w:val="bottom"/>
          </w:tcPr>
          <w:p w14:paraId="7DB188E3"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889</w:t>
            </w:r>
          </w:p>
        </w:tc>
        <w:tc>
          <w:tcPr>
            <w:tcW w:w="709" w:type="dxa"/>
            <w:tcBorders>
              <w:top w:val="nil"/>
              <w:left w:val="nil"/>
              <w:bottom w:val="nil"/>
              <w:right w:val="nil"/>
            </w:tcBorders>
            <w:tcMar>
              <w:top w:w="28" w:type="dxa"/>
              <w:bottom w:w="28" w:type="dxa"/>
            </w:tcMar>
            <w:vAlign w:val="bottom"/>
          </w:tcPr>
          <w:p w14:paraId="1EDD612B" w14:textId="77777777" w:rsidR="005F7696" w:rsidRPr="00B9354F" w:rsidRDefault="005F7696" w:rsidP="000853E1">
            <w:pPr>
              <w:spacing w:before="0" w:after="0"/>
              <w:ind w:left="-57" w:right="-57"/>
              <w:jc w:val="right"/>
              <w:rPr>
                <w:rFonts w:cs="Arial"/>
                <w:szCs w:val="20"/>
              </w:rPr>
            </w:pPr>
            <w:r>
              <w:rPr>
                <w:rFonts w:cs="Arial"/>
                <w:color w:val="000000"/>
                <w:szCs w:val="20"/>
              </w:rPr>
              <w:t>-</w:t>
            </w:r>
          </w:p>
        </w:tc>
        <w:tc>
          <w:tcPr>
            <w:tcW w:w="709" w:type="dxa"/>
            <w:tcBorders>
              <w:top w:val="nil"/>
              <w:left w:val="nil"/>
              <w:bottom w:val="nil"/>
            </w:tcBorders>
            <w:tcMar>
              <w:top w:w="28" w:type="dxa"/>
              <w:bottom w:w="28" w:type="dxa"/>
            </w:tcMar>
            <w:vAlign w:val="bottom"/>
          </w:tcPr>
          <w:p w14:paraId="2DE571AF" w14:textId="77777777" w:rsidR="005F7696" w:rsidRPr="00B9354F" w:rsidRDefault="005F7696" w:rsidP="000853E1">
            <w:pPr>
              <w:spacing w:before="0" w:after="0"/>
              <w:ind w:left="-57"/>
              <w:jc w:val="right"/>
              <w:rPr>
                <w:rFonts w:cs="Arial"/>
                <w:szCs w:val="20"/>
              </w:rPr>
            </w:pPr>
            <w:r w:rsidRPr="00B9354F">
              <w:rPr>
                <w:rFonts w:cs="Arial"/>
                <w:color w:val="000000"/>
                <w:szCs w:val="20"/>
              </w:rPr>
              <w:t>-</w:t>
            </w:r>
          </w:p>
        </w:tc>
      </w:tr>
      <w:tr w:rsidR="005F7696" w:rsidRPr="00B9354F" w14:paraId="6E48CCCD" w14:textId="77777777" w:rsidTr="000853E1">
        <w:tc>
          <w:tcPr>
            <w:tcW w:w="845" w:type="dxa"/>
            <w:vMerge w:val="restart"/>
            <w:tcMar>
              <w:top w:w="28" w:type="dxa"/>
              <w:bottom w:w="28" w:type="dxa"/>
            </w:tcMar>
            <w:vAlign w:val="center"/>
          </w:tcPr>
          <w:p w14:paraId="7F3810C2" w14:textId="77777777" w:rsidR="005F7696" w:rsidRPr="00B9354F" w:rsidRDefault="005F7696" w:rsidP="000853E1">
            <w:pPr>
              <w:spacing w:before="0" w:after="0"/>
              <w:ind w:right="-57"/>
              <w:rPr>
                <w:rFonts w:cs="Arial"/>
                <w:szCs w:val="20"/>
              </w:rPr>
            </w:pPr>
            <w:r w:rsidRPr="00B9354F">
              <w:rPr>
                <w:rFonts w:cs="Arial"/>
                <w:color w:val="000000"/>
                <w:sz w:val="22"/>
                <w:szCs w:val="22"/>
              </w:rPr>
              <w:t xml:space="preserve">TAS </w:t>
            </w:r>
          </w:p>
        </w:tc>
        <w:tc>
          <w:tcPr>
            <w:tcW w:w="710" w:type="dxa"/>
            <w:tcBorders>
              <w:bottom w:val="nil"/>
            </w:tcBorders>
            <w:tcMar>
              <w:top w:w="28" w:type="dxa"/>
              <w:bottom w:w="28" w:type="dxa"/>
            </w:tcMar>
            <w:vAlign w:val="center"/>
          </w:tcPr>
          <w:p w14:paraId="24E7D844" w14:textId="77777777" w:rsidR="005F7696" w:rsidRPr="00B9354F" w:rsidRDefault="005F7696" w:rsidP="000853E1">
            <w:pPr>
              <w:spacing w:before="0" w:after="0"/>
              <w:ind w:left="-57" w:right="-57"/>
              <w:jc w:val="center"/>
              <w:rPr>
                <w:rFonts w:cs="Arial"/>
                <w:szCs w:val="20"/>
              </w:rPr>
            </w:pPr>
            <w:r w:rsidRPr="00B9354F">
              <w:rPr>
                <w:rFonts w:cs="Arial"/>
                <w:szCs w:val="20"/>
              </w:rPr>
              <w:t>A</w:t>
            </w:r>
          </w:p>
        </w:tc>
        <w:tc>
          <w:tcPr>
            <w:tcW w:w="992" w:type="dxa"/>
            <w:vMerge w:val="restart"/>
            <w:tcBorders>
              <w:bottom w:val="nil"/>
            </w:tcBorders>
            <w:tcMar>
              <w:top w:w="28" w:type="dxa"/>
              <w:bottom w:w="28" w:type="dxa"/>
            </w:tcMar>
            <w:vAlign w:val="center"/>
          </w:tcPr>
          <w:p w14:paraId="6D6070DB" w14:textId="77777777" w:rsidR="005F7696" w:rsidRPr="00B9354F" w:rsidRDefault="005F7696" w:rsidP="000853E1">
            <w:pPr>
              <w:spacing w:before="0" w:after="0"/>
              <w:ind w:left="-57" w:right="-57"/>
              <w:jc w:val="center"/>
              <w:rPr>
                <w:rFonts w:cs="Arial"/>
                <w:szCs w:val="20"/>
              </w:rPr>
            </w:pPr>
            <w:r w:rsidRPr="00B9354F">
              <w:rPr>
                <w:rFonts w:cs="Arial"/>
                <w:szCs w:val="20"/>
              </w:rPr>
              <w:t>11/2020</w:t>
            </w:r>
          </w:p>
        </w:tc>
        <w:tc>
          <w:tcPr>
            <w:tcW w:w="1983" w:type="dxa"/>
            <w:tcBorders>
              <w:bottom w:val="nil"/>
            </w:tcBorders>
            <w:tcMar>
              <w:top w:w="28" w:type="dxa"/>
              <w:bottom w:w="28" w:type="dxa"/>
            </w:tcMar>
            <w:vAlign w:val="center"/>
          </w:tcPr>
          <w:p w14:paraId="27D67EB1" w14:textId="77777777" w:rsidR="005F7696" w:rsidRPr="00B9354F" w:rsidRDefault="005F7696" w:rsidP="000853E1">
            <w:pPr>
              <w:spacing w:before="0" w:after="0"/>
              <w:ind w:left="-57" w:right="-57"/>
              <w:jc w:val="center"/>
              <w:rPr>
                <w:rFonts w:cs="Arial"/>
                <w:szCs w:val="20"/>
              </w:rPr>
            </w:pPr>
            <w:r w:rsidRPr="00B9354F">
              <w:rPr>
                <w:rFonts w:cs="Arial"/>
                <w:color w:val="000000"/>
                <w:szCs w:val="20"/>
              </w:rPr>
              <w:t>01/2007 - 12/2019</w:t>
            </w:r>
          </w:p>
        </w:tc>
        <w:tc>
          <w:tcPr>
            <w:tcW w:w="921" w:type="dxa"/>
            <w:tcBorders>
              <w:bottom w:val="nil"/>
              <w:right w:val="nil"/>
            </w:tcBorders>
            <w:tcMar>
              <w:top w:w="28" w:type="dxa"/>
              <w:bottom w:w="28" w:type="dxa"/>
            </w:tcMar>
            <w:vAlign w:val="bottom"/>
          </w:tcPr>
          <w:p w14:paraId="6AC70CF6"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5,039</w:t>
            </w:r>
          </w:p>
        </w:tc>
        <w:tc>
          <w:tcPr>
            <w:tcW w:w="922" w:type="dxa"/>
            <w:tcBorders>
              <w:left w:val="nil"/>
              <w:bottom w:val="nil"/>
            </w:tcBorders>
            <w:tcMar>
              <w:top w:w="28" w:type="dxa"/>
              <w:bottom w:w="28" w:type="dxa"/>
            </w:tcMar>
            <w:vAlign w:val="bottom"/>
          </w:tcPr>
          <w:p w14:paraId="71493033"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1,168</w:t>
            </w:r>
          </w:p>
        </w:tc>
        <w:tc>
          <w:tcPr>
            <w:tcW w:w="709" w:type="dxa"/>
            <w:tcBorders>
              <w:bottom w:val="nil"/>
              <w:right w:val="nil"/>
            </w:tcBorders>
            <w:tcMar>
              <w:top w:w="28" w:type="dxa"/>
              <w:bottom w:w="28" w:type="dxa"/>
            </w:tcMar>
            <w:vAlign w:val="bottom"/>
          </w:tcPr>
          <w:p w14:paraId="1FCB1807"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1,168</w:t>
            </w:r>
          </w:p>
        </w:tc>
        <w:tc>
          <w:tcPr>
            <w:tcW w:w="709" w:type="dxa"/>
            <w:tcBorders>
              <w:left w:val="nil"/>
              <w:bottom w:val="nil"/>
              <w:right w:val="nil"/>
            </w:tcBorders>
            <w:tcMar>
              <w:top w:w="28" w:type="dxa"/>
              <w:bottom w:w="28" w:type="dxa"/>
            </w:tcMar>
            <w:vAlign w:val="bottom"/>
          </w:tcPr>
          <w:p w14:paraId="4D6595FD"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269</w:t>
            </w:r>
          </w:p>
        </w:tc>
        <w:tc>
          <w:tcPr>
            <w:tcW w:w="709" w:type="dxa"/>
            <w:tcBorders>
              <w:left w:val="nil"/>
              <w:bottom w:val="nil"/>
              <w:right w:val="nil"/>
            </w:tcBorders>
            <w:tcMar>
              <w:top w:w="28" w:type="dxa"/>
              <w:bottom w:w="28" w:type="dxa"/>
            </w:tcMar>
            <w:vAlign w:val="bottom"/>
          </w:tcPr>
          <w:p w14:paraId="4D37F5C2"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328</w:t>
            </w:r>
          </w:p>
        </w:tc>
        <w:tc>
          <w:tcPr>
            <w:tcW w:w="709" w:type="dxa"/>
            <w:tcBorders>
              <w:left w:val="nil"/>
              <w:bottom w:val="nil"/>
            </w:tcBorders>
            <w:tcMar>
              <w:top w:w="28" w:type="dxa"/>
              <w:bottom w:w="28" w:type="dxa"/>
            </w:tcMar>
            <w:vAlign w:val="bottom"/>
          </w:tcPr>
          <w:p w14:paraId="76DBEE10" w14:textId="77777777" w:rsidR="005F7696" w:rsidRPr="00B9354F" w:rsidRDefault="005F7696" w:rsidP="000853E1">
            <w:pPr>
              <w:spacing w:before="0" w:after="0"/>
              <w:ind w:left="-57"/>
              <w:jc w:val="right"/>
              <w:rPr>
                <w:rFonts w:cs="Arial"/>
                <w:szCs w:val="20"/>
              </w:rPr>
            </w:pPr>
            <w:r w:rsidRPr="00B9354F">
              <w:rPr>
                <w:rFonts w:cs="Arial"/>
                <w:color w:val="000000"/>
                <w:szCs w:val="20"/>
              </w:rPr>
              <w:t>280</w:t>
            </w:r>
          </w:p>
        </w:tc>
      </w:tr>
      <w:tr w:rsidR="005F7696" w:rsidRPr="00B9354F" w14:paraId="054BFA82" w14:textId="77777777" w:rsidTr="000853E1">
        <w:tc>
          <w:tcPr>
            <w:tcW w:w="845" w:type="dxa"/>
            <w:vMerge/>
            <w:tcMar>
              <w:top w:w="28" w:type="dxa"/>
              <w:bottom w:w="28" w:type="dxa"/>
            </w:tcMar>
            <w:vAlign w:val="center"/>
          </w:tcPr>
          <w:p w14:paraId="79E5D160" w14:textId="77777777" w:rsidR="005F7696" w:rsidRPr="00B9354F" w:rsidRDefault="005F7696" w:rsidP="000853E1">
            <w:pPr>
              <w:spacing w:before="0" w:after="0"/>
              <w:ind w:right="-57"/>
              <w:rPr>
                <w:rFonts w:cs="Arial"/>
                <w:color w:val="000000"/>
                <w:sz w:val="22"/>
                <w:szCs w:val="22"/>
              </w:rPr>
            </w:pPr>
          </w:p>
        </w:tc>
        <w:tc>
          <w:tcPr>
            <w:tcW w:w="710" w:type="dxa"/>
            <w:tcBorders>
              <w:top w:val="nil"/>
              <w:bottom w:val="nil"/>
            </w:tcBorders>
            <w:tcMar>
              <w:top w:w="28" w:type="dxa"/>
              <w:bottom w:w="28" w:type="dxa"/>
            </w:tcMar>
            <w:vAlign w:val="center"/>
          </w:tcPr>
          <w:p w14:paraId="009E484A" w14:textId="77777777" w:rsidR="005F7696" w:rsidRPr="00B9354F" w:rsidRDefault="005F7696" w:rsidP="000853E1">
            <w:pPr>
              <w:spacing w:before="0" w:after="0"/>
              <w:ind w:left="-57" w:right="-57"/>
              <w:jc w:val="center"/>
              <w:rPr>
                <w:rFonts w:cs="Arial"/>
                <w:szCs w:val="20"/>
              </w:rPr>
            </w:pPr>
            <w:r w:rsidRPr="00B9354F">
              <w:rPr>
                <w:rFonts w:cs="Arial"/>
                <w:szCs w:val="20"/>
              </w:rPr>
              <w:t>E</w:t>
            </w:r>
          </w:p>
        </w:tc>
        <w:tc>
          <w:tcPr>
            <w:tcW w:w="992" w:type="dxa"/>
            <w:vMerge/>
            <w:tcBorders>
              <w:top w:val="nil"/>
              <w:bottom w:val="nil"/>
            </w:tcBorders>
            <w:tcMar>
              <w:top w:w="28" w:type="dxa"/>
              <w:bottom w:w="28" w:type="dxa"/>
            </w:tcMar>
            <w:vAlign w:val="bottom"/>
          </w:tcPr>
          <w:p w14:paraId="5347EE76" w14:textId="77777777" w:rsidR="005F7696" w:rsidRPr="00B9354F" w:rsidDel="00B61826" w:rsidRDefault="005F7696" w:rsidP="000853E1">
            <w:pPr>
              <w:spacing w:before="0" w:after="0"/>
              <w:ind w:left="-57" w:right="-57"/>
              <w:jc w:val="center"/>
              <w:rPr>
                <w:rFonts w:cs="Arial"/>
                <w:szCs w:val="20"/>
              </w:rPr>
            </w:pPr>
          </w:p>
        </w:tc>
        <w:tc>
          <w:tcPr>
            <w:tcW w:w="1983" w:type="dxa"/>
            <w:tcBorders>
              <w:top w:val="nil"/>
              <w:bottom w:val="nil"/>
            </w:tcBorders>
            <w:tcMar>
              <w:top w:w="28" w:type="dxa"/>
              <w:bottom w:w="28" w:type="dxa"/>
            </w:tcMar>
            <w:vAlign w:val="center"/>
          </w:tcPr>
          <w:p w14:paraId="09940BD3" w14:textId="77777777" w:rsidR="005F7696" w:rsidRPr="00B9354F" w:rsidRDefault="005F7696" w:rsidP="000853E1">
            <w:pPr>
              <w:spacing w:before="0" w:after="0"/>
              <w:ind w:left="-57" w:right="-57"/>
              <w:jc w:val="center"/>
              <w:rPr>
                <w:rFonts w:cs="Arial"/>
                <w:color w:val="000000"/>
                <w:szCs w:val="20"/>
              </w:rPr>
            </w:pPr>
            <w:r w:rsidRPr="00B9354F">
              <w:rPr>
                <w:rFonts w:cs="Arial"/>
                <w:color w:val="000000"/>
                <w:szCs w:val="20"/>
              </w:rPr>
              <w:t>01/2007 – 12/2019</w:t>
            </w:r>
          </w:p>
        </w:tc>
        <w:tc>
          <w:tcPr>
            <w:tcW w:w="921" w:type="dxa"/>
            <w:tcBorders>
              <w:top w:val="nil"/>
              <w:bottom w:val="nil"/>
              <w:right w:val="nil"/>
            </w:tcBorders>
            <w:tcMar>
              <w:top w:w="28" w:type="dxa"/>
              <w:bottom w:w="28" w:type="dxa"/>
            </w:tcMar>
            <w:vAlign w:val="bottom"/>
          </w:tcPr>
          <w:p w14:paraId="0F964C43"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1,498</w:t>
            </w:r>
          </w:p>
        </w:tc>
        <w:tc>
          <w:tcPr>
            <w:tcW w:w="922" w:type="dxa"/>
            <w:tcBorders>
              <w:top w:val="nil"/>
              <w:left w:val="nil"/>
              <w:bottom w:val="nil"/>
            </w:tcBorders>
            <w:tcMar>
              <w:top w:w="28" w:type="dxa"/>
              <w:bottom w:w="28" w:type="dxa"/>
            </w:tcMar>
            <w:vAlign w:val="bottom"/>
          </w:tcPr>
          <w:p w14:paraId="13F85912"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1,469</w:t>
            </w:r>
          </w:p>
        </w:tc>
        <w:tc>
          <w:tcPr>
            <w:tcW w:w="709" w:type="dxa"/>
            <w:tcBorders>
              <w:top w:val="nil"/>
              <w:bottom w:val="nil"/>
              <w:right w:val="nil"/>
            </w:tcBorders>
            <w:tcMar>
              <w:top w:w="28" w:type="dxa"/>
              <w:bottom w:w="28" w:type="dxa"/>
            </w:tcMar>
            <w:vAlign w:val="bottom"/>
          </w:tcPr>
          <w:p w14:paraId="397DB9E4"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482</w:t>
            </w:r>
          </w:p>
        </w:tc>
        <w:tc>
          <w:tcPr>
            <w:tcW w:w="709" w:type="dxa"/>
            <w:tcBorders>
              <w:top w:val="nil"/>
              <w:left w:val="nil"/>
              <w:bottom w:val="nil"/>
              <w:right w:val="nil"/>
            </w:tcBorders>
            <w:tcMar>
              <w:top w:w="28" w:type="dxa"/>
              <w:bottom w:w="28" w:type="dxa"/>
            </w:tcMar>
            <w:vAlign w:val="bottom"/>
          </w:tcPr>
          <w:p w14:paraId="27513C11"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306</w:t>
            </w:r>
          </w:p>
        </w:tc>
        <w:tc>
          <w:tcPr>
            <w:tcW w:w="709" w:type="dxa"/>
            <w:tcBorders>
              <w:top w:val="nil"/>
              <w:left w:val="nil"/>
              <w:bottom w:val="nil"/>
              <w:right w:val="nil"/>
            </w:tcBorders>
            <w:tcMar>
              <w:top w:w="28" w:type="dxa"/>
              <w:bottom w:w="28" w:type="dxa"/>
            </w:tcMar>
            <w:vAlign w:val="bottom"/>
          </w:tcPr>
          <w:p w14:paraId="727A22A7"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401</w:t>
            </w:r>
          </w:p>
        </w:tc>
        <w:tc>
          <w:tcPr>
            <w:tcW w:w="709" w:type="dxa"/>
            <w:tcBorders>
              <w:top w:val="nil"/>
              <w:left w:val="nil"/>
              <w:bottom w:val="nil"/>
            </w:tcBorders>
            <w:tcMar>
              <w:top w:w="28" w:type="dxa"/>
              <w:bottom w:w="28" w:type="dxa"/>
            </w:tcMar>
            <w:vAlign w:val="bottom"/>
          </w:tcPr>
          <w:p w14:paraId="52904FA3" w14:textId="77777777" w:rsidR="005F7696" w:rsidRPr="00B9354F" w:rsidRDefault="005F7696" w:rsidP="000853E1">
            <w:pPr>
              <w:spacing w:before="0" w:after="0"/>
              <w:ind w:left="-57"/>
              <w:jc w:val="right"/>
              <w:rPr>
                <w:rFonts w:cs="Arial"/>
                <w:color w:val="000000"/>
                <w:szCs w:val="20"/>
              </w:rPr>
            </w:pPr>
            <w:r w:rsidRPr="00B9354F">
              <w:rPr>
                <w:rFonts w:cs="Arial"/>
                <w:color w:val="000000"/>
                <w:szCs w:val="20"/>
              </w:rPr>
              <w:t>280</w:t>
            </w:r>
          </w:p>
        </w:tc>
      </w:tr>
      <w:tr w:rsidR="005F7696" w:rsidRPr="00B9354F" w14:paraId="61ED06DB" w14:textId="77777777" w:rsidTr="000853E1">
        <w:tc>
          <w:tcPr>
            <w:tcW w:w="845" w:type="dxa"/>
            <w:vMerge/>
            <w:tcMar>
              <w:top w:w="28" w:type="dxa"/>
              <w:bottom w:w="28" w:type="dxa"/>
            </w:tcMar>
            <w:vAlign w:val="center"/>
          </w:tcPr>
          <w:p w14:paraId="4ED5FBFB" w14:textId="77777777" w:rsidR="005F7696" w:rsidRPr="00B9354F" w:rsidRDefault="005F7696" w:rsidP="000853E1">
            <w:pPr>
              <w:spacing w:before="0" w:after="0"/>
              <w:ind w:right="-57"/>
              <w:rPr>
                <w:rFonts w:cs="Arial"/>
                <w:szCs w:val="20"/>
              </w:rPr>
            </w:pPr>
          </w:p>
        </w:tc>
        <w:tc>
          <w:tcPr>
            <w:tcW w:w="710" w:type="dxa"/>
            <w:tcBorders>
              <w:top w:val="nil"/>
              <w:bottom w:val="nil"/>
            </w:tcBorders>
            <w:tcMar>
              <w:top w:w="28" w:type="dxa"/>
              <w:bottom w:w="28" w:type="dxa"/>
            </w:tcMar>
            <w:vAlign w:val="center"/>
          </w:tcPr>
          <w:p w14:paraId="0230B337" w14:textId="77777777" w:rsidR="005F7696" w:rsidRPr="00B9354F" w:rsidRDefault="005F7696" w:rsidP="000853E1">
            <w:pPr>
              <w:spacing w:before="0" w:after="0"/>
              <w:ind w:left="-57" w:right="-57"/>
              <w:jc w:val="center"/>
              <w:rPr>
                <w:rFonts w:cs="Arial"/>
                <w:szCs w:val="20"/>
              </w:rPr>
            </w:pPr>
            <w:r w:rsidRPr="00B9354F">
              <w:rPr>
                <w:rFonts w:cs="Arial"/>
                <w:szCs w:val="20"/>
              </w:rPr>
              <w:t>P</w:t>
            </w:r>
          </w:p>
        </w:tc>
        <w:tc>
          <w:tcPr>
            <w:tcW w:w="992" w:type="dxa"/>
            <w:vMerge/>
            <w:tcBorders>
              <w:top w:val="nil"/>
              <w:bottom w:val="nil"/>
            </w:tcBorders>
            <w:tcMar>
              <w:top w:w="28" w:type="dxa"/>
              <w:bottom w:w="28" w:type="dxa"/>
            </w:tcMar>
            <w:vAlign w:val="center"/>
          </w:tcPr>
          <w:p w14:paraId="2157EF18" w14:textId="77777777" w:rsidR="005F7696" w:rsidRPr="00B9354F" w:rsidRDefault="005F7696" w:rsidP="000853E1">
            <w:pPr>
              <w:spacing w:before="0" w:after="0"/>
              <w:ind w:left="-57" w:right="-57"/>
              <w:jc w:val="center"/>
              <w:rPr>
                <w:rFonts w:cs="Arial"/>
                <w:szCs w:val="20"/>
              </w:rPr>
            </w:pPr>
          </w:p>
        </w:tc>
        <w:tc>
          <w:tcPr>
            <w:tcW w:w="1983" w:type="dxa"/>
            <w:tcBorders>
              <w:top w:val="nil"/>
              <w:bottom w:val="nil"/>
            </w:tcBorders>
            <w:tcMar>
              <w:top w:w="28" w:type="dxa"/>
              <w:bottom w:w="28" w:type="dxa"/>
            </w:tcMar>
            <w:vAlign w:val="center"/>
          </w:tcPr>
          <w:p w14:paraId="457C2258" w14:textId="77777777" w:rsidR="005F7696" w:rsidRPr="00B9354F" w:rsidRDefault="005F7696" w:rsidP="000853E1">
            <w:pPr>
              <w:spacing w:before="0" w:after="0"/>
              <w:ind w:left="-57" w:right="-57"/>
              <w:jc w:val="center"/>
              <w:rPr>
                <w:rFonts w:cs="Arial"/>
                <w:szCs w:val="20"/>
              </w:rPr>
            </w:pPr>
            <w:r w:rsidRPr="00B9354F">
              <w:rPr>
                <w:rFonts w:cs="Arial"/>
                <w:color w:val="000000"/>
                <w:szCs w:val="20"/>
              </w:rPr>
              <w:t>01/2005 - 12/2018</w:t>
            </w:r>
          </w:p>
        </w:tc>
        <w:tc>
          <w:tcPr>
            <w:tcW w:w="921" w:type="dxa"/>
            <w:tcBorders>
              <w:top w:val="nil"/>
              <w:bottom w:val="nil"/>
              <w:right w:val="nil"/>
            </w:tcBorders>
            <w:tcMar>
              <w:top w:w="28" w:type="dxa"/>
              <w:bottom w:w="28" w:type="dxa"/>
            </w:tcMar>
            <w:vAlign w:val="bottom"/>
          </w:tcPr>
          <w:p w14:paraId="463E6468"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610</w:t>
            </w:r>
          </w:p>
        </w:tc>
        <w:tc>
          <w:tcPr>
            <w:tcW w:w="922" w:type="dxa"/>
            <w:tcBorders>
              <w:top w:val="nil"/>
              <w:left w:val="nil"/>
              <w:bottom w:val="nil"/>
            </w:tcBorders>
            <w:tcMar>
              <w:top w:w="28" w:type="dxa"/>
              <w:bottom w:w="28" w:type="dxa"/>
            </w:tcMar>
            <w:vAlign w:val="bottom"/>
          </w:tcPr>
          <w:p w14:paraId="629ECCD6"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373</w:t>
            </w:r>
          </w:p>
        </w:tc>
        <w:tc>
          <w:tcPr>
            <w:tcW w:w="709" w:type="dxa"/>
            <w:tcBorders>
              <w:top w:val="nil"/>
              <w:bottom w:val="nil"/>
              <w:right w:val="nil"/>
            </w:tcBorders>
            <w:tcMar>
              <w:top w:w="28" w:type="dxa"/>
              <w:bottom w:w="28" w:type="dxa"/>
            </w:tcMar>
            <w:vAlign w:val="bottom"/>
          </w:tcPr>
          <w:p w14:paraId="01250C88"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121</w:t>
            </w:r>
          </w:p>
        </w:tc>
        <w:tc>
          <w:tcPr>
            <w:tcW w:w="709" w:type="dxa"/>
            <w:tcBorders>
              <w:top w:val="nil"/>
              <w:left w:val="nil"/>
              <w:bottom w:val="nil"/>
              <w:right w:val="nil"/>
            </w:tcBorders>
            <w:tcMar>
              <w:top w:w="28" w:type="dxa"/>
              <w:bottom w:w="28" w:type="dxa"/>
            </w:tcMar>
            <w:vAlign w:val="bottom"/>
          </w:tcPr>
          <w:p w14:paraId="055E6845"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252</w:t>
            </w:r>
          </w:p>
        </w:tc>
        <w:tc>
          <w:tcPr>
            <w:tcW w:w="709" w:type="dxa"/>
            <w:tcBorders>
              <w:top w:val="nil"/>
              <w:left w:val="nil"/>
              <w:bottom w:val="nil"/>
              <w:right w:val="nil"/>
            </w:tcBorders>
            <w:tcMar>
              <w:top w:w="28" w:type="dxa"/>
              <w:bottom w:w="28" w:type="dxa"/>
            </w:tcMar>
            <w:vAlign w:val="bottom"/>
          </w:tcPr>
          <w:p w14:paraId="11D2CEA6"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w:t>
            </w:r>
          </w:p>
        </w:tc>
        <w:tc>
          <w:tcPr>
            <w:tcW w:w="709" w:type="dxa"/>
            <w:tcBorders>
              <w:top w:val="nil"/>
              <w:left w:val="nil"/>
              <w:bottom w:val="nil"/>
            </w:tcBorders>
            <w:tcMar>
              <w:top w:w="28" w:type="dxa"/>
              <w:bottom w:w="28" w:type="dxa"/>
            </w:tcMar>
            <w:vAlign w:val="bottom"/>
          </w:tcPr>
          <w:p w14:paraId="5F4E8263" w14:textId="77777777" w:rsidR="005F7696" w:rsidRPr="00B9354F" w:rsidRDefault="005F7696" w:rsidP="000853E1">
            <w:pPr>
              <w:spacing w:before="0" w:after="0"/>
              <w:ind w:left="-57"/>
              <w:jc w:val="right"/>
              <w:rPr>
                <w:rFonts w:cs="Arial"/>
                <w:szCs w:val="20"/>
              </w:rPr>
            </w:pPr>
            <w:r w:rsidRPr="00B9354F">
              <w:rPr>
                <w:rFonts w:cs="Arial"/>
                <w:color w:val="000000"/>
                <w:szCs w:val="20"/>
              </w:rPr>
              <w:t>-</w:t>
            </w:r>
          </w:p>
        </w:tc>
      </w:tr>
      <w:tr w:rsidR="005F7696" w:rsidRPr="00B9354F" w14:paraId="6517B925" w14:textId="77777777" w:rsidTr="000853E1">
        <w:tc>
          <w:tcPr>
            <w:tcW w:w="845" w:type="dxa"/>
            <w:vMerge w:val="restart"/>
            <w:tcMar>
              <w:top w:w="28" w:type="dxa"/>
              <w:bottom w:w="28" w:type="dxa"/>
            </w:tcMar>
            <w:vAlign w:val="center"/>
          </w:tcPr>
          <w:p w14:paraId="5D2CEB61" w14:textId="77777777" w:rsidR="005F7696" w:rsidRPr="00B9354F" w:rsidRDefault="005F7696" w:rsidP="000853E1">
            <w:pPr>
              <w:spacing w:before="0" w:after="0"/>
              <w:ind w:right="-57"/>
              <w:rPr>
                <w:rFonts w:cs="Arial"/>
                <w:szCs w:val="20"/>
              </w:rPr>
            </w:pPr>
            <w:r w:rsidRPr="00B9354F">
              <w:rPr>
                <w:rFonts w:cs="Arial"/>
                <w:color w:val="000000"/>
                <w:sz w:val="22"/>
                <w:szCs w:val="22"/>
              </w:rPr>
              <w:t>VIC</w:t>
            </w:r>
          </w:p>
        </w:tc>
        <w:tc>
          <w:tcPr>
            <w:tcW w:w="710" w:type="dxa"/>
            <w:tcBorders>
              <w:bottom w:val="nil"/>
            </w:tcBorders>
            <w:tcMar>
              <w:top w:w="28" w:type="dxa"/>
              <w:bottom w:w="28" w:type="dxa"/>
            </w:tcMar>
            <w:vAlign w:val="center"/>
          </w:tcPr>
          <w:p w14:paraId="1F4ED0B1" w14:textId="77777777" w:rsidR="005F7696" w:rsidRPr="00B9354F" w:rsidRDefault="005F7696" w:rsidP="000853E1">
            <w:pPr>
              <w:spacing w:before="0" w:after="0"/>
              <w:ind w:left="-57" w:right="-57"/>
              <w:jc w:val="center"/>
              <w:rPr>
                <w:rFonts w:cs="Arial"/>
                <w:szCs w:val="20"/>
              </w:rPr>
            </w:pPr>
            <w:r w:rsidRPr="00B9354F">
              <w:rPr>
                <w:rFonts w:cs="Arial"/>
                <w:szCs w:val="20"/>
              </w:rPr>
              <w:t>A</w:t>
            </w:r>
          </w:p>
        </w:tc>
        <w:tc>
          <w:tcPr>
            <w:tcW w:w="992" w:type="dxa"/>
            <w:vMerge w:val="restart"/>
            <w:tcMar>
              <w:top w:w="28" w:type="dxa"/>
              <w:bottom w:w="28" w:type="dxa"/>
            </w:tcMar>
            <w:vAlign w:val="center"/>
          </w:tcPr>
          <w:p w14:paraId="2DA8D1B8" w14:textId="77777777" w:rsidR="005F7696" w:rsidRPr="00B9354F" w:rsidRDefault="005F7696" w:rsidP="000853E1">
            <w:pPr>
              <w:spacing w:before="0" w:after="0"/>
              <w:ind w:left="-57" w:right="-57"/>
              <w:jc w:val="center"/>
              <w:rPr>
                <w:rFonts w:cs="Arial"/>
                <w:szCs w:val="20"/>
              </w:rPr>
            </w:pPr>
            <w:r w:rsidRPr="00B9354F">
              <w:rPr>
                <w:rFonts w:cs="Arial"/>
                <w:szCs w:val="20"/>
              </w:rPr>
              <w:t>05/2021</w:t>
            </w:r>
          </w:p>
        </w:tc>
        <w:tc>
          <w:tcPr>
            <w:tcW w:w="1983" w:type="dxa"/>
            <w:tcBorders>
              <w:bottom w:val="nil"/>
            </w:tcBorders>
            <w:tcMar>
              <w:top w:w="28" w:type="dxa"/>
              <w:bottom w:w="28" w:type="dxa"/>
            </w:tcMar>
            <w:vAlign w:val="center"/>
          </w:tcPr>
          <w:p w14:paraId="40825B42" w14:textId="77777777" w:rsidR="005F7696" w:rsidRPr="00B9354F" w:rsidRDefault="005F7696" w:rsidP="000853E1">
            <w:pPr>
              <w:spacing w:before="0" w:after="0"/>
              <w:ind w:left="-57" w:right="-57"/>
              <w:jc w:val="center"/>
              <w:rPr>
                <w:rFonts w:cs="Arial"/>
                <w:szCs w:val="20"/>
              </w:rPr>
            </w:pPr>
            <w:r w:rsidRPr="00B9354F">
              <w:rPr>
                <w:rFonts w:cs="Arial"/>
                <w:color w:val="000000"/>
                <w:szCs w:val="20"/>
              </w:rPr>
              <w:t>01/2000 – 12/2020</w:t>
            </w:r>
          </w:p>
        </w:tc>
        <w:tc>
          <w:tcPr>
            <w:tcW w:w="921" w:type="dxa"/>
            <w:tcBorders>
              <w:bottom w:val="nil"/>
              <w:right w:val="nil"/>
            </w:tcBorders>
            <w:tcMar>
              <w:top w:w="28" w:type="dxa"/>
              <w:bottom w:w="28" w:type="dxa"/>
            </w:tcMar>
            <w:vAlign w:val="bottom"/>
          </w:tcPr>
          <w:p w14:paraId="63F3BD87"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113,146</w:t>
            </w:r>
          </w:p>
        </w:tc>
        <w:tc>
          <w:tcPr>
            <w:tcW w:w="922" w:type="dxa"/>
            <w:tcBorders>
              <w:left w:val="nil"/>
              <w:bottom w:val="nil"/>
            </w:tcBorders>
            <w:tcMar>
              <w:top w:w="28" w:type="dxa"/>
              <w:bottom w:w="28" w:type="dxa"/>
            </w:tcMar>
            <w:vAlign w:val="bottom"/>
          </w:tcPr>
          <w:p w14:paraId="18BAD9FC"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12,643</w:t>
            </w:r>
          </w:p>
        </w:tc>
        <w:tc>
          <w:tcPr>
            <w:tcW w:w="709" w:type="dxa"/>
            <w:tcBorders>
              <w:bottom w:val="nil"/>
              <w:right w:val="nil"/>
            </w:tcBorders>
            <w:tcMar>
              <w:top w:w="28" w:type="dxa"/>
              <w:bottom w:w="28" w:type="dxa"/>
            </w:tcMar>
            <w:vAlign w:val="bottom"/>
          </w:tcPr>
          <w:p w14:paraId="53494846"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3,355</w:t>
            </w:r>
          </w:p>
        </w:tc>
        <w:tc>
          <w:tcPr>
            <w:tcW w:w="709" w:type="dxa"/>
            <w:tcBorders>
              <w:left w:val="nil"/>
              <w:bottom w:val="nil"/>
              <w:right w:val="nil"/>
            </w:tcBorders>
            <w:tcMar>
              <w:top w:w="28" w:type="dxa"/>
              <w:bottom w:w="28" w:type="dxa"/>
            </w:tcMar>
            <w:vAlign w:val="bottom"/>
          </w:tcPr>
          <w:p w14:paraId="3D669A51"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3,573</w:t>
            </w:r>
          </w:p>
        </w:tc>
        <w:tc>
          <w:tcPr>
            <w:tcW w:w="709" w:type="dxa"/>
            <w:tcBorders>
              <w:left w:val="nil"/>
              <w:bottom w:val="nil"/>
              <w:right w:val="nil"/>
            </w:tcBorders>
            <w:tcMar>
              <w:top w:w="28" w:type="dxa"/>
              <w:bottom w:w="28" w:type="dxa"/>
            </w:tcMar>
            <w:vAlign w:val="bottom"/>
          </w:tcPr>
          <w:p w14:paraId="243AFD0E"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2,941</w:t>
            </w:r>
          </w:p>
        </w:tc>
        <w:tc>
          <w:tcPr>
            <w:tcW w:w="709" w:type="dxa"/>
            <w:tcBorders>
              <w:left w:val="nil"/>
              <w:bottom w:val="nil"/>
            </w:tcBorders>
            <w:tcMar>
              <w:top w:w="28" w:type="dxa"/>
              <w:bottom w:w="28" w:type="dxa"/>
            </w:tcMar>
            <w:vAlign w:val="bottom"/>
          </w:tcPr>
          <w:p w14:paraId="060ABD95" w14:textId="77777777" w:rsidR="005F7696" w:rsidRPr="00B9354F" w:rsidRDefault="005F7696" w:rsidP="000853E1">
            <w:pPr>
              <w:spacing w:before="0" w:after="0"/>
              <w:ind w:left="-57"/>
              <w:jc w:val="right"/>
              <w:rPr>
                <w:rFonts w:cs="Arial"/>
                <w:szCs w:val="20"/>
              </w:rPr>
            </w:pPr>
            <w:r w:rsidRPr="00B9354F">
              <w:rPr>
                <w:rFonts w:cs="Arial"/>
                <w:color w:val="000000"/>
                <w:szCs w:val="20"/>
              </w:rPr>
              <w:t>2,774</w:t>
            </w:r>
          </w:p>
        </w:tc>
      </w:tr>
      <w:tr w:rsidR="005F7696" w:rsidRPr="00B9354F" w14:paraId="557D0299" w14:textId="77777777" w:rsidTr="000853E1">
        <w:tc>
          <w:tcPr>
            <w:tcW w:w="845" w:type="dxa"/>
            <w:vMerge/>
            <w:tcMar>
              <w:top w:w="28" w:type="dxa"/>
              <w:bottom w:w="28" w:type="dxa"/>
            </w:tcMar>
            <w:vAlign w:val="center"/>
          </w:tcPr>
          <w:p w14:paraId="5A26AD3C" w14:textId="77777777" w:rsidR="005F7696" w:rsidRPr="00B9354F" w:rsidRDefault="005F7696" w:rsidP="000853E1">
            <w:pPr>
              <w:spacing w:before="0" w:after="0"/>
              <w:ind w:right="-57"/>
              <w:rPr>
                <w:rFonts w:cs="Arial"/>
                <w:color w:val="000000"/>
                <w:sz w:val="22"/>
                <w:szCs w:val="22"/>
              </w:rPr>
            </w:pPr>
          </w:p>
        </w:tc>
        <w:tc>
          <w:tcPr>
            <w:tcW w:w="710" w:type="dxa"/>
            <w:tcBorders>
              <w:top w:val="nil"/>
              <w:bottom w:val="nil"/>
            </w:tcBorders>
            <w:tcMar>
              <w:top w:w="28" w:type="dxa"/>
              <w:bottom w:w="28" w:type="dxa"/>
            </w:tcMar>
            <w:vAlign w:val="center"/>
          </w:tcPr>
          <w:p w14:paraId="18D0CD1D" w14:textId="77777777" w:rsidR="005F7696" w:rsidRPr="00B9354F" w:rsidRDefault="005F7696" w:rsidP="000853E1">
            <w:pPr>
              <w:spacing w:before="0" w:after="0"/>
              <w:ind w:left="-57" w:right="-57"/>
              <w:jc w:val="center"/>
              <w:rPr>
                <w:rFonts w:cs="Arial"/>
                <w:szCs w:val="20"/>
              </w:rPr>
            </w:pPr>
            <w:r w:rsidRPr="00B9354F">
              <w:rPr>
                <w:rFonts w:cs="Arial"/>
                <w:szCs w:val="20"/>
              </w:rPr>
              <w:t>E</w:t>
            </w:r>
          </w:p>
        </w:tc>
        <w:tc>
          <w:tcPr>
            <w:tcW w:w="992" w:type="dxa"/>
            <w:vMerge/>
            <w:tcBorders>
              <w:bottom w:val="nil"/>
            </w:tcBorders>
            <w:tcMar>
              <w:top w:w="28" w:type="dxa"/>
              <w:bottom w:w="28" w:type="dxa"/>
            </w:tcMar>
            <w:vAlign w:val="center"/>
          </w:tcPr>
          <w:p w14:paraId="1D597DBF" w14:textId="77777777" w:rsidR="005F7696" w:rsidRPr="00B9354F" w:rsidDel="00B5556A" w:rsidRDefault="005F7696" w:rsidP="000853E1">
            <w:pPr>
              <w:spacing w:before="0" w:after="0"/>
              <w:ind w:left="-57" w:right="-57"/>
              <w:jc w:val="center"/>
              <w:rPr>
                <w:rFonts w:cs="Arial"/>
                <w:szCs w:val="20"/>
              </w:rPr>
            </w:pPr>
          </w:p>
        </w:tc>
        <w:tc>
          <w:tcPr>
            <w:tcW w:w="1983" w:type="dxa"/>
            <w:tcBorders>
              <w:top w:val="nil"/>
              <w:bottom w:val="nil"/>
            </w:tcBorders>
            <w:tcMar>
              <w:top w:w="28" w:type="dxa"/>
              <w:bottom w:w="28" w:type="dxa"/>
            </w:tcMar>
            <w:vAlign w:val="center"/>
          </w:tcPr>
          <w:p w14:paraId="0D39C24F" w14:textId="77777777" w:rsidR="005F7696" w:rsidRPr="00B9354F" w:rsidRDefault="005F7696" w:rsidP="000853E1">
            <w:pPr>
              <w:spacing w:before="0" w:after="0"/>
              <w:ind w:left="-57" w:right="-57"/>
              <w:jc w:val="center"/>
              <w:rPr>
                <w:rFonts w:cs="Arial"/>
                <w:color w:val="000000"/>
                <w:szCs w:val="20"/>
              </w:rPr>
            </w:pPr>
            <w:r w:rsidRPr="00B9354F">
              <w:rPr>
                <w:rFonts w:cs="Arial"/>
                <w:color w:val="000000"/>
                <w:szCs w:val="20"/>
              </w:rPr>
              <w:t>07/1999 – 12/2020</w:t>
            </w:r>
          </w:p>
        </w:tc>
        <w:tc>
          <w:tcPr>
            <w:tcW w:w="921" w:type="dxa"/>
            <w:tcBorders>
              <w:top w:val="nil"/>
              <w:bottom w:val="nil"/>
              <w:right w:val="nil"/>
            </w:tcBorders>
            <w:tcMar>
              <w:top w:w="28" w:type="dxa"/>
              <w:bottom w:w="28" w:type="dxa"/>
            </w:tcMar>
            <w:vAlign w:val="bottom"/>
          </w:tcPr>
          <w:p w14:paraId="7BE013D5"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62,608</w:t>
            </w:r>
          </w:p>
        </w:tc>
        <w:tc>
          <w:tcPr>
            <w:tcW w:w="922" w:type="dxa"/>
            <w:tcBorders>
              <w:top w:val="nil"/>
              <w:left w:val="nil"/>
              <w:bottom w:val="nil"/>
            </w:tcBorders>
            <w:tcMar>
              <w:top w:w="28" w:type="dxa"/>
              <w:bottom w:w="28" w:type="dxa"/>
            </w:tcMar>
            <w:vAlign w:val="bottom"/>
          </w:tcPr>
          <w:p w14:paraId="5E65C8FD"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11,480</w:t>
            </w:r>
          </w:p>
        </w:tc>
        <w:tc>
          <w:tcPr>
            <w:tcW w:w="709" w:type="dxa"/>
            <w:tcBorders>
              <w:top w:val="nil"/>
              <w:bottom w:val="nil"/>
              <w:right w:val="nil"/>
            </w:tcBorders>
            <w:tcMar>
              <w:top w:w="28" w:type="dxa"/>
              <w:bottom w:w="28" w:type="dxa"/>
            </w:tcMar>
            <w:vAlign w:val="bottom"/>
          </w:tcPr>
          <w:p w14:paraId="01DC806F"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3,686</w:t>
            </w:r>
          </w:p>
        </w:tc>
        <w:tc>
          <w:tcPr>
            <w:tcW w:w="709" w:type="dxa"/>
            <w:tcBorders>
              <w:top w:val="nil"/>
              <w:left w:val="nil"/>
              <w:bottom w:val="nil"/>
              <w:right w:val="nil"/>
            </w:tcBorders>
            <w:tcMar>
              <w:top w:w="28" w:type="dxa"/>
              <w:bottom w:w="28" w:type="dxa"/>
            </w:tcMar>
            <w:vAlign w:val="bottom"/>
          </w:tcPr>
          <w:p w14:paraId="0337D2BB"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2,979</w:t>
            </w:r>
          </w:p>
        </w:tc>
        <w:tc>
          <w:tcPr>
            <w:tcW w:w="709" w:type="dxa"/>
            <w:tcBorders>
              <w:top w:val="nil"/>
              <w:left w:val="nil"/>
              <w:bottom w:val="nil"/>
              <w:right w:val="nil"/>
            </w:tcBorders>
            <w:tcMar>
              <w:top w:w="28" w:type="dxa"/>
              <w:bottom w:w="28" w:type="dxa"/>
            </w:tcMar>
            <w:vAlign w:val="bottom"/>
          </w:tcPr>
          <w:p w14:paraId="0F9C1074"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2,428</w:t>
            </w:r>
          </w:p>
        </w:tc>
        <w:tc>
          <w:tcPr>
            <w:tcW w:w="709" w:type="dxa"/>
            <w:tcBorders>
              <w:top w:val="nil"/>
              <w:left w:val="nil"/>
              <w:bottom w:val="nil"/>
            </w:tcBorders>
            <w:tcMar>
              <w:top w:w="28" w:type="dxa"/>
              <w:bottom w:w="28" w:type="dxa"/>
            </w:tcMar>
            <w:vAlign w:val="bottom"/>
          </w:tcPr>
          <w:p w14:paraId="712FE54F" w14:textId="77777777" w:rsidR="005F7696" w:rsidRPr="00B9354F" w:rsidRDefault="005F7696" w:rsidP="000853E1">
            <w:pPr>
              <w:spacing w:before="0" w:after="0"/>
              <w:ind w:left="-57"/>
              <w:jc w:val="right"/>
              <w:rPr>
                <w:rFonts w:cs="Arial"/>
                <w:color w:val="000000"/>
                <w:szCs w:val="20"/>
              </w:rPr>
            </w:pPr>
            <w:r w:rsidRPr="00B9354F">
              <w:rPr>
                <w:rFonts w:cs="Arial"/>
                <w:color w:val="000000"/>
                <w:szCs w:val="20"/>
              </w:rPr>
              <w:t>2,387</w:t>
            </w:r>
          </w:p>
        </w:tc>
      </w:tr>
      <w:tr w:rsidR="005F7696" w:rsidRPr="00B9354F" w14:paraId="2D6D464C" w14:textId="77777777" w:rsidTr="000853E1">
        <w:tc>
          <w:tcPr>
            <w:tcW w:w="845" w:type="dxa"/>
            <w:vMerge/>
            <w:tcMar>
              <w:top w:w="28" w:type="dxa"/>
              <w:bottom w:w="28" w:type="dxa"/>
            </w:tcMar>
            <w:vAlign w:val="center"/>
          </w:tcPr>
          <w:p w14:paraId="37D99BCC" w14:textId="77777777" w:rsidR="005F7696" w:rsidRPr="00B9354F" w:rsidRDefault="005F7696" w:rsidP="000853E1">
            <w:pPr>
              <w:spacing w:before="0" w:after="0"/>
              <w:ind w:right="-57"/>
              <w:rPr>
                <w:rFonts w:cs="Arial"/>
                <w:color w:val="000000"/>
                <w:sz w:val="22"/>
                <w:szCs w:val="22"/>
              </w:rPr>
            </w:pPr>
          </w:p>
        </w:tc>
        <w:tc>
          <w:tcPr>
            <w:tcW w:w="710" w:type="dxa"/>
            <w:tcBorders>
              <w:top w:val="nil"/>
              <w:bottom w:val="nil"/>
            </w:tcBorders>
            <w:tcMar>
              <w:top w:w="28" w:type="dxa"/>
              <w:bottom w:w="28" w:type="dxa"/>
            </w:tcMar>
            <w:vAlign w:val="center"/>
          </w:tcPr>
          <w:p w14:paraId="323AB062" w14:textId="77777777" w:rsidR="005F7696" w:rsidRPr="00B9354F" w:rsidRDefault="005F7696" w:rsidP="000853E1">
            <w:pPr>
              <w:spacing w:before="0" w:after="0"/>
              <w:ind w:left="-57" w:right="-57"/>
              <w:jc w:val="center"/>
              <w:rPr>
                <w:rFonts w:cs="Arial"/>
                <w:color w:val="000000"/>
                <w:sz w:val="22"/>
                <w:szCs w:val="22"/>
              </w:rPr>
            </w:pPr>
            <w:r w:rsidRPr="00B9354F">
              <w:rPr>
                <w:rFonts w:cs="Arial"/>
                <w:szCs w:val="20"/>
              </w:rPr>
              <w:t>P</w:t>
            </w:r>
            <w:r w:rsidRPr="00B9354F">
              <w:rPr>
                <w:rFonts w:cs="Arial"/>
                <w:color w:val="000000"/>
                <w:sz w:val="22"/>
                <w:szCs w:val="22"/>
                <w:vertAlign w:val="superscript"/>
              </w:rPr>
              <w:t>1</w:t>
            </w:r>
          </w:p>
        </w:tc>
        <w:tc>
          <w:tcPr>
            <w:tcW w:w="992" w:type="dxa"/>
            <w:tcBorders>
              <w:top w:val="nil"/>
              <w:bottom w:val="nil"/>
            </w:tcBorders>
            <w:tcMar>
              <w:top w:w="28" w:type="dxa"/>
              <w:bottom w:w="28" w:type="dxa"/>
            </w:tcMar>
            <w:vAlign w:val="center"/>
          </w:tcPr>
          <w:p w14:paraId="108D8030" w14:textId="77777777" w:rsidR="005F7696" w:rsidRPr="00B9354F" w:rsidRDefault="005F7696" w:rsidP="000853E1">
            <w:pPr>
              <w:spacing w:before="0" w:after="0"/>
              <w:ind w:left="-57" w:right="-57"/>
              <w:jc w:val="center"/>
              <w:rPr>
                <w:rFonts w:cs="Arial"/>
                <w:szCs w:val="20"/>
              </w:rPr>
            </w:pPr>
            <w:r w:rsidRPr="00B9354F">
              <w:rPr>
                <w:rFonts w:cs="Arial"/>
                <w:szCs w:val="20"/>
              </w:rPr>
              <w:t>09/2019</w:t>
            </w:r>
          </w:p>
        </w:tc>
        <w:tc>
          <w:tcPr>
            <w:tcW w:w="1983" w:type="dxa"/>
            <w:tcBorders>
              <w:top w:val="nil"/>
              <w:bottom w:val="nil"/>
            </w:tcBorders>
            <w:tcMar>
              <w:top w:w="28" w:type="dxa"/>
              <w:bottom w:w="28" w:type="dxa"/>
            </w:tcMar>
            <w:vAlign w:val="center"/>
          </w:tcPr>
          <w:p w14:paraId="1F7B6A16" w14:textId="77777777" w:rsidR="005F7696" w:rsidRPr="00B9354F" w:rsidRDefault="005F7696" w:rsidP="000853E1">
            <w:pPr>
              <w:spacing w:before="0" w:after="0"/>
              <w:ind w:left="-57" w:right="-57"/>
              <w:jc w:val="center"/>
              <w:rPr>
                <w:rFonts w:cs="Arial"/>
                <w:szCs w:val="20"/>
              </w:rPr>
            </w:pPr>
            <w:r w:rsidRPr="00B9354F">
              <w:rPr>
                <w:rFonts w:cs="Arial"/>
                <w:color w:val="000000"/>
                <w:szCs w:val="20"/>
              </w:rPr>
              <w:t>01/1999 - 12/2016</w:t>
            </w:r>
          </w:p>
        </w:tc>
        <w:tc>
          <w:tcPr>
            <w:tcW w:w="921" w:type="dxa"/>
            <w:tcBorders>
              <w:top w:val="nil"/>
              <w:bottom w:val="nil"/>
              <w:right w:val="nil"/>
            </w:tcBorders>
            <w:tcMar>
              <w:top w:w="28" w:type="dxa"/>
              <w:bottom w:w="28" w:type="dxa"/>
            </w:tcMar>
            <w:vAlign w:val="bottom"/>
          </w:tcPr>
          <w:p w14:paraId="5CA18DC1"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5,083</w:t>
            </w:r>
          </w:p>
        </w:tc>
        <w:tc>
          <w:tcPr>
            <w:tcW w:w="922" w:type="dxa"/>
            <w:tcBorders>
              <w:top w:val="nil"/>
              <w:left w:val="nil"/>
              <w:bottom w:val="nil"/>
            </w:tcBorders>
            <w:tcMar>
              <w:top w:w="28" w:type="dxa"/>
              <w:bottom w:w="28" w:type="dxa"/>
            </w:tcMar>
            <w:vAlign w:val="bottom"/>
          </w:tcPr>
          <w:p w14:paraId="3CC8150F"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2,525</w:t>
            </w:r>
          </w:p>
        </w:tc>
        <w:tc>
          <w:tcPr>
            <w:tcW w:w="709" w:type="dxa"/>
            <w:tcBorders>
              <w:top w:val="nil"/>
              <w:bottom w:val="nil"/>
              <w:right w:val="nil"/>
            </w:tcBorders>
            <w:tcMar>
              <w:top w:w="28" w:type="dxa"/>
              <w:bottom w:w="28" w:type="dxa"/>
            </w:tcMar>
            <w:vAlign w:val="bottom"/>
          </w:tcPr>
          <w:p w14:paraId="62DCA229"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404</w:t>
            </w:r>
          </w:p>
        </w:tc>
        <w:tc>
          <w:tcPr>
            <w:tcW w:w="709" w:type="dxa"/>
            <w:tcBorders>
              <w:top w:val="nil"/>
              <w:left w:val="nil"/>
              <w:bottom w:val="nil"/>
              <w:right w:val="nil"/>
            </w:tcBorders>
            <w:tcMar>
              <w:top w:w="28" w:type="dxa"/>
              <w:bottom w:w="28" w:type="dxa"/>
            </w:tcMar>
            <w:vAlign w:val="bottom"/>
          </w:tcPr>
          <w:p w14:paraId="4545E433"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2,122</w:t>
            </w:r>
          </w:p>
        </w:tc>
        <w:tc>
          <w:tcPr>
            <w:tcW w:w="709" w:type="dxa"/>
            <w:tcBorders>
              <w:top w:val="nil"/>
              <w:left w:val="nil"/>
              <w:bottom w:val="nil"/>
              <w:right w:val="nil"/>
            </w:tcBorders>
            <w:tcMar>
              <w:top w:w="28" w:type="dxa"/>
              <w:bottom w:w="28" w:type="dxa"/>
            </w:tcMar>
            <w:vAlign w:val="bottom"/>
          </w:tcPr>
          <w:p w14:paraId="2550422F"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w:t>
            </w:r>
          </w:p>
        </w:tc>
        <w:tc>
          <w:tcPr>
            <w:tcW w:w="709" w:type="dxa"/>
            <w:tcBorders>
              <w:top w:val="nil"/>
              <w:left w:val="nil"/>
              <w:bottom w:val="nil"/>
            </w:tcBorders>
            <w:tcMar>
              <w:top w:w="28" w:type="dxa"/>
              <w:bottom w:w="28" w:type="dxa"/>
            </w:tcMar>
            <w:vAlign w:val="bottom"/>
          </w:tcPr>
          <w:p w14:paraId="1307CDC2" w14:textId="77777777" w:rsidR="005F7696" w:rsidRPr="00B9354F" w:rsidRDefault="005F7696" w:rsidP="000853E1">
            <w:pPr>
              <w:spacing w:before="0" w:after="0"/>
              <w:ind w:left="-57"/>
              <w:jc w:val="right"/>
              <w:rPr>
                <w:rFonts w:cs="Arial"/>
                <w:szCs w:val="20"/>
              </w:rPr>
            </w:pPr>
            <w:r w:rsidRPr="00B9354F">
              <w:rPr>
                <w:rFonts w:cs="Arial"/>
                <w:color w:val="000000"/>
                <w:szCs w:val="20"/>
              </w:rPr>
              <w:t>-</w:t>
            </w:r>
          </w:p>
        </w:tc>
      </w:tr>
      <w:tr w:rsidR="005F7696" w:rsidRPr="00B9354F" w14:paraId="627B69B5" w14:textId="77777777" w:rsidTr="000853E1">
        <w:tc>
          <w:tcPr>
            <w:tcW w:w="845" w:type="dxa"/>
            <w:vMerge w:val="restart"/>
            <w:tcMar>
              <w:top w:w="28" w:type="dxa"/>
              <w:bottom w:w="28" w:type="dxa"/>
            </w:tcMar>
            <w:vAlign w:val="center"/>
          </w:tcPr>
          <w:p w14:paraId="542E9BA3" w14:textId="77777777" w:rsidR="005F7696" w:rsidRPr="00B9354F" w:rsidRDefault="005F7696" w:rsidP="000853E1">
            <w:pPr>
              <w:spacing w:before="0" w:after="0"/>
              <w:ind w:right="-57"/>
              <w:rPr>
                <w:rFonts w:cs="Arial"/>
                <w:szCs w:val="20"/>
              </w:rPr>
            </w:pPr>
            <w:r w:rsidRPr="00B9354F">
              <w:rPr>
                <w:rFonts w:cs="Arial"/>
                <w:color w:val="000000"/>
                <w:sz w:val="22"/>
                <w:szCs w:val="22"/>
              </w:rPr>
              <w:t>WA</w:t>
            </w:r>
          </w:p>
        </w:tc>
        <w:tc>
          <w:tcPr>
            <w:tcW w:w="710" w:type="dxa"/>
            <w:tcBorders>
              <w:bottom w:val="nil"/>
            </w:tcBorders>
            <w:tcMar>
              <w:top w:w="28" w:type="dxa"/>
              <w:bottom w:w="28" w:type="dxa"/>
            </w:tcMar>
            <w:vAlign w:val="center"/>
          </w:tcPr>
          <w:p w14:paraId="1B15A7BD" w14:textId="77777777" w:rsidR="005F7696" w:rsidRPr="00B9354F" w:rsidRDefault="005F7696" w:rsidP="000853E1">
            <w:pPr>
              <w:spacing w:before="0" w:after="0"/>
              <w:ind w:left="-57" w:right="-57"/>
              <w:jc w:val="center"/>
              <w:rPr>
                <w:rFonts w:cs="Arial"/>
                <w:szCs w:val="20"/>
              </w:rPr>
            </w:pPr>
            <w:r w:rsidRPr="00B9354F">
              <w:rPr>
                <w:rFonts w:cs="Arial"/>
                <w:szCs w:val="20"/>
              </w:rPr>
              <w:t>A</w:t>
            </w:r>
          </w:p>
        </w:tc>
        <w:tc>
          <w:tcPr>
            <w:tcW w:w="992" w:type="dxa"/>
            <w:vMerge w:val="restart"/>
            <w:tcBorders>
              <w:bottom w:val="nil"/>
            </w:tcBorders>
            <w:tcMar>
              <w:top w:w="28" w:type="dxa"/>
              <w:bottom w:w="28" w:type="dxa"/>
            </w:tcMar>
            <w:vAlign w:val="center"/>
          </w:tcPr>
          <w:p w14:paraId="28D0CA3D" w14:textId="77777777" w:rsidR="005F7696" w:rsidRPr="00B9354F" w:rsidRDefault="005F7696" w:rsidP="000853E1">
            <w:pPr>
              <w:spacing w:before="0" w:after="0"/>
              <w:ind w:left="-57" w:right="-57"/>
              <w:jc w:val="center"/>
              <w:rPr>
                <w:rFonts w:cs="Arial"/>
                <w:szCs w:val="20"/>
              </w:rPr>
            </w:pPr>
            <w:r w:rsidRPr="00B9354F">
              <w:rPr>
                <w:rFonts w:cs="Arial"/>
                <w:szCs w:val="20"/>
              </w:rPr>
              <w:t>04/2019</w:t>
            </w:r>
          </w:p>
        </w:tc>
        <w:tc>
          <w:tcPr>
            <w:tcW w:w="1983" w:type="dxa"/>
            <w:tcBorders>
              <w:bottom w:val="nil"/>
            </w:tcBorders>
            <w:tcMar>
              <w:top w:w="28" w:type="dxa"/>
              <w:bottom w:w="28" w:type="dxa"/>
            </w:tcMar>
            <w:vAlign w:val="center"/>
          </w:tcPr>
          <w:p w14:paraId="6CEB520F" w14:textId="77777777" w:rsidR="005F7696" w:rsidRPr="00B9354F" w:rsidRDefault="005F7696" w:rsidP="000853E1">
            <w:pPr>
              <w:spacing w:before="0" w:after="0"/>
              <w:ind w:left="-57" w:right="-57"/>
              <w:jc w:val="center"/>
              <w:rPr>
                <w:rFonts w:cs="Arial"/>
                <w:szCs w:val="20"/>
              </w:rPr>
            </w:pPr>
            <w:r w:rsidRPr="00B9354F">
              <w:rPr>
                <w:rFonts w:cs="Arial"/>
                <w:color w:val="000000"/>
                <w:szCs w:val="20"/>
              </w:rPr>
              <w:t>01/1970 - 12/2017</w:t>
            </w:r>
          </w:p>
        </w:tc>
        <w:tc>
          <w:tcPr>
            <w:tcW w:w="921" w:type="dxa"/>
            <w:tcBorders>
              <w:bottom w:val="nil"/>
              <w:right w:val="nil"/>
            </w:tcBorders>
            <w:tcMar>
              <w:top w:w="28" w:type="dxa"/>
              <w:bottom w:w="28" w:type="dxa"/>
            </w:tcMar>
            <w:vAlign w:val="bottom"/>
          </w:tcPr>
          <w:p w14:paraId="1AB809BB"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60,914</w:t>
            </w:r>
          </w:p>
        </w:tc>
        <w:tc>
          <w:tcPr>
            <w:tcW w:w="922" w:type="dxa"/>
            <w:tcBorders>
              <w:left w:val="nil"/>
              <w:bottom w:val="nil"/>
            </w:tcBorders>
            <w:tcMar>
              <w:top w:w="28" w:type="dxa"/>
              <w:bottom w:w="28" w:type="dxa"/>
            </w:tcMar>
            <w:vAlign w:val="bottom"/>
          </w:tcPr>
          <w:p w14:paraId="2159FD36"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5,573</w:t>
            </w:r>
          </w:p>
        </w:tc>
        <w:tc>
          <w:tcPr>
            <w:tcW w:w="709" w:type="dxa"/>
            <w:tcBorders>
              <w:bottom w:val="nil"/>
              <w:right w:val="nil"/>
            </w:tcBorders>
            <w:tcMar>
              <w:top w:w="28" w:type="dxa"/>
              <w:bottom w:w="28" w:type="dxa"/>
            </w:tcMar>
            <w:vAlign w:val="bottom"/>
          </w:tcPr>
          <w:p w14:paraId="1453D5E3"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1,731</w:t>
            </w:r>
          </w:p>
        </w:tc>
        <w:tc>
          <w:tcPr>
            <w:tcW w:w="709" w:type="dxa"/>
            <w:tcBorders>
              <w:left w:val="nil"/>
              <w:bottom w:val="nil"/>
              <w:right w:val="nil"/>
            </w:tcBorders>
            <w:tcMar>
              <w:top w:w="28" w:type="dxa"/>
              <w:bottom w:w="28" w:type="dxa"/>
            </w:tcMar>
            <w:vAlign w:val="bottom"/>
          </w:tcPr>
          <w:p w14:paraId="6F413410"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1,511</w:t>
            </w:r>
          </w:p>
        </w:tc>
        <w:tc>
          <w:tcPr>
            <w:tcW w:w="709" w:type="dxa"/>
            <w:tcBorders>
              <w:left w:val="nil"/>
              <w:bottom w:val="nil"/>
              <w:right w:val="nil"/>
            </w:tcBorders>
            <w:tcMar>
              <w:top w:w="28" w:type="dxa"/>
              <w:bottom w:w="28" w:type="dxa"/>
            </w:tcMar>
            <w:vAlign w:val="bottom"/>
          </w:tcPr>
          <w:p w14:paraId="33773868"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1,349</w:t>
            </w:r>
          </w:p>
        </w:tc>
        <w:tc>
          <w:tcPr>
            <w:tcW w:w="709" w:type="dxa"/>
            <w:tcBorders>
              <w:left w:val="nil"/>
              <w:bottom w:val="nil"/>
            </w:tcBorders>
            <w:tcMar>
              <w:top w:w="28" w:type="dxa"/>
              <w:bottom w:w="28" w:type="dxa"/>
            </w:tcMar>
            <w:vAlign w:val="bottom"/>
          </w:tcPr>
          <w:p w14:paraId="7FBBCB83" w14:textId="77777777" w:rsidR="005F7696" w:rsidRPr="00B9354F" w:rsidRDefault="005F7696" w:rsidP="000853E1">
            <w:pPr>
              <w:spacing w:before="0" w:after="0"/>
              <w:ind w:left="-57"/>
              <w:jc w:val="right"/>
              <w:rPr>
                <w:rFonts w:cs="Arial"/>
                <w:szCs w:val="20"/>
              </w:rPr>
            </w:pPr>
            <w:r w:rsidRPr="00B9354F">
              <w:rPr>
                <w:rFonts w:cs="Arial"/>
                <w:color w:val="000000"/>
                <w:szCs w:val="20"/>
              </w:rPr>
              <w:t>982</w:t>
            </w:r>
          </w:p>
        </w:tc>
      </w:tr>
      <w:tr w:rsidR="005F7696" w:rsidRPr="00B9354F" w14:paraId="55FD7075" w14:textId="77777777" w:rsidTr="000853E1">
        <w:tc>
          <w:tcPr>
            <w:tcW w:w="845" w:type="dxa"/>
            <w:vMerge/>
            <w:tcMar>
              <w:top w:w="28" w:type="dxa"/>
              <w:bottom w:w="28" w:type="dxa"/>
            </w:tcMar>
            <w:vAlign w:val="center"/>
          </w:tcPr>
          <w:p w14:paraId="33932E2E" w14:textId="77777777" w:rsidR="005F7696" w:rsidRPr="00B9354F" w:rsidRDefault="005F7696" w:rsidP="000853E1">
            <w:pPr>
              <w:spacing w:before="0" w:after="0"/>
              <w:ind w:right="-57"/>
              <w:rPr>
                <w:rFonts w:cs="Arial"/>
                <w:color w:val="000000"/>
                <w:sz w:val="22"/>
                <w:szCs w:val="22"/>
              </w:rPr>
            </w:pPr>
          </w:p>
        </w:tc>
        <w:tc>
          <w:tcPr>
            <w:tcW w:w="710" w:type="dxa"/>
            <w:tcBorders>
              <w:top w:val="nil"/>
              <w:bottom w:val="nil"/>
            </w:tcBorders>
            <w:tcMar>
              <w:top w:w="28" w:type="dxa"/>
              <w:bottom w:w="28" w:type="dxa"/>
            </w:tcMar>
            <w:vAlign w:val="center"/>
          </w:tcPr>
          <w:p w14:paraId="305F63FE" w14:textId="77777777" w:rsidR="005F7696" w:rsidRPr="00B9354F" w:rsidRDefault="005F7696" w:rsidP="000853E1">
            <w:pPr>
              <w:spacing w:before="0" w:after="0"/>
              <w:ind w:left="-57" w:right="-57"/>
              <w:jc w:val="center"/>
              <w:rPr>
                <w:rFonts w:cs="Arial"/>
                <w:szCs w:val="20"/>
              </w:rPr>
            </w:pPr>
            <w:r w:rsidRPr="00B9354F">
              <w:rPr>
                <w:rFonts w:cs="Arial"/>
                <w:szCs w:val="20"/>
              </w:rPr>
              <w:t>E</w:t>
            </w:r>
          </w:p>
        </w:tc>
        <w:tc>
          <w:tcPr>
            <w:tcW w:w="992" w:type="dxa"/>
            <w:vMerge/>
            <w:tcBorders>
              <w:top w:val="nil"/>
              <w:bottom w:val="nil"/>
            </w:tcBorders>
            <w:tcMar>
              <w:top w:w="28" w:type="dxa"/>
              <w:bottom w:w="28" w:type="dxa"/>
            </w:tcMar>
            <w:vAlign w:val="center"/>
          </w:tcPr>
          <w:p w14:paraId="568BD379" w14:textId="77777777" w:rsidR="005F7696" w:rsidRPr="00B9354F" w:rsidRDefault="005F7696" w:rsidP="000853E1">
            <w:pPr>
              <w:spacing w:before="0" w:after="0"/>
              <w:ind w:left="-57" w:right="-57"/>
              <w:jc w:val="center"/>
              <w:rPr>
                <w:rFonts w:cs="Arial"/>
                <w:szCs w:val="20"/>
              </w:rPr>
            </w:pPr>
          </w:p>
        </w:tc>
        <w:tc>
          <w:tcPr>
            <w:tcW w:w="1983" w:type="dxa"/>
            <w:tcBorders>
              <w:top w:val="nil"/>
              <w:bottom w:val="nil"/>
            </w:tcBorders>
            <w:tcMar>
              <w:top w:w="28" w:type="dxa"/>
              <w:bottom w:w="28" w:type="dxa"/>
            </w:tcMar>
            <w:vAlign w:val="center"/>
          </w:tcPr>
          <w:p w14:paraId="4D3CBEBE" w14:textId="77777777" w:rsidR="005F7696" w:rsidRPr="00B9354F" w:rsidRDefault="005F7696" w:rsidP="000853E1">
            <w:pPr>
              <w:spacing w:before="0" w:after="0"/>
              <w:ind w:left="-57" w:right="-57"/>
              <w:jc w:val="center"/>
              <w:rPr>
                <w:rFonts w:cs="Arial"/>
                <w:color w:val="000000"/>
                <w:szCs w:val="20"/>
              </w:rPr>
            </w:pPr>
            <w:r w:rsidRPr="00B9354F">
              <w:rPr>
                <w:rFonts w:cs="Arial"/>
                <w:color w:val="000000"/>
                <w:szCs w:val="20"/>
              </w:rPr>
              <w:t>01/2002 - 10/2018</w:t>
            </w:r>
          </w:p>
        </w:tc>
        <w:tc>
          <w:tcPr>
            <w:tcW w:w="921" w:type="dxa"/>
            <w:tcBorders>
              <w:top w:val="nil"/>
              <w:bottom w:val="nil"/>
              <w:right w:val="nil"/>
            </w:tcBorders>
            <w:tcMar>
              <w:top w:w="28" w:type="dxa"/>
              <w:bottom w:w="28" w:type="dxa"/>
            </w:tcMar>
            <w:vAlign w:val="bottom"/>
          </w:tcPr>
          <w:p w14:paraId="2E6E6D8B"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29,351</w:t>
            </w:r>
          </w:p>
        </w:tc>
        <w:tc>
          <w:tcPr>
            <w:tcW w:w="922" w:type="dxa"/>
            <w:tcBorders>
              <w:top w:val="nil"/>
              <w:left w:val="nil"/>
              <w:bottom w:val="nil"/>
            </w:tcBorders>
            <w:tcMar>
              <w:top w:w="28" w:type="dxa"/>
              <w:bottom w:w="28" w:type="dxa"/>
            </w:tcMar>
            <w:vAlign w:val="bottom"/>
          </w:tcPr>
          <w:p w14:paraId="5D6D4443"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4,725</w:t>
            </w:r>
          </w:p>
        </w:tc>
        <w:tc>
          <w:tcPr>
            <w:tcW w:w="709" w:type="dxa"/>
            <w:tcBorders>
              <w:top w:val="nil"/>
              <w:bottom w:val="nil"/>
              <w:right w:val="nil"/>
            </w:tcBorders>
            <w:tcMar>
              <w:top w:w="28" w:type="dxa"/>
              <w:bottom w:w="28" w:type="dxa"/>
            </w:tcMar>
            <w:vAlign w:val="bottom"/>
          </w:tcPr>
          <w:p w14:paraId="43E0A537"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1,624</w:t>
            </w:r>
          </w:p>
        </w:tc>
        <w:tc>
          <w:tcPr>
            <w:tcW w:w="709" w:type="dxa"/>
            <w:tcBorders>
              <w:top w:val="nil"/>
              <w:left w:val="nil"/>
              <w:bottom w:val="nil"/>
              <w:right w:val="nil"/>
            </w:tcBorders>
            <w:tcMar>
              <w:top w:w="28" w:type="dxa"/>
              <w:bottom w:w="28" w:type="dxa"/>
            </w:tcMar>
            <w:vAlign w:val="bottom"/>
          </w:tcPr>
          <w:p w14:paraId="1C2F17E2"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1,162</w:t>
            </w:r>
          </w:p>
        </w:tc>
        <w:tc>
          <w:tcPr>
            <w:tcW w:w="709" w:type="dxa"/>
            <w:tcBorders>
              <w:top w:val="nil"/>
              <w:left w:val="nil"/>
              <w:bottom w:val="nil"/>
              <w:right w:val="nil"/>
            </w:tcBorders>
            <w:tcMar>
              <w:top w:w="28" w:type="dxa"/>
              <w:bottom w:w="28" w:type="dxa"/>
            </w:tcMar>
            <w:vAlign w:val="bottom"/>
          </w:tcPr>
          <w:p w14:paraId="55B3F7F7" w14:textId="77777777" w:rsidR="005F7696" w:rsidRPr="00B9354F" w:rsidRDefault="005F7696" w:rsidP="000853E1">
            <w:pPr>
              <w:spacing w:before="0" w:after="0"/>
              <w:ind w:left="-57" w:right="-57"/>
              <w:jc w:val="right"/>
              <w:rPr>
                <w:rFonts w:cs="Arial"/>
                <w:color w:val="000000"/>
                <w:szCs w:val="20"/>
              </w:rPr>
            </w:pPr>
            <w:r w:rsidRPr="00B9354F">
              <w:rPr>
                <w:rFonts w:cs="Arial"/>
                <w:color w:val="000000"/>
                <w:szCs w:val="20"/>
              </w:rPr>
              <w:t>1,117</w:t>
            </w:r>
          </w:p>
        </w:tc>
        <w:tc>
          <w:tcPr>
            <w:tcW w:w="709" w:type="dxa"/>
            <w:tcBorders>
              <w:top w:val="nil"/>
              <w:left w:val="nil"/>
              <w:bottom w:val="nil"/>
            </w:tcBorders>
            <w:tcMar>
              <w:top w:w="28" w:type="dxa"/>
              <w:bottom w:w="28" w:type="dxa"/>
            </w:tcMar>
            <w:vAlign w:val="bottom"/>
          </w:tcPr>
          <w:p w14:paraId="743CA7C7" w14:textId="77777777" w:rsidR="005F7696" w:rsidRPr="00B9354F" w:rsidRDefault="005F7696" w:rsidP="000853E1">
            <w:pPr>
              <w:spacing w:before="0" w:after="0"/>
              <w:ind w:left="-57"/>
              <w:jc w:val="right"/>
              <w:rPr>
                <w:rFonts w:cs="Arial"/>
                <w:color w:val="000000"/>
                <w:szCs w:val="20"/>
              </w:rPr>
            </w:pPr>
            <w:r w:rsidRPr="00B9354F">
              <w:rPr>
                <w:rFonts w:cs="Arial"/>
                <w:color w:val="000000"/>
                <w:szCs w:val="20"/>
              </w:rPr>
              <w:t>822</w:t>
            </w:r>
          </w:p>
        </w:tc>
      </w:tr>
      <w:tr w:rsidR="005F7696" w:rsidRPr="00B9354F" w14:paraId="4A7F0782" w14:textId="77777777" w:rsidTr="000853E1">
        <w:tc>
          <w:tcPr>
            <w:tcW w:w="845" w:type="dxa"/>
            <w:vMerge/>
            <w:tcMar>
              <w:top w:w="28" w:type="dxa"/>
              <w:bottom w:w="28" w:type="dxa"/>
            </w:tcMar>
            <w:vAlign w:val="bottom"/>
          </w:tcPr>
          <w:p w14:paraId="76D01962" w14:textId="77777777" w:rsidR="005F7696" w:rsidRPr="00B9354F" w:rsidRDefault="005F7696" w:rsidP="000853E1">
            <w:pPr>
              <w:spacing w:before="0" w:after="0"/>
              <w:ind w:left="-57" w:right="-57"/>
              <w:rPr>
                <w:rFonts w:cs="Arial"/>
                <w:szCs w:val="20"/>
              </w:rPr>
            </w:pPr>
          </w:p>
        </w:tc>
        <w:tc>
          <w:tcPr>
            <w:tcW w:w="710" w:type="dxa"/>
            <w:tcBorders>
              <w:top w:val="nil"/>
              <w:bottom w:val="single" w:sz="4" w:space="0" w:color="auto"/>
            </w:tcBorders>
            <w:tcMar>
              <w:top w:w="28" w:type="dxa"/>
              <w:bottom w:w="28" w:type="dxa"/>
            </w:tcMar>
            <w:vAlign w:val="center"/>
          </w:tcPr>
          <w:p w14:paraId="286ABF7C" w14:textId="77777777" w:rsidR="005F7696" w:rsidRPr="00B9354F" w:rsidRDefault="005F7696" w:rsidP="000853E1">
            <w:pPr>
              <w:spacing w:before="0" w:after="0"/>
              <w:ind w:left="-57" w:right="-57"/>
              <w:jc w:val="center"/>
              <w:rPr>
                <w:rFonts w:cs="Arial"/>
                <w:szCs w:val="20"/>
              </w:rPr>
            </w:pPr>
            <w:r w:rsidRPr="00B9354F">
              <w:rPr>
                <w:rFonts w:cs="Arial"/>
                <w:szCs w:val="20"/>
              </w:rPr>
              <w:t>P</w:t>
            </w:r>
          </w:p>
        </w:tc>
        <w:tc>
          <w:tcPr>
            <w:tcW w:w="992" w:type="dxa"/>
            <w:vMerge/>
            <w:tcBorders>
              <w:top w:val="nil"/>
              <w:bottom w:val="single" w:sz="4" w:space="0" w:color="auto"/>
            </w:tcBorders>
            <w:tcMar>
              <w:top w:w="28" w:type="dxa"/>
              <w:bottom w:w="28" w:type="dxa"/>
            </w:tcMar>
            <w:vAlign w:val="center"/>
          </w:tcPr>
          <w:p w14:paraId="2240CDB1" w14:textId="77777777" w:rsidR="005F7696" w:rsidRPr="00B9354F" w:rsidRDefault="005F7696" w:rsidP="000853E1">
            <w:pPr>
              <w:spacing w:before="0" w:after="0"/>
              <w:ind w:left="-57" w:right="-57"/>
              <w:jc w:val="right"/>
              <w:rPr>
                <w:rFonts w:cs="Arial"/>
                <w:szCs w:val="20"/>
              </w:rPr>
            </w:pPr>
          </w:p>
        </w:tc>
        <w:tc>
          <w:tcPr>
            <w:tcW w:w="1983" w:type="dxa"/>
            <w:tcBorders>
              <w:top w:val="nil"/>
              <w:bottom w:val="single" w:sz="4" w:space="0" w:color="auto"/>
            </w:tcBorders>
            <w:tcMar>
              <w:top w:w="28" w:type="dxa"/>
              <w:bottom w:w="28" w:type="dxa"/>
            </w:tcMar>
            <w:vAlign w:val="center"/>
          </w:tcPr>
          <w:p w14:paraId="2B1FCA61" w14:textId="77777777" w:rsidR="005F7696" w:rsidRPr="00B9354F" w:rsidRDefault="005F7696" w:rsidP="000853E1">
            <w:pPr>
              <w:spacing w:before="0" w:after="0"/>
              <w:ind w:left="-57" w:right="-57"/>
              <w:jc w:val="center"/>
              <w:rPr>
                <w:rFonts w:cs="Arial"/>
                <w:szCs w:val="20"/>
              </w:rPr>
            </w:pPr>
            <w:r w:rsidRPr="00B9354F">
              <w:rPr>
                <w:rFonts w:cs="Arial"/>
                <w:color w:val="000000"/>
                <w:szCs w:val="20"/>
              </w:rPr>
              <w:t>07/1989 - 12/2017</w:t>
            </w:r>
          </w:p>
        </w:tc>
        <w:tc>
          <w:tcPr>
            <w:tcW w:w="921" w:type="dxa"/>
            <w:tcBorders>
              <w:top w:val="nil"/>
              <w:bottom w:val="single" w:sz="4" w:space="0" w:color="auto"/>
              <w:right w:val="nil"/>
            </w:tcBorders>
            <w:tcMar>
              <w:top w:w="28" w:type="dxa"/>
              <w:bottom w:w="28" w:type="dxa"/>
            </w:tcMar>
            <w:vAlign w:val="bottom"/>
          </w:tcPr>
          <w:p w14:paraId="7DA3C539"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2,989</w:t>
            </w:r>
          </w:p>
        </w:tc>
        <w:tc>
          <w:tcPr>
            <w:tcW w:w="922" w:type="dxa"/>
            <w:tcBorders>
              <w:top w:val="nil"/>
              <w:left w:val="nil"/>
              <w:bottom w:val="single" w:sz="4" w:space="0" w:color="auto"/>
            </w:tcBorders>
            <w:tcMar>
              <w:top w:w="28" w:type="dxa"/>
              <w:bottom w:w="28" w:type="dxa"/>
            </w:tcMar>
            <w:vAlign w:val="bottom"/>
          </w:tcPr>
          <w:p w14:paraId="0ED221AF"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1,442</w:t>
            </w:r>
          </w:p>
        </w:tc>
        <w:tc>
          <w:tcPr>
            <w:tcW w:w="709" w:type="dxa"/>
            <w:tcBorders>
              <w:top w:val="nil"/>
              <w:bottom w:val="single" w:sz="4" w:space="0" w:color="auto"/>
              <w:right w:val="nil"/>
            </w:tcBorders>
            <w:tcMar>
              <w:top w:w="28" w:type="dxa"/>
              <w:bottom w:w="28" w:type="dxa"/>
            </w:tcMar>
            <w:vAlign w:val="bottom"/>
          </w:tcPr>
          <w:p w14:paraId="2E62E15C"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296</w:t>
            </w:r>
          </w:p>
        </w:tc>
        <w:tc>
          <w:tcPr>
            <w:tcW w:w="709" w:type="dxa"/>
            <w:tcBorders>
              <w:top w:val="nil"/>
              <w:left w:val="nil"/>
              <w:bottom w:val="single" w:sz="4" w:space="0" w:color="auto"/>
              <w:right w:val="nil"/>
            </w:tcBorders>
            <w:tcMar>
              <w:top w:w="28" w:type="dxa"/>
              <w:bottom w:w="28" w:type="dxa"/>
            </w:tcMar>
            <w:vAlign w:val="bottom"/>
          </w:tcPr>
          <w:p w14:paraId="226C5566"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1,146</w:t>
            </w:r>
          </w:p>
        </w:tc>
        <w:tc>
          <w:tcPr>
            <w:tcW w:w="709" w:type="dxa"/>
            <w:tcBorders>
              <w:top w:val="nil"/>
              <w:left w:val="nil"/>
              <w:bottom w:val="single" w:sz="4" w:space="0" w:color="auto"/>
              <w:right w:val="nil"/>
            </w:tcBorders>
            <w:tcMar>
              <w:top w:w="28" w:type="dxa"/>
              <w:bottom w:w="28" w:type="dxa"/>
            </w:tcMar>
            <w:vAlign w:val="bottom"/>
          </w:tcPr>
          <w:p w14:paraId="3114EEC4" w14:textId="77777777" w:rsidR="005F7696" w:rsidRPr="00B9354F" w:rsidRDefault="005F7696" w:rsidP="000853E1">
            <w:pPr>
              <w:spacing w:before="0" w:after="0"/>
              <w:ind w:left="-57" w:right="-57"/>
              <w:jc w:val="right"/>
              <w:rPr>
                <w:rFonts w:cs="Arial"/>
                <w:szCs w:val="20"/>
              </w:rPr>
            </w:pPr>
            <w:r w:rsidRPr="00B9354F">
              <w:rPr>
                <w:rFonts w:cs="Arial"/>
                <w:color w:val="000000"/>
                <w:szCs w:val="20"/>
              </w:rPr>
              <w:t>-</w:t>
            </w:r>
          </w:p>
        </w:tc>
        <w:tc>
          <w:tcPr>
            <w:tcW w:w="709" w:type="dxa"/>
            <w:tcBorders>
              <w:top w:val="nil"/>
              <w:left w:val="nil"/>
              <w:bottom w:val="single" w:sz="4" w:space="0" w:color="auto"/>
            </w:tcBorders>
            <w:tcMar>
              <w:top w:w="28" w:type="dxa"/>
              <w:bottom w:w="28" w:type="dxa"/>
            </w:tcMar>
            <w:vAlign w:val="bottom"/>
          </w:tcPr>
          <w:p w14:paraId="0B189E56" w14:textId="77777777" w:rsidR="005F7696" w:rsidRPr="00B9354F" w:rsidRDefault="005F7696" w:rsidP="000853E1">
            <w:pPr>
              <w:spacing w:before="0" w:after="0"/>
              <w:ind w:left="-57"/>
              <w:jc w:val="right"/>
              <w:rPr>
                <w:rFonts w:cs="Arial"/>
                <w:szCs w:val="20"/>
              </w:rPr>
            </w:pPr>
            <w:r w:rsidRPr="00B9354F">
              <w:rPr>
                <w:rFonts w:cs="Arial"/>
                <w:color w:val="000000"/>
                <w:szCs w:val="20"/>
              </w:rPr>
              <w:t>-</w:t>
            </w:r>
          </w:p>
        </w:tc>
      </w:tr>
    </w:tbl>
    <w:bookmarkEnd w:id="788"/>
    <w:p w14:paraId="064FDDE6" w14:textId="77777777" w:rsidR="005F7696" w:rsidRPr="00B9354F" w:rsidRDefault="005F7696" w:rsidP="005F7696">
      <w:pPr>
        <w:spacing w:after="0" w:line="240" w:lineRule="auto"/>
        <w:rPr>
          <w:i/>
        </w:rPr>
      </w:pPr>
      <w:r w:rsidRPr="00B9354F">
        <w:t xml:space="preserve">A </w:t>
      </w:r>
      <w:r w:rsidRPr="00B9354F">
        <w:rPr>
          <w:i/>
        </w:rPr>
        <w:t xml:space="preserve">= Hospital Admissions; </w:t>
      </w:r>
      <w:r w:rsidRPr="00B9354F">
        <w:t>P</w:t>
      </w:r>
      <w:r w:rsidRPr="00B9354F">
        <w:rPr>
          <w:i/>
        </w:rPr>
        <w:t xml:space="preserve"> = Perinatal; </w:t>
      </w:r>
      <w:r w:rsidRPr="00B9354F">
        <w:t>E</w:t>
      </w:r>
      <w:r w:rsidRPr="00B9354F">
        <w:rPr>
          <w:i/>
        </w:rPr>
        <w:t xml:space="preserve"> = Emergency Department</w:t>
      </w:r>
    </w:p>
    <w:p w14:paraId="41006199" w14:textId="3E3E19F3" w:rsidR="005F7696" w:rsidRDefault="005F7696" w:rsidP="005F7696">
      <w:pPr>
        <w:spacing w:after="0" w:line="240" w:lineRule="auto"/>
        <w:rPr>
          <w:i/>
        </w:rPr>
      </w:pPr>
      <w:r w:rsidRPr="00B9354F">
        <w:rPr>
          <w:vertAlign w:val="superscript"/>
        </w:rPr>
        <w:t>1</w:t>
      </w:r>
      <w:r w:rsidRPr="00B9354F">
        <w:rPr>
          <w:i/>
        </w:rPr>
        <w:t xml:space="preserve"> Linkage is with explicit consent only, due to specific legislative requirements for this collection; see Section 5.4.2 for a description of consent in ALSWH.</w:t>
      </w:r>
    </w:p>
    <w:p w14:paraId="6F764B07" w14:textId="77777777" w:rsidR="00FE01C6" w:rsidRPr="00B9354F" w:rsidRDefault="00FE01C6" w:rsidP="005F7696">
      <w:pPr>
        <w:spacing w:after="0" w:line="240" w:lineRule="auto"/>
        <w:rPr>
          <w:i/>
        </w:rPr>
      </w:pPr>
    </w:p>
    <w:p w14:paraId="46AD0864" w14:textId="77777777" w:rsidR="005F7696" w:rsidRPr="00B9354F" w:rsidRDefault="005F7696" w:rsidP="005F7696">
      <w:pPr>
        <w:pStyle w:val="Heading3"/>
        <w:spacing w:line="240" w:lineRule="auto"/>
        <w:jc w:val="left"/>
      </w:pPr>
      <w:bookmarkStart w:id="789" w:name="_Toc124762788"/>
      <w:r w:rsidRPr="00B9354F">
        <w:t>C</w:t>
      </w:r>
      <w:r>
        <w:t>ommon</w:t>
      </w:r>
      <w:r w:rsidRPr="00B9354F">
        <w:t xml:space="preserve"> Conditions from Multiple Sources (CCMS)</w:t>
      </w:r>
      <w:bookmarkEnd w:id="789"/>
    </w:p>
    <w:p w14:paraId="7727CE0D" w14:textId="04F014D3" w:rsidR="005F7696" w:rsidRDefault="005F7696" w:rsidP="005F7696">
      <w:pPr>
        <w:pStyle w:val="2012TechReportBodytext"/>
      </w:pPr>
      <w:r w:rsidRPr="00B9354F">
        <w:t>ALSWH’s C</w:t>
      </w:r>
      <w:r>
        <w:t>ommon</w:t>
      </w:r>
      <w:r w:rsidRPr="00B9354F">
        <w:t xml:space="preserve"> Conditions from Multiple Sources (CCMS) datasets</w:t>
      </w:r>
      <w:r>
        <w:t xml:space="preserve"> continue to be updated and expanded to include more conditions (not all of which are “chronic”, hence the change of name since last year’s report).  These datasets </w:t>
      </w:r>
      <w:r w:rsidRPr="00B9354F">
        <w:t xml:space="preserve">contain indicator variables for common conditions, derived from both survey and linked health record data. They </w:t>
      </w:r>
      <w:r>
        <w:t>are</w:t>
      </w:r>
      <w:r w:rsidRPr="00B9354F">
        <w:t xml:space="preserve"> made available to research collaborators</w:t>
      </w:r>
      <w:r>
        <w:t>, subject to the usu</w:t>
      </w:r>
      <w:r w:rsidRPr="00B9354F">
        <w:t>al ethical and data custodian approvals apply (see Section 5.2.1). Table 5-6 shows which linked data collections contribute to each CCMS dataset.</w:t>
      </w:r>
    </w:p>
    <w:p w14:paraId="095B96F5" w14:textId="77777777" w:rsidR="002B2D8C" w:rsidRPr="00B9354F" w:rsidRDefault="002B2D8C" w:rsidP="005F7696">
      <w:pPr>
        <w:pStyle w:val="2012TechReportBodytext"/>
      </w:pPr>
    </w:p>
    <w:p w14:paraId="4D18ADE0" w14:textId="3E3BC1A3" w:rsidR="005F7696" w:rsidRPr="00056F9A" w:rsidRDefault="005F7696" w:rsidP="005F7696">
      <w:pPr>
        <w:pStyle w:val="2012TechReportBodytext"/>
        <w:rPr>
          <w:b/>
          <w:bCs/>
        </w:rPr>
      </w:pPr>
      <w:r w:rsidRPr="00056F9A">
        <w:rPr>
          <w:b/>
          <w:bCs/>
        </w:rPr>
        <w:t xml:space="preserve">Table </w:t>
      </w:r>
      <w:r w:rsidRPr="00056F9A">
        <w:rPr>
          <w:b/>
          <w:bCs/>
        </w:rPr>
        <w:fldChar w:fldCharType="begin"/>
      </w:r>
      <w:r w:rsidRPr="00056F9A">
        <w:rPr>
          <w:b/>
          <w:bCs/>
        </w:rPr>
        <w:instrText xml:space="preserve"> STYLEREF 1 \s </w:instrText>
      </w:r>
      <w:r w:rsidRPr="00056F9A">
        <w:rPr>
          <w:b/>
          <w:bCs/>
        </w:rPr>
        <w:fldChar w:fldCharType="separate"/>
      </w:r>
      <w:r w:rsidR="007D19D7">
        <w:rPr>
          <w:b/>
          <w:bCs/>
          <w:noProof/>
        </w:rPr>
        <w:t>5</w:t>
      </w:r>
      <w:r w:rsidRPr="00056F9A">
        <w:rPr>
          <w:b/>
          <w:bCs/>
          <w:noProof/>
        </w:rPr>
        <w:fldChar w:fldCharType="end"/>
      </w:r>
      <w:r w:rsidRPr="00056F9A">
        <w:rPr>
          <w:b/>
          <w:bCs/>
        </w:rPr>
        <w:noBreakHyphen/>
        <w:t>6 CCMS dataset composition (</w:t>
      </w:r>
      <w:proofErr w:type="gramStart"/>
      <w:r w:rsidRPr="00056F9A">
        <w:rPr>
          <w:b/>
          <w:bCs/>
        </w:rPr>
        <w:t>at</w:t>
      </w:r>
      <w:proofErr w:type="gramEnd"/>
      <w:r w:rsidRPr="00056F9A">
        <w:rPr>
          <w:b/>
          <w:bCs/>
        </w:rPr>
        <w:t xml:space="preserve"> </w:t>
      </w:r>
      <w:r w:rsidR="002B2D8C">
        <w:rPr>
          <w:b/>
          <w:bCs/>
        </w:rPr>
        <w:t>November</w:t>
      </w:r>
      <w:r w:rsidR="002B2D8C" w:rsidRPr="00056F9A">
        <w:rPr>
          <w:b/>
          <w:bCs/>
        </w:rPr>
        <w:t xml:space="preserve"> </w:t>
      </w:r>
      <w:r w:rsidR="004D72B1" w:rsidRPr="00056F9A">
        <w:rPr>
          <w:b/>
          <w:bCs/>
        </w:rPr>
        <w:t>2022</w:t>
      </w:r>
      <w:r w:rsidRPr="00056F9A">
        <w:rPr>
          <w:b/>
          <w:bCs/>
        </w:rPr>
        <w:t>)</w:t>
      </w:r>
    </w:p>
    <w:tbl>
      <w:tblPr>
        <w:tblStyle w:val="TableGrid"/>
        <w:tblW w:w="9180" w:type="dxa"/>
        <w:tblInd w:w="-113" w:type="dxa"/>
        <w:tblLayout w:type="fixed"/>
        <w:tblLook w:val="04A0" w:firstRow="1" w:lastRow="0" w:firstColumn="1" w:lastColumn="0" w:noHBand="0" w:noVBand="1"/>
      </w:tblPr>
      <w:tblGrid>
        <w:gridCol w:w="2518"/>
        <w:gridCol w:w="1110"/>
        <w:gridCol w:w="1110"/>
        <w:gridCol w:w="1111"/>
        <w:gridCol w:w="1110"/>
        <w:gridCol w:w="1110"/>
        <w:gridCol w:w="1111"/>
      </w:tblGrid>
      <w:tr w:rsidR="005F7696" w:rsidRPr="00056F9A" w14:paraId="21E90AD0" w14:textId="77777777" w:rsidTr="00FE01C6">
        <w:trPr>
          <w:tblHeader/>
        </w:trPr>
        <w:tc>
          <w:tcPr>
            <w:tcW w:w="2518" w:type="dxa"/>
            <w:vMerge w:val="restart"/>
            <w:shd w:val="clear" w:color="auto" w:fill="FFF2CC"/>
            <w:vAlign w:val="center"/>
          </w:tcPr>
          <w:p w14:paraId="46D34C9B" w14:textId="77777777" w:rsidR="005F7696" w:rsidRPr="00056F9A" w:rsidRDefault="005F7696" w:rsidP="000853E1">
            <w:pPr>
              <w:spacing w:before="0" w:after="0" w:line="240" w:lineRule="auto"/>
              <w:jc w:val="center"/>
              <w:rPr>
                <w:b/>
                <w:bCs/>
              </w:rPr>
            </w:pPr>
            <w:r w:rsidRPr="00056F9A">
              <w:rPr>
                <w:b/>
                <w:bCs/>
              </w:rPr>
              <w:t>CCMS dataset</w:t>
            </w:r>
          </w:p>
        </w:tc>
        <w:tc>
          <w:tcPr>
            <w:tcW w:w="6662" w:type="dxa"/>
            <w:gridSpan w:val="6"/>
            <w:shd w:val="clear" w:color="auto" w:fill="FFF2CC"/>
          </w:tcPr>
          <w:p w14:paraId="332EB52B" w14:textId="77777777" w:rsidR="005F7696" w:rsidRPr="00056F9A" w:rsidRDefault="005F7696" w:rsidP="000853E1">
            <w:pPr>
              <w:spacing w:before="0" w:after="0" w:line="240" w:lineRule="auto"/>
              <w:jc w:val="center"/>
              <w:rPr>
                <w:b/>
                <w:bCs/>
              </w:rPr>
            </w:pPr>
            <w:r w:rsidRPr="00056F9A">
              <w:rPr>
                <w:b/>
                <w:bCs/>
              </w:rPr>
              <w:t>External linked data collections used</w:t>
            </w:r>
          </w:p>
        </w:tc>
      </w:tr>
      <w:tr w:rsidR="005F7696" w:rsidRPr="00056F9A" w14:paraId="6B296B15" w14:textId="77777777" w:rsidTr="00FE01C6">
        <w:trPr>
          <w:tblHeader/>
        </w:trPr>
        <w:tc>
          <w:tcPr>
            <w:tcW w:w="2518" w:type="dxa"/>
            <w:vMerge/>
            <w:shd w:val="clear" w:color="auto" w:fill="FFF2CC"/>
          </w:tcPr>
          <w:p w14:paraId="04509F63" w14:textId="77777777" w:rsidR="005F7696" w:rsidRPr="00056F9A" w:rsidRDefault="005F7696" w:rsidP="000853E1">
            <w:pPr>
              <w:spacing w:before="0" w:after="0" w:line="240" w:lineRule="auto"/>
              <w:rPr>
                <w:b/>
                <w:bCs/>
              </w:rPr>
            </w:pPr>
          </w:p>
        </w:tc>
        <w:tc>
          <w:tcPr>
            <w:tcW w:w="1110" w:type="dxa"/>
            <w:shd w:val="clear" w:color="auto" w:fill="FFF2CC"/>
            <w:vAlign w:val="center"/>
          </w:tcPr>
          <w:p w14:paraId="23FF59EE" w14:textId="77777777" w:rsidR="005F7696" w:rsidRPr="00056F9A" w:rsidRDefault="005F7696" w:rsidP="000853E1">
            <w:pPr>
              <w:spacing w:before="0" w:after="0" w:line="240" w:lineRule="auto"/>
              <w:jc w:val="center"/>
              <w:rPr>
                <w:b/>
                <w:bCs/>
              </w:rPr>
            </w:pPr>
            <w:r w:rsidRPr="00056F9A">
              <w:rPr>
                <w:b/>
                <w:bCs/>
              </w:rPr>
              <w:t>Cancer</w:t>
            </w:r>
          </w:p>
        </w:tc>
        <w:tc>
          <w:tcPr>
            <w:tcW w:w="1110" w:type="dxa"/>
            <w:shd w:val="clear" w:color="auto" w:fill="FFF2CC"/>
            <w:vAlign w:val="center"/>
          </w:tcPr>
          <w:p w14:paraId="1629C572" w14:textId="77777777" w:rsidR="005F7696" w:rsidRPr="00056F9A" w:rsidRDefault="005F7696" w:rsidP="000853E1">
            <w:pPr>
              <w:spacing w:before="0" w:after="0" w:line="240" w:lineRule="auto"/>
              <w:jc w:val="center"/>
              <w:rPr>
                <w:b/>
                <w:bCs/>
              </w:rPr>
            </w:pPr>
            <w:r w:rsidRPr="00056F9A">
              <w:rPr>
                <w:b/>
                <w:bCs/>
              </w:rPr>
              <w:t>COD</w:t>
            </w:r>
          </w:p>
        </w:tc>
        <w:tc>
          <w:tcPr>
            <w:tcW w:w="1111" w:type="dxa"/>
            <w:shd w:val="clear" w:color="auto" w:fill="FFF2CC"/>
            <w:vAlign w:val="center"/>
          </w:tcPr>
          <w:p w14:paraId="5B8872EA" w14:textId="77777777" w:rsidR="005F7696" w:rsidRPr="00056F9A" w:rsidRDefault="005F7696" w:rsidP="000853E1">
            <w:pPr>
              <w:spacing w:before="0" w:after="0" w:line="240" w:lineRule="auto"/>
              <w:jc w:val="center"/>
              <w:rPr>
                <w:b/>
                <w:bCs/>
              </w:rPr>
            </w:pPr>
            <w:r w:rsidRPr="00056F9A">
              <w:rPr>
                <w:b/>
                <w:bCs/>
              </w:rPr>
              <w:t>MBS</w:t>
            </w:r>
          </w:p>
        </w:tc>
        <w:tc>
          <w:tcPr>
            <w:tcW w:w="1110" w:type="dxa"/>
            <w:shd w:val="clear" w:color="auto" w:fill="FFF2CC"/>
            <w:vAlign w:val="center"/>
          </w:tcPr>
          <w:p w14:paraId="1CAD664F" w14:textId="77777777" w:rsidR="005F7696" w:rsidRPr="00056F9A" w:rsidRDefault="005F7696" w:rsidP="000853E1">
            <w:pPr>
              <w:spacing w:before="0" w:after="0" w:line="240" w:lineRule="auto"/>
              <w:jc w:val="center"/>
              <w:rPr>
                <w:b/>
                <w:bCs/>
              </w:rPr>
            </w:pPr>
            <w:r w:rsidRPr="00056F9A">
              <w:rPr>
                <w:b/>
                <w:bCs/>
              </w:rPr>
              <w:t>PBS</w:t>
            </w:r>
          </w:p>
        </w:tc>
        <w:tc>
          <w:tcPr>
            <w:tcW w:w="1110" w:type="dxa"/>
            <w:shd w:val="clear" w:color="auto" w:fill="FFF2CC"/>
            <w:vAlign w:val="center"/>
          </w:tcPr>
          <w:p w14:paraId="433A9C5F" w14:textId="77777777" w:rsidR="005F7696" w:rsidRPr="00056F9A" w:rsidRDefault="005F7696" w:rsidP="000853E1">
            <w:pPr>
              <w:spacing w:before="0" w:after="0" w:line="240" w:lineRule="auto"/>
              <w:jc w:val="center"/>
              <w:rPr>
                <w:b/>
                <w:bCs/>
              </w:rPr>
            </w:pPr>
            <w:r w:rsidRPr="00056F9A">
              <w:rPr>
                <w:b/>
                <w:bCs/>
              </w:rPr>
              <w:t>AC</w:t>
            </w:r>
          </w:p>
        </w:tc>
        <w:tc>
          <w:tcPr>
            <w:tcW w:w="1111" w:type="dxa"/>
            <w:shd w:val="clear" w:color="auto" w:fill="FFF2CC"/>
            <w:vAlign w:val="center"/>
          </w:tcPr>
          <w:p w14:paraId="3A8DC0C7" w14:textId="77777777" w:rsidR="005F7696" w:rsidRPr="00056F9A" w:rsidRDefault="005F7696" w:rsidP="000853E1">
            <w:pPr>
              <w:spacing w:before="0" w:after="0" w:line="240" w:lineRule="auto"/>
              <w:jc w:val="center"/>
              <w:rPr>
                <w:b/>
                <w:bCs/>
              </w:rPr>
            </w:pPr>
            <w:r w:rsidRPr="00056F9A">
              <w:rPr>
                <w:b/>
                <w:bCs/>
              </w:rPr>
              <w:t>A</w:t>
            </w:r>
          </w:p>
        </w:tc>
      </w:tr>
      <w:tr w:rsidR="005F7696" w:rsidRPr="00056F9A" w14:paraId="2711E4A4" w14:textId="77777777" w:rsidTr="000853E1">
        <w:tc>
          <w:tcPr>
            <w:tcW w:w="2518" w:type="dxa"/>
            <w:tcMar>
              <w:top w:w="28" w:type="dxa"/>
              <w:bottom w:w="28" w:type="dxa"/>
            </w:tcMar>
          </w:tcPr>
          <w:p w14:paraId="2EFDE7D6" w14:textId="77777777" w:rsidR="005F7696" w:rsidRPr="00056F9A" w:rsidRDefault="005F7696" w:rsidP="000853E1">
            <w:pPr>
              <w:spacing w:before="0" w:after="0" w:line="240" w:lineRule="auto"/>
              <w:jc w:val="left"/>
            </w:pPr>
            <w:r w:rsidRPr="00056F9A">
              <w:t>Cancer</w:t>
            </w:r>
          </w:p>
        </w:tc>
        <w:tc>
          <w:tcPr>
            <w:tcW w:w="1110" w:type="dxa"/>
            <w:tcMar>
              <w:top w:w="28" w:type="dxa"/>
              <w:bottom w:w="28" w:type="dxa"/>
            </w:tcMar>
            <w:vAlign w:val="center"/>
          </w:tcPr>
          <w:p w14:paraId="5DB3C319"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0" w:type="dxa"/>
            <w:tcMar>
              <w:top w:w="28" w:type="dxa"/>
              <w:bottom w:w="28" w:type="dxa"/>
            </w:tcMar>
            <w:vAlign w:val="center"/>
          </w:tcPr>
          <w:p w14:paraId="5450856D"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1" w:type="dxa"/>
            <w:tcMar>
              <w:top w:w="28" w:type="dxa"/>
              <w:bottom w:w="28" w:type="dxa"/>
            </w:tcMar>
            <w:vAlign w:val="center"/>
          </w:tcPr>
          <w:p w14:paraId="301B7D4A"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0" w:type="dxa"/>
            <w:tcMar>
              <w:top w:w="28" w:type="dxa"/>
              <w:bottom w:w="28" w:type="dxa"/>
            </w:tcMar>
            <w:vAlign w:val="center"/>
          </w:tcPr>
          <w:p w14:paraId="29A25FCB" w14:textId="77777777" w:rsidR="005F7696" w:rsidRPr="00056F9A" w:rsidRDefault="005F7696" w:rsidP="000853E1">
            <w:pPr>
              <w:spacing w:before="0" w:after="0" w:line="240" w:lineRule="auto"/>
              <w:jc w:val="center"/>
              <w:rPr>
                <w:szCs w:val="20"/>
              </w:rPr>
            </w:pPr>
          </w:p>
        </w:tc>
        <w:tc>
          <w:tcPr>
            <w:tcW w:w="1110" w:type="dxa"/>
            <w:tcMar>
              <w:top w:w="28" w:type="dxa"/>
              <w:bottom w:w="28" w:type="dxa"/>
            </w:tcMar>
            <w:vAlign w:val="center"/>
          </w:tcPr>
          <w:p w14:paraId="5541B567" w14:textId="77777777" w:rsidR="005F7696" w:rsidRPr="00056F9A" w:rsidRDefault="005F7696" w:rsidP="000853E1">
            <w:pPr>
              <w:spacing w:before="0" w:after="0" w:line="240" w:lineRule="auto"/>
              <w:jc w:val="center"/>
              <w:rPr>
                <w:szCs w:val="20"/>
              </w:rPr>
            </w:pPr>
          </w:p>
        </w:tc>
        <w:tc>
          <w:tcPr>
            <w:tcW w:w="1111" w:type="dxa"/>
            <w:tcMar>
              <w:top w:w="28" w:type="dxa"/>
              <w:bottom w:w="28" w:type="dxa"/>
            </w:tcMar>
            <w:vAlign w:val="center"/>
          </w:tcPr>
          <w:p w14:paraId="54D91545"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r>
      <w:tr w:rsidR="005F7696" w:rsidRPr="00056F9A" w14:paraId="34C30B10" w14:textId="77777777" w:rsidTr="000853E1">
        <w:tc>
          <w:tcPr>
            <w:tcW w:w="2518" w:type="dxa"/>
            <w:tcMar>
              <w:top w:w="28" w:type="dxa"/>
              <w:bottom w:w="28" w:type="dxa"/>
            </w:tcMar>
          </w:tcPr>
          <w:p w14:paraId="747D229E" w14:textId="77777777" w:rsidR="005F7696" w:rsidRPr="00056F9A" w:rsidRDefault="005F7696" w:rsidP="000853E1">
            <w:pPr>
              <w:spacing w:before="0" w:after="0" w:line="240" w:lineRule="auto"/>
              <w:jc w:val="left"/>
            </w:pPr>
            <w:r w:rsidRPr="00056F9A">
              <w:t>Dementia</w:t>
            </w:r>
          </w:p>
        </w:tc>
        <w:tc>
          <w:tcPr>
            <w:tcW w:w="1110" w:type="dxa"/>
            <w:tcMar>
              <w:top w:w="28" w:type="dxa"/>
              <w:bottom w:w="28" w:type="dxa"/>
            </w:tcMar>
            <w:vAlign w:val="center"/>
          </w:tcPr>
          <w:p w14:paraId="7FA60CB1" w14:textId="77777777" w:rsidR="005F7696" w:rsidRPr="00056F9A" w:rsidRDefault="005F7696" w:rsidP="000853E1">
            <w:pPr>
              <w:spacing w:before="0" w:after="0" w:line="240" w:lineRule="auto"/>
              <w:jc w:val="center"/>
              <w:rPr>
                <w:szCs w:val="20"/>
              </w:rPr>
            </w:pPr>
          </w:p>
        </w:tc>
        <w:tc>
          <w:tcPr>
            <w:tcW w:w="1110" w:type="dxa"/>
            <w:tcMar>
              <w:top w:w="28" w:type="dxa"/>
              <w:bottom w:w="28" w:type="dxa"/>
            </w:tcMar>
            <w:vAlign w:val="center"/>
          </w:tcPr>
          <w:p w14:paraId="2041E7E6"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1" w:type="dxa"/>
            <w:tcMar>
              <w:top w:w="28" w:type="dxa"/>
              <w:bottom w:w="28" w:type="dxa"/>
            </w:tcMar>
            <w:vAlign w:val="center"/>
          </w:tcPr>
          <w:p w14:paraId="1B6A374D" w14:textId="77777777" w:rsidR="005F7696" w:rsidRPr="00056F9A" w:rsidRDefault="005F7696" w:rsidP="000853E1">
            <w:pPr>
              <w:spacing w:before="0" w:after="0" w:line="240" w:lineRule="auto"/>
              <w:jc w:val="center"/>
              <w:rPr>
                <w:szCs w:val="20"/>
              </w:rPr>
            </w:pPr>
          </w:p>
        </w:tc>
        <w:tc>
          <w:tcPr>
            <w:tcW w:w="1110" w:type="dxa"/>
            <w:tcMar>
              <w:top w:w="28" w:type="dxa"/>
              <w:bottom w:w="28" w:type="dxa"/>
            </w:tcMar>
            <w:vAlign w:val="center"/>
          </w:tcPr>
          <w:p w14:paraId="54D84928"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0" w:type="dxa"/>
            <w:tcMar>
              <w:top w:w="28" w:type="dxa"/>
              <w:bottom w:w="28" w:type="dxa"/>
            </w:tcMar>
            <w:vAlign w:val="center"/>
          </w:tcPr>
          <w:p w14:paraId="087B689D"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1" w:type="dxa"/>
            <w:tcMar>
              <w:top w:w="28" w:type="dxa"/>
              <w:bottom w:w="28" w:type="dxa"/>
            </w:tcMar>
            <w:vAlign w:val="center"/>
          </w:tcPr>
          <w:p w14:paraId="016903CA"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r>
      <w:tr w:rsidR="005F7696" w:rsidRPr="00056F9A" w14:paraId="338323C2" w14:textId="77777777" w:rsidTr="000853E1">
        <w:tc>
          <w:tcPr>
            <w:tcW w:w="2518" w:type="dxa"/>
            <w:tcMar>
              <w:top w:w="28" w:type="dxa"/>
              <w:bottom w:w="28" w:type="dxa"/>
            </w:tcMar>
          </w:tcPr>
          <w:p w14:paraId="398C44DF" w14:textId="77777777" w:rsidR="005F7696" w:rsidRPr="00056F9A" w:rsidRDefault="005F7696" w:rsidP="000853E1">
            <w:pPr>
              <w:spacing w:before="0" w:after="0" w:line="240" w:lineRule="auto"/>
              <w:jc w:val="left"/>
            </w:pPr>
            <w:r w:rsidRPr="00056F9A">
              <w:t>Diabetes</w:t>
            </w:r>
          </w:p>
        </w:tc>
        <w:tc>
          <w:tcPr>
            <w:tcW w:w="1110" w:type="dxa"/>
            <w:tcMar>
              <w:top w:w="28" w:type="dxa"/>
              <w:bottom w:w="28" w:type="dxa"/>
            </w:tcMar>
            <w:vAlign w:val="center"/>
          </w:tcPr>
          <w:p w14:paraId="553AFF1B" w14:textId="77777777" w:rsidR="005F7696" w:rsidRPr="00056F9A" w:rsidRDefault="005F7696" w:rsidP="000853E1">
            <w:pPr>
              <w:spacing w:before="0" w:after="0" w:line="240" w:lineRule="auto"/>
              <w:jc w:val="center"/>
              <w:rPr>
                <w:szCs w:val="20"/>
              </w:rPr>
            </w:pPr>
          </w:p>
        </w:tc>
        <w:tc>
          <w:tcPr>
            <w:tcW w:w="1110" w:type="dxa"/>
            <w:tcMar>
              <w:top w:w="28" w:type="dxa"/>
              <w:bottom w:w="28" w:type="dxa"/>
            </w:tcMar>
            <w:vAlign w:val="center"/>
          </w:tcPr>
          <w:p w14:paraId="53599A1B"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1" w:type="dxa"/>
            <w:tcMar>
              <w:top w:w="28" w:type="dxa"/>
              <w:bottom w:w="28" w:type="dxa"/>
            </w:tcMar>
            <w:vAlign w:val="center"/>
          </w:tcPr>
          <w:p w14:paraId="2F79DBD8"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0" w:type="dxa"/>
            <w:tcMar>
              <w:top w:w="28" w:type="dxa"/>
              <w:bottom w:w="28" w:type="dxa"/>
            </w:tcMar>
            <w:vAlign w:val="center"/>
          </w:tcPr>
          <w:p w14:paraId="70F3C5BB"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0" w:type="dxa"/>
            <w:tcMar>
              <w:top w:w="28" w:type="dxa"/>
              <w:bottom w:w="28" w:type="dxa"/>
            </w:tcMar>
            <w:vAlign w:val="center"/>
          </w:tcPr>
          <w:p w14:paraId="52F59616"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1" w:type="dxa"/>
            <w:tcMar>
              <w:top w:w="28" w:type="dxa"/>
              <w:bottom w:w="28" w:type="dxa"/>
            </w:tcMar>
            <w:vAlign w:val="center"/>
          </w:tcPr>
          <w:p w14:paraId="328BAD46"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r>
      <w:tr w:rsidR="005F7696" w:rsidRPr="00056F9A" w14:paraId="42AF2F53" w14:textId="77777777" w:rsidTr="000853E1">
        <w:tc>
          <w:tcPr>
            <w:tcW w:w="2518" w:type="dxa"/>
            <w:tcMar>
              <w:top w:w="28" w:type="dxa"/>
              <w:bottom w:w="28" w:type="dxa"/>
            </w:tcMar>
          </w:tcPr>
          <w:p w14:paraId="48FF8E56" w14:textId="77777777" w:rsidR="005F7696" w:rsidRPr="00056F9A" w:rsidRDefault="005F7696" w:rsidP="000853E1">
            <w:pPr>
              <w:spacing w:before="0" w:after="0" w:line="240" w:lineRule="auto"/>
              <w:jc w:val="left"/>
            </w:pPr>
            <w:r w:rsidRPr="00056F9A">
              <w:t>Ischaemic Heart Disease</w:t>
            </w:r>
          </w:p>
        </w:tc>
        <w:tc>
          <w:tcPr>
            <w:tcW w:w="1110" w:type="dxa"/>
            <w:tcMar>
              <w:top w:w="28" w:type="dxa"/>
              <w:bottom w:w="28" w:type="dxa"/>
            </w:tcMar>
            <w:vAlign w:val="center"/>
          </w:tcPr>
          <w:p w14:paraId="0F045050" w14:textId="77777777" w:rsidR="005F7696" w:rsidRPr="00056F9A" w:rsidRDefault="005F7696" w:rsidP="000853E1">
            <w:pPr>
              <w:spacing w:before="0" w:after="0" w:line="240" w:lineRule="auto"/>
              <w:jc w:val="center"/>
              <w:rPr>
                <w:szCs w:val="20"/>
              </w:rPr>
            </w:pPr>
          </w:p>
        </w:tc>
        <w:tc>
          <w:tcPr>
            <w:tcW w:w="1110" w:type="dxa"/>
            <w:tcMar>
              <w:top w:w="28" w:type="dxa"/>
              <w:bottom w:w="28" w:type="dxa"/>
            </w:tcMar>
            <w:vAlign w:val="center"/>
          </w:tcPr>
          <w:p w14:paraId="3389C316"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1" w:type="dxa"/>
            <w:tcMar>
              <w:top w:w="28" w:type="dxa"/>
              <w:bottom w:w="28" w:type="dxa"/>
            </w:tcMar>
            <w:vAlign w:val="center"/>
          </w:tcPr>
          <w:p w14:paraId="470DFB68"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0" w:type="dxa"/>
            <w:tcMar>
              <w:top w:w="28" w:type="dxa"/>
              <w:bottom w:w="28" w:type="dxa"/>
            </w:tcMar>
            <w:vAlign w:val="center"/>
          </w:tcPr>
          <w:p w14:paraId="7E72AB81"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0" w:type="dxa"/>
            <w:tcMar>
              <w:top w:w="28" w:type="dxa"/>
              <w:bottom w:w="28" w:type="dxa"/>
            </w:tcMar>
            <w:vAlign w:val="center"/>
          </w:tcPr>
          <w:p w14:paraId="102A7531"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1" w:type="dxa"/>
            <w:tcMar>
              <w:top w:w="28" w:type="dxa"/>
              <w:bottom w:w="28" w:type="dxa"/>
            </w:tcMar>
            <w:vAlign w:val="center"/>
          </w:tcPr>
          <w:p w14:paraId="47DEA00F"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r>
      <w:tr w:rsidR="005F7696" w:rsidRPr="00056F9A" w14:paraId="341CACA8" w14:textId="77777777" w:rsidTr="000853E1">
        <w:tc>
          <w:tcPr>
            <w:tcW w:w="2518" w:type="dxa"/>
            <w:tcMar>
              <w:top w:w="28" w:type="dxa"/>
              <w:bottom w:w="28" w:type="dxa"/>
            </w:tcMar>
          </w:tcPr>
          <w:p w14:paraId="55B74EC1" w14:textId="77777777" w:rsidR="005F7696" w:rsidRPr="00056F9A" w:rsidRDefault="005F7696" w:rsidP="000853E1">
            <w:pPr>
              <w:spacing w:before="0" w:after="0" w:line="240" w:lineRule="auto"/>
              <w:jc w:val="left"/>
            </w:pPr>
            <w:r w:rsidRPr="00056F9A">
              <w:lastRenderedPageBreak/>
              <w:t>Mental health</w:t>
            </w:r>
          </w:p>
        </w:tc>
        <w:tc>
          <w:tcPr>
            <w:tcW w:w="1110" w:type="dxa"/>
            <w:tcMar>
              <w:top w:w="28" w:type="dxa"/>
              <w:bottom w:w="28" w:type="dxa"/>
            </w:tcMar>
            <w:vAlign w:val="center"/>
          </w:tcPr>
          <w:p w14:paraId="74552684" w14:textId="77777777" w:rsidR="005F7696" w:rsidRPr="00056F9A" w:rsidRDefault="005F7696" w:rsidP="000853E1">
            <w:pPr>
              <w:spacing w:before="0" w:after="0" w:line="240" w:lineRule="auto"/>
              <w:jc w:val="center"/>
              <w:rPr>
                <w:szCs w:val="20"/>
              </w:rPr>
            </w:pPr>
          </w:p>
        </w:tc>
        <w:tc>
          <w:tcPr>
            <w:tcW w:w="1110" w:type="dxa"/>
            <w:tcMar>
              <w:top w:w="28" w:type="dxa"/>
              <w:bottom w:w="28" w:type="dxa"/>
            </w:tcMar>
            <w:vAlign w:val="center"/>
          </w:tcPr>
          <w:p w14:paraId="01B37F15"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1" w:type="dxa"/>
            <w:tcMar>
              <w:top w:w="28" w:type="dxa"/>
              <w:bottom w:w="28" w:type="dxa"/>
            </w:tcMar>
            <w:vAlign w:val="center"/>
          </w:tcPr>
          <w:p w14:paraId="5E1EF61C" w14:textId="77777777" w:rsidR="005F7696" w:rsidRPr="00056F9A" w:rsidRDefault="005F7696" w:rsidP="000853E1">
            <w:pPr>
              <w:spacing w:before="0" w:after="0" w:line="240" w:lineRule="auto"/>
              <w:jc w:val="center"/>
              <w:rPr>
                <w:szCs w:val="20"/>
              </w:rPr>
            </w:pPr>
          </w:p>
        </w:tc>
        <w:tc>
          <w:tcPr>
            <w:tcW w:w="1110" w:type="dxa"/>
            <w:tcMar>
              <w:top w:w="28" w:type="dxa"/>
              <w:bottom w:w="28" w:type="dxa"/>
            </w:tcMar>
            <w:vAlign w:val="center"/>
          </w:tcPr>
          <w:p w14:paraId="64D473D4"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0" w:type="dxa"/>
            <w:tcMar>
              <w:top w:w="28" w:type="dxa"/>
              <w:bottom w:w="28" w:type="dxa"/>
            </w:tcMar>
            <w:vAlign w:val="center"/>
          </w:tcPr>
          <w:p w14:paraId="456C6CD3"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1" w:type="dxa"/>
            <w:tcMar>
              <w:top w:w="28" w:type="dxa"/>
              <w:bottom w:w="28" w:type="dxa"/>
            </w:tcMar>
            <w:vAlign w:val="center"/>
          </w:tcPr>
          <w:p w14:paraId="6B97A833"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r>
      <w:tr w:rsidR="005F7696" w:rsidRPr="00056F9A" w14:paraId="1596A215" w14:textId="77777777" w:rsidTr="000853E1">
        <w:tc>
          <w:tcPr>
            <w:tcW w:w="2518" w:type="dxa"/>
            <w:tcMar>
              <w:top w:w="28" w:type="dxa"/>
              <w:bottom w:w="28" w:type="dxa"/>
            </w:tcMar>
          </w:tcPr>
          <w:p w14:paraId="4B1873E2" w14:textId="77777777" w:rsidR="005F7696" w:rsidRPr="00056F9A" w:rsidRDefault="005F7696" w:rsidP="000853E1">
            <w:pPr>
              <w:spacing w:before="0" w:after="0" w:line="240" w:lineRule="auto"/>
              <w:jc w:val="left"/>
            </w:pPr>
            <w:r w:rsidRPr="00056F9A">
              <w:t>Musculoskeletal</w:t>
            </w:r>
          </w:p>
        </w:tc>
        <w:tc>
          <w:tcPr>
            <w:tcW w:w="1110" w:type="dxa"/>
            <w:tcMar>
              <w:top w:w="28" w:type="dxa"/>
              <w:bottom w:w="28" w:type="dxa"/>
            </w:tcMar>
            <w:vAlign w:val="center"/>
          </w:tcPr>
          <w:p w14:paraId="0422908D" w14:textId="77777777" w:rsidR="005F7696" w:rsidRPr="00056F9A" w:rsidRDefault="005F7696" w:rsidP="000853E1">
            <w:pPr>
              <w:spacing w:before="0" w:after="0" w:line="240" w:lineRule="auto"/>
              <w:jc w:val="center"/>
              <w:rPr>
                <w:szCs w:val="20"/>
              </w:rPr>
            </w:pPr>
          </w:p>
        </w:tc>
        <w:tc>
          <w:tcPr>
            <w:tcW w:w="1110" w:type="dxa"/>
            <w:tcMar>
              <w:top w:w="28" w:type="dxa"/>
              <w:bottom w:w="28" w:type="dxa"/>
            </w:tcMar>
            <w:vAlign w:val="center"/>
          </w:tcPr>
          <w:p w14:paraId="3D1036D5"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1" w:type="dxa"/>
            <w:tcMar>
              <w:top w:w="28" w:type="dxa"/>
              <w:bottom w:w="28" w:type="dxa"/>
            </w:tcMar>
            <w:vAlign w:val="center"/>
          </w:tcPr>
          <w:p w14:paraId="32145967" w14:textId="77777777" w:rsidR="005F7696" w:rsidRPr="00056F9A" w:rsidRDefault="005F7696" w:rsidP="000853E1">
            <w:pPr>
              <w:spacing w:before="0" w:after="0" w:line="240" w:lineRule="auto"/>
              <w:jc w:val="center"/>
              <w:rPr>
                <w:szCs w:val="20"/>
              </w:rPr>
            </w:pPr>
          </w:p>
        </w:tc>
        <w:tc>
          <w:tcPr>
            <w:tcW w:w="1110" w:type="dxa"/>
            <w:tcMar>
              <w:top w:w="28" w:type="dxa"/>
              <w:bottom w:w="28" w:type="dxa"/>
            </w:tcMar>
            <w:vAlign w:val="center"/>
          </w:tcPr>
          <w:p w14:paraId="51B69DF5"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0" w:type="dxa"/>
            <w:tcMar>
              <w:top w:w="28" w:type="dxa"/>
              <w:bottom w:w="28" w:type="dxa"/>
            </w:tcMar>
            <w:vAlign w:val="center"/>
          </w:tcPr>
          <w:p w14:paraId="65D69C2A"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1" w:type="dxa"/>
            <w:tcMar>
              <w:top w:w="28" w:type="dxa"/>
              <w:bottom w:w="28" w:type="dxa"/>
            </w:tcMar>
            <w:vAlign w:val="center"/>
          </w:tcPr>
          <w:p w14:paraId="7531E121"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r>
      <w:tr w:rsidR="005F7696" w:rsidRPr="00056F9A" w14:paraId="436E9D83" w14:textId="77777777" w:rsidTr="000853E1">
        <w:tc>
          <w:tcPr>
            <w:tcW w:w="2518" w:type="dxa"/>
            <w:tcMar>
              <w:top w:w="28" w:type="dxa"/>
              <w:bottom w:w="28" w:type="dxa"/>
            </w:tcMar>
          </w:tcPr>
          <w:p w14:paraId="4ED4B31B" w14:textId="77777777" w:rsidR="005F7696" w:rsidRPr="00056F9A" w:rsidRDefault="005F7696" w:rsidP="000853E1">
            <w:pPr>
              <w:spacing w:before="0" w:after="0" w:line="240" w:lineRule="auto"/>
              <w:jc w:val="left"/>
            </w:pPr>
            <w:r w:rsidRPr="00056F9A">
              <w:t>Respiratory conditions</w:t>
            </w:r>
          </w:p>
        </w:tc>
        <w:tc>
          <w:tcPr>
            <w:tcW w:w="1110" w:type="dxa"/>
            <w:tcMar>
              <w:top w:w="28" w:type="dxa"/>
              <w:bottom w:w="28" w:type="dxa"/>
            </w:tcMar>
            <w:vAlign w:val="center"/>
          </w:tcPr>
          <w:p w14:paraId="50E7E47B" w14:textId="77777777" w:rsidR="005F7696" w:rsidRPr="00056F9A" w:rsidRDefault="005F7696" w:rsidP="000853E1">
            <w:pPr>
              <w:spacing w:before="0" w:after="0" w:line="240" w:lineRule="auto"/>
              <w:jc w:val="center"/>
              <w:rPr>
                <w:szCs w:val="20"/>
              </w:rPr>
            </w:pPr>
          </w:p>
        </w:tc>
        <w:tc>
          <w:tcPr>
            <w:tcW w:w="1110" w:type="dxa"/>
            <w:tcMar>
              <w:top w:w="28" w:type="dxa"/>
              <w:bottom w:w="28" w:type="dxa"/>
            </w:tcMar>
            <w:vAlign w:val="center"/>
          </w:tcPr>
          <w:p w14:paraId="6B351C12"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1" w:type="dxa"/>
            <w:tcMar>
              <w:top w:w="28" w:type="dxa"/>
              <w:bottom w:w="28" w:type="dxa"/>
            </w:tcMar>
            <w:vAlign w:val="center"/>
          </w:tcPr>
          <w:p w14:paraId="6F82D320"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0" w:type="dxa"/>
            <w:tcMar>
              <w:top w:w="28" w:type="dxa"/>
              <w:bottom w:w="28" w:type="dxa"/>
            </w:tcMar>
            <w:vAlign w:val="center"/>
          </w:tcPr>
          <w:p w14:paraId="08EA64BF"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0" w:type="dxa"/>
            <w:tcMar>
              <w:top w:w="28" w:type="dxa"/>
              <w:bottom w:w="28" w:type="dxa"/>
            </w:tcMar>
            <w:vAlign w:val="center"/>
          </w:tcPr>
          <w:p w14:paraId="23279914"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1" w:type="dxa"/>
            <w:tcMar>
              <w:top w:w="28" w:type="dxa"/>
              <w:bottom w:w="28" w:type="dxa"/>
            </w:tcMar>
            <w:vAlign w:val="center"/>
          </w:tcPr>
          <w:p w14:paraId="412855C1"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r>
      <w:tr w:rsidR="005F7696" w:rsidRPr="00B9354F" w14:paraId="4C9A895A" w14:textId="77777777" w:rsidTr="000853E1">
        <w:tc>
          <w:tcPr>
            <w:tcW w:w="2518" w:type="dxa"/>
            <w:tcMar>
              <w:top w:w="28" w:type="dxa"/>
              <w:bottom w:w="28" w:type="dxa"/>
            </w:tcMar>
          </w:tcPr>
          <w:p w14:paraId="059D809D" w14:textId="77777777" w:rsidR="005F7696" w:rsidRPr="00056F9A" w:rsidRDefault="005F7696" w:rsidP="000853E1">
            <w:pPr>
              <w:spacing w:before="0" w:after="0" w:line="240" w:lineRule="auto"/>
              <w:jc w:val="left"/>
            </w:pPr>
            <w:r w:rsidRPr="00056F9A">
              <w:t>Stroke</w:t>
            </w:r>
          </w:p>
        </w:tc>
        <w:tc>
          <w:tcPr>
            <w:tcW w:w="1110" w:type="dxa"/>
            <w:tcMar>
              <w:top w:w="28" w:type="dxa"/>
              <w:bottom w:w="28" w:type="dxa"/>
            </w:tcMar>
            <w:vAlign w:val="center"/>
          </w:tcPr>
          <w:p w14:paraId="065BA83B" w14:textId="77777777" w:rsidR="005F7696" w:rsidRPr="00056F9A" w:rsidRDefault="005F7696" w:rsidP="000853E1">
            <w:pPr>
              <w:spacing w:before="0" w:after="0" w:line="240" w:lineRule="auto"/>
              <w:jc w:val="center"/>
              <w:rPr>
                <w:szCs w:val="20"/>
              </w:rPr>
            </w:pPr>
          </w:p>
        </w:tc>
        <w:tc>
          <w:tcPr>
            <w:tcW w:w="1110" w:type="dxa"/>
            <w:tcMar>
              <w:top w:w="28" w:type="dxa"/>
              <w:bottom w:w="28" w:type="dxa"/>
            </w:tcMar>
            <w:vAlign w:val="center"/>
          </w:tcPr>
          <w:p w14:paraId="0551A4D2"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1" w:type="dxa"/>
            <w:tcMar>
              <w:top w:w="28" w:type="dxa"/>
              <w:bottom w:w="28" w:type="dxa"/>
            </w:tcMar>
            <w:vAlign w:val="center"/>
          </w:tcPr>
          <w:p w14:paraId="282CC769" w14:textId="77777777" w:rsidR="005F7696" w:rsidRPr="00056F9A" w:rsidRDefault="005F7696" w:rsidP="000853E1">
            <w:pPr>
              <w:spacing w:before="0" w:after="0" w:line="240" w:lineRule="auto"/>
              <w:jc w:val="center"/>
              <w:rPr>
                <w:szCs w:val="20"/>
              </w:rPr>
            </w:pPr>
          </w:p>
        </w:tc>
        <w:tc>
          <w:tcPr>
            <w:tcW w:w="1110" w:type="dxa"/>
            <w:tcMar>
              <w:top w:w="28" w:type="dxa"/>
              <w:bottom w:w="28" w:type="dxa"/>
            </w:tcMar>
            <w:vAlign w:val="center"/>
          </w:tcPr>
          <w:p w14:paraId="58EAC6AF" w14:textId="77777777" w:rsidR="005F7696" w:rsidRPr="00056F9A" w:rsidRDefault="005F7696" w:rsidP="000853E1">
            <w:pPr>
              <w:spacing w:before="0" w:after="0" w:line="240" w:lineRule="auto"/>
              <w:jc w:val="center"/>
              <w:rPr>
                <w:szCs w:val="20"/>
              </w:rPr>
            </w:pPr>
          </w:p>
        </w:tc>
        <w:tc>
          <w:tcPr>
            <w:tcW w:w="1110" w:type="dxa"/>
            <w:tcMar>
              <w:top w:w="28" w:type="dxa"/>
              <w:bottom w:w="28" w:type="dxa"/>
            </w:tcMar>
            <w:vAlign w:val="center"/>
          </w:tcPr>
          <w:p w14:paraId="41D5029D" w14:textId="77777777" w:rsidR="005F7696" w:rsidRPr="00056F9A"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c>
          <w:tcPr>
            <w:tcW w:w="1111" w:type="dxa"/>
            <w:tcMar>
              <w:top w:w="28" w:type="dxa"/>
              <w:bottom w:w="28" w:type="dxa"/>
            </w:tcMar>
            <w:vAlign w:val="center"/>
          </w:tcPr>
          <w:p w14:paraId="23D20F1D" w14:textId="77777777" w:rsidR="005F7696" w:rsidRPr="00B9354F" w:rsidRDefault="005F7696" w:rsidP="000853E1">
            <w:pPr>
              <w:spacing w:before="0" w:after="0" w:line="240" w:lineRule="auto"/>
              <w:jc w:val="center"/>
              <w:rPr>
                <w:szCs w:val="20"/>
              </w:rPr>
            </w:pPr>
            <w:r w:rsidRPr="00056F9A">
              <w:rPr>
                <w:rFonts w:ascii="Monotype Sorts" w:eastAsia="Monotype Sorts" w:hAnsi="Monotype Sorts" w:cs="Monotype Sorts"/>
                <w:szCs w:val="20"/>
              </w:rPr>
              <w:t>l</w:t>
            </w:r>
          </w:p>
        </w:tc>
      </w:tr>
    </w:tbl>
    <w:p w14:paraId="5F9415EA" w14:textId="77777777" w:rsidR="005F7696" w:rsidRPr="00B9354F" w:rsidRDefault="005F7696" w:rsidP="005F7696">
      <w:pPr>
        <w:pStyle w:val="2012TechReportBodytext"/>
      </w:pPr>
    </w:p>
    <w:p w14:paraId="4F199224" w14:textId="7EF4181F" w:rsidR="005F7696" w:rsidRPr="00B9354F" w:rsidRDefault="005F7696" w:rsidP="005F7696">
      <w:pPr>
        <w:pStyle w:val="Heading3"/>
        <w:spacing w:line="240" w:lineRule="auto"/>
        <w:jc w:val="left"/>
      </w:pPr>
      <w:bookmarkStart w:id="790" w:name="_Toc124762789"/>
      <w:proofErr w:type="spellStart"/>
      <w:r w:rsidRPr="00B9354F">
        <w:t>Substud</w:t>
      </w:r>
      <w:r>
        <w:t>ies</w:t>
      </w:r>
      <w:proofErr w:type="spellEnd"/>
      <w:r w:rsidR="00191FD9">
        <w:t>,</w:t>
      </w:r>
      <w:r>
        <w:t xml:space="preserve"> and the </w:t>
      </w:r>
      <w:r w:rsidR="00191FD9">
        <w:t xml:space="preserve">1973-78 Cohort and 1989-95 </w:t>
      </w:r>
      <w:r>
        <w:t>Cohort Refresh</w:t>
      </w:r>
      <w:bookmarkEnd w:id="790"/>
    </w:p>
    <w:p w14:paraId="23084AA5" w14:textId="65F48C15" w:rsidR="005F7696" w:rsidRDefault="005F7696" w:rsidP="005F7696">
      <w:r>
        <w:t xml:space="preserve">In 2021, we applied to Services Australia’s External Request Evaluation Committee for </w:t>
      </w:r>
      <w:r w:rsidR="00C46AAD">
        <w:t>approval of data linkage</w:t>
      </w:r>
      <w:r w:rsidR="00191692">
        <w:t xml:space="preserve"> </w:t>
      </w:r>
      <w:r w:rsidR="00C46AAD">
        <w:t xml:space="preserve">protocols for </w:t>
      </w:r>
      <w:r>
        <w:t xml:space="preserve">the new </w:t>
      </w:r>
      <w:proofErr w:type="spellStart"/>
      <w:r>
        <w:t>MatCHES</w:t>
      </w:r>
      <w:proofErr w:type="spellEnd"/>
      <w:r>
        <w:t xml:space="preserve"> (Mothers and their Children’s Healthcare Experiences) </w:t>
      </w:r>
      <w:proofErr w:type="spellStart"/>
      <w:r>
        <w:t>Substudy</w:t>
      </w:r>
      <w:proofErr w:type="spellEnd"/>
      <w:r>
        <w:t xml:space="preserve">, </w:t>
      </w:r>
      <w:proofErr w:type="gramStart"/>
      <w:r>
        <w:t>and also</w:t>
      </w:r>
      <w:proofErr w:type="gramEnd"/>
      <w:r>
        <w:t xml:space="preserve"> for the 1973-78 and 1989-95 </w:t>
      </w:r>
      <w:r w:rsidR="00C46AAD">
        <w:t>c</w:t>
      </w:r>
      <w:r>
        <w:t xml:space="preserve">ohort </w:t>
      </w:r>
      <w:r w:rsidR="00C46AAD">
        <w:t>r</w:t>
      </w:r>
      <w:r>
        <w:t xml:space="preserve">efresh, as both of these activities will involve linking new cohort members to their collections (among others). </w:t>
      </w:r>
      <w:r w:rsidR="00C46AAD">
        <w:t>B</w:t>
      </w:r>
      <w:r>
        <w:t>oth requests w</w:t>
      </w:r>
      <w:r w:rsidR="00C46AAD">
        <w:t>ere</w:t>
      </w:r>
      <w:r>
        <w:t xml:space="preserve"> </w:t>
      </w:r>
      <w:r w:rsidR="00C46AAD">
        <w:t xml:space="preserve">approved </w:t>
      </w:r>
      <w:r>
        <w:t xml:space="preserve">early in 2022. </w:t>
      </w:r>
    </w:p>
    <w:p w14:paraId="10244E12" w14:textId="16B008B1" w:rsidR="005F7696" w:rsidRDefault="005F7696" w:rsidP="005F7696">
      <w:r>
        <w:t xml:space="preserve">For the </w:t>
      </w:r>
      <w:r w:rsidR="006A7AB7">
        <w:t xml:space="preserve">cohort </w:t>
      </w:r>
      <w:r>
        <w:t xml:space="preserve">fresh, completing consent for linkage to MBS and PBS is mandatory upon enrolment (the survey for the 1973-78 cohort refresh is currently underway, with the 1989-95 survey to be rolled out in 2023).  For mothers in the 1989-95 </w:t>
      </w:r>
      <w:r w:rsidR="00C46AAD">
        <w:t>c</w:t>
      </w:r>
      <w:r>
        <w:t xml:space="preserve">ohort, who will be invited to take part in </w:t>
      </w:r>
      <w:proofErr w:type="spellStart"/>
      <w:r>
        <w:t>MatCHES</w:t>
      </w:r>
      <w:proofErr w:type="spellEnd"/>
      <w:r>
        <w:t xml:space="preserve"> in 2023, child record linkage to MBS, </w:t>
      </w:r>
      <w:proofErr w:type="gramStart"/>
      <w:r>
        <w:t>PBS</w:t>
      </w:r>
      <w:proofErr w:type="gramEnd"/>
      <w:r>
        <w:t xml:space="preserve"> and the Australian Immunisation Register (AIR) will be optional. </w:t>
      </w:r>
    </w:p>
    <w:p w14:paraId="5BD3CFDF" w14:textId="352DFCBE" w:rsidR="005F7696" w:rsidRDefault="005F7696" w:rsidP="005F7696">
      <w:r>
        <w:t xml:space="preserve">Permission will also be sought to add the new members to other data </w:t>
      </w:r>
      <w:proofErr w:type="gramStart"/>
      <w:r>
        <w:t>requests, once</w:t>
      </w:r>
      <w:proofErr w:type="gramEnd"/>
      <w:r>
        <w:t xml:space="preserve"> they are enrolled. Likewise, we are currently updating all our data linkage protocols to integrate the M</w:t>
      </w:r>
      <w:r w:rsidR="00191692">
        <w:t>enarche to pre-Menopause (M</w:t>
      </w:r>
      <w:r>
        <w:t>-</w:t>
      </w:r>
      <w:proofErr w:type="spellStart"/>
      <w:r>
        <w:t>PreM</w:t>
      </w:r>
      <w:proofErr w:type="spellEnd"/>
      <w:r w:rsidR="00191692">
        <w:t>)</w:t>
      </w:r>
      <w:r>
        <w:t xml:space="preserve"> and </w:t>
      </w:r>
      <w:r w:rsidR="00191692">
        <w:t>Genetic variants, Early Life exposures and Longitudinal Endometriosis symptoms (</w:t>
      </w:r>
      <w:r>
        <w:t>GELLES</w:t>
      </w:r>
      <w:r w:rsidR="00191692">
        <w:t>)</w:t>
      </w:r>
      <w:r>
        <w:t xml:space="preserve"> </w:t>
      </w:r>
      <w:proofErr w:type="spellStart"/>
      <w:r>
        <w:t>substudy</w:t>
      </w:r>
      <w:proofErr w:type="spellEnd"/>
      <w:r>
        <w:t xml:space="preserve"> datasets with our linked collections.</w:t>
      </w:r>
    </w:p>
    <w:p w14:paraId="67DA74DA" w14:textId="77777777" w:rsidR="005F7696" w:rsidRDefault="005F7696" w:rsidP="005F7696">
      <w:r w:rsidRPr="00B9354F">
        <w:t xml:space="preserve">Data linkage is also conducted, with maternal consent, for children of women who participated in the </w:t>
      </w:r>
      <w:proofErr w:type="spellStart"/>
      <w:r w:rsidRPr="00B9354F">
        <w:t>MatCH</w:t>
      </w:r>
      <w:proofErr w:type="spellEnd"/>
      <w:r w:rsidRPr="00B9354F">
        <w:t xml:space="preserve"> </w:t>
      </w:r>
      <w:proofErr w:type="spellStart"/>
      <w:r w:rsidRPr="00B9354F">
        <w:t>Substudy</w:t>
      </w:r>
      <w:proofErr w:type="spellEnd"/>
      <w:r w:rsidRPr="00B9354F">
        <w:t xml:space="preserve"> (funded from 2014-2019 by the National Health and Medical Research Council). A total of 3,702 women took part in </w:t>
      </w:r>
      <w:proofErr w:type="spellStart"/>
      <w:r w:rsidRPr="00B9354F">
        <w:t>MatCH</w:t>
      </w:r>
      <w:proofErr w:type="spellEnd"/>
      <w:r w:rsidRPr="00B9354F">
        <w:t xml:space="preserve"> in 2016/17, reporting on the</w:t>
      </w:r>
      <w:r>
        <w:t xml:space="preserve"> health and wellbeing of 5,842 children, then aged 0-12 years. Seventy-five per cent of mothers consented to linkage of education records for 4,300 children. Now that the original </w:t>
      </w:r>
      <w:proofErr w:type="spellStart"/>
      <w:r>
        <w:t>MatCH</w:t>
      </w:r>
      <w:proofErr w:type="spellEnd"/>
      <w:r>
        <w:t xml:space="preserve"> research team have published key results, access to </w:t>
      </w:r>
      <w:proofErr w:type="spellStart"/>
      <w:r>
        <w:t>MatCH</w:t>
      </w:r>
      <w:proofErr w:type="spellEnd"/>
      <w:r>
        <w:t xml:space="preserve"> data will also be offered to external collaborators. Table 5-7 details the </w:t>
      </w:r>
      <w:proofErr w:type="gramStart"/>
      <w:r>
        <w:t>current status</w:t>
      </w:r>
      <w:proofErr w:type="gramEnd"/>
      <w:r>
        <w:t xml:space="preserve"> of data linkage for </w:t>
      </w:r>
      <w:proofErr w:type="spellStart"/>
      <w:r>
        <w:t>MatCH</w:t>
      </w:r>
      <w:proofErr w:type="spellEnd"/>
      <w:r>
        <w:t>. Linkage for AEDC and NSW NAPLAN was conducted by the AIHW. Linkage for NAPLAN in other jurisdictions was conducted by the relevant authority. We are applying to update these collections in 2022.</w:t>
      </w:r>
    </w:p>
    <w:p w14:paraId="42C1BD0A" w14:textId="7B516A52" w:rsidR="005F7696" w:rsidRDefault="005F7696" w:rsidP="0000266C">
      <w:pPr>
        <w:pStyle w:val="Caption"/>
      </w:pPr>
      <w:r>
        <w:t xml:space="preserve">Table </w:t>
      </w:r>
      <w:r>
        <w:fldChar w:fldCharType="begin"/>
      </w:r>
      <w:r>
        <w:instrText>STYLEREF 1 \s</w:instrText>
      </w:r>
      <w:r>
        <w:fldChar w:fldCharType="separate"/>
      </w:r>
      <w:r w:rsidR="007D19D7">
        <w:rPr>
          <w:noProof/>
        </w:rPr>
        <w:t>5</w:t>
      </w:r>
      <w:r>
        <w:fldChar w:fldCharType="end"/>
      </w:r>
      <w:r>
        <w:noBreakHyphen/>
        <w:t xml:space="preserve">7 </w:t>
      </w:r>
      <w:proofErr w:type="spellStart"/>
      <w:r>
        <w:t>MatCH</w:t>
      </w:r>
      <w:proofErr w:type="spellEnd"/>
      <w:r>
        <w:t xml:space="preserve"> linked data coverage (</w:t>
      </w:r>
      <w:proofErr w:type="gramStart"/>
      <w:r>
        <w:t>at</w:t>
      </w:r>
      <w:proofErr w:type="gramEnd"/>
      <w:r>
        <w:t xml:space="preserve"> </w:t>
      </w:r>
      <w:r w:rsidR="002B2D8C">
        <w:t xml:space="preserve">November </w:t>
      </w:r>
      <w:r w:rsidR="00191692">
        <w:t>2022</w:t>
      </w:r>
      <w:r>
        <w:t>)</w:t>
      </w:r>
    </w:p>
    <w:tbl>
      <w:tblPr>
        <w:tblStyle w:val="TableGrid"/>
        <w:tblW w:w="9208" w:type="dxa"/>
        <w:tblLook w:val="04A0" w:firstRow="1" w:lastRow="0" w:firstColumn="1" w:lastColumn="0" w:noHBand="0" w:noVBand="1"/>
      </w:tblPr>
      <w:tblGrid>
        <w:gridCol w:w="1723"/>
        <w:gridCol w:w="4226"/>
        <w:gridCol w:w="3259"/>
      </w:tblGrid>
      <w:tr w:rsidR="005F7696" w14:paraId="72D28D91" w14:textId="77777777" w:rsidTr="000853E1">
        <w:trPr>
          <w:tblHeader/>
        </w:trPr>
        <w:tc>
          <w:tcPr>
            <w:tcW w:w="1723" w:type="dxa"/>
            <w:shd w:val="clear" w:color="auto" w:fill="FFF2CC"/>
            <w:vAlign w:val="center"/>
          </w:tcPr>
          <w:p w14:paraId="1D7E0D6A" w14:textId="77777777" w:rsidR="005F7696" w:rsidRPr="00B3583C" w:rsidRDefault="005F7696" w:rsidP="000853E1">
            <w:pPr>
              <w:spacing w:before="0" w:after="0"/>
              <w:jc w:val="center"/>
              <w:rPr>
                <w:b/>
                <w:bCs/>
              </w:rPr>
            </w:pPr>
            <w:r w:rsidRPr="00B3583C">
              <w:rPr>
                <w:b/>
                <w:bCs/>
              </w:rPr>
              <w:t>Data Collection</w:t>
            </w:r>
          </w:p>
        </w:tc>
        <w:tc>
          <w:tcPr>
            <w:tcW w:w="4226" w:type="dxa"/>
            <w:shd w:val="clear" w:color="auto" w:fill="FFF2CC"/>
            <w:vAlign w:val="center"/>
          </w:tcPr>
          <w:p w14:paraId="07D55AC0" w14:textId="77777777" w:rsidR="005F7696" w:rsidRPr="00B3583C" w:rsidRDefault="005F7696" w:rsidP="000853E1">
            <w:pPr>
              <w:spacing w:before="0" w:after="0"/>
              <w:jc w:val="center"/>
              <w:rPr>
                <w:b/>
                <w:bCs/>
              </w:rPr>
            </w:pPr>
            <w:r w:rsidRPr="00B3583C">
              <w:rPr>
                <w:b/>
                <w:bCs/>
              </w:rPr>
              <w:t>Data Custodian</w:t>
            </w:r>
            <w:r>
              <w:rPr>
                <w:b/>
                <w:bCs/>
              </w:rPr>
              <w:t>s</w:t>
            </w:r>
          </w:p>
        </w:tc>
        <w:tc>
          <w:tcPr>
            <w:tcW w:w="3259" w:type="dxa"/>
            <w:shd w:val="clear" w:color="auto" w:fill="FFF2CC"/>
            <w:vAlign w:val="center"/>
          </w:tcPr>
          <w:p w14:paraId="1F0736EB" w14:textId="77777777" w:rsidR="005F7696" w:rsidRPr="00B3583C" w:rsidRDefault="005F7696" w:rsidP="000853E1">
            <w:pPr>
              <w:spacing w:before="0" w:after="0"/>
              <w:jc w:val="center"/>
              <w:rPr>
                <w:b/>
                <w:bCs/>
              </w:rPr>
            </w:pPr>
            <w:r w:rsidRPr="00B3583C">
              <w:rPr>
                <w:b/>
                <w:bCs/>
              </w:rPr>
              <w:t>Status</w:t>
            </w:r>
          </w:p>
        </w:tc>
      </w:tr>
      <w:tr w:rsidR="005F7696" w14:paraId="02C0C100" w14:textId="77777777" w:rsidTr="000853E1">
        <w:tc>
          <w:tcPr>
            <w:tcW w:w="1723" w:type="dxa"/>
            <w:tcMar>
              <w:top w:w="28" w:type="dxa"/>
              <w:bottom w:w="28" w:type="dxa"/>
            </w:tcMar>
          </w:tcPr>
          <w:p w14:paraId="128DD65C" w14:textId="77777777" w:rsidR="005F7696" w:rsidRDefault="005F7696" w:rsidP="000853E1">
            <w:pPr>
              <w:spacing w:before="0" w:after="0"/>
              <w:jc w:val="left"/>
            </w:pPr>
            <w:r>
              <w:t>Australian Early Development Census (AEDC)</w:t>
            </w:r>
          </w:p>
        </w:tc>
        <w:tc>
          <w:tcPr>
            <w:tcW w:w="4226" w:type="dxa"/>
            <w:tcMar>
              <w:top w:w="28" w:type="dxa"/>
              <w:bottom w:w="28" w:type="dxa"/>
            </w:tcMar>
          </w:tcPr>
          <w:p w14:paraId="66654370" w14:textId="77777777" w:rsidR="005F7696" w:rsidRDefault="005F7696" w:rsidP="000853E1">
            <w:pPr>
              <w:spacing w:before="0" w:after="0"/>
              <w:jc w:val="left"/>
            </w:pPr>
            <w:r>
              <w:t xml:space="preserve">Australian Government </w:t>
            </w:r>
            <w:r w:rsidRPr="00D50DE3">
              <w:t>Department of Education and Training</w:t>
            </w:r>
          </w:p>
        </w:tc>
        <w:tc>
          <w:tcPr>
            <w:tcW w:w="3259" w:type="dxa"/>
            <w:tcMar>
              <w:top w:w="28" w:type="dxa"/>
              <w:bottom w:w="28" w:type="dxa"/>
            </w:tcMar>
          </w:tcPr>
          <w:p w14:paraId="55D90C7B" w14:textId="77777777" w:rsidR="005F7696" w:rsidRDefault="005F7696" w:rsidP="000853E1">
            <w:pPr>
              <w:spacing w:before="0" w:after="0"/>
              <w:jc w:val="left"/>
            </w:pPr>
            <w:r>
              <w:t xml:space="preserve">Linked data obtained in 2018 for AEDC 2009, 2012 and 2015 collections for N=946 children. </w:t>
            </w:r>
          </w:p>
        </w:tc>
      </w:tr>
      <w:tr w:rsidR="005F7696" w14:paraId="00B77538" w14:textId="77777777" w:rsidTr="000853E1">
        <w:tc>
          <w:tcPr>
            <w:tcW w:w="1723" w:type="dxa"/>
            <w:tcMar>
              <w:top w:w="28" w:type="dxa"/>
              <w:bottom w:w="28" w:type="dxa"/>
            </w:tcMar>
          </w:tcPr>
          <w:p w14:paraId="37B8C935" w14:textId="77777777" w:rsidR="005F7696" w:rsidRDefault="005F7696" w:rsidP="000853E1">
            <w:pPr>
              <w:spacing w:before="0" w:after="0"/>
              <w:jc w:val="left"/>
            </w:pPr>
            <w:r>
              <w:t xml:space="preserve">National Assessment Program – </w:t>
            </w:r>
            <w:r>
              <w:lastRenderedPageBreak/>
              <w:t>Literacy and Numeracy</w:t>
            </w:r>
          </w:p>
        </w:tc>
        <w:tc>
          <w:tcPr>
            <w:tcW w:w="4226" w:type="dxa"/>
            <w:tcMar>
              <w:top w:w="28" w:type="dxa"/>
              <w:bottom w:w="28" w:type="dxa"/>
            </w:tcMar>
          </w:tcPr>
          <w:p w14:paraId="470BD68A" w14:textId="77777777" w:rsidR="005F7696" w:rsidRPr="0043353D" w:rsidRDefault="005F7696" w:rsidP="00C472D7">
            <w:pPr>
              <w:pStyle w:val="ListParagraph"/>
              <w:numPr>
                <w:ilvl w:val="0"/>
                <w:numId w:val="70"/>
              </w:numPr>
              <w:spacing w:before="0" w:after="0"/>
              <w:ind w:left="227" w:hanging="227"/>
              <w:jc w:val="left"/>
              <w:rPr>
                <w:szCs w:val="20"/>
              </w:rPr>
            </w:pPr>
            <w:r w:rsidRPr="0043353D">
              <w:rPr>
                <w:szCs w:val="20"/>
              </w:rPr>
              <w:lastRenderedPageBreak/>
              <w:t>ACT Education Directorate</w:t>
            </w:r>
          </w:p>
          <w:p w14:paraId="2C324646" w14:textId="77777777" w:rsidR="005F7696" w:rsidRPr="00BF5AD5" w:rsidRDefault="005F7696" w:rsidP="00C472D7">
            <w:pPr>
              <w:pStyle w:val="ListParagraph"/>
              <w:numPr>
                <w:ilvl w:val="0"/>
                <w:numId w:val="70"/>
              </w:numPr>
              <w:spacing w:before="0" w:after="0"/>
              <w:ind w:left="227" w:hanging="227"/>
              <w:jc w:val="left"/>
              <w:rPr>
                <w:rFonts w:cs="Arial"/>
                <w:color w:val="000000"/>
                <w:szCs w:val="20"/>
              </w:rPr>
            </w:pPr>
            <w:r w:rsidRPr="00BF5AD5">
              <w:rPr>
                <w:rFonts w:cs="Arial"/>
                <w:color w:val="000000"/>
                <w:szCs w:val="20"/>
              </w:rPr>
              <w:t>NSW Education Standards Authority</w:t>
            </w:r>
          </w:p>
          <w:p w14:paraId="1FBEB29D" w14:textId="77777777" w:rsidR="005F7696" w:rsidRPr="0043353D" w:rsidRDefault="005F7696" w:rsidP="00C472D7">
            <w:pPr>
              <w:pStyle w:val="ListParagraph"/>
              <w:numPr>
                <w:ilvl w:val="0"/>
                <w:numId w:val="70"/>
              </w:numPr>
              <w:spacing w:before="0" w:after="0"/>
              <w:ind w:left="227" w:hanging="227"/>
              <w:jc w:val="left"/>
              <w:rPr>
                <w:szCs w:val="20"/>
              </w:rPr>
            </w:pPr>
            <w:r w:rsidRPr="0043353D">
              <w:rPr>
                <w:rFonts w:cs="Arial"/>
                <w:color w:val="000000"/>
                <w:szCs w:val="20"/>
              </w:rPr>
              <w:lastRenderedPageBreak/>
              <w:t>NT Department of Education</w:t>
            </w:r>
            <w:r w:rsidRPr="0043353D">
              <w:rPr>
                <w:rFonts w:cs="Arial"/>
                <w:color w:val="000000"/>
                <w:szCs w:val="20"/>
              </w:rPr>
              <w:br/>
            </w:r>
            <w:r w:rsidRPr="0043353D">
              <w:rPr>
                <w:szCs w:val="20"/>
              </w:rPr>
              <w:t>Queensland Curriculum and Assessment Authority</w:t>
            </w:r>
          </w:p>
          <w:p w14:paraId="71D6F9F0" w14:textId="77777777" w:rsidR="005F7696" w:rsidRPr="0043353D" w:rsidRDefault="005F7696" w:rsidP="00C472D7">
            <w:pPr>
              <w:pStyle w:val="ListParagraph"/>
              <w:numPr>
                <w:ilvl w:val="0"/>
                <w:numId w:val="70"/>
              </w:numPr>
              <w:spacing w:before="0" w:after="0"/>
              <w:ind w:left="227" w:hanging="227"/>
              <w:jc w:val="left"/>
              <w:rPr>
                <w:szCs w:val="20"/>
              </w:rPr>
            </w:pPr>
            <w:r w:rsidRPr="0043353D">
              <w:rPr>
                <w:szCs w:val="20"/>
              </w:rPr>
              <w:t>SA Department for Education</w:t>
            </w:r>
          </w:p>
          <w:p w14:paraId="5F3F6246" w14:textId="77777777" w:rsidR="005F7696" w:rsidRPr="0043353D" w:rsidRDefault="005F7696" w:rsidP="00C472D7">
            <w:pPr>
              <w:pStyle w:val="ListParagraph"/>
              <w:numPr>
                <w:ilvl w:val="0"/>
                <w:numId w:val="70"/>
              </w:numPr>
              <w:spacing w:before="0" w:after="0"/>
              <w:ind w:left="227" w:hanging="227"/>
              <w:jc w:val="left"/>
              <w:rPr>
                <w:szCs w:val="20"/>
              </w:rPr>
            </w:pPr>
            <w:r w:rsidRPr="0043353D">
              <w:rPr>
                <w:szCs w:val="20"/>
              </w:rPr>
              <w:t>TAS Department of Education</w:t>
            </w:r>
          </w:p>
          <w:p w14:paraId="1DA9FB76" w14:textId="77777777" w:rsidR="005F7696" w:rsidRPr="00BF5AD5" w:rsidRDefault="005F7696" w:rsidP="00C472D7">
            <w:pPr>
              <w:pStyle w:val="ListParagraph"/>
              <w:numPr>
                <w:ilvl w:val="0"/>
                <w:numId w:val="70"/>
              </w:numPr>
              <w:spacing w:before="0" w:after="0"/>
              <w:ind w:left="227" w:hanging="227"/>
              <w:jc w:val="left"/>
              <w:rPr>
                <w:rFonts w:cs="Arial"/>
                <w:color w:val="000000"/>
                <w:szCs w:val="20"/>
              </w:rPr>
            </w:pPr>
            <w:r w:rsidRPr="00BF5AD5">
              <w:rPr>
                <w:rFonts w:cs="Arial"/>
                <w:color w:val="000000"/>
                <w:szCs w:val="20"/>
              </w:rPr>
              <w:t>VIC Curriculum and Assessment Authority</w:t>
            </w:r>
          </w:p>
          <w:p w14:paraId="1D20A427" w14:textId="77777777" w:rsidR="005F7696" w:rsidRPr="0043353D" w:rsidRDefault="005F7696" w:rsidP="00C472D7">
            <w:pPr>
              <w:pStyle w:val="ListParagraph"/>
              <w:numPr>
                <w:ilvl w:val="0"/>
                <w:numId w:val="70"/>
              </w:numPr>
              <w:spacing w:before="0" w:after="0"/>
              <w:ind w:left="227" w:hanging="227"/>
              <w:jc w:val="left"/>
              <w:rPr>
                <w:szCs w:val="20"/>
              </w:rPr>
            </w:pPr>
            <w:r w:rsidRPr="00BF5AD5">
              <w:rPr>
                <w:rFonts w:cs="Arial"/>
                <w:color w:val="000000"/>
                <w:szCs w:val="20"/>
              </w:rPr>
              <w:t>WA School Curriculum and Standards Authority</w:t>
            </w:r>
          </w:p>
        </w:tc>
        <w:tc>
          <w:tcPr>
            <w:tcW w:w="3259" w:type="dxa"/>
            <w:tcMar>
              <w:top w:w="28" w:type="dxa"/>
              <w:bottom w:w="28" w:type="dxa"/>
            </w:tcMar>
          </w:tcPr>
          <w:p w14:paraId="08462E2F" w14:textId="77777777" w:rsidR="005F7696" w:rsidRDefault="005F7696" w:rsidP="000853E1">
            <w:pPr>
              <w:spacing w:before="0" w:after="0"/>
              <w:jc w:val="left"/>
            </w:pPr>
            <w:r>
              <w:lastRenderedPageBreak/>
              <w:t xml:space="preserve">Linked data obtained in 2019-20 from each State/territory. </w:t>
            </w:r>
            <w:r>
              <w:lastRenderedPageBreak/>
              <w:t xml:space="preserve">Coverage is from 2010 to 2018/19 for N=2,516 children. </w:t>
            </w:r>
          </w:p>
          <w:p w14:paraId="07667587" w14:textId="77777777" w:rsidR="005F7696" w:rsidRDefault="005F7696" w:rsidP="000853E1">
            <w:pPr>
              <w:spacing w:before="0" w:after="0"/>
              <w:jc w:val="left"/>
            </w:pPr>
            <w:r>
              <w:t>(</w:t>
            </w:r>
            <w:proofErr w:type="gramStart"/>
            <w:r>
              <w:t>NAPLAN  was</w:t>
            </w:r>
            <w:proofErr w:type="gramEnd"/>
            <w:r>
              <w:t xml:space="preserve"> not collected in 2020 due to COVID-19). </w:t>
            </w:r>
          </w:p>
        </w:tc>
      </w:tr>
    </w:tbl>
    <w:p w14:paraId="1E2DB365" w14:textId="23DC94F3" w:rsidR="00FE01C6" w:rsidRDefault="00FE01C6" w:rsidP="00FE01C6">
      <w:pPr>
        <w:pStyle w:val="Heading2"/>
        <w:numPr>
          <w:ilvl w:val="0"/>
          <w:numId w:val="0"/>
        </w:numPr>
        <w:spacing w:line="240" w:lineRule="auto"/>
        <w:ind w:left="3128"/>
        <w:jc w:val="left"/>
      </w:pPr>
    </w:p>
    <w:p w14:paraId="1918892A" w14:textId="4079DD5B" w:rsidR="005F7696" w:rsidRDefault="005F7696" w:rsidP="005F7696">
      <w:pPr>
        <w:pStyle w:val="Heading2"/>
        <w:spacing w:line="240" w:lineRule="auto"/>
        <w:jc w:val="left"/>
      </w:pPr>
      <w:bookmarkStart w:id="791" w:name="_Toc124762790"/>
      <w:r>
        <w:t>Data access procedures</w:t>
      </w:r>
      <w:bookmarkEnd w:id="791"/>
    </w:p>
    <w:p w14:paraId="5D52BCFD" w14:textId="77777777" w:rsidR="005F7696" w:rsidRPr="00F70A25" w:rsidRDefault="005F7696" w:rsidP="005F7696">
      <w:pPr>
        <w:pStyle w:val="Heading3"/>
        <w:spacing w:line="240" w:lineRule="auto"/>
        <w:jc w:val="left"/>
      </w:pPr>
      <w:bookmarkStart w:id="792" w:name="_Toc124762791"/>
      <w:r>
        <w:t>Data user approvals</w:t>
      </w:r>
      <w:bookmarkEnd w:id="792"/>
    </w:p>
    <w:p w14:paraId="4A292C1C" w14:textId="117446B7" w:rsidR="005F7696" w:rsidRDefault="005F7696" w:rsidP="005F7696">
      <w:pPr>
        <w:pStyle w:val="2012TechReportBodytext"/>
      </w:pPr>
      <w:r>
        <w:t xml:space="preserve">Collaborating researchers from other Centres/Institutions can access the ALSWH linked datasets, subject to the approval of the relevant Data Custodians and HRECs. ALSWH research collaborators apply to </w:t>
      </w:r>
      <w:r w:rsidR="00191FD9">
        <w:t xml:space="preserve">the </w:t>
      </w:r>
      <w:r>
        <w:t>ALSWH Data Access Committee by submitting an Expression of Interest (</w:t>
      </w:r>
      <w:proofErr w:type="spellStart"/>
      <w:r>
        <w:t>EoI</w:t>
      </w:r>
      <w:proofErr w:type="spellEnd"/>
      <w:r>
        <w:t xml:space="preserve">). Upon approval of the </w:t>
      </w:r>
      <w:proofErr w:type="spellStart"/>
      <w:r>
        <w:t>EoI</w:t>
      </w:r>
      <w:proofErr w:type="spellEnd"/>
      <w:r>
        <w:t xml:space="preserve">, ALSWH submits amendments and data user agreements to the relevant HRECs and Data Custodians. In some cases, HRECs and/or Data Custodians also review and approve new </w:t>
      </w:r>
      <w:proofErr w:type="spellStart"/>
      <w:r>
        <w:t>EoIs</w:t>
      </w:r>
      <w:proofErr w:type="spellEnd"/>
      <w:r>
        <w:t xml:space="preserve">. These arrangements are subject to change at the direction of the agencies involved. </w:t>
      </w:r>
      <w:proofErr w:type="spellStart"/>
      <w:r>
        <w:t>Substudies</w:t>
      </w:r>
      <w:proofErr w:type="spellEnd"/>
      <w:r>
        <w:t xml:space="preserve"> (projects which collect new survey data), or analysis projects which link with collections not covered by ALSWH, require individual approval of the HREC/s and the Data Custodian. </w:t>
      </w:r>
    </w:p>
    <w:p w14:paraId="288E0970" w14:textId="7253D648" w:rsidR="005F7696" w:rsidRDefault="005F7696" w:rsidP="005F7696">
      <w:pPr>
        <w:pStyle w:val="2012TechReportBodytext"/>
      </w:pPr>
      <w:r>
        <w:fldChar w:fldCharType="begin"/>
      </w:r>
      <w:r>
        <w:instrText xml:space="preserve"> REF _Ref56154426 \h  \* MERGEFORMAT </w:instrText>
      </w:r>
      <w:r>
        <w:fldChar w:fldCharType="separate"/>
      </w:r>
      <w:r w:rsidR="007D19D7" w:rsidRPr="00B9354F">
        <w:t xml:space="preserve">Table </w:t>
      </w:r>
      <w:r w:rsidR="007D19D7">
        <w:rPr>
          <w:noProof/>
        </w:rPr>
        <w:t>5</w:t>
      </w:r>
      <w:r w:rsidR="007D19D7">
        <w:rPr>
          <w:noProof/>
        </w:rPr>
        <w:noBreakHyphen/>
        <w:t>4</w:t>
      </w:r>
      <w:r>
        <w:fldChar w:fldCharType="end"/>
      </w:r>
      <w:r>
        <w:t xml:space="preserve"> shows the current external approval processes required to add new researchers and projects (</w:t>
      </w:r>
      <w:proofErr w:type="gramStart"/>
      <w:r>
        <w:t>subsequent to</w:t>
      </w:r>
      <w:proofErr w:type="gramEnd"/>
      <w:r>
        <w:t xml:space="preserve"> approval by the ALSWH Data Access Committee). For ease of administration, ALSWH batches the new applications for submission to external agencies at the close of each </w:t>
      </w:r>
      <w:proofErr w:type="spellStart"/>
      <w:r>
        <w:t>EoI</w:t>
      </w:r>
      <w:proofErr w:type="spellEnd"/>
      <w:r>
        <w:t xml:space="preserve"> round. The approval process is largely outside of our control - researchers are advised that for certain collections, gaining all the necessary approvals may take several months over and above ALSWH’s internal </w:t>
      </w:r>
      <w:proofErr w:type="spellStart"/>
      <w:r>
        <w:t>EoI</w:t>
      </w:r>
      <w:proofErr w:type="spellEnd"/>
      <w:r>
        <w:t xml:space="preserve"> processing time.</w:t>
      </w:r>
    </w:p>
    <w:p w14:paraId="67D9D422" w14:textId="77777777" w:rsidR="005F7696" w:rsidRDefault="005F7696" w:rsidP="005F7696">
      <w:pPr>
        <w:pStyle w:val="Heading3"/>
        <w:spacing w:line="240" w:lineRule="auto"/>
        <w:jc w:val="left"/>
      </w:pPr>
      <w:bookmarkStart w:id="793" w:name="_Toc124762792"/>
      <w:r>
        <w:t>Access options</w:t>
      </w:r>
      <w:bookmarkEnd w:id="793"/>
    </w:p>
    <w:p w14:paraId="2AAC1344" w14:textId="77777777" w:rsidR="005F7696" w:rsidRDefault="005F7696" w:rsidP="005F7696">
      <w:pPr>
        <w:pStyle w:val="2012TechReportBodytext"/>
      </w:pPr>
      <w:r>
        <w:rPr>
          <w:lang w:eastAsia="en-US"/>
        </w:rPr>
        <w:t>Research datasets containing linked health records cannot be passed on to third parties. They can only be accessed:</w:t>
      </w:r>
    </w:p>
    <w:p w14:paraId="266BD54C" w14:textId="69098C9E" w:rsidR="005F7696" w:rsidRDefault="005F7696" w:rsidP="00C472D7">
      <w:pPr>
        <w:pStyle w:val="BodyText"/>
        <w:numPr>
          <w:ilvl w:val="0"/>
          <w:numId w:val="68"/>
        </w:numPr>
        <w:ind w:left="340" w:hanging="340"/>
        <w:rPr>
          <w:lang w:eastAsia="en-US"/>
        </w:rPr>
      </w:pPr>
      <w:r>
        <w:rPr>
          <w:lang w:eastAsia="en-US"/>
        </w:rPr>
        <w:t xml:space="preserve">At ALSWH sites (School of Public Health, University of Queensland; or the Centre for Women’s Health Research, </w:t>
      </w:r>
      <w:r w:rsidR="00815C6E">
        <w:rPr>
          <w:lang w:eastAsia="en-US"/>
        </w:rPr>
        <w:t xml:space="preserve">HMRI, </w:t>
      </w:r>
      <w:r>
        <w:rPr>
          <w:lang w:eastAsia="en-US"/>
        </w:rPr>
        <w:t>University of Newcastle). Visits must be booked; access depends on the facilities and resources available.</w:t>
      </w:r>
    </w:p>
    <w:p w14:paraId="11E283ED" w14:textId="13EFBD93" w:rsidR="005F7696" w:rsidRDefault="005F7696" w:rsidP="00C472D7">
      <w:pPr>
        <w:pStyle w:val="BodyText"/>
        <w:numPr>
          <w:ilvl w:val="0"/>
          <w:numId w:val="68"/>
        </w:numPr>
        <w:ind w:left="340" w:hanging="340"/>
      </w:pPr>
      <w:r>
        <w:rPr>
          <w:lang w:eastAsia="en-US"/>
        </w:rPr>
        <w:t>Remotely through the SURE facility, at the researcher’s expense.</w:t>
      </w:r>
    </w:p>
    <w:p w14:paraId="39EBE13B" w14:textId="723E361F" w:rsidR="005F7696" w:rsidRDefault="005F7696" w:rsidP="005F7696">
      <w:pPr>
        <w:pStyle w:val="BodyText"/>
      </w:pPr>
      <w:r w:rsidRPr="3FD91D19">
        <w:rPr>
          <w:lang w:eastAsia="en-US"/>
        </w:rPr>
        <w:t>From late 2021 to 2022, the ALSWH Team at UQ has also been collaborating in the Queensland Cyber Infrastructure Foundation’s development of a SURE-type remote access platform</w:t>
      </w:r>
      <w:r w:rsidR="00191692">
        <w:rPr>
          <w:lang w:eastAsia="en-US"/>
        </w:rPr>
        <w:t xml:space="preserve">, known as </w:t>
      </w:r>
      <w:proofErr w:type="spellStart"/>
      <w:r w:rsidRPr="3FD91D19">
        <w:rPr>
          <w:lang w:eastAsia="en-US"/>
        </w:rPr>
        <w:t>KeyPoint</w:t>
      </w:r>
      <w:proofErr w:type="spellEnd"/>
      <w:r w:rsidRPr="3FD91D19">
        <w:rPr>
          <w:lang w:eastAsia="en-US"/>
        </w:rPr>
        <w:t xml:space="preserve">. </w:t>
      </w:r>
      <w:proofErr w:type="spellStart"/>
      <w:r w:rsidRPr="3FD91D19">
        <w:rPr>
          <w:lang w:eastAsia="en-US"/>
        </w:rPr>
        <w:t>KeyPoint</w:t>
      </w:r>
      <w:proofErr w:type="spellEnd"/>
      <w:r w:rsidRPr="3FD91D19">
        <w:rPr>
          <w:lang w:eastAsia="en-US"/>
        </w:rPr>
        <w:t xml:space="preserve"> is expected to be deployed in 2023 and will provide an additional option for research </w:t>
      </w:r>
      <w:r w:rsidRPr="3FD91D19">
        <w:rPr>
          <w:lang w:eastAsia="en-US"/>
        </w:rPr>
        <w:lastRenderedPageBreak/>
        <w:t xml:space="preserve">collaborators using linked ALSWH data. As soon as the security features of the system are available, we will seek approval from linked data custodians to use their datasets in </w:t>
      </w:r>
      <w:proofErr w:type="spellStart"/>
      <w:r w:rsidRPr="3FD91D19">
        <w:rPr>
          <w:lang w:eastAsia="en-US"/>
        </w:rPr>
        <w:t>KeyPoint</w:t>
      </w:r>
      <w:proofErr w:type="spellEnd"/>
      <w:r w:rsidRPr="3FD91D19">
        <w:rPr>
          <w:lang w:eastAsia="en-US"/>
        </w:rPr>
        <w:t xml:space="preserve">. </w:t>
      </w:r>
    </w:p>
    <w:p w14:paraId="292C6EE0" w14:textId="77777777" w:rsidR="005F7696" w:rsidRDefault="005F7696" w:rsidP="005F7696">
      <w:pPr>
        <w:pStyle w:val="Heading3"/>
        <w:spacing w:line="240" w:lineRule="auto"/>
        <w:jc w:val="left"/>
      </w:pPr>
      <w:bookmarkStart w:id="794" w:name="_Toc124762793"/>
      <w:r>
        <w:rPr>
          <w:lang w:eastAsia="en-US"/>
        </w:rPr>
        <w:t>Data access conditions</w:t>
      </w:r>
      <w:bookmarkEnd w:id="794"/>
    </w:p>
    <w:p w14:paraId="28A64412" w14:textId="2B74F905" w:rsidR="005F7696" w:rsidRDefault="005F7696" w:rsidP="005F7696">
      <w:pPr>
        <w:pStyle w:val="2012TechReportBodytext"/>
      </w:pPr>
      <w:r>
        <w:t>Information about data access conditions, including acknowledgements and review requirements for research outputs, is available on the ALSWH web site.</w:t>
      </w:r>
    </w:p>
    <w:p w14:paraId="4181F04F" w14:textId="77777777" w:rsidR="002B2D8C" w:rsidRDefault="002B2D8C" w:rsidP="005F7696">
      <w:pPr>
        <w:pStyle w:val="2012TechReportBodytext"/>
      </w:pPr>
    </w:p>
    <w:p w14:paraId="0D8E1EF7" w14:textId="6F6AFAA0" w:rsidR="005F7696" w:rsidRDefault="005F7696" w:rsidP="0000266C">
      <w:pPr>
        <w:pStyle w:val="Caption"/>
      </w:pPr>
      <w:bookmarkStart w:id="795" w:name="_Toc56156876"/>
      <w:r>
        <w:t xml:space="preserve">Table </w:t>
      </w:r>
      <w:r>
        <w:fldChar w:fldCharType="begin"/>
      </w:r>
      <w:r>
        <w:instrText>STYLEREF 1 \s</w:instrText>
      </w:r>
      <w:r>
        <w:fldChar w:fldCharType="separate"/>
      </w:r>
      <w:r w:rsidR="007D19D7">
        <w:rPr>
          <w:noProof/>
        </w:rPr>
        <w:t>5</w:t>
      </w:r>
      <w:r>
        <w:fldChar w:fldCharType="end"/>
      </w:r>
      <w:r>
        <w:noBreakHyphen/>
        <w:t>8 Approval procedures for researchers and projects using linked health records</w:t>
      </w:r>
      <w:bookmarkEnd w:id="795"/>
    </w:p>
    <w:tbl>
      <w:tblPr>
        <w:tblStyle w:val="TableGrid"/>
        <w:tblW w:w="9067" w:type="dxa"/>
        <w:tblBorders>
          <w:insideV w:val="none" w:sz="0" w:space="0" w:color="auto"/>
        </w:tblBorders>
        <w:tblLook w:val="04A0" w:firstRow="1" w:lastRow="0" w:firstColumn="1" w:lastColumn="0" w:noHBand="0" w:noVBand="1"/>
      </w:tblPr>
      <w:tblGrid>
        <w:gridCol w:w="1413"/>
        <w:gridCol w:w="3118"/>
        <w:gridCol w:w="4536"/>
      </w:tblGrid>
      <w:tr w:rsidR="005F7696" w14:paraId="35C6AE51" w14:textId="77777777" w:rsidTr="000853E1">
        <w:trPr>
          <w:tblHeader/>
        </w:trPr>
        <w:tc>
          <w:tcPr>
            <w:tcW w:w="1413" w:type="dxa"/>
            <w:shd w:val="clear" w:color="auto" w:fill="E5DFEC" w:themeFill="accent4" w:themeFillTint="33"/>
            <w:tcMar>
              <w:top w:w="28" w:type="dxa"/>
              <w:bottom w:w="28" w:type="dxa"/>
            </w:tcMar>
          </w:tcPr>
          <w:p w14:paraId="20469497" w14:textId="77777777" w:rsidR="005F7696" w:rsidRPr="0016115C" w:rsidRDefault="005F7696" w:rsidP="000853E1">
            <w:pPr>
              <w:spacing w:before="0" w:after="0"/>
              <w:rPr>
                <w:b/>
              </w:rPr>
            </w:pPr>
            <w:r w:rsidRPr="0016115C">
              <w:rPr>
                <w:b/>
              </w:rPr>
              <w:t>Data Source</w:t>
            </w:r>
          </w:p>
        </w:tc>
        <w:tc>
          <w:tcPr>
            <w:tcW w:w="3118" w:type="dxa"/>
            <w:shd w:val="clear" w:color="auto" w:fill="E5DFEC" w:themeFill="accent4" w:themeFillTint="33"/>
            <w:tcMar>
              <w:top w:w="28" w:type="dxa"/>
              <w:bottom w:w="28" w:type="dxa"/>
            </w:tcMar>
          </w:tcPr>
          <w:p w14:paraId="4EBF3ACC" w14:textId="77777777" w:rsidR="005F7696" w:rsidRPr="0016115C" w:rsidRDefault="005F7696" w:rsidP="000853E1">
            <w:pPr>
              <w:spacing w:before="0" w:after="0"/>
              <w:rPr>
                <w:b/>
              </w:rPr>
            </w:pPr>
            <w:r w:rsidRPr="0016115C">
              <w:rPr>
                <w:b/>
              </w:rPr>
              <w:t>Approving body</w:t>
            </w:r>
          </w:p>
        </w:tc>
        <w:tc>
          <w:tcPr>
            <w:tcW w:w="4536" w:type="dxa"/>
            <w:shd w:val="clear" w:color="auto" w:fill="E5DFEC" w:themeFill="accent4" w:themeFillTint="33"/>
            <w:tcMar>
              <w:top w:w="28" w:type="dxa"/>
              <w:bottom w:w="28" w:type="dxa"/>
            </w:tcMar>
          </w:tcPr>
          <w:p w14:paraId="193F8B10" w14:textId="77777777" w:rsidR="005F7696" w:rsidRPr="0016115C" w:rsidRDefault="005F7696" w:rsidP="000853E1">
            <w:pPr>
              <w:spacing w:before="0" w:after="0"/>
              <w:rPr>
                <w:b/>
              </w:rPr>
            </w:pPr>
            <w:r w:rsidRPr="0016115C">
              <w:rPr>
                <w:b/>
              </w:rPr>
              <w:t>Documents</w:t>
            </w:r>
          </w:p>
        </w:tc>
      </w:tr>
      <w:tr w:rsidR="005F7696" w14:paraId="383AB4E2" w14:textId="77777777" w:rsidTr="000853E1">
        <w:tc>
          <w:tcPr>
            <w:tcW w:w="1413" w:type="dxa"/>
            <w:tcMar>
              <w:top w:w="28" w:type="dxa"/>
              <w:bottom w:w="28" w:type="dxa"/>
            </w:tcMar>
          </w:tcPr>
          <w:p w14:paraId="221A3A89" w14:textId="77777777" w:rsidR="005F7696" w:rsidRDefault="005F7696" w:rsidP="000853E1">
            <w:pPr>
              <w:spacing w:before="0" w:after="0"/>
              <w:jc w:val="left"/>
            </w:pPr>
            <w:r>
              <w:t>AIHW Collections</w:t>
            </w:r>
          </w:p>
        </w:tc>
        <w:tc>
          <w:tcPr>
            <w:tcW w:w="3118" w:type="dxa"/>
            <w:tcMar>
              <w:top w:w="28" w:type="dxa"/>
              <w:bottom w:w="28" w:type="dxa"/>
            </w:tcMar>
          </w:tcPr>
          <w:p w14:paraId="63445CD4" w14:textId="77777777" w:rsidR="005F7696" w:rsidRDefault="005F7696" w:rsidP="000853E1">
            <w:pPr>
              <w:spacing w:before="0" w:after="0"/>
              <w:jc w:val="left"/>
            </w:pPr>
            <w:r>
              <w:t>AIHW HREC</w:t>
            </w:r>
          </w:p>
        </w:tc>
        <w:tc>
          <w:tcPr>
            <w:tcW w:w="4536" w:type="dxa"/>
            <w:tcMar>
              <w:top w:w="28" w:type="dxa"/>
              <w:bottom w:w="28" w:type="dxa"/>
            </w:tcMar>
          </w:tcPr>
          <w:p w14:paraId="50AA20A8" w14:textId="77777777" w:rsidR="005F7696" w:rsidRDefault="005F7696" w:rsidP="00C472D7">
            <w:pPr>
              <w:pStyle w:val="ListParagraph"/>
              <w:numPr>
                <w:ilvl w:val="0"/>
                <w:numId w:val="69"/>
              </w:numPr>
              <w:spacing w:before="0" w:after="0"/>
              <w:ind w:left="170" w:hanging="170"/>
              <w:jc w:val="left"/>
            </w:pPr>
            <w:r>
              <w:t>‘AIHW s.29’ signed by all researchers</w:t>
            </w:r>
          </w:p>
          <w:p w14:paraId="29B3BF99" w14:textId="77777777" w:rsidR="005F7696" w:rsidRDefault="005F7696" w:rsidP="00C472D7">
            <w:pPr>
              <w:pStyle w:val="ListParagraph"/>
              <w:numPr>
                <w:ilvl w:val="0"/>
                <w:numId w:val="69"/>
              </w:numPr>
              <w:spacing w:before="0" w:after="0"/>
              <w:ind w:left="170" w:hanging="170"/>
              <w:jc w:val="left"/>
            </w:pPr>
            <w:r>
              <w:t>Updated Technical Assessment Form approved by AIHW Data Linkage Unit</w:t>
            </w:r>
          </w:p>
          <w:p w14:paraId="6FCA2001" w14:textId="77777777" w:rsidR="005F7696" w:rsidRDefault="005F7696" w:rsidP="00C472D7">
            <w:pPr>
              <w:pStyle w:val="ListParagraph"/>
              <w:numPr>
                <w:ilvl w:val="0"/>
                <w:numId w:val="69"/>
              </w:numPr>
              <w:spacing w:before="0" w:after="0"/>
              <w:ind w:left="170" w:hanging="170"/>
              <w:jc w:val="left"/>
            </w:pPr>
            <w:r>
              <w:t>HREC amendment through Ethics Online System (</w:t>
            </w:r>
            <w:proofErr w:type="spellStart"/>
            <w:r>
              <w:t>EthOS</w:t>
            </w:r>
            <w:proofErr w:type="spellEnd"/>
            <w:r>
              <w:t>)</w:t>
            </w:r>
          </w:p>
        </w:tc>
      </w:tr>
      <w:tr w:rsidR="005F7696" w14:paraId="25816EB2" w14:textId="77777777" w:rsidTr="000853E1">
        <w:tc>
          <w:tcPr>
            <w:tcW w:w="1413" w:type="dxa"/>
            <w:tcMar>
              <w:top w:w="28" w:type="dxa"/>
              <w:bottom w:w="28" w:type="dxa"/>
            </w:tcMar>
          </w:tcPr>
          <w:p w14:paraId="3F3A18F2" w14:textId="77777777" w:rsidR="005F7696" w:rsidRDefault="005F7696" w:rsidP="000853E1">
            <w:pPr>
              <w:spacing w:before="0" w:after="0"/>
              <w:jc w:val="left"/>
            </w:pPr>
            <w:r>
              <w:t>DVA</w:t>
            </w:r>
          </w:p>
        </w:tc>
        <w:tc>
          <w:tcPr>
            <w:tcW w:w="3118" w:type="dxa"/>
            <w:tcMar>
              <w:top w:w="28" w:type="dxa"/>
              <w:bottom w:w="28" w:type="dxa"/>
            </w:tcMar>
          </w:tcPr>
          <w:p w14:paraId="32DBC366" w14:textId="77777777" w:rsidR="005F7696" w:rsidRDefault="005F7696" w:rsidP="000853E1">
            <w:pPr>
              <w:spacing w:before="0" w:after="0"/>
              <w:jc w:val="left"/>
            </w:pPr>
            <w:r>
              <w:t>DDVA HREC</w:t>
            </w:r>
          </w:p>
        </w:tc>
        <w:tc>
          <w:tcPr>
            <w:tcW w:w="4536" w:type="dxa"/>
            <w:tcMar>
              <w:top w:w="28" w:type="dxa"/>
              <w:bottom w:w="28" w:type="dxa"/>
            </w:tcMar>
          </w:tcPr>
          <w:p w14:paraId="33E3DE79" w14:textId="77777777" w:rsidR="005F7696" w:rsidRDefault="005F7696" w:rsidP="00C472D7">
            <w:pPr>
              <w:pStyle w:val="ListParagraph"/>
              <w:numPr>
                <w:ilvl w:val="0"/>
                <w:numId w:val="69"/>
              </w:numPr>
              <w:spacing w:before="0" w:after="0"/>
              <w:ind w:left="170" w:hanging="170"/>
              <w:jc w:val="left"/>
            </w:pPr>
            <w:r>
              <w:t>Researcher CVs</w:t>
            </w:r>
          </w:p>
          <w:p w14:paraId="47DA8732" w14:textId="77777777" w:rsidR="005F7696" w:rsidRDefault="005F7696" w:rsidP="00C472D7">
            <w:pPr>
              <w:pStyle w:val="ListParagraph"/>
              <w:numPr>
                <w:ilvl w:val="0"/>
                <w:numId w:val="69"/>
              </w:numPr>
              <w:spacing w:before="0" w:after="0"/>
              <w:ind w:left="170" w:hanging="170"/>
              <w:jc w:val="left"/>
            </w:pPr>
            <w:r>
              <w:t>Complete new application</w:t>
            </w:r>
            <w:r>
              <w:rPr>
                <w:vertAlign w:val="superscript"/>
              </w:rPr>
              <w:t xml:space="preserve"> </w:t>
            </w:r>
            <w:r>
              <w:t xml:space="preserve">for every ALSWH </w:t>
            </w:r>
            <w:proofErr w:type="spellStart"/>
            <w:r>
              <w:t>EoI</w:t>
            </w:r>
            <w:proofErr w:type="spellEnd"/>
          </w:p>
        </w:tc>
      </w:tr>
      <w:tr w:rsidR="005F7696" w14:paraId="5B4E2B6B" w14:textId="77777777" w:rsidTr="000853E1">
        <w:tc>
          <w:tcPr>
            <w:tcW w:w="1413" w:type="dxa"/>
            <w:tcMar>
              <w:top w:w="28" w:type="dxa"/>
              <w:bottom w:w="28" w:type="dxa"/>
            </w:tcMar>
          </w:tcPr>
          <w:p w14:paraId="71805ADC" w14:textId="77777777" w:rsidR="005F7696" w:rsidRDefault="005F7696" w:rsidP="000853E1">
            <w:pPr>
              <w:spacing w:before="0" w:after="0"/>
              <w:jc w:val="left"/>
            </w:pPr>
            <w:r>
              <w:t>NSW</w:t>
            </w:r>
          </w:p>
        </w:tc>
        <w:tc>
          <w:tcPr>
            <w:tcW w:w="3118" w:type="dxa"/>
            <w:tcMar>
              <w:top w:w="28" w:type="dxa"/>
              <w:bottom w:w="28" w:type="dxa"/>
            </w:tcMar>
          </w:tcPr>
          <w:p w14:paraId="642A8C9A" w14:textId="77777777" w:rsidR="005F7696" w:rsidRDefault="005F7696" w:rsidP="000853E1">
            <w:pPr>
              <w:spacing w:before="0" w:after="0"/>
              <w:jc w:val="left"/>
            </w:pPr>
            <w:proofErr w:type="spellStart"/>
            <w:r>
              <w:t>CHeReL</w:t>
            </w:r>
            <w:proofErr w:type="spellEnd"/>
          </w:p>
        </w:tc>
        <w:tc>
          <w:tcPr>
            <w:tcW w:w="4536" w:type="dxa"/>
            <w:tcMar>
              <w:top w:w="28" w:type="dxa"/>
              <w:bottom w:w="28" w:type="dxa"/>
            </w:tcMar>
          </w:tcPr>
          <w:p w14:paraId="4F60D253" w14:textId="77777777" w:rsidR="005F7696" w:rsidRDefault="005F7696" w:rsidP="00C472D7">
            <w:pPr>
              <w:pStyle w:val="ListParagraph"/>
              <w:numPr>
                <w:ilvl w:val="0"/>
                <w:numId w:val="69"/>
              </w:numPr>
              <w:spacing w:before="0" w:after="0"/>
              <w:ind w:left="170" w:hanging="170"/>
              <w:jc w:val="left"/>
            </w:pPr>
            <w:r>
              <w:t xml:space="preserve">Necessary when use of SURE, or a new </w:t>
            </w:r>
            <w:proofErr w:type="spellStart"/>
            <w:r>
              <w:t>Substudy</w:t>
            </w:r>
            <w:proofErr w:type="spellEnd"/>
            <w:r>
              <w:t xml:space="preserve"> is involved</w:t>
            </w:r>
          </w:p>
          <w:p w14:paraId="5071A6F3" w14:textId="77777777" w:rsidR="005F7696" w:rsidRDefault="005F7696" w:rsidP="00C472D7">
            <w:pPr>
              <w:pStyle w:val="ListParagraph"/>
              <w:numPr>
                <w:ilvl w:val="0"/>
                <w:numId w:val="69"/>
              </w:numPr>
              <w:spacing w:before="0" w:after="0"/>
              <w:ind w:left="170" w:hanging="170"/>
              <w:jc w:val="left"/>
            </w:pPr>
            <w:r>
              <w:t>Copy of draft HREC amendment through Research Ethics and Governance Information System (REGIS)</w:t>
            </w:r>
          </w:p>
          <w:p w14:paraId="331E883A" w14:textId="77777777" w:rsidR="005F7696" w:rsidRDefault="005F7696" w:rsidP="00C472D7">
            <w:pPr>
              <w:pStyle w:val="ListParagraph"/>
              <w:numPr>
                <w:ilvl w:val="0"/>
                <w:numId w:val="69"/>
              </w:numPr>
              <w:spacing w:before="0" w:after="0"/>
              <w:ind w:left="170" w:hanging="170"/>
              <w:jc w:val="left"/>
            </w:pPr>
            <w:r>
              <w:t>Change in Personnel form</w:t>
            </w:r>
          </w:p>
          <w:p w14:paraId="355CEBA4" w14:textId="77777777" w:rsidR="005F7696" w:rsidRDefault="005F7696" w:rsidP="00C472D7">
            <w:pPr>
              <w:pStyle w:val="ListParagraph"/>
              <w:numPr>
                <w:ilvl w:val="0"/>
                <w:numId w:val="69"/>
              </w:numPr>
              <w:spacing w:before="0" w:after="0"/>
              <w:ind w:left="170" w:hanging="170"/>
              <w:jc w:val="left"/>
            </w:pPr>
            <w:r>
              <w:t>Updated Study Protocol</w:t>
            </w:r>
          </w:p>
          <w:p w14:paraId="48C8D2DC" w14:textId="77777777" w:rsidR="005F7696" w:rsidRDefault="005F7696" w:rsidP="00C472D7">
            <w:pPr>
              <w:pStyle w:val="ListParagraph"/>
              <w:numPr>
                <w:ilvl w:val="0"/>
                <w:numId w:val="69"/>
              </w:numPr>
              <w:spacing w:before="0" w:after="0"/>
              <w:ind w:left="170" w:hanging="170"/>
              <w:jc w:val="left"/>
            </w:pPr>
            <w:r>
              <w:t xml:space="preserve">Copies of ALSWH </w:t>
            </w:r>
            <w:proofErr w:type="spellStart"/>
            <w:r>
              <w:t>EoIs</w:t>
            </w:r>
            <w:proofErr w:type="spellEnd"/>
          </w:p>
        </w:tc>
      </w:tr>
      <w:tr w:rsidR="005F7696" w14:paraId="69395DCE" w14:textId="77777777" w:rsidTr="000853E1">
        <w:tc>
          <w:tcPr>
            <w:tcW w:w="1413" w:type="dxa"/>
            <w:tcMar>
              <w:top w:w="28" w:type="dxa"/>
              <w:bottom w:w="28" w:type="dxa"/>
            </w:tcMar>
          </w:tcPr>
          <w:p w14:paraId="60E49E7B" w14:textId="77777777" w:rsidR="005F7696" w:rsidRDefault="005F7696" w:rsidP="000853E1">
            <w:pPr>
              <w:spacing w:before="0" w:after="0"/>
              <w:jc w:val="left"/>
            </w:pPr>
            <w:r>
              <w:t>NSW, QLD</w:t>
            </w:r>
          </w:p>
        </w:tc>
        <w:tc>
          <w:tcPr>
            <w:tcW w:w="3118" w:type="dxa"/>
            <w:tcMar>
              <w:top w:w="28" w:type="dxa"/>
              <w:bottom w:w="28" w:type="dxa"/>
            </w:tcMar>
          </w:tcPr>
          <w:p w14:paraId="3DA0C321" w14:textId="77777777" w:rsidR="005F7696" w:rsidRDefault="005F7696" w:rsidP="000853E1">
            <w:pPr>
              <w:spacing w:before="0" w:after="0"/>
              <w:jc w:val="left"/>
            </w:pPr>
            <w:r>
              <w:t>NSW Population &amp; Health Services Research Ethics Committee (PHSREC)</w:t>
            </w:r>
          </w:p>
        </w:tc>
        <w:tc>
          <w:tcPr>
            <w:tcW w:w="4536" w:type="dxa"/>
            <w:tcMar>
              <w:top w:w="28" w:type="dxa"/>
              <w:bottom w:w="28" w:type="dxa"/>
            </w:tcMar>
          </w:tcPr>
          <w:p w14:paraId="5B6A98C9" w14:textId="77777777" w:rsidR="005F7696" w:rsidRDefault="005F7696" w:rsidP="00C472D7">
            <w:pPr>
              <w:pStyle w:val="ListParagraph"/>
              <w:numPr>
                <w:ilvl w:val="0"/>
                <w:numId w:val="69"/>
              </w:numPr>
              <w:spacing w:before="0" w:after="0"/>
              <w:ind w:left="170" w:hanging="170"/>
              <w:jc w:val="left"/>
            </w:pPr>
            <w:r>
              <w:t xml:space="preserve">Copy of Data Custodian approval (where use of SURE, or a new </w:t>
            </w:r>
            <w:proofErr w:type="spellStart"/>
            <w:r>
              <w:t>Substudy</w:t>
            </w:r>
            <w:proofErr w:type="spellEnd"/>
            <w:r>
              <w:t xml:space="preserve"> is involved)</w:t>
            </w:r>
          </w:p>
          <w:p w14:paraId="23744205" w14:textId="77777777" w:rsidR="005F7696" w:rsidRDefault="005F7696" w:rsidP="00C472D7">
            <w:pPr>
              <w:pStyle w:val="ListParagraph"/>
              <w:numPr>
                <w:ilvl w:val="0"/>
                <w:numId w:val="69"/>
              </w:numPr>
              <w:spacing w:before="0" w:after="0"/>
              <w:ind w:left="170" w:hanging="170"/>
              <w:jc w:val="left"/>
            </w:pPr>
            <w:r>
              <w:t>Change in personnel form</w:t>
            </w:r>
          </w:p>
          <w:p w14:paraId="3E157BFB" w14:textId="77777777" w:rsidR="005F7696" w:rsidRDefault="005F7696" w:rsidP="00C472D7">
            <w:pPr>
              <w:pStyle w:val="ListParagraph"/>
              <w:numPr>
                <w:ilvl w:val="0"/>
                <w:numId w:val="69"/>
              </w:numPr>
              <w:spacing w:before="0" w:after="0"/>
              <w:ind w:left="170" w:hanging="170"/>
              <w:jc w:val="left"/>
            </w:pPr>
            <w:r>
              <w:t xml:space="preserve">Updated Study Protocol (where use of SURE, or a new </w:t>
            </w:r>
            <w:proofErr w:type="spellStart"/>
            <w:r>
              <w:t>Substudy</w:t>
            </w:r>
            <w:proofErr w:type="spellEnd"/>
            <w:r>
              <w:t xml:space="preserve"> is involved)</w:t>
            </w:r>
          </w:p>
          <w:p w14:paraId="59420E92" w14:textId="77777777" w:rsidR="005F7696" w:rsidRDefault="005F7696" w:rsidP="00C472D7">
            <w:pPr>
              <w:pStyle w:val="ListParagraph"/>
              <w:numPr>
                <w:ilvl w:val="0"/>
                <w:numId w:val="69"/>
              </w:numPr>
              <w:spacing w:before="0" w:after="0"/>
              <w:ind w:left="170" w:hanging="170"/>
              <w:jc w:val="left"/>
            </w:pPr>
            <w:r>
              <w:t xml:space="preserve">Copies of ALSWH </w:t>
            </w:r>
            <w:proofErr w:type="spellStart"/>
            <w:r>
              <w:t>EoIs</w:t>
            </w:r>
            <w:proofErr w:type="spellEnd"/>
          </w:p>
          <w:p w14:paraId="5635CE54" w14:textId="77777777" w:rsidR="005F7696" w:rsidRDefault="005F7696" w:rsidP="00C472D7">
            <w:pPr>
              <w:pStyle w:val="ListParagraph"/>
              <w:numPr>
                <w:ilvl w:val="0"/>
                <w:numId w:val="69"/>
              </w:numPr>
              <w:spacing w:before="0" w:after="0"/>
              <w:ind w:left="170" w:hanging="170"/>
              <w:jc w:val="left"/>
            </w:pPr>
            <w:r>
              <w:t>HREC amendment through Research Ethics and Governance Information System (REGIS)</w:t>
            </w:r>
          </w:p>
        </w:tc>
      </w:tr>
      <w:tr w:rsidR="005F7696" w14:paraId="093AC77B" w14:textId="77777777" w:rsidTr="000853E1">
        <w:tc>
          <w:tcPr>
            <w:tcW w:w="1413" w:type="dxa"/>
            <w:vMerge w:val="restart"/>
            <w:tcMar>
              <w:top w:w="28" w:type="dxa"/>
              <w:bottom w:w="28" w:type="dxa"/>
            </w:tcMar>
          </w:tcPr>
          <w:p w14:paraId="58D09A40" w14:textId="77777777" w:rsidR="005F7696" w:rsidRDefault="005F7696" w:rsidP="000853E1">
            <w:pPr>
              <w:spacing w:before="0" w:after="0"/>
              <w:jc w:val="left"/>
            </w:pPr>
            <w:r>
              <w:t>QLD</w:t>
            </w:r>
          </w:p>
        </w:tc>
        <w:tc>
          <w:tcPr>
            <w:tcW w:w="3118" w:type="dxa"/>
            <w:tcMar>
              <w:top w:w="28" w:type="dxa"/>
              <w:bottom w:w="28" w:type="dxa"/>
            </w:tcMar>
          </w:tcPr>
          <w:p w14:paraId="55BA711A" w14:textId="77777777" w:rsidR="005F7696" w:rsidRDefault="005F7696" w:rsidP="000853E1">
            <w:pPr>
              <w:spacing w:before="0" w:after="0"/>
              <w:jc w:val="left"/>
            </w:pPr>
            <w:r>
              <w:t>Qld Health Information, Investment and Research Office</w:t>
            </w:r>
          </w:p>
        </w:tc>
        <w:tc>
          <w:tcPr>
            <w:tcW w:w="4536" w:type="dxa"/>
            <w:tcMar>
              <w:top w:w="28" w:type="dxa"/>
              <w:bottom w:w="28" w:type="dxa"/>
            </w:tcMar>
          </w:tcPr>
          <w:p w14:paraId="6C91C2D7" w14:textId="77777777" w:rsidR="005F7696" w:rsidRDefault="005F7696" w:rsidP="00C472D7">
            <w:pPr>
              <w:pStyle w:val="ListParagraph"/>
              <w:numPr>
                <w:ilvl w:val="0"/>
                <w:numId w:val="69"/>
              </w:numPr>
              <w:spacing w:before="0" w:after="0"/>
              <w:ind w:left="170" w:hanging="170"/>
              <w:jc w:val="left"/>
            </w:pPr>
            <w:r>
              <w:t>Copy of NSW PHSREC approval letter</w:t>
            </w:r>
          </w:p>
          <w:p w14:paraId="2EECAE7D" w14:textId="77777777" w:rsidR="005F7696" w:rsidRDefault="005F7696" w:rsidP="00C472D7">
            <w:pPr>
              <w:pStyle w:val="ListParagraph"/>
              <w:numPr>
                <w:ilvl w:val="0"/>
                <w:numId w:val="69"/>
              </w:numPr>
              <w:spacing w:before="0" w:after="0"/>
              <w:ind w:left="170" w:hanging="170"/>
              <w:jc w:val="left"/>
            </w:pPr>
            <w:r>
              <w:t>Updated Public Health Act (PHA) form</w:t>
            </w:r>
          </w:p>
          <w:p w14:paraId="48EEB8F7" w14:textId="77777777" w:rsidR="005F7696" w:rsidRDefault="005F7696" w:rsidP="00C472D7">
            <w:pPr>
              <w:pStyle w:val="ListParagraph"/>
              <w:numPr>
                <w:ilvl w:val="0"/>
                <w:numId w:val="69"/>
              </w:numPr>
              <w:spacing w:before="0" w:after="0"/>
              <w:ind w:left="170" w:hanging="170"/>
              <w:jc w:val="left"/>
            </w:pPr>
            <w:r>
              <w:t>Updated Project List</w:t>
            </w:r>
          </w:p>
        </w:tc>
      </w:tr>
      <w:tr w:rsidR="005F7696" w14:paraId="23B95A16" w14:textId="77777777" w:rsidTr="000853E1">
        <w:tc>
          <w:tcPr>
            <w:tcW w:w="1413" w:type="dxa"/>
            <w:vMerge/>
            <w:tcMar>
              <w:top w:w="28" w:type="dxa"/>
              <w:bottom w:w="28" w:type="dxa"/>
            </w:tcMar>
          </w:tcPr>
          <w:p w14:paraId="2F0374CE" w14:textId="77777777" w:rsidR="005F7696" w:rsidRDefault="005F7696" w:rsidP="000853E1">
            <w:pPr>
              <w:spacing w:before="0" w:after="0"/>
              <w:jc w:val="left"/>
            </w:pPr>
          </w:p>
        </w:tc>
        <w:tc>
          <w:tcPr>
            <w:tcW w:w="3118" w:type="dxa"/>
            <w:tcMar>
              <w:top w:w="28" w:type="dxa"/>
              <w:bottom w:w="28" w:type="dxa"/>
            </w:tcMar>
          </w:tcPr>
          <w:p w14:paraId="32A4C260" w14:textId="77777777" w:rsidR="005F7696" w:rsidRDefault="005F7696" w:rsidP="000853E1">
            <w:pPr>
              <w:spacing w:before="0" w:after="0"/>
              <w:jc w:val="left"/>
            </w:pPr>
            <w:r>
              <w:t>Qld Health Statistical Services Branch</w:t>
            </w:r>
          </w:p>
        </w:tc>
        <w:tc>
          <w:tcPr>
            <w:tcW w:w="4536" w:type="dxa"/>
            <w:tcMar>
              <w:top w:w="28" w:type="dxa"/>
              <w:bottom w:w="28" w:type="dxa"/>
            </w:tcMar>
          </w:tcPr>
          <w:p w14:paraId="75C1B7E9" w14:textId="77777777" w:rsidR="005F7696" w:rsidRDefault="005F7696" w:rsidP="00C472D7">
            <w:pPr>
              <w:pStyle w:val="ListParagraph"/>
              <w:numPr>
                <w:ilvl w:val="0"/>
                <w:numId w:val="69"/>
              </w:numPr>
              <w:spacing w:before="0" w:after="0"/>
              <w:ind w:left="170" w:hanging="170"/>
              <w:jc w:val="left"/>
            </w:pPr>
            <w:r>
              <w:t>Conditions of Disclosure document signed by all researchers</w:t>
            </w:r>
          </w:p>
        </w:tc>
      </w:tr>
      <w:tr w:rsidR="005F7696" w14:paraId="0FD34154" w14:textId="77777777" w:rsidTr="000853E1">
        <w:tc>
          <w:tcPr>
            <w:tcW w:w="1413" w:type="dxa"/>
            <w:tcMar>
              <w:top w:w="28" w:type="dxa"/>
              <w:bottom w:w="28" w:type="dxa"/>
            </w:tcMar>
          </w:tcPr>
          <w:p w14:paraId="18C1BBF6" w14:textId="77777777" w:rsidR="005F7696" w:rsidRDefault="005F7696" w:rsidP="000853E1">
            <w:pPr>
              <w:spacing w:before="0" w:after="0"/>
              <w:jc w:val="left"/>
            </w:pPr>
            <w:r>
              <w:lastRenderedPageBreak/>
              <w:t>WA</w:t>
            </w:r>
          </w:p>
        </w:tc>
        <w:tc>
          <w:tcPr>
            <w:tcW w:w="3118" w:type="dxa"/>
            <w:tcMar>
              <w:top w:w="28" w:type="dxa"/>
              <w:bottom w:w="28" w:type="dxa"/>
            </w:tcMar>
          </w:tcPr>
          <w:p w14:paraId="5B548829" w14:textId="77777777" w:rsidR="005F7696" w:rsidRDefault="005F7696" w:rsidP="000853E1">
            <w:pPr>
              <w:spacing w:before="0" w:after="0"/>
              <w:jc w:val="left"/>
            </w:pPr>
            <w:r>
              <w:t>Dept of Health WA HREC</w:t>
            </w:r>
          </w:p>
        </w:tc>
        <w:tc>
          <w:tcPr>
            <w:tcW w:w="4536" w:type="dxa"/>
            <w:tcMar>
              <w:top w:w="28" w:type="dxa"/>
              <w:bottom w:w="28" w:type="dxa"/>
            </w:tcMar>
          </w:tcPr>
          <w:p w14:paraId="54F864C9" w14:textId="77777777" w:rsidR="005F7696" w:rsidRDefault="005F7696" w:rsidP="00C472D7">
            <w:pPr>
              <w:pStyle w:val="ListParagraph"/>
              <w:numPr>
                <w:ilvl w:val="0"/>
                <w:numId w:val="69"/>
              </w:numPr>
              <w:spacing w:before="0" w:after="0"/>
              <w:ind w:left="170" w:hanging="170"/>
              <w:jc w:val="left"/>
            </w:pPr>
            <w:r>
              <w:t>Researcher online registration and accepted invitation to join study project through WA Research Governance System (RGS)</w:t>
            </w:r>
          </w:p>
          <w:p w14:paraId="583F4F54" w14:textId="77777777" w:rsidR="005F7696" w:rsidRDefault="005F7696" w:rsidP="00C472D7">
            <w:pPr>
              <w:pStyle w:val="ListParagraph"/>
              <w:numPr>
                <w:ilvl w:val="0"/>
                <w:numId w:val="69"/>
              </w:numPr>
              <w:spacing w:before="0" w:after="0"/>
              <w:ind w:left="170" w:hanging="170"/>
              <w:jc w:val="left"/>
            </w:pPr>
            <w:r>
              <w:t>HREC amendment through RGS</w:t>
            </w:r>
          </w:p>
        </w:tc>
      </w:tr>
      <w:tr w:rsidR="005F7696" w14:paraId="7B1E4C96" w14:textId="77777777" w:rsidTr="000853E1">
        <w:tc>
          <w:tcPr>
            <w:tcW w:w="1413" w:type="dxa"/>
            <w:tcMar>
              <w:top w:w="28" w:type="dxa"/>
              <w:bottom w:w="28" w:type="dxa"/>
            </w:tcMar>
          </w:tcPr>
          <w:p w14:paraId="367DF800" w14:textId="77777777" w:rsidR="005F7696" w:rsidRDefault="005F7696" w:rsidP="000853E1">
            <w:pPr>
              <w:spacing w:before="0" w:after="0"/>
              <w:jc w:val="left"/>
            </w:pPr>
            <w:r>
              <w:t>ACT, VIC, SA, NT</w:t>
            </w:r>
          </w:p>
        </w:tc>
        <w:tc>
          <w:tcPr>
            <w:tcW w:w="3118" w:type="dxa"/>
            <w:tcMar>
              <w:top w:w="28" w:type="dxa"/>
              <w:bottom w:w="28" w:type="dxa"/>
            </w:tcMar>
          </w:tcPr>
          <w:p w14:paraId="199FF297" w14:textId="77777777" w:rsidR="005F7696" w:rsidRDefault="005F7696" w:rsidP="000853E1">
            <w:pPr>
              <w:spacing w:before="0" w:after="0"/>
              <w:jc w:val="left"/>
            </w:pPr>
            <w:r>
              <w:t>ACT Health HREC</w:t>
            </w:r>
          </w:p>
        </w:tc>
        <w:tc>
          <w:tcPr>
            <w:tcW w:w="4536" w:type="dxa"/>
            <w:tcMar>
              <w:top w:w="28" w:type="dxa"/>
              <w:bottom w:w="28" w:type="dxa"/>
            </w:tcMar>
          </w:tcPr>
          <w:p w14:paraId="282A557C" w14:textId="77777777" w:rsidR="005F7696" w:rsidRDefault="005F7696" w:rsidP="00C472D7">
            <w:pPr>
              <w:pStyle w:val="ListParagraph"/>
              <w:numPr>
                <w:ilvl w:val="0"/>
                <w:numId w:val="69"/>
              </w:numPr>
              <w:spacing w:before="0" w:after="0"/>
              <w:ind w:left="170" w:hanging="170"/>
              <w:jc w:val="left"/>
            </w:pPr>
            <w:r>
              <w:t>HREC amendment</w:t>
            </w:r>
          </w:p>
        </w:tc>
      </w:tr>
      <w:tr w:rsidR="005F7696" w14:paraId="4B4735A1" w14:textId="77777777" w:rsidTr="000853E1">
        <w:tc>
          <w:tcPr>
            <w:tcW w:w="1413" w:type="dxa"/>
            <w:tcMar>
              <w:top w:w="28" w:type="dxa"/>
              <w:bottom w:w="28" w:type="dxa"/>
            </w:tcMar>
          </w:tcPr>
          <w:p w14:paraId="546D0ED3" w14:textId="77777777" w:rsidR="005F7696" w:rsidRDefault="005F7696" w:rsidP="000853E1">
            <w:pPr>
              <w:spacing w:before="0" w:after="0"/>
              <w:jc w:val="left"/>
            </w:pPr>
            <w:r>
              <w:t>VIC (except Perinatal)</w:t>
            </w:r>
          </w:p>
        </w:tc>
        <w:tc>
          <w:tcPr>
            <w:tcW w:w="3118" w:type="dxa"/>
            <w:tcMar>
              <w:top w:w="28" w:type="dxa"/>
              <w:bottom w:w="28" w:type="dxa"/>
            </w:tcMar>
          </w:tcPr>
          <w:p w14:paraId="76DEAA10" w14:textId="77777777" w:rsidR="005F7696" w:rsidRDefault="005F7696" w:rsidP="000853E1">
            <w:pPr>
              <w:spacing w:before="0" w:after="0"/>
              <w:jc w:val="left"/>
            </w:pPr>
            <w:r>
              <w:t>CVDL</w:t>
            </w:r>
          </w:p>
        </w:tc>
        <w:tc>
          <w:tcPr>
            <w:tcW w:w="4536" w:type="dxa"/>
            <w:tcMar>
              <w:top w:w="28" w:type="dxa"/>
              <w:bottom w:w="28" w:type="dxa"/>
            </w:tcMar>
          </w:tcPr>
          <w:p w14:paraId="572F19DA" w14:textId="77777777" w:rsidR="005F7696" w:rsidRDefault="005F7696" w:rsidP="00C472D7">
            <w:pPr>
              <w:pStyle w:val="ListParagraph"/>
              <w:numPr>
                <w:ilvl w:val="0"/>
                <w:numId w:val="69"/>
              </w:numPr>
              <w:spacing w:before="0" w:after="0"/>
              <w:ind w:left="170" w:hanging="170"/>
              <w:jc w:val="left"/>
            </w:pPr>
            <w:r>
              <w:t>Copy of ACT Health HREC approval letter</w:t>
            </w:r>
          </w:p>
          <w:p w14:paraId="44FFABB8" w14:textId="77777777" w:rsidR="005F7696" w:rsidRDefault="005F7696" w:rsidP="00C472D7">
            <w:pPr>
              <w:pStyle w:val="ListParagraph"/>
              <w:numPr>
                <w:ilvl w:val="0"/>
                <w:numId w:val="69"/>
              </w:numPr>
              <w:spacing w:before="0" w:after="0"/>
              <w:ind w:left="170" w:hanging="170"/>
              <w:jc w:val="left"/>
            </w:pPr>
            <w:r>
              <w:t>‘CVDL Schedule 2’ signed by all researchers</w:t>
            </w:r>
          </w:p>
          <w:p w14:paraId="1F6B7E6C" w14:textId="77777777" w:rsidR="005F7696" w:rsidRDefault="005F7696" w:rsidP="00C472D7">
            <w:pPr>
              <w:pStyle w:val="ListParagraph"/>
              <w:numPr>
                <w:ilvl w:val="0"/>
                <w:numId w:val="69"/>
              </w:numPr>
              <w:spacing w:before="0" w:after="0"/>
              <w:ind w:left="170" w:hanging="170"/>
              <w:jc w:val="left"/>
            </w:pPr>
            <w:r>
              <w:t xml:space="preserve">Copies of ALSWH </w:t>
            </w:r>
            <w:proofErr w:type="spellStart"/>
            <w:r>
              <w:t>EoIs</w:t>
            </w:r>
            <w:proofErr w:type="spellEnd"/>
          </w:p>
          <w:p w14:paraId="79DDC122" w14:textId="77777777" w:rsidR="005F7696" w:rsidRDefault="005F7696" w:rsidP="00C472D7">
            <w:pPr>
              <w:pStyle w:val="ListParagraph"/>
              <w:numPr>
                <w:ilvl w:val="0"/>
                <w:numId w:val="69"/>
              </w:numPr>
              <w:spacing w:before="0" w:after="0"/>
              <w:ind w:left="170" w:hanging="170"/>
              <w:jc w:val="left"/>
            </w:pPr>
            <w:r>
              <w:t>Updated researcher and project list</w:t>
            </w:r>
          </w:p>
        </w:tc>
      </w:tr>
      <w:tr w:rsidR="005F7696" w14:paraId="16871460" w14:textId="77777777" w:rsidTr="000853E1">
        <w:tc>
          <w:tcPr>
            <w:tcW w:w="1413" w:type="dxa"/>
            <w:vMerge w:val="restart"/>
            <w:tcMar>
              <w:top w:w="28" w:type="dxa"/>
              <w:bottom w:w="28" w:type="dxa"/>
            </w:tcMar>
          </w:tcPr>
          <w:p w14:paraId="05E13A22" w14:textId="77777777" w:rsidR="005F7696" w:rsidRDefault="005F7696" w:rsidP="000853E1">
            <w:pPr>
              <w:spacing w:before="0" w:after="0"/>
              <w:jc w:val="left"/>
            </w:pPr>
            <w:r>
              <w:t>VIC Perinatal</w:t>
            </w:r>
          </w:p>
        </w:tc>
        <w:tc>
          <w:tcPr>
            <w:tcW w:w="3118" w:type="dxa"/>
            <w:tcMar>
              <w:top w:w="28" w:type="dxa"/>
              <w:bottom w:w="28" w:type="dxa"/>
            </w:tcMar>
          </w:tcPr>
          <w:p w14:paraId="2C7FD942" w14:textId="77777777" w:rsidR="005F7696" w:rsidRDefault="005F7696" w:rsidP="000853E1">
            <w:pPr>
              <w:spacing w:before="0" w:after="0"/>
              <w:jc w:val="left"/>
            </w:pPr>
            <w:r>
              <w:t>Austin Health HREC</w:t>
            </w:r>
          </w:p>
        </w:tc>
        <w:tc>
          <w:tcPr>
            <w:tcW w:w="4536" w:type="dxa"/>
            <w:tcMar>
              <w:top w:w="28" w:type="dxa"/>
              <w:bottom w:w="28" w:type="dxa"/>
            </w:tcMar>
          </w:tcPr>
          <w:p w14:paraId="3FBE8794" w14:textId="77777777" w:rsidR="005F7696" w:rsidRDefault="005F7696" w:rsidP="00C472D7">
            <w:pPr>
              <w:pStyle w:val="ListParagraph"/>
              <w:numPr>
                <w:ilvl w:val="0"/>
                <w:numId w:val="69"/>
              </w:numPr>
              <w:spacing w:before="0" w:after="0"/>
              <w:ind w:left="170" w:hanging="170"/>
              <w:jc w:val="left"/>
            </w:pPr>
            <w:r>
              <w:t>HREC amendment through Ethics Review Manager (ERM)</w:t>
            </w:r>
          </w:p>
          <w:p w14:paraId="0B640100" w14:textId="77777777" w:rsidR="005F7696" w:rsidRDefault="005F7696" w:rsidP="00C472D7">
            <w:pPr>
              <w:pStyle w:val="ListParagraph"/>
              <w:numPr>
                <w:ilvl w:val="0"/>
                <w:numId w:val="69"/>
              </w:numPr>
              <w:spacing w:before="0" w:after="0"/>
              <w:ind w:left="170" w:hanging="170"/>
              <w:jc w:val="left"/>
            </w:pPr>
            <w:r>
              <w:t>Researcher CVs</w:t>
            </w:r>
          </w:p>
        </w:tc>
      </w:tr>
      <w:tr w:rsidR="005F7696" w14:paraId="674F0D27" w14:textId="77777777" w:rsidTr="000853E1">
        <w:tc>
          <w:tcPr>
            <w:tcW w:w="1413" w:type="dxa"/>
            <w:vMerge/>
            <w:tcMar>
              <w:top w:w="28" w:type="dxa"/>
              <w:bottom w:w="28" w:type="dxa"/>
            </w:tcMar>
          </w:tcPr>
          <w:p w14:paraId="57256344" w14:textId="77777777" w:rsidR="005F7696" w:rsidRDefault="005F7696" w:rsidP="000853E1">
            <w:pPr>
              <w:spacing w:before="0" w:after="0"/>
              <w:jc w:val="left"/>
            </w:pPr>
          </w:p>
        </w:tc>
        <w:tc>
          <w:tcPr>
            <w:tcW w:w="3118" w:type="dxa"/>
            <w:tcMar>
              <w:top w:w="28" w:type="dxa"/>
              <w:bottom w:w="28" w:type="dxa"/>
            </w:tcMar>
          </w:tcPr>
          <w:p w14:paraId="505E10FA" w14:textId="77777777" w:rsidR="005F7696" w:rsidRDefault="005F7696" w:rsidP="000853E1">
            <w:pPr>
              <w:spacing w:before="0" w:after="0"/>
              <w:jc w:val="left"/>
            </w:pPr>
            <w:r>
              <w:t xml:space="preserve">VAHI </w:t>
            </w:r>
          </w:p>
        </w:tc>
        <w:tc>
          <w:tcPr>
            <w:tcW w:w="4536" w:type="dxa"/>
            <w:tcMar>
              <w:top w:w="28" w:type="dxa"/>
              <w:bottom w:w="28" w:type="dxa"/>
            </w:tcMar>
          </w:tcPr>
          <w:p w14:paraId="43BE2887" w14:textId="77777777" w:rsidR="005F7696" w:rsidRDefault="005F7696" w:rsidP="00C472D7">
            <w:pPr>
              <w:pStyle w:val="ListParagraph"/>
              <w:numPr>
                <w:ilvl w:val="0"/>
                <w:numId w:val="69"/>
              </w:numPr>
              <w:spacing w:before="0" w:after="0"/>
              <w:ind w:left="170" w:hanging="170"/>
              <w:jc w:val="left"/>
            </w:pPr>
            <w:r>
              <w:t xml:space="preserve">Data request signed by all researchers </w:t>
            </w:r>
          </w:p>
          <w:p w14:paraId="7125977C" w14:textId="77777777" w:rsidR="005F7696" w:rsidRDefault="005F7696" w:rsidP="00C472D7">
            <w:pPr>
              <w:pStyle w:val="ListParagraph"/>
              <w:numPr>
                <w:ilvl w:val="0"/>
                <w:numId w:val="69"/>
              </w:numPr>
              <w:spacing w:before="0" w:after="0"/>
              <w:ind w:left="170" w:hanging="170"/>
              <w:jc w:val="left"/>
            </w:pPr>
            <w:r>
              <w:t xml:space="preserve">New Data Request lodged in VAHI Hub for every ALSWH </w:t>
            </w:r>
            <w:proofErr w:type="spellStart"/>
            <w:r>
              <w:t>EoI</w:t>
            </w:r>
            <w:proofErr w:type="spellEnd"/>
          </w:p>
          <w:p w14:paraId="4A316516" w14:textId="77777777" w:rsidR="005F7696" w:rsidRDefault="005F7696" w:rsidP="00C472D7">
            <w:pPr>
              <w:pStyle w:val="ListParagraph"/>
              <w:numPr>
                <w:ilvl w:val="0"/>
                <w:numId w:val="69"/>
              </w:numPr>
              <w:spacing w:before="0" w:after="0"/>
              <w:ind w:left="170" w:hanging="170"/>
              <w:jc w:val="left"/>
            </w:pPr>
            <w:r>
              <w:t>Copy of Austin HREC approval letter</w:t>
            </w:r>
          </w:p>
          <w:p w14:paraId="63FFCC57" w14:textId="77777777" w:rsidR="005F7696" w:rsidRDefault="005F7696" w:rsidP="00C472D7">
            <w:pPr>
              <w:pStyle w:val="ListParagraph"/>
              <w:numPr>
                <w:ilvl w:val="0"/>
                <w:numId w:val="69"/>
              </w:numPr>
              <w:spacing w:before="0" w:after="0"/>
              <w:ind w:left="170" w:hanging="170"/>
              <w:jc w:val="left"/>
            </w:pPr>
            <w:r>
              <w:t xml:space="preserve">Copy of ALSWH </w:t>
            </w:r>
            <w:proofErr w:type="spellStart"/>
            <w:r>
              <w:t>EoI</w:t>
            </w:r>
            <w:proofErr w:type="spellEnd"/>
          </w:p>
        </w:tc>
      </w:tr>
      <w:tr w:rsidR="005F7696" w14:paraId="5773ECAF" w14:textId="77777777" w:rsidTr="000853E1">
        <w:tc>
          <w:tcPr>
            <w:tcW w:w="1413" w:type="dxa"/>
            <w:tcMar>
              <w:top w:w="28" w:type="dxa"/>
              <w:bottom w:w="28" w:type="dxa"/>
            </w:tcMar>
          </w:tcPr>
          <w:p w14:paraId="5EB8926B" w14:textId="77777777" w:rsidR="005F7696" w:rsidRDefault="005F7696" w:rsidP="000853E1">
            <w:pPr>
              <w:spacing w:before="0" w:after="0"/>
              <w:jc w:val="left"/>
            </w:pPr>
            <w:r>
              <w:t>SA/NT</w:t>
            </w:r>
          </w:p>
        </w:tc>
        <w:tc>
          <w:tcPr>
            <w:tcW w:w="3118" w:type="dxa"/>
            <w:tcMar>
              <w:top w:w="28" w:type="dxa"/>
              <w:bottom w:w="28" w:type="dxa"/>
            </w:tcMar>
          </w:tcPr>
          <w:p w14:paraId="69D5F95F" w14:textId="77777777" w:rsidR="005F7696" w:rsidRDefault="005F7696" w:rsidP="000853E1">
            <w:pPr>
              <w:spacing w:before="0" w:after="0"/>
              <w:jc w:val="left"/>
            </w:pPr>
            <w:r>
              <w:t>SA NT Datalink</w:t>
            </w:r>
          </w:p>
        </w:tc>
        <w:tc>
          <w:tcPr>
            <w:tcW w:w="4536" w:type="dxa"/>
            <w:tcMar>
              <w:top w:w="28" w:type="dxa"/>
              <w:bottom w:w="28" w:type="dxa"/>
            </w:tcMar>
          </w:tcPr>
          <w:p w14:paraId="50CC9DEF" w14:textId="77777777" w:rsidR="005F7696" w:rsidRDefault="005F7696" w:rsidP="00C472D7">
            <w:pPr>
              <w:pStyle w:val="ListParagraph"/>
              <w:numPr>
                <w:ilvl w:val="0"/>
                <w:numId w:val="69"/>
              </w:numPr>
              <w:spacing w:before="0" w:after="0"/>
              <w:ind w:left="170" w:hanging="170"/>
              <w:jc w:val="left"/>
            </w:pPr>
            <w:r>
              <w:t>SA Health Confidentiality Deed</w:t>
            </w:r>
          </w:p>
          <w:p w14:paraId="54D3AD4B" w14:textId="77777777" w:rsidR="005F7696" w:rsidRDefault="005F7696" w:rsidP="00C472D7">
            <w:pPr>
              <w:pStyle w:val="ListParagraph"/>
              <w:numPr>
                <w:ilvl w:val="0"/>
                <w:numId w:val="69"/>
              </w:numPr>
              <w:spacing w:before="0" w:after="0"/>
              <w:ind w:left="170" w:hanging="170"/>
              <w:jc w:val="left"/>
            </w:pPr>
            <w:r>
              <w:t>‘NT Appendix B Deed 2’ signed by all researchers</w:t>
            </w:r>
          </w:p>
          <w:p w14:paraId="57ABFD6C" w14:textId="77777777" w:rsidR="005F7696" w:rsidRDefault="005F7696" w:rsidP="00C472D7">
            <w:pPr>
              <w:pStyle w:val="ListParagraph"/>
              <w:numPr>
                <w:ilvl w:val="0"/>
                <w:numId w:val="69"/>
              </w:numPr>
              <w:spacing w:before="0" w:after="0"/>
              <w:ind w:left="170" w:hanging="170"/>
              <w:jc w:val="left"/>
            </w:pPr>
            <w:r>
              <w:t>‘Annexure B’ signed by all researchers</w:t>
            </w:r>
          </w:p>
          <w:p w14:paraId="7C25F6A4" w14:textId="77777777" w:rsidR="005F7696" w:rsidRDefault="005F7696" w:rsidP="00C472D7">
            <w:pPr>
              <w:pStyle w:val="ListParagraph"/>
              <w:numPr>
                <w:ilvl w:val="0"/>
                <w:numId w:val="69"/>
              </w:numPr>
              <w:spacing w:before="0" w:after="0"/>
              <w:ind w:left="170" w:hanging="170"/>
              <w:jc w:val="left"/>
            </w:pPr>
            <w:r>
              <w:t>Copy of ACT HREC approval letter</w:t>
            </w:r>
          </w:p>
        </w:tc>
      </w:tr>
      <w:tr w:rsidR="005F7696" w14:paraId="62A8BCE4" w14:textId="77777777" w:rsidTr="000853E1">
        <w:tc>
          <w:tcPr>
            <w:tcW w:w="1413" w:type="dxa"/>
            <w:vMerge w:val="restart"/>
            <w:tcMar>
              <w:top w:w="28" w:type="dxa"/>
              <w:bottom w:w="28" w:type="dxa"/>
            </w:tcMar>
          </w:tcPr>
          <w:p w14:paraId="154BE033" w14:textId="77777777" w:rsidR="005F7696" w:rsidRDefault="005F7696" w:rsidP="000853E1">
            <w:pPr>
              <w:spacing w:before="0" w:after="0"/>
              <w:jc w:val="left"/>
            </w:pPr>
            <w:r>
              <w:t>TAS</w:t>
            </w:r>
          </w:p>
        </w:tc>
        <w:tc>
          <w:tcPr>
            <w:tcW w:w="3118" w:type="dxa"/>
            <w:tcMar>
              <w:top w:w="28" w:type="dxa"/>
              <w:bottom w:w="28" w:type="dxa"/>
            </w:tcMar>
          </w:tcPr>
          <w:p w14:paraId="1AE4CA37" w14:textId="77777777" w:rsidR="005F7696" w:rsidRDefault="005F7696" w:rsidP="000853E1">
            <w:pPr>
              <w:spacing w:before="0" w:after="0"/>
              <w:jc w:val="left"/>
            </w:pPr>
            <w:r>
              <w:t>Tas Health &amp; Medical HREC</w:t>
            </w:r>
          </w:p>
        </w:tc>
        <w:tc>
          <w:tcPr>
            <w:tcW w:w="4536" w:type="dxa"/>
            <w:tcMar>
              <w:top w:w="28" w:type="dxa"/>
              <w:bottom w:w="28" w:type="dxa"/>
            </w:tcMar>
          </w:tcPr>
          <w:p w14:paraId="562E509C" w14:textId="77777777" w:rsidR="005F7696" w:rsidRDefault="005F7696" w:rsidP="00C472D7">
            <w:pPr>
              <w:pStyle w:val="ListParagraph"/>
              <w:numPr>
                <w:ilvl w:val="0"/>
                <w:numId w:val="69"/>
              </w:numPr>
              <w:spacing w:before="0" w:after="0"/>
              <w:ind w:left="170" w:hanging="170"/>
              <w:jc w:val="left"/>
            </w:pPr>
            <w:r>
              <w:t>HREC Amendment through Ethics Review Manager (ERM)</w:t>
            </w:r>
          </w:p>
          <w:p w14:paraId="49D74617" w14:textId="77777777" w:rsidR="005F7696" w:rsidRDefault="005F7696" w:rsidP="00C472D7">
            <w:pPr>
              <w:pStyle w:val="ListParagraph"/>
              <w:numPr>
                <w:ilvl w:val="0"/>
                <w:numId w:val="69"/>
              </w:numPr>
              <w:spacing w:before="0" w:after="0"/>
              <w:ind w:left="170" w:hanging="170"/>
              <w:jc w:val="left"/>
            </w:pPr>
            <w:r>
              <w:t xml:space="preserve">Copy of NSW PHSREC approval letter </w:t>
            </w:r>
          </w:p>
        </w:tc>
      </w:tr>
      <w:tr w:rsidR="005F7696" w14:paraId="4BC72CE4" w14:textId="77777777" w:rsidTr="000853E1">
        <w:tc>
          <w:tcPr>
            <w:tcW w:w="1413" w:type="dxa"/>
            <w:vMerge/>
            <w:tcMar>
              <w:top w:w="28" w:type="dxa"/>
              <w:bottom w:w="28" w:type="dxa"/>
            </w:tcMar>
          </w:tcPr>
          <w:p w14:paraId="7E635D2D" w14:textId="77777777" w:rsidR="005F7696" w:rsidRDefault="005F7696" w:rsidP="000853E1">
            <w:pPr>
              <w:spacing w:before="0" w:after="0"/>
              <w:jc w:val="left"/>
            </w:pPr>
          </w:p>
        </w:tc>
        <w:tc>
          <w:tcPr>
            <w:tcW w:w="3118" w:type="dxa"/>
            <w:tcMar>
              <w:top w:w="28" w:type="dxa"/>
              <w:bottom w:w="28" w:type="dxa"/>
            </w:tcMar>
          </w:tcPr>
          <w:p w14:paraId="44FA8C32" w14:textId="77777777" w:rsidR="005F7696" w:rsidRDefault="005F7696" w:rsidP="000853E1">
            <w:pPr>
              <w:spacing w:before="0" w:after="0"/>
              <w:jc w:val="left"/>
            </w:pPr>
            <w:r>
              <w:t>TDLU</w:t>
            </w:r>
          </w:p>
        </w:tc>
        <w:tc>
          <w:tcPr>
            <w:tcW w:w="4536" w:type="dxa"/>
            <w:tcMar>
              <w:top w:w="28" w:type="dxa"/>
              <w:bottom w:w="28" w:type="dxa"/>
            </w:tcMar>
          </w:tcPr>
          <w:p w14:paraId="5AE135F3" w14:textId="77777777" w:rsidR="005F7696" w:rsidRDefault="005F7696" w:rsidP="00C472D7">
            <w:pPr>
              <w:pStyle w:val="ListParagraph"/>
              <w:numPr>
                <w:ilvl w:val="0"/>
                <w:numId w:val="69"/>
              </w:numPr>
              <w:spacing w:before="0" w:after="0"/>
              <w:ind w:left="170" w:hanging="170"/>
              <w:jc w:val="left"/>
            </w:pPr>
            <w:r>
              <w:t>Copies of TAS &amp; NSW HREC approval letters</w:t>
            </w:r>
          </w:p>
          <w:p w14:paraId="0CDF98AD" w14:textId="77777777" w:rsidR="005F7696" w:rsidRDefault="005F7696" w:rsidP="00C472D7">
            <w:pPr>
              <w:pStyle w:val="ListParagraph"/>
              <w:numPr>
                <w:ilvl w:val="0"/>
                <w:numId w:val="69"/>
              </w:numPr>
              <w:spacing w:before="0" w:after="0"/>
              <w:ind w:left="170" w:hanging="170"/>
              <w:jc w:val="left"/>
            </w:pPr>
            <w:r>
              <w:t>TDLU ‘Deed of Confidentiality and Compliance’ signed by all researchers</w:t>
            </w:r>
          </w:p>
          <w:p w14:paraId="78F0DFD0" w14:textId="77777777" w:rsidR="005F7696" w:rsidRDefault="005F7696" w:rsidP="00C472D7">
            <w:pPr>
              <w:pStyle w:val="ListParagraph"/>
              <w:numPr>
                <w:ilvl w:val="0"/>
                <w:numId w:val="69"/>
              </w:numPr>
              <w:spacing w:before="0" w:after="0"/>
              <w:ind w:left="170" w:hanging="170"/>
              <w:jc w:val="left"/>
            </w:pPr>
            <w:r>
              <w:t>TDLU Security Checklist for Researchers completed by all researchers</w:t>
            </w:r>
          </w:p>
        </w:tc>
      </w:tr>
    </w:tbl>
    <w:p w14:paraId="33120A42" w14:textId="77777777" w:rsidR="005F7696" w:rsidRDefault="005F7696" w:rsidP="009E6BD0">
      <w:pPr>
        <w:pStyle w:val="BodyText0"/>
      </w:pPr>
    </w:p>
    <w:p w14:paraId="333F4424" w14:textId="77777777" w:rsidR="005F7696" w:rsidRPr="00573547" w:rsidRDefault="005F7696" w:rsidP="005F7696">
      <w:pPr>
        <w:pStyle w:val="Heading2"/>
        <w:spacing w:line="240" w:lineRule="auto"/>
        <w:jc w:val="left"/>
      </w:pPr>
      <w:bookmarkStart w:id="796" w:name="_Toc124762794"/>
      <w:bookmarkStart w:id="797" w:name="_Hlk113006481"/>
      <w:bookmarkStart w:id="798" w:name="_Toc34753641"/>
      <w:r w:rsidRPr="00573547">
        <w:t>Use of linked data</w:t>
      </w:r>
      <w:bookmarkEnd w:id="796"/>
    </w:p>
    <w:p w14:paraId="1D25F0E6" w14:textId="2BBC1612" w:rsidR="005F7696" w:rsidRDefault="005F7696" w:rsidP="005F7696">
      <w:pPr>
        <w:pStyle w:val="2012TechReportBodytext"/>
      </w:pPr>
      <w:r w:rsidRPr="00E637F9">
        <w:t xml:space="preserve">A total of </w:t>
      </w:r>
      <w:r w:rsidR="00A93BF0" w:rsidRPr="00E637F9">
        <w:t xml:space="preserve">264 </w:t>
      </w:r>
      <w:r w:rsidRPr="00E637F9">
        <w:t>projects have requested linked health record data to date</w:t>
      </w:r>
      <w:r w:rsidR="00E637F9" w:rsidRPr="00E637F9">
        <w:t xml:space="preserve"> and 111</w:t>
      </w:r>
      <w:r w:rsidRPr="00E637F9">
        <w:t xml:space="preserve"> ALSWH publications have used linked data. Table 5-9 shows the numbers of approved ALSWH projects, and researchers who have requested linked data for their analyses.</w:t>
      </w:r>
      <w:r>
        <w:t xml:space="preserve"> </w:t>
      </w:r>
    </w:p>
    <w:p w14:paraId="3B2EE63E" w14:textId="77777777" w:rsidR="006D3773" w:rsidRDefault="006D3773" w:rsidP="005F7696">
      <w:pPr>
        <w:pStyle w:val="2012TechReportBodytext"/>
      </w:pPr>
    </w:p>
    <w:p w14:paraId="53975689" w14:textId="6CE48A56" w:rsidR="005F7696" w:rsidRDefault="005F7696" w:rsidP="0000266C">
      <w:pPr>
        <w:pStyle w:val="Caption"/>
      </w:pPr>
      <w:bookmarkStart w:id="799" w:name="_Toc56156877"/>
      <w:r>
        <w:t xml:space="preserve">Table </w:t>
      </w:r>
      <w:r>
        <w:fldChar w:fldCharType="begin"/>
      </w:r>
      <w:r>
        <w:instrText>STYLEREF 1 \s</w:instrText>
      </w:r>
      <w:r>
        <w:fldChar w:fldCharType="separate"/>
      </w:r>
      <w:r w:rsidR="007D19D7">
        <w:rPr>
          <w:noProof/>
        </w:rPr>
        <w:t>5</w:t>
      </w:r>
      <w:r>
        <w:fldChar w:fldCharType="end"/>
      </w:r>
      <w:r>
        <w:noBreakHyphen/>
        <w:t xml:space="preserve">9 Linked health record data requested in approved ALSWH </w:t>
      </w:r>
      <w:proofErr w:type="spellStart"/>
      <w:r>
        <w:t>EoIs</w:t>
      </w:r>
      <w:proofErr w:type="spellEnd"/>
      <w:r>
        <w:t xml:space="preserve"> (</w:t>
      </w:r>
      <w:proofErr w:type="gramStart"/>
      <w:r w:rsidRPr="00A93BF0">
        <w:t>at</w:t>
      </w:r>
      <w:proofErr w:type="gramEnd"/>
      <w:r w:rsidRPr="00A93BF0">
        <w:t xml:space="preserve"> </w:t>
      </w:r>
      <w:r w:rsidR="00A93BF0" w:rsidRPr="00E637F9">
        <w:t>5 September</w:t>
      </w:r>
      <w:r w:rsidRPr="00E637F9">
        <w:t xml:space="preserve"> 202</w:t>
      </w:r>
      <w:r w:rsidR="00A93BF0" w:rsidRPr="00A93BF0">
        <w:t>2</w:t>
      </w:r>
      <w:r>
        <w:t>)</w:t>
      </w:r>
      <w:bookmarkEnd w:id="799"/>
    </w:p>
    <w:tbl>
      <w:tblPr>
        <w:tblStyle w:val="TableGrid"/>
        <w:tblW w:w="9209" w:type="dxa"/>
        <w:tblLayout w:type="fixed"/>
        <w:tblLook w:val="04A0" w:firstRow="1" w:lastRow="0" w:firstColumn="1" w:lastColumn="0" w:noHBand="0" w:noVBand="1"/>
      </w:tblPr>
      <w:tblGrid>
        <w:gridCol w:w="2405"/>
        <w:gridCol w:w="1134"/>
        <w:gridCol w:w="1134"/>
        <w:gridCol w:w="1134"/>
        <w:gridCol w:w="1134"/>
        <w:gridCol w:w="1134"/>
        <w:gridCol w:w="1134"/>
      </w:tblGrid>
      <w:tr w:rsidR="005F7696" w:rsidRPr="003451AE" w14:paraId="4516B6C9" w14:textId="77777777" w:rsidTr="000853E1">
        <w:tc>
          <w:tcPr>
            <w:tcW w:w="2405" w:type="dxa"/>
            <w:vMerge w:val="restart"/>
            <w:tcBorders>
              <w:right w:val="single" w:sz="4" w:space="0" w:color="auto"/>
            </w:tcBorders>
            <w:shd w:val="clear" w:color="auto" w:fill="E5DFEC" w:themeFill="accent4" w:themeFillTint="33"/>
            <w:vAlign w:val="center"/>
          </w:tcPr>
          <w:p w14:paraId="6FDF9B56" w14:textId="77777777" w:rsidR="005F7696" w:rsidRPr="003451AE" w:rsidRDefault="005F7696" w:rsidP="000853E1">
            <w:pPr>
              <w:spacing w:before="0" w:after="0"/>
              <w:ind w:left="-57" w:right="-57"/>
              <w:jc w:val="center"/>
              <w:rPr>
                <w:b/>
                <w:szCs w:val="20"/>
              </w:rPr>
            </w:pPr>
            <w:r w:rsidRPr="003451AE">
              <w:rPr>
                <w:b/>
                <w:szCs w:val="20"/>
              </w:rPr>
              <w:t>Collection</w:t>
            </w:r>
            <w:r>
              <w:rPr>
                <w:b/>
                <w:szCs w:val="20"/>
              </w:rPr>
              <w:t xml:space="preserve"> type</w:t>
            </w:r>
          </w:p>
        </w:tc>
        <w:tc>
          <w:tcPr>
            <w:tcW w:w="2268" w:type="dxa"/>
            <w:gridSpan w:val="2"/>
            <w:tcBorders>
              <w:left w:val="single" w:sz="4" w:space="0" w:color="auto"/>
              <w:bottom w:val="nil"/>
              <w:right w:val="single" w:sz="4" w:space="0" w:color="auto"/>
            </w:tcBorders>
            <w:shd w:val="clear" w:color="auto" w:fill="E5DFEC" w:themeFill="accent4" w:themeFillTint="33"/>
            <w:vAlign w:val="center"/>
          </w:tcPr>
          <w:p w14:paraId="70571CB6" w14:textId="28748970" w:rsidR="005F7696" w:rsidRDefault="005F7696" w:rsidP="000853E1">
            <w:pPr>
              <w:spacing w:before="0" w:after="0"/>
              <w:ind w:right="-57"/>
              <w:jc w:val="center"/>
              <w:rPr>
                <w:b/>
                <w:szCs w:val="20"/>
              </w:rPr>
            </w:pPr>
            <w:r>
              <w:rPr>
                <w:b/>
                <w:szCs w:val="20"/>
              </w:rPr>
              <w:t xml:space="preserve">Projects </w:t>
            </w:r>
          </w:p>
        </w:tc>
        <w:tc>
          <w:tcPr>
            <w:tcW w:w="2268" w:type="dxa"/>
            <w:gridSpan w:val="2"/>
            <w:tcBorders>
              <w:left w:val="single" w:sz="4" w:space="0" w:color="auto"/>
              <w:bottom w:val="nil"/>
              <w:right w:val="single" w:sz="4" w:space="0" w:color="auto"/>
            </w:tcBorders>
            <w:shd w:val="clear" w:color="auto" w:fill="E5DFEC" w:themeFill="accent4" w:themeFillTint="33"/>
            <w:vAlign w:val="center"/>
          </w:tcPr>
          <w:p w14:paraId="58F576AA" w14:textId="19C962A9" w:rsidR="005F7696" w:rsidRDefault="005F7696" w:rsidP="000853E1">
            <w:pPr>
              <w:spacing w:before="40" w:after="40"/>
              <w:ind w:left="-57" w:right="-57"/>
              <w:jc w:val="center"/>
              <w:rPr>
                <w:b/>
                <w:szCs w:val="20"/>
              </w:rPr>
            </w:pPr>
            <w:r>
              <w:rPr>
                <w:b/>
                <w:szCs w:val="20"/>
              </w:rPr>
              <w:t xml:space="preserve">Users </w:t>
            </w:r>
          </w:p>
        </w:tc>
        <w:tc>
          <w:tcPr>
            <w:tcW w:w="2268" w:type="dxa"/>
            <w:gridSpan w:val="2"/>
            <w:tcBorders>
              <w:left w:val="single" w:sz="4" w:space="0" w:color="auto"/>
              <w:bottom w:val="nil"/>
            </w:tcBorders>
            <w:shd w:val="clear" w:color="auto" w:fill="E5DFEC" w:themeFill="accent4" w:themeFillTint="33"/>
            <w:vAlign w:val="center"/>
          </w:tcPr>
          <w:p w14:paraId="5BD63E09" w14:textId="5DDAA01F" w:rsidR="005F7696" w:rsidRDefault="005F7696" w:rsidP="000853E1">
            <w:pPr>
              <w:spacing w:before="0" w:after="0"/>
              <w:ind w:left="-57" w:right="-57"/>
              <w:jc w:val="center"/>
              <w:rPr>
                <w:b/>
                <w:szCs w:val="20"/>
              </w:rPr>
            </w:pPr>
            <w:r>
              <w:rPr>
                <w:b/>
                <w:szCs w:val="20"/>
              </w:rPr>
              <w:t xml:space="preserve">Publications </w:t>
            </w:r>
          </w:p>
        </w:tc>
      </w:tr>
      <w:tr w:rsidR="005F7696" w:rsidRPr="003451AE" w14:paraId="5900FB60" w14:textId="77777777" w:rsidTr="000853E1">
        <w:tc>
          <w:tcPr>
            <w:tcW w:w="2405" w:type="dxa"/>
            <w:vMerge/>
            <w:tcBorders>
              <w:bottom w:val="single" w:sz="4" w:space="0" w:color="auto"/>
              <w:right w:val="single" w:sz="4" w:space="0" w:color="auto"/>
            </w:tcBorders>
            <w:shd w:val="clear" w:color="auto" w:fill="E5DFEC" w:themeFill="accent4" w:themeFillTint="33"/>
            <w:vAlign w:val="center"/>
          </w:tcPr>
          <w:p w14:paraId="136F1CDB" w14:textId="77777777" w:rsidR="005F7696" w:rsidRPr="003451AE" w:rsidRDefault="005F7696" w:rsidP="000853E1">
            <w:pPr>
              <w:spacing w:before="0" w:after="0"/>
              <w:ind w:left="-57" w:right="-57"/>
              <w:jc w:val="center"/>
              <w:rPr>
                <w:b/>
                <w:szCs w:val="20"/>
              </w:rPr>
            </w:pPr>
          </w:p>
        </w:tc>
        <w:tc>
          <w:tcPr>
            <w:tcW w:w="1134" w:type="dxa"/>
            <w:tcBorders>
              <w:top w:val="nil"/>
              <w:left w:val="single" w:sz="4" w:space="0" w:color="auto"/>
              <w:bottom w:val="single" w:sz="4" w:space="0" w:color="auto"/>
              <w:right w:val="nil"/>
            </w:tcBorders>
            <w:shd w:val="clear" w:color="auto" w:fill="E5DFEC" w:themeFill="accent4" w:themeFillTint="33"/>
            <w:vAlign w:val="center"/>
          </w:tcPr>
          <w:p w14:paraId="28B2BD40" w14:textId="77777777" w:rsidR="005F7696" w:rsidRDefault="005F7696" w:rsidP="000853E1">
            <w:pPr>
              <w:spacing w:before="0" w:after="0"/>
              <w:ind w:left="-57" w:right="-57"/>
              <w:jc w:val="center"/>
              <w:rPr>
                <w:b/>
                <w:szCs w:val="20"/>
              </w:rPr>
            </w:pPr>
            <w:r>
              <w:rPr>
                <w:b/>
                <w:szCs w:val="20"/>
              </w:rPr>
              <w:t xml:space="preserve">Total </w:t>
            </w:r>
          </w:p>
        </w:tc>
        <w:tc>
          <w:tcPr>
            <w:tcW w:w="1134" w:type="dxa"/>
            <w:tcBorders>
              <w:top w:val="nil"/>
              <w:left w:val="nil"/>
              <w:bottom w:val="single" w:sz="4" w:space="0" w:color="auto"/>
              <w:right w:val="single" w:sz="4" w:space="0" w:color="auto"/>
            </w:tcBorders>
            <w:shd w:val="clear" w:color="auto" w:fill="E5DFEC" w:themeFill="accent4" w:themeFillTint="33"/>
            <w:vAlign w:val="center"/>
          </w:tcPr>
          <w:p w14:paraId="6C1302DC" w14:textId="77777777" w:rsidR="005F7696" w:rsidRDefault="005F7696" w:rsidP="000853E1">
            <w:pPr>
              <w:spacing w:before="0" w:after="0"/>
              <w:ind w:left="-57" w:right="-57"/>
              <w:jc w:val="center"/>
              <w:rPr>
                <w:b/>
                <w:szCs w:val="20"/>
              </w:rPr>
            </w:pPr>
            <w:r>
              <w:rPr>
                <w:b/>
                <w:szCs w:val="20"/>
              </w:rPr>
              <w:t>Since last report</w:t>
            </w:r>
          </w:p>
        </w:tc>
        <w:tc>
          <w:tcPr>
            <w:tcW w:w="1134" w:type="dxa"/>
            <w:tcBorders>
              <w:top w:val="nil"/>
              <w:left w:val="single" w:sz="4" w:space="0" w:color="auto"/>
              <w:bottom w:val="single" w:sz="4" w:space="0" w:color="auto"/>
              <w:right w:val="nil"/>
            </w:tcBorders>
            <w:shd w:val="clear" w:color="auto" w:fill="E5DFEC" w:themeFill="accent4" w:themeFillTint="33"/>
            <w:vAlign w:val="center"/>
          </w:tcPr>
          <w:p w14:paraId="30619E1F" w14:textId="77777777" w:rsidR="005F7696" w:rsidRDefault="005F7696" w:rsidP="000853E1">
            <w:pPr>
              <w:spacing w:before="0" w:after="0"/>
              <w:ind w:left="-57" w:right="-57"/>
              <w:jc w:val="center"/>
              <w:rPr>
                <w:b/>
                <w:szCs w:val="20"/>
              </w:rPr>
            </w:pPr>
            <w:r>
              <w:rPr>
                <w:b/>
                <w:szCs w:val="20"/>
              </w:rPr>
              <w:t xml:space="preserve">Total </w:t>
            </w:r>
          </w:p>
        </w:tc>
        <w:tc>
          <w:tcPr>
            <w:tcW w:w="1134" w:type="dxa"/>
            <w:tcBorders>
              <w:top w:val="nil"/>
              <w:left w:val="nil"/>
              <w:bottom w:val="single" w:sz="4" w:space="0" w:color="auto"/>
              <w:right w:val="single" w:sz="4" w:space="0" w:color="auto"/>
            </w:tcBorders>
            <w:shd w:val="clear" w:color="auto" w:fill="E5DFEC" w:themeFill="accent4" w:themeFillTint="33"/>
            <w:vAlign w:val="center"/>
          </w:tcPr>
          <w:p w14:paraId="2BFBC9D4" w14:textId="77777777" w:rsidR="005F7696" w:rsidRDefault="005F7696" w:rsidP="000853E1">
            <w:pPr>
              <w:spacing w:before="0" w:after="0"/>
              <w:ind w:left="-57" w:right="-57"/>
              <w:jc w:val="center"/>
              <w:rPr>
                <w:b/>
                <w:szCs w:val="20"/>
              </w:rPr>
            </w:pPr>
            <w:r>
              <w:rPr>
                <w:b/>
                <w:szCs w:val="20"/>
              </w:rPr>
              <w:t>Since last report</w:t>
            </w:r>
          </w:p>
        </w:tc>
        <w:tc>
          <w:tcPr>
            <w:tcW w:w="1134" w:type="dxa"/>
            <w:tcBorders>
              <w:top w:val="nil"/>
              <w:left w:val="single" w:sz="4" w:space="0" w:color="auto"/>
              <w:bottom w:val="single" w:sz="4" w:space="0" w:color="auto"/>
              <w:right w:val="nil"/>
            </w:tcBorders>
            <w:shd w:val="clear" w:color="auto" w:fill="E5DFEC" w:themeFill="accent4" w:themeFillTint="33"/>
            <w:vAlign w:val="center"/>
          </w:tcPr>
          <w:p w14:paraId="757A9730" w14:textId="77777777" w:rsidR="005F7696" w:rsidRDefault="005F7696" w:rsidP="000853E1">
            <w:pPr>
              <w:spacing w:before="0" w:after="0"/>
              <w:ind w:left="-57" w:right="-57"/>
              <w:jc w:val="center"/>
              <w:rPr>
                <w:b/>
                <w:szCs w:val="20"/>
              </w:rPr>
            </w:pPr>
            <w:r>
              <w:rPr>
                <w:b/>
                <w:szCs w:val="20"/>
              </w:rPr>
              <w:t xml:space="preserve">Total </w:t>
            </w:r>
          </w:p>
        </w:tc>
        <w:tc>
          <w:tcPr>
            <w:tcW w:w="1134" w:type="dxa"/>
            <w:tcBorders>
              <w:top w:val="nil"/>
              <w:left w:val="nil"/>
              <w:bottom w:val="single" w:sz="4" w:space="0" w:color="auto"/>
            </w:tcBorders>
            <w:shd w:val="clear" w:color="auto" w:fill="E5DFEC" w:themeFill="accent4" w:themeFillTint="33"/>
            <w:vAlign w:val="center"/>
          </w:tcPr>
          <w:p w14:paraId="7B071015" w14:textId="77777777" w:rsidR="005F7696" w:rsidRDefault="005F7696" w:rsidP="000853E1">
            <w:pPr>
              <w:spacing w:before="0" w:after="0"/>
              <w:ind w:left="-57" w:right="-57"/>
              <w:jc w:val="center"/>
              <w:rPr>
                <w:b/>
                <w:szCs w:val="20"/>
              </w:rPr>
            </w:pPr>
            <w:r>
              <w:rPr>
                <w:b/>
                <w:szCs w:val="20"/>
              </w:rPr>
              <w:t>Since last report</w:t>
            </w:r>
          </w:p>
        </w:tc>
      </w:tr>
      <w:tr w:rsidR="005F7696" w:rsidRPr="003451AE" w14:paraId="4F08316B" w14:textId="77777777" w:rsidTr="000853E1">
        <w:tc>
          <w:tcPr>
            <w:tcW w:w="2405" w:type="dxa"/>
            <w:tcBorders>
              <w:bottom w:val="nil"/>
              <w:right w:val="single" w:sz="4" w:space="0" w:color="auto"/>
            </w:tcBorders>
            <w:shd w:val="clear" w:color="auto" w:fill="auto"/>
            <w:tcMar>
              <w:top w:w="28" w:type="dxa"/>
              <w:bottom w:w="28" w:type="dxa"/>
            </w:tcMar>
          </w:tcPr>
          <w:p w14:paraId="15B8748F" w14:textId="77777777" w:rsidR="005F7696" w:rsidRPr="003451AE" w:rsidRDefault="005F7696" w:rsidP="000853E1">
            <w:pPr>
              <w:spacing w:before="0" w:after="0"/>
              <w:rPr>
                <w:rFonts w:cs="Arial"/>
                <w:szCs w:val="20"/>
              </w:rPr>
            </w:pPr>
            <w:r w:rsidRPr="003451AE">
              <w:rPr>
                <w:rFonts w:cs="Arial"/>
                <w:szCs w:val="20"/>
              </w:rPr>
              <w:t>MBS</w:t>
            </w:r>
          </w:p>
        </w:tc>
        <w:tc>
          <w:tcPr>
            <w:tcW w:w="1134" w:type="dxa"/>
            <w:tcBorders>
              <w:left w:val="single" w:sz="3" w:space="0" w:color="auto"/>
              <w:bottom w:val="nil"/>
              <w:right w:val="nil"/>
            </w:tcBorders>
            <w:shd w:val="clear" w:color="auto" w:fill="auto"/>
            <w:tcMar>
              <w:top w:w="28" w:type="dxa"/>
              <w:bottom w:w="28" w:type="dxa"/>
            </w:tcMar>
          </w:tcPr>
          <w:p w14:paraId="605C4DE4" w14:textId="273D9DFB" w:rsidR="005F7696" w:rsidRPr="003451AE" w:rsidRDefault="00A93BF0" w:rsidP="000853E1">
            <w:pPr>
              <w:spacing w:before="0" w:after="0"/>
              <w:jc w:val="right"/>
              <w:rPr>
                <w:rFonts w:cs="Arial"/>
                <w:szCs w:val="20"/>
              </w:rPr>
            </w:pPr>
            <w:r>
              <w:rPr>
                <w:rFonts w:cs="Arial"/>
                <w:szCs w:val="20"/>
              </w:rPr>
              <w:t>156</w:t>
            </w:r>
          </w:p>
        </w:tc>
        <w:tc>
          <w:tcPr>
            <w:tcW w:w="1134" w:type="dxa"/>
            <w:tcBorders>
              <w:left w:val="nil"/>
              <w:bottom w:val="nil"/>
              <w:right w:val="single" w:sz="3" w:space="0" w:color="auto"/>
            </w:tcBorders>
            <w:shd w:val="clear" w:color="auto" w:fill="auto"/>
            <w:tcMar>
              <w:top w:w="28" w:type="dxa"/>
              <w:bottom w:w="28" w:type="dxa"/>
            </w:tcMar>
          </w:tcPr>
          <w:p w14:paraId="502509A8" w14:textId="01E25C10" w:rsidR="005F7696" w:rsidRPr="003451AE" w:rsidRDefault="00A93BF0" w:rsidP="000853E1">
            <w:pPr>
              <w:spacing w:before="0" w:after="0"/>
              <w:jc w:val="right"/>
              <w:rPr>
                <w:rFonts w:cs="Arial"/>
                <w:szCs w:val="20"/>
              </w:rPr>
            </w:pPr>
            <w:r>
              <w:rPr>
                <w:rFonts w:cs="Arial"/>
                <w:szCs w:val="20"/>
              </w:rPr>
              <w:t>16</w:t>
            </w:r>
          </w:p>
        </w:tc>
        <w:tc>
          <w:tcPr>
            <w:tcW w:w="1134" w:type="dxa"/>
            <w:tcBorders>
              <w:left w:val="single" w:sz="3" w:space="0" w:color="auto"/>
              <w:bottom w:val="nil"/>
              <w:right w:val="nil"/>
            </w:tcBorders>
            <w:shd w:val="clear" w:color="auto" w:fill="auto"/>
            <w:tcMar>
              <w:top w:w="28" w:type="dxa"/>
              <w:bottom w:w="28" w:type="dxa"/>
            </w:tcMar>
          </w:tcPr>
          <w:p w14:paraId="37F0461A" w14:textId="63F275ED" w:rsidR="005F7696" w:rsidRPr="003451AE" w:rsidRDefault="005F7696" w:rsidP="000853E1">
            <w:pPr>
              <w:spacing w:before="0" w:after="0"/>
              <w:jc w:val="right"/>
              <w:rPr>
                <w:rFonts w:cs="Arial"/>
                <w:szCs w:val="20"/>
              </w:rPr>
            </w:pPr>
            <w:r>
              <w:rPr>
                <w:rFonts w:cs="Arial"/>
                <w:szCs w:val="20"/>
              </w:rPr>
              <w:t>1</w:t>
            </w:r>
            <w:r w:rsidR="00A93BF0">
              <w:rPr>
                <w:rFonts w:cs="Arial"/>
                <w:szCs w:val="20"/>
              </w:rPr>
              <w:t>62</w:t>
            </w:r>
          </w:p>
        </w:tc>
        <w:tc>
          <w:tcPr>
            <w:tcW w:w="1134" w:type="dxa"/>
            <w:tcBorders>
              <w:left w:val="nil"/>
              <w:bottom w:val="nil"/>
              <w:right w:val="single" w:sz="4" w:space="0" w:color="auto"/>
            </w:tcBorders>
            <w:shd w:val="clear" w:color="auto" w:fill="auto"/>
            <w:tcMar>
              <w:top w:w="28" w:type="dxa"/>
              <w:bottom w:w="28" w:type="dxa"/>
            </w:tcMar>
          </w:tcPr>
          <w:p w14:paraId="17BE25A5" w14:textId="67A2F411" w:rsidR="005F7696" w:rsidRPr="003451AE" w:rsidRDefault="00A93BF0" w:rsidP="000853E1">
            <w:pPr>
              <w:spacing w:before="0" w:after="0"/>
              <w:jc w:val="right"/>
              <w:rPr>
                <w:rFonts w:cs="Arial"/>
                <w:szCs w:val="20"/>
              </w:rPr>
            </w:pPr>
            <w:r>
              <w:rPr>
                <w:rFonts w:cs="Arial"/>
                <w:szCs w:val="20"/>
              </w:rPr>
              <w:t>31</w:t>
            </w:r>
          </w:p>
        </w:tc>
        <w:tc>
          <w:tcPr>
            <w:tcW w:w="1134" w:type="dxa"/>
            <w:tcBorders>
              <w:left w:val="single" w:sz="4" w:space="0" w:color="auto"/>
              <w:bottom w:val="nil"/>
              <w:right w:val="nil"/>
            </w:tcBorders>
            <w:shd w:val="clear" w:color="auto" w:fill="auto"/>
            <w:tcMar>
              <w:top w:w="28" w:type="dxa"/>
              <w:bottom w:w="28" w:type="dxa"/>
            </w:tcMar>
          </w:tcPr>
          <w:p w14:paraId="74B6E861" w14:textId="717A2164" w:rsidR="005F7696" w:rsidRPr="003451AE" w:rsidRDefault="00A93BF0" w:rsidP="000853E1">
            <w:pPr>
              <w:spacing w:before="0" w:after="0"/>
              <w:jc w:val="right"/>
              <w:rPr>
                <w:rFonts w:cs="Arial"/>
                <w:szCs w:val="20"/>
              </w:rPr>
            </w:pPr>
            <w:r>
              <w:rPr>
                <w:rFonts w:cs="Arial"/>
                <w:szCs w:val="20"/>
              </w:rPr>
              <w:t>59</w:t>
            </w:r>
          </w:p>
        </w:tc>
        <w:tc>
          <w:tcPr>
            <w:tcW w:w="1134" w:type="dxa"/>
            <w:tcBorders>
              <w:left w:val="nil"/>
              <w:bottom w:val="nil"/>
            </w:tcBorders>
            <w:shd w:val="clear" w:color="auto" w:fill="auto"/>
            <w:tcMar>
              <w:top w:w="28" w:type="dxa"/>
              <w:bottom w:w="28" w:type="dxa"/>
            </w:tcMar>
          </w:tcPr>
          <w:p w14:paraId="27FDCF58" w14:textId="755FE4C6" w:rsidR="005F7696" w:rsidRPr="003451AE" w:rsidRDefault="00A93BF0" w:rsidP="000853E1">
            <w:pPr>
              <w:spacing w:before="0" w:after="0"/>
              <w:jc w:val="right"/>
              <w:rPr>
                <w:rFonts w:cs="Arial"/>
                <w:szCs w:val="20"/>
              </w:rPr>
            </w:pPr>
            <w:r>
              <w:rPr>
                <w:rFonts w:cs="Arial"/>
                <w:szCs w:val="20"/>
              </w:rPr>
              <w:t>5</w:t>
            </w:r>
          </w:p>
        </w:tc>
      </w:tr>
      <w:tr w:rsidR="005F7696" w:rsidRPr="003451AE" w14:paraId="2FE5ECFE" w14:textId="77777777" w:rsidTr="000853E1">
        <w:tc>
          <w:tcPr>
            <w:tcW w:w="2405" w:type="dxa"/>
            <w:tcBorders>
              <w:top w:val="nil"/>
              <w:bottom w:val="nil"/>
              <w:right w:val="single" w:sz="4" w:space="0" w:color="auto"/>
            </w:tcBorders>
            <w:shd w:val="clear" w:color="auto" w:fill="auto"/>
            <w:tcMar>
              <w:top w:w="28" w:type="dxa"/>
              <w:bottom w:w="28" w:type="dxa"/>
            </w:tcMar>
          </w:tcPr>
          <w:p w14:paraId="085CB688" w14:textId="77777777" w:rsidR="005F7696" w:rsidRPr="003451AE" w:rsidRDefault="005F7696" w:rsidP="000853E1">
            <w:pPr>
              <w:spacing w:before="0" w:after="0"/>
              <w:rPr>
                <w:rFonts w:cs="Arial"/>
                <w:szCs w:val="20"/>
              </w:rPr>
            </w:pPr>
            <w:r w:rsidRPr="003451AE">
              <w:rPr>
                <w:rFonts w:cs="Arial"/>
                <w:szCs w:val="20"/>
              </w:rPr>
              <w:t>PBS</w:t>
            </w:r>
          </w:p>
        </w:tc>
        <w:tc>
          <w:tcPr>
            <w:tcW w:w="1134" w:type="dxa"/>
            <w:tcBorders>
              <w:top w:val="nil"/>
              <w:left w:val="single" w:sz="3" w:space="0" w:color="auto"/>
              <w:bottom w:val="nil"/>
              <w:right w:val="nil"/>
            </w:tcBorders>
            <w:shd w:val="clear" w:color="auto" w:fill="auto"/>
            <w:tcMar>
              <w:top w:w="28" w:type="dxa"/>
              <w:bottom w:w="28" w:type="dxa"/>
            </w:tcMar>
          </w:tcPr>
          <w:p w14:paraId="67D33F05" w14:textId="7AD86C0C" w:rsidR="005F7696" w:rsidRPr="003451AE" w:rsidRDefault="00A93BF0" w:rsidP="000853E1">
            <w:pPr>
              <w:spacing w:before="0" w:after="0"/>
              <w:jc w:val="right"/>
              <w:rPr>
                <w:rFonts w:cs="Arial"/>
                <w:szCs w:val="20"/>
              </w:rPr>
            </w:pPr>
            <w:r>
              <w:rPr>
                <w:rFonts w:cs="Arial"/>
                <w:szCs w:val="20"/>
              </w:rPr>
              <w:t>166</w:t>
            </w:r>
          </w:p>
        </w:tc>
        <w:tc>
          <w:tcPr>
            <w:tcW w:w="1134" w:type="dxa"/>
            <w:tcBorders>
              <w:top w:val="nil"/>
              <w:left w:val="nil"/>
              <w:bottom w:val="nil"/>
              <w:right w:val="single" w:sz="3" w:space="0" w:color="auto"/>
            </w:tcBorders>
            <w:shd w:val="clear" w:color="auto" w:fill="auto"/>
            <w:tcMar>
              <w:top w:w="28" w:type="dxa"/>
              <w:bottom w:w="28" w:type="dxa"/>
            </w:tcMar>
          </w:tcPr>
          <w:p w14:paraId="2E2584D3" w14:textId="5BB60CC2" w:rsidR="005F7696" w:rsidRPr="003451AE" w:rsidRDefault="00A93BF0" w:rsidP="000853E1">
            <w:pPr>
              <w:spacing w:before="0" w:after="0"/>
              <w:jc w:val="right"/>
              <w:rPr>
                <w:rFonts w:cs="Arial"/>
                <w:szCs w:val="20"/>
              </w:rPr>
            </w:pPr>
            <w:r>
              <w:rPr>
                <w:rFonts w:cs="Arial"/>
                <w:szCs w:val="20"/>
              </w:rPr>
              <w:t>24</w:t>
            </w:r>
          </w:p>
        </w:tc>
        <w:tc>
          <w:tcPr>
            <w:tcW w:w="1134" w:type="dxa"/>
            <w:tcBorders>
              <w:top w:val="nil"/>
              <w:left w:val="single" w:sz="3" w:space="0" w:color="auto"/>
              <w:bottom w:val="nil"/>
              <w:right w:val="nil"/>
            </w:tcBorders>
            <w:shd w:val="clear" w:color="auto" w:fill="auto"/>
            <w:tcMar>
              <w:top w:w="28" w:type="dxa"/>
              <w:bottom w:w="28" w:type="dxa"/>
            </w:tcMar>
          </w:tcPr>
          <w:p w14:paraId="70655C9B" w14:textId="721446D0" w:rsidR="005F7696" w:rsidRPr="003451AE" w:rsidRDefault="00A93BF0" w:rsidP="000853E1">
            <w:pPr>
              <w:spacing w:before="0" w:after="0"/>
              <w:jc w:val="right"/>
              <w:rPr>
                <w:rFonts w:cs="Arial"/>
                <w:szCs w:val="20"/>
              </w:rPr>
            </w:pPr>
            <w:r>
              <w:rPr>
                <w:rFonts w:cs="Arial"/>
                <w:szCs w:val="20"/>
              </w:rPr>
              <w:t>168</w:t>
            </w:r>
          </w:p>
        </w:tc>
        <w:tc>
          <w:tcPr>
            <w:tcW w:w="1134" w:type="dxa"/>
            <w:tcBorders>
              <w:top w:val="nil"/>
              <w:left w:val="nil"/>
              <w:bottom w:val="nil"/>
              <w:right w:val="single" w:sz="4" w:space="0" w:color="auto"/>
            </w:tcBorders>
            <w:shd w:val="clear" w:color="auto" w:fill="auto"/>
            <w:tcMar>
              <w:top w:w="28" w:type="dxa"/>
              <w:bottom w:w="28" w:type="dxa"/>
            </w:tcMar>
          </w:tcPr>
          <w:p w14:paraId="7B9E8ADC" w14:textId="0EED9FB0" w:rsidR="005F7696" w:rsidRPr="003451AE" w:rsidRDefault="00A93BF0" w:rsidP="000853E1">
            <w:pPr>
              <w:spacing w:before="0" w:after="0"/>
              <w:jc w:val="right"/>
              <w:rPr>
                <w:rFonts w:cs="Arial"/>
                <w:szCs w:val="20"/>
              </w:rPr>
            </w:pPr>
            <w:r>
              <w:rPr>
                <w:rFonts w:cs="Arial"/>
                <w:szCs w:val="20"/>
              </w:rPr>
              <w:t>26</w:t>
            </w:r>
          </w:p>
        </w:tc>
        <w:tc>
          <w:tcPr>
            <w:tcW w:w="1134" w:type="dxa"/>
            <w:tcBorders>
              <w:top w:val="nil"/>
              <w:left w:val="single" w:sz="4" w:space="0" w:color="auto"/>
              <w:bottom w:val="nil"/>
              <w:right w:val="nil"/>
            </w:tcBorders>
            <w:shd w:val="clear" w:color="auto" w:fill="auto"/>
            <w:tcMar>
              <w:top w:w="28" w:type="dxa"/>
              <w:bottom w:w="28" w:type="dxa"/>
            </w:tcMar>
          </w:tcPr>
          <w:p w14:paraId="0C421123" w14:textId="4D13DBCF" w:rsidR="005F7696" w:rsidRPr="003451AE" w:rsidRDefault="00A93BF0" w:rsidP="000853E1">
            <w:pPr>
              <w:spacing w:before="0" w:after="0"/>
              <w:jc w:val="right"/>
              <w:rPr>
                <w:rFonts w:cs="Arial"/>
                <w:szCs w:val="20"/>
              </w:rPr>
            </w:pPr>
            <w:r>
              <w:rPr>
                <w:rFonts w:cs="Arial"/>
                <w:szCs w:val="20"/>
              </w:rPr>
              <w:t>56</w:t>
            </w:r>
          </w:p>
        </w:tc>
        <w:tc>
          <w:tcPr>
            <w:tcW w:w="1134" w:type="dxa"/>
            <w:tcBorders>
              <w:top w:val="nil"/>
              <w:left w:val="nil"/>
              <w:bottom w:val="nil"/>
            </w:tcBorders>
            <w:shd w:val="clear" w:color="auto" w:fill="auto"/>
            <w:tcMar>
              <w:top w:w="28" w:type="dxa"/>
              <w:bottom w:w="28" w:type="dxa"/>
            </w:tcMar>
          </w:tcPr>
          <w:p w14:paraId="5D981EE4" w14:textId="0DE468DF" w:rsidR="005F7696" w:rsidRPr="003451AE" w:rsidRDefault="00A93BF0" w:rsidP="000853E1">
            <w:pPr>
              <w:spacing w:before="0" w:after="0"/>
              <w:jc w:val="right"/>
              <w:rPr>
                <w:rFonts w:cs="Arial"/>
                <w:szCs w:val="20"/>
              </w:rPr>
            </w:pPr>
            <w:r>
              <w:rPr>
                <w:rFonts w:cs="Arial"/>
                <w:szCs w:val="20"/>
              </w:rPr>
              <w:t>6</w:t>
            </w:r>
          </w:p>
        </w:tc>
      </w:tr>
      <w:tr w:rsidR="005F7696" w:rsidRPr="003451AE" w14:paraId="4FF74D11" w14:textId="77777777" w:rsidTr="000853E1">
        <w:tc>
          <w:tcPr>
            <w:tcW w:w="2405" w:type="dxa"/>
            <w:tcBorders>
              <w:top w:val="nil"/>
              <w:bottom w:val="nil"/>
              <w:right w:val="single" w:sz="4" w:space="0" w:color="auto"/>
            </w:tcBorders>
            <w:shd w:val="clear" w:color="auto" w:fill="auto"/>
            <w:tcMar>
              <w:top w:w="28" w:type="dxa"/>
              <w:bottom w:w="28" w:type="dxa"/>
            </w:tcMar>
          </w:tcPr>
          <w:p w14:paraId="22C18FC9" w14:textId="56373C11" w:rsidR="005F7696" w:rsidRPr="003451AE" w:rsidRDefault="005F7696" w:rsidP="000853E1">
            <w:pPr>
              <w:spacing w:before="0" w:after="0"/>
              <w:rPr>
                <w:rFonts w:cs="Arial"/>
                <w:szCs w:val="20"/>
              </w:rPr>
            </w:pPr>
            <w:r w:rsidRPr="003451AE">
              <w:rPr>
                <w:rFonts w:cs="Arial"/>
                <w:szCs w:val="20"/>
              </w:rPr>
              <w:t>C</w:t>
            </w:r>
            <w:r>
              <w:rPr>
                <w:rFonts w:cs="Arial"/>
                <w:szCs w:val="20"/>
              </w:rPr>
              <w:t>O</w:t>
            </w:r>
            <w:r w:rsidRPr="003451AE">
              <w:rPr>
                <w:rFonts w:cs="Arial"/>
                <w:szCs w:val="20"/>
              </w:rPr>
              <w:t>D</w:t>
            </w:r>
            <w:r w:rsidR="00E637F9">
              <w:rPr>
                <w:rFonts w:cs="Arial"/>
                <w:szCs w:val="20"/>
              </w:rPr>
              <w:t>*</w:t>
            </w:r>
          </w:p>
        </w:tc>
        <w:tc>
          <w:tcPr>
            <w:tcW w:w="1134" w:type="dxa"/>
            <w:tcBorders>
              <w:top w:val="nil"/>
              <w:left w:val="single" w:sz="3" w:space="0" w:color="auto"/>
              <w:bottom w:val="nil"/>
              <w:right w:val="nil"/>
            </w:tcBorders>
            <w:shd w:val="clear" w:color="auto" w:fill="auto"/>
            <w:tcMar>
              <w:top w:w="28" w:type="dxa"/>
              <w:bottom w:w="28" w:type="dxa"/>
            </w:tcMar>
          </w:tcPr>
          <w:p w14:paraId="76B5DEBE" w14:textId="0E97F03B" w:rsidR="005F7696" w:rsidRPr="003451AE" w:rsidRDefault="00A93BF0" w:rsidP="000853E1">
            <w:pPr>
              <w:spacing w:before="0" w:after="0"/>
              <w:jc w:val="right"/>
              <w:rPr>
                <w:rFonts w:cs="Arial"/>
                <w:szCs w:val="20"/>
              </w:rPr>
            </w:pPr>
            <w:r>
              <w:rPr>
                <w:rFonts w:cs="Arial"/>
                <w:szCs w:val="20"/>
              </w:rPr>
              <w:t>90</w:t>
            </w:r>
          </w:p>
        </w:tc>
        <w:tc>
          <w:tcPr>
            <w:tcW w:w="1134" w:type="dxa"/>
            <w:tcBorders>
              <w:top w:val="nil"/>
              <w:left w:val="nil"/>
              <w:bottom w:val="nil"/>
              <w:right w:val="single" w:sz="3" w:space="0" w:color="auto"/>
            </w:tcBorders>
            <w:shd w:val="clear" w:color="auto" w:fill="auto"/>
            <w:tcMar>
              <w:top w:w="28" w:type="dxa"/>
              <w:bottom w:w="28" w:type="dxa"/>
            </w:tcMar>
          </w:tcPr>
          <w:p w14:paraId="3A2F1F3A" w14:textId="75E7CA44" w:rsidR="005F7696" w:rsidRPr="003451AE" w:rsidRDefault="00A93BF0" w:rsidP="000853E1">
            <w:pPr>
              <w:spacing w:before="0" w:after="0"/>
              <w:jc w:val="right"/>
              <w:rPr>
                <w:rFonts w:cs="Arial"/>
                <w:szCs w:val="20"/>
              </w:rPr>
            </w:pPr>
            <w:r>
              <w:rPr>
                <w:rFonts w:cs="Arial"/>
                <w:szCs w:val="20"/>
              </w:rPr>
              <w:t>12</w:t>
            </w:r>
          </w:p>
        </w:tc>
        <w:tc>
          <w:tcPr>
            <w:tcW w:w="1134" w:type="dxa"/>
            <w:tcBorders>
              <w:top w:val="nil"/>
              <w:left w:val="single" w:sz="3" w:space="0" w:color="auto"/>
              <w:bottom w:val="nil"/>
              <w:right w:val="nil"/>
            </w:tcBorders>
            <w:shd w:val="clear" w:color="auto" w:fill="auto"/>
            <w:tcMar>
              <w:top w:w="28" w:type="dxa"/>
              <w:bottom w:w="28" w:type="dxa"/>
            </w:tcMar>
          </w:tcPr>
          <w:p w14:paraId="3CCDC5D1" w14:textId="584793CE" w:rsidR="005F7696" w:rsidRPr="003451AE" w:rsidRDefault="00A93BF0" w:rsidP="000853E1">
            <w:pPr>
              <w:spacing w:before="0" w:after="0"/>
              <w:jc w:val="right"/>
              <w:rPr>
                <w:rFonts w:cs="Arial"/>
                <w:szCs w:val="20"/>
              </w:rPr>
            </w:pPr>
            <w:r>
              <w:rPr>
                <w:rFonts w:cs="Arial"/>
                <w:szCs w:val="20"/>
              </w:rPr>
              <w:t>93</w:t>
            </w:r>
          </w:p>
        </w:tc>
        <w:tc>
          <w:tcPr>
            <w:tcW w:w="1134" w:type="dxa"/>
            <w:tcBorders>
              <w:top w:val="nil"/>
              <w:left w:val="nil"/>
              <w:bottom w:val="nil"/>
              <w:right w:val="single" w:sz="4" w:space="0" w:color="auto"/>
            </w:tcBorders>
            <w:shd w:val="clear" w:color="auto" w:fill="auto"/>
            <w:tcMar>
              <w:top w:w="28" w:type="dxa"/>
              <w:bottom w:w="28" w:type="dxa"/>
            </w:tcMar>
          </w:tcPr>
          <w:p w14:paraId="3D2AC349" w14:textId="4CFE1E7A" w:rsidR="005F7696" w:rsidRPr="003451AE" w:rsidRDefault="005F7696" w:rsidP="000853E1">
            <w:pPr>
              <w:spacing w:before="0" w:after="0"/>
              <w:jc w:val="right"/>
              <w:rPr>
                <w:rFonts w:cs="Arial"/>
                <w:szCs w:val="20"/>
              </w:rPr>
            </w:pPr>
            <w:r>
              <w:rPr>
                <w:rFonts w:cs="Arial"/>
                <w:szCs w:val="20"/>
              </w:rPr>
              <w:t>1</w:t>
            </w:r>
            <w:r w:rsidR="00A93BF0">
              <w:rPr>
                <w:rFonts w:cs="Arial"/>
                <w:szCs w:val="20"/>
              </w:rPr>
              <w:t>3</w:t>
            </w:r>
          </w:p>
        </w:tc>
        <w:tc>
          <w:tcPr>
            <w:tcW w:w="1134" w:type="dxa"/>
            <w:tcBorders>
              <w:top w:val="nil"/>
              <w:left w:val="single" w:sz="4" w:space="0" w:color="auto"/>
              <w:bottom w:val="nil"/>
              <w:right w:val="nil"/>
            </w:tcBorders>
            <w:shd w:val="clear" w:color="auto" w:fill="auto"/>
            <w:tcMar>
              <w:top w:w="28" w:type="dxa"/>
              <w:bottom w:w="28" w:type="dxa"/>
            </w:tcMar>
          </w:tcPr>
          <w:p w14:paraId="2C9291A0" w14:textId="4BE40397" w:rsidR="005F7696" w:rsidRPr="003451AE" w:rsidRDefault="00A93BF0" w:rsidP="000853E1">
            <w:pPr>
              <w:spacing w:before="0" w:after="0"/>
              <w:jc w:val="right"/>
              <w:rPr>
                <w:rFonts w:cs="Arial"/>
                <w:szCs w:val="20"/>
              </w:rPr>
            </w:pPr>
            <w:r>
              <w:rPr>
                <w:rFonts w:cs="Arial"/>
                <w:szCs w:val="20"/>
              </w:rPr>
              <w:t>8</w:t>
            </w:r>
          </w:p>
        </w:tc>
        <w:tc>
          <w:tcPr>
            <w:tcW w:w="1134" w:type="dxa"/>
            <w:tcBorders>
              <w:top w:val="nil"/>
              <w:left w:val="nil"/>
              <w:bottom w:val="nil"/>
            </w:tcBorders>
            <w:shd w:val="clear" w:color="auto" w:fill="auto"/>
            <w:tcMar>
              <w:top w:w="28" w:type="dxa"/>
              <w:bottom w:w="28" w:type="dxa"/>
            </w:tcMar>
          </w:tcPr>
          <w:p w14:paraId="0DE97341" w14:textId="056A8676" w:rsidR="005F7696" w:rsidRPr="003451AE" w:rsidRDefault="00A93BF0" w:rsidP="000853E1">
            <w:pPr>
              <w:spacing w:before="0" w:after="0"/>
              <w:jc w:val="right"/>
              <w:rPr>
                <w:rFonts w:cs="Arial"/>
                <w:szCs w:val="20"/>
              </w:rPr>
            </w:pPr>
            <w:r>
              <w:rPr>
                <w:rFonts w:cs="Arial"/>
                <w:szCs w:val="20"/>
              </w:rPr>
              <w:t>1</w:t>
            </w:r>
          </w:p>
        </w:tc>
      </w:tr>
      <w:tr w:rsidR="005F7696" w:rsidRPr="003451AE" w14:paraId="41BF1A8F" w14:textId="77777777" w:rsidTr="000853E1">
        <w:tc>
          <w:tcPr>
            <w:tcW w:w="2405" w:type="dxa"/>
            <w:tcBorders>
              <w:top w:val="nil"/>
              <w:bottom w:val="nil"/>
              <w:right w:val="single" w:sz="4" w:space="0" w:color="auto"/>
            </w:tcBorders>
            <w:shd w:val="clear" w:color="auto" w:fill="auto"/>
            <w:tcMar>
              <w:top w:w="28" w:type="dxa"/>
              <w:bottom w:w="28" w:type="dxa"/>
            </w:tcMar>
          </w:tcPr>
          <w:p w14:paraId="5D5477D1" w14:textId="77777777" w:rsidR="005F7696" w:rsidRPr="003451AE" w:rsidRDefault="005F7696" w:rsidP="000853E1">
            <w:pPr>
              <w:spacing w:before="0" w:after="0"/>
              <w:rPr>
                <w:rFonts w:cs="Arial"/>
                <w:szCs w:val="20"/>
              </w:rPr>
            </w:pPr>
            <w:r>
              <w:rPr>
                <w:rFonts w:cs="Arial"/>
                <w:szCs w:val="20"/>
              </w:rPr>
              <w:t>Date of Death</w:t>
            </w:r>
          </w:p>
        </w:tc>
        <w:tc>
          <w:tcPr>
            <w:tcW w:w="1134" w:type="dxa"/>
            <w:tcBorders>
              <w:top w:val="nil"/>
              <w:left w:val="single" w:sz="3" w:space="0" w:color="auto"/>
              <w:bottom w:val="nil"/>
              <w:right w:val="nil"/>
            </w:tcBorders>
            <w:shd w:val="clear" w:color="auto" w:fill="auto"/>
            <w:tcMar>
              <w:top w:w="28" w:type="dxa"/>
              <w:bottom w:w="28" w:type="dxa"/>
            </w:tcMar>
          </w:tcPr>
          <w:p w14:paraId="0C856352" w14:textId="62B4FEBC" w:rsidR="005F7696" w:rsidRDefault="00A93BF0" w:rsidP="000853E1">
            <w:pPr>
              <w:spacing w:before="0" w:after="0"/>
              <w:jc w:val="right"/>
              <w:rPr>
                <w:rFonts w:cs="Arial"/>
                <w:szCs w:val="20"/>
              </w:rPr>
            </w:pPr>
            <w:r>
              <w:rPr>
                <w:rFonts w:cs="Arial"/>
                <w:szCs w:val="20"/>
              </w:rPr>
              <w:t>22</w:t>
            </w:r>
          </w:p>
        </w:tc>
        <w:tc>
          <w:tcPr>
            <w:tcW w:w="1134" w:type="dxa"/>
            <w:tcBorders>
              <w:top w:val="nil"/>
              <w:left w:val="nil"/>
              <w:bottom w:val="nil"/>
              <w:right w:val="single" w:sz="3" w:space="0" w:color="auto"/>
            </w:tcBorders>
            <w:shd w:val="clear" w:color="auto" w:fill="auto"/>
            <w:tcMar>
              <w:top w:w="28" w:type="dxa"/>
              <w:bottom w:w="28" w:type="dxa"/>
            </w:tcMar>
          </w:tcPr>
          <w:p w14:paraId="744004D2" w14:textId="549D5008" w:rsidR="005F7696" w:rsidDel="005522C4" w:rsidRDefault="00A93BF0" w:rsidP="000853E1">
            <w:pPr>
              <w:spacing w:before="0" w:after="0"/>
              <w:jc w:val="right"/>
              <w:rPr>
                <w:rFonts w:cs="Arial"/>
                <w:szCs w:val="20"/>
              </w:rPr>
            </w:pPr>
            <w:r>
              <w:rPr>
                <w:rFonts w:cs="Arial"/>
                <w:szCs w:val="20"/>
              </w:rPr>
              <w:t>6</w:t>
            </w:r>
          </w:p>
        </w:tc>
        <w:tc>
          <w:tcPr>
            <w:tcW w:w="1134" w:type="dxa"/>
            <w:tcBorders>
              <w:top w:val="nil"/>
              <w:left w:val="single" w:sz="3" w:space="0" w:color="auto"/>
              <w:bottom w:val="nil"/>
              <w:right w:val="nil"/>
            </w:tcBorders>
            <w:shd w:val="clear" w:color="auto" w:fill="auto"/>
            <w:tcMar>
              <w:top w:w="28" w:type="dxa"/>
              <w:bottom w:w="28" w:type="dxa"/>
            </w:tcMar>
          </w:tcPr>
          <w:p w14:paraId="5705E9CB" w14:textId="321425AA" w:rsidR="005F7696" w:rsidRDefault="00A93BF0" w:rsidP="000853E1">
            <w:pPr>
              <w:spacing w:before="0" w:after="0"/>
              <w:jc w:val="right"/>
              <w:rPr>
                <w:rFonts w:cs="Arial"/>
                <w:szCs w:val="20"/>
              </w:rPr>
            </w:pPr>
            <w:r>
              <w:rPr>
                <w:rFonts w:cs="Arial"/>
                <w:szCs w:val="20"/>
              </w:rPr>
              <w:t>39</w:t>
            </w:r>
          </w:p>
        </w:tc>
        <w:tc>
          <w:tcPr>
            <w:tcW w:w="1134" w:type="dxa"/>
            <w:tcBorders>
              <w:top w:val="nil"/>
              <w:left w:val="nil"/>
              <w:bottom w:val="nil"/>
              <w:right w:val="single" w:sz="4" w:space="0" w:color="auto"/>
            </w:tcBorders>
            <w:shd w:val="clear" w:color="auto" w:fill="auto"/>
            <w:tcMar>
              <w:top w:w="28" w:type="dxa"/>
              <w:bottom w:w="28" w:type="dxa"/>
            </w:tcMar>
          </w:tcPr>
          <w:p w14:paraId="18E6F42E" w14:textId="49F5ADAB" w:rsidR="005F7696" w:rsidRDefault="00A93BF0" w:rsidP="000853E1">
            <w:pPr>
              <w:spacing w:before="0" w:after="0"/>
              <w:jc w:val="right"/>
              <w:rPr>
                <w:rFonts w:cs="Arial"/>
                <w:szCs w:val="20"/>
              </w:rPr>
            </w:pPr>
            <w:r>
              <w:rPr>
                <w:rFonts w:cs="Arial"/>
                <w:szCs w:val="20"/>
              </w:rPr>
              <w:t>10</w:t>
            </w:r>
          </w:p>
        </w:tc>
        <w:tc>
          <w:tcPr>
            <w:tcW w:w="1134" w:type="dxa"/>
            <w:tcBorders>
              <w:top w:val="nil"/>
              <w:left w:val="single" w:sz="4" w:space="0" w:color="auto"/>
              <w:bottom w:val="nil"/>
              <w:right w:val="nil"/>
            </w:tcBorders>
            <w:shd w:val="clear" w:color="auto" w:fill="auto"/>
            <w:tcMar>
              <w:top w:w="28" w:type="dxa"/>
              <w:bottom w:w="28" w:type="dxa"/>
            </w:tcMar>
          </w:tcPr>
          <w:p w14:paraId="6F323D9C" w14:textId="77777777" w:rsidR="005F7696" w:rsidRDefault="005F7696" w:rsidP="000853E1">
            <w:pPr>
              <w:spacing w:before="0" w:after="0"/>
              <w:jc w:val="right"/>
              <w:rPr>
                <w:rFonts w:cs="Arial"/>
                <w:szCs w:val="20"/>
              </w:rPr>
            </w:pPr>
            <w:r>
              <w:rPr>
                <w:rFonts w:cs="Arial"/>
                <w:szCs w:val="20"/>
              </w:rPr>
              <w:t>0</w:t>
            </w:r>
          </w:p>
        </w:tc>
        <w:tc>
          <w:tcPr>
            <w:tcW w:w="1134" w:type="dxa"/>
            <w:tcBorders>
              <w:top w:val="nil"/>
              <w:left w:val="nil"/>
              <w:bottom w:val="nil"/>
            </w:tcBorders>
            <w:shd w:val="clear" w:color="auto" w:fill="auto"/>
            <w:tcMar>
              <w:top w:w="28" w:type="dxa"/>
              <w:bottom w:w="28" w:type="dxa"/>
            </w:tcMar>
          </w:tcPr>
          <w:p w14:paraId="75726CA6" w14:textId="77777777" w:rsidR="005F7696" w:rsidRDefault="005F7696" w:rsidP="000853E1">
            <w:pPr>
              <w:spacing w:before="0" w:after="0"/>
              <w:jc w:val="right"/>
              <w:rPr>
                <w:rFonts w:cs="Arial"/>
                <w:szCs w:val="20"/>
              </w:rPr>
            </w:pPr>
            <w:r>
              <w:rPr>
                <w:rFonts w:cs="Arial"/>
                <w:szCs w:val="20"/>
              </w:rPr>
              <w:t>0</w:t>
            </w:r>
          </w:p>
        </w:tc>
      </w:tr>
      <w:tr w:rsidR="005F7696" w:rsidRPr="003451AE" w14:paraId="001BB85E" w14:textId="77777777" w:rsidTr="000853E1">
        <w:tc>
          <w:tcPr>
            <w:tcW w:w="2405" w:type="dxa"/>
            <w:tcBorders>
              <w:top w:val="nil"/>
              <w:bottom w:val="nil"/>
              <w:right w:val="single" w:sz="4" w:space="0" w:color="auto"/>
            </w:tcBorders>
            <w:shd w:val="clear" w:color="auto" w:fill="auto"/>
            <w:tcMar>
              <w:top w:w="28" w:type="dxa"/>
              <w:bottom w:w="28" w:type="dxa"/>
            </w:tcMar>
          </w:tcPr>
          <w:p w14:paraId="5B6ABC56" w14:textId="77777777" w:rsidR="005F7696" w:rsidRPr="003451AE" w:rsidRDefault="005F7696" w:rsidP="000853E1">
            <w:pPr>
              <w:spacing w:before="0" w:after="0"/>
              <w:rPr>
                <w:rFonts w:cs="Arial"/>
                <w:szCs w:val="20"/>
              </w:rPr>
            </w:pPr>
            <w:r w:rsidRPr="003451AE">
              <w:rPr>
                <w:rFonts w:cs="Arial"/>
                <w:szCs w:val="20"/>
              </w:rPr>
              <w:t>Cancer</w:t>
            </w:r>
          </w:p>
        </w:tc>
        <w:tc>
          <w:tcPr>
            <w:tcW w:w="1134" w:type="dxa"/>
            <w:tcBorders>
              <w:top w:val="nil"/>
              <w:left w:val="single" w:sz="3" w:space="0" w:color="auto"/>
              <w:bottom w:val="nil"/>
              <w:right w:val="nil"/>
            </w:tcBorders>
            <w:shd w:val="clear" w:color="auto" w:fill="auto"/>
            <w:tcMar>
              <w:top w:w="28" w:type="dxa"/>
              <w:bottom w:w="28" w:type="dxa"/>
            </w:tcMar>
          </w:tcPr>
          <w:p w14:paraId="28C807A9" w14:textId="71145AD3" w:rsidR="005F7696" w:rsidRPr="003451AE" w:rsidRDefault="00A93BF0" w:rsidP="000853E1">
            <w:pPr>
              <w:spacing w:before="0" w:after="0"/>
              <w:jc w:val="right"/>
              <w:rPr>
                <w:rFonts w:cs="Arial"/>
                <w:szCs w:val="20"/>
              </w:rPr>
            </w:pPr>
            <w:r>
              <w:rPr>
                <w:rFonts w:cs="Arial"/>
                <w:szCs w:val="20"/>
              </w:rPr>
              <w:t>36</w:t>
            </w:r>
          </w:p>
        </w:tc>
        <w:tc>
          <w:tcPr>
            <w:tcW w:w="1134" w:type="dxa"/>
            <w:tcBorders>
              <w:top w:val="nil"/>
              <w:left w:val="nil"/>
              <w:bottom w:val="nil"/>
              <w:right w:val="single" w:sz="3" w:space="0" w:color="auto"/>
            </w:tcBorders>
            <w:shd w:val="clear" w:color="auto" w:fill="auto"/>
            <w:tcMar>
              <w:top w:w="28" w:type="dxa"/>
              <w:bottom w:w="28" w:type="dxa"/>
            </w:tcMar>
          </w:tcPr>
          <w:p w14:paraId="1CDA9EC3" w14:textId="34ED4B76" w:rsidR="005F7696" w:rsidRPr="003451AE" w:rsidRDefault="00A93BF0" w:rsidP="000853E1">
            <w:pPr>
              <w:spacing w:before="0" w:after="0"/>
              <w:jc w:val="right"/>
              <w:rPr>
                <w:rFonts w:cs="Arial"/>
                <w:szCs w:val="20"/>
              </w:rPr>
            </w:pPr>
            <w:r>
              <w:rPr>
                <w:rFonts w:cs="Arial"/>
                <w:szCs w:val="20"/>
              </w:rPr>
              <w:t>8</w:t>
            </w:r>
          </w:p>
        </w:tc>
        <w:tc>
          <w:tcPr>
            <w:tcW w:w="1134" w:type="dxa"/>
            <w:tcBorders>
              <w:top w:val="nil"/>
              <w:left w:val="single" w:sz="3" w:space="0" w:color="auto"/>
              <w:bottom w:val="nil"/>
              <w:right w:val="nil"/>
            </w:tcBorders>
            <w:shd w:val="clear" w:color="auto" w:fill="auto"/>
            <w:tcMar>
              <w:top w:w="28" w:type="dxa"/>
              <w:bottom w:w="28" w:type="dxa"/>
            </w:tcMar>
          </w:tcPr>
          <w:p w14:paraId="0A095371" w14:textId="0E74BC9F" w:rsidR="005F7696" w:rsidRPr="003451AE" w:rsidRDefault="00A93BF0" w:rsidP="000853E1">
            <w:pPr>
              <w:spacing w:before="0" w:after="0"/>
              <w:jc w:val="right"/>
              <w:rPr>
                <w:rFonts w:cs="Arial"/>
                <w:szCs w:val="20"/>
              </w:rPr>
            </w:pPr>
            <w:r>
              <w:rPr>
                <w:rFonts w:cs="Arial"/>
                <w:szCs w:val="20"/>
              </w:rPr>
              <w:t>55</w:t>
            </w:r>
          </w:p>
        </w:tc>
        <w:tc>
          <w:tcPr>
            <w:tcW w:w="1134" w:type="dxa"/>
            <w:tcBorders>
              <w:top w:val="nil"/>
              <w:left w:val="nil"/>
              <w:bottom w:val="nil"/>
              <w:right w:val="single" w:sz="4" w:space="0" w:color="auto"/>
            </w:tcBorders>
            <w:shd w:val="clear" w:color="auto" w:fill="auto"/>
            <w:tcMar>
              <w:top w:w="28" w:type="dxa"/>
              <w:bottom w:w="28" w:type="dxa"/>
            </w:tcMar>
          </w:tcPr>
          <w:p w14:paraId="22D2DD29" w14:textId="2F74CF91" w:rsidR="005F7696" w:rsidRPr="003451AE" w:rsidRDefault="00A93BF0" w:rsidP="000853E1">
            <w:pPr>
              <w:spacing w:before="0" w:after="0"/>
              <w:jc w:val="right"/>
              <w:rPr>
                <w:rFonts w:cs="Arial"/>
                <w:szCs w:val="20"/>
              </w:rPr>
            </w:pPr>
            <w:r>
              <w:rPr>
                <w:rFonts w:cs="Arial"/>
                <w:szCs w:val="20"/>
              </w:rPr>
              <w:t>12</w:t>
            </w:r>
          </w:p>
        </w:tc>
        <w:tc>
          <w:tcPr>
            <w:tcW w:w="1134" w:type="dxa"/>
            <w:tcBorders>
              <w:top w:val="nil"/>
              <w:left w:val="single" w:sz="4" w:space="0" w:color="auto"/>
              <w:bottom w:val="nil"/>
              <w:right w:val="nil"/>
            </w:tcBorders>
            <w:shd w:val="clear" w:color="auto" w:fill="auto"/>
            <w:tcMar>
              <w:top w:w="28" w:type="dxa"/>
              <w:bottom w:w="28" w:type="dxa"/>
            </w:tcMar>
          </w:tcPr>
          <w:p w14:paraId="0E7B2FD6" w14:textId="2F4BC32C" w:rsidR="005F7696" w:rsidRPr="003451AE" w:rsidRDefault="00A93BF0" w:rsidP="000853E1">
            <w:pPr>
              <w:spacing w:before="0" w:after="0"/>
              <w:jc w:val="right"/>
              <w:rPr>
                <w:rFonts w:cs="Arial"/>
                <w:szCs w:val="20"/>
              </w:rPr>
            </w:pPr>
            <w:r>
              <w:rPr>
                <w:rFonts w:cs="Arial"/>
                <w:szCs w:val="20"/>
              </w:rPr>
              <w:t>6</w:t>
            </w:r>
          </w:p>
        </w:tc>
        <w:tc>
          <w:tcPr>
            <w:tcW w:w="1134" w:type="dxa"/>
            <w:tcBorders>
              <w:top w:val="nil"/>
              <w:left w:val="nil"/>
              <w:bottom w:val="nil"/>
            </w:tcBorders>
            <w:shd w:val="clear" w:color="auto" w:fill="auto"/>
            <w:tcMar>
              <w:top w:w="28" w:type="dxa"/>
              <w:bottom w:w="28" w:type="dxa"/>
            </w:tcMar>
          </w:tcPr>
          <w:p w14:paraId="26E6D23A" w14:textId="77777777" w:rsidR="005F7696" w:rsidRPr="003451AE" w:rsidRDefault="005F7696" w:rsidP="000853E1">
            <w:pPr>
              <w:spacing w:before="0" w:after="0"/>
              <w:jc w:val="right"/>
              <w:rPr>
                <w:rFonts w:cs="Arial"/>
                <w:szCs w:val="20"/>
              </w:rPr>
            </w:pPr>
            <w:r>
              <w:rPr>
                <w:rFonts w:cs="Arial"/>
                <w:szCs w:val="20"/>
              </w:rPr>
              <w:t>1</w:t>
            </w:r>
          </w:p>
        </w:tc>
      </w:tr>
      <w:tr w:rsidR="005F7696" w:rsidRPr="003451AE" w14:paraId="2FE7D9EA" w14:textId="77777777" w:rsidTr="000853E1">
        <w:tc>
          <w:tcPr>
            <w:tcW w:w="2405" w:type="dxa"/>
            <w:tcBorders>
              <w:top w:val="nil"/>
              <w:bottom w:val="nil"/>
              <w:right w:val="single" w:sz="4" w:space="0" w:color="auto"/>
            </w:tcBorders>
            <w:shd w:val="clear" w:color="auto" w:fill="auto"/>
            <w:tcMar>
              <w:top w:w="28" w:type="dxa"/>
              <w:bottom w:w="28" w:type="dxa"/>
            </w:tcMar>
          </w:tcPr>
          <w:p w14:paraId="427C9197" w14:textId="77777777" w:rsidR="005F7696" w:rsidRPr="003451AE" w:rsidRDefault="005F7696" w:rsidP="000853E1">
            <w:pPr>
              <w:spacing w:before="0" w:after="0"/>
              <w:rPr>
                <w:rFonts w:cs="Arial"/>
                <w:szCs w:val="20"/>
              </w:rPr>
            </w:pPr>
            <w:r>
              <w:rPr>
                <w:rFonts w:cs="Arial"/>
                <w:szCs w:val="20"/>
              </w:rPr>
              <w:t>Aged Care</w:t>
            </w:r>
          </w:p>
        </w:tc>
        <w:tc>
          <w:tcPr>
            <w:tcW w:w="1134" w:type="dxa"/>
            <w:tcBorders>
              <w:top w:val="nil"/>
              <w:left w:val="single" w:sz="3" w:space="0" w:color="auto"/>
              <w:bottom w:val="nil"/>
              <w:right w:val="nil"/>
            </w:tcBorders>
            <w:shd w:val="clear" w:color="auto" w:fill="auto"/>
            <w:tcMar>
              <w:top w:w="28" w:type="dxa"/>
              <w:bottom w:w="28" w:type="dxa"/>
            </w:tcMar>
          </w:tcPr>
          <w:p w14:paraId="3FEA2479" w14:textId="088B2C21" w:rsidR="005F7696" w:rsidRPr="003451AE" w:rsidRDefault="00A93BF0" w:rsidP="000853E1">
            <w:pPr>
              <w:spacing w:before="0" w:after="0"/>
              <w:jc w:val="right"/>
              <w:rPr>
                <w:rFonts w:cs="Arial"/>
                <w:szCs w:val="20"/>
              </w:rPr>
            </w:pPr>
            <w:r>
              <w:rPr>
                <w:rFonts w:cs="Arial"/>
                <w:szCs w:val="20"/>
              </w:rPr>
              <w:t>42</w:t>
            </w:r>
          </w:p>
        </w:tc>
        <w:tc>
          <w:tcPr>
            <w:tcW w:w="1134" w:type="dxa"/>
            <w:tcBorders>
              <w:top w:val="nil"/>
              <w:left w:val="nil"/>
              <w:bottom w:val="nil"/>
              <w:right w:val="single" w:sz="3" w:space="0" w:color="auto"/>
            </w:tcBorders>
            <w:shd w:val="clear" w:color="auto" w:fill="auto"/>
            <w:tcMar>
              <w:top w:w="28" w:type="dxa"/>
              <w:bottom w:w="28" w:type="dxa"/>
            </w:tcMar>
          </w:tcPr>
          <w:p w14:paraId="14861D49" w14:textId="77777777" w:rsidR="005F7696" w:rsidRPr="003451AE" w:rsidRDefault="005F7696" w:rsidP="000853E1">
            <w:pPr>
              <w:spacing w:before="0" w:after="0"/>
              <w:jc w:val="right"/>
              <w:rPr>
                <w:rFonts w:cs="Arial"/>
                <w:szCs w:val="20"/>
              </w:rPr>
            </w:pPr>
            <w:r>
              <w:rPr>
                <w:rFonts w:cs="Arial"/>
                <w:szCs w:val="20"/>
              </w:rPr>
              <w:t>3</w:t>
            </w:r>
          </w:p>
        </w:tc>
        <w:tc>
          <w:tcPr>
            <w:tcW w:w="1134" w:type="dxa"/>
            <w:tcBorders>
              <w:top w:val="nil"/>
              <w:left w:val="single" w:sz="3" w:space="0" w:color="auto"/>
              <w:bottom w:val="nil"/>
              <w:right w:val="nil"/>
            </w:tcBorders>
            <w:shd w:val="clear" w:color="auto" w:fill="auto"/>
            <w:tcMar>
              <w:top w:w="28" w:type="dxa"/>
              <w:bottom w:w="28" w:type="dxa"/>
            </w:tcMar>
          </w:tcPr>
          <w:p w14:paraId="781E3F80" w14:textId="5E28A9DB" w:rsidR="005F7696" w:rsidRPr="003451AE" w:rsidRDefault="00A93BF0" w:rsidP="000853E1">
            <w:pPr>
              <w:spacing w:before="0" w:after="0"/>
              <w:jc w:val="right"/>
              <w:rPr>
                <w:rFonts w:cs="Arial"/>
                <w:szCs w:val="20"/>
              </w:rPr>
            </w:pPr>
            <w:r>
              <w:rPr>
                <w:rFonts w:cs="Arial"/>
                <w:szCs w:val="20"/>
              </w:rPr>
              <w:t>62</w:t>
            </w:r>
          </w:p>
        </w:tc>
        <w:tc>
          <w:tcPr>
            <w:tcW w:w="1134" w:type="dxa"/>
            <w:tcBorders>
              <w:top w:val="nil"/>
              <w:left w:val="nil"/>
              <w:bottom w:val="nil"/>
              <w:right w:val="single" w:sz="4" w:space="0" w:color="auto"/>
            </w:tcBorders>
            <w:shd w:val="clear" w:color="auto" w:fill="auto"/>
            <w:tcMar>
              <w:top w:w="28" w:type="dxa"/>
              <w:bottom w:w="28" w:type="dxa"/>
            </w:tcMar>
          </w:tcPr>
          <w:p w14:paraId="3B77045E" w14:textId="5909156B" w:rsidR="005F7696" w:rsidRPr="003451AE" w:rsidRDefault="00A93BF0" w:rsidP="000853E1">
            <w:pPr>
              <w:spacing w:before="0" w:after="0"/>
              <w:jc w:val="right"/>
              <w:rPr>
                <w:rFonts w:cs="Arial"/>
                <w:szCs w:val="20"/>
              </w:rPr>
            </w:pPr>
            <w:r>
              <w:rPr>
                <w:rFonts w:cs="Arial"/>
                <w:szCs w:val="20"/>
              </w:rPr>
              <w:t>1</w:t>
            </w:r>
          </w:p>
        </w:tc>
        <w:tc>
          <w:tcPr>
            <w:tcW w:w="1134" w:type="dxa"/>
            <w:tcBorders>
              <w:top w:val="nil"/>
              <w:left w:val="single" w:sz="4" w:space="0" w:color="auto"/>
              <w:bottom w:val="nil"/>
              <w:right w:val="nil"/>
            </w:tcBorders>
            <w:shd w:val="clear" w:color="auto" w:fill="auto"/>
            <w:tcMar>
              <w:top w:w="28" w:type="dxa"/>
              <w:bottom w:w="28" w:type="dxa"/>
            </w:tcMar>
          </w:tcPr>
          <w:p w14:paraId="5FEF4F28" w14:textId="4C878210" w:rsidR="005F7696" w:rsidRPr="003451AE" w:rsidRDefault="00A93BF0" w:rsidP="000853E1">
            <w:pPr>
              <w:spacing w:before="0" w:after="0"/>
              <w:jc w:val="right"/>
              <w:rPr>
                <w:rFonts w:cs="Arial"/>
                <w:szCs w:val="20"/>
              </w:rPr>
            </w:pPr>
            <w:r>
              <w:rPr>
                <w:rFonts w:cs="Arial"/>
                <w:szCs w:val="20"/>
              </w:rPr>
              <w:t>22</w:t>
            </w:r>
          </w:p>
        </w:tc>
        <w:tc>
          <w:tcPr>
            <w:tcW w:w="1134" w:type="dxa"/>
            <w:tcBorders>
              <w:top w:val="nil"/>
              <w:left w:val="nil"/>
              <w:bottom w:val="nil"/>
            </w:tcBorders>
            <w:shd w:val="clear" w:color="auto" w:fill="auto"/>
            <w:tcMar>
              <w:top w:w="28" w:type="dxa"/>
              <w:bottom w:w="28" w:type="dxa"/>
            </w:tcMar>
          </w:tcPr>
          <w:p w14:paraId="7ABC9688" w14:textId="059571A3" w:rsidR="005F7696" w:rsidRPr="003451AE" w:rsidRDefault="00A93BF0" w:rsidP="000853E1">
            <w:pPr>
              <w:spacing w:before="0" w:after="0"/>
              <w:jc w:val="right"/>
              <w:rPr>
                <w:rFonts w:cs="Arial"/>
                <w:szCs w:val="20"/>
              </w:rPr>
            </w:pPr>
            <w:r>
              <w:rPr>
                <w:rFonts w:cs="Arial"/>
                <w:szCs w:val="20"/>
              </w:rPr>
              <w:t>4</w:t>
            </w:r>
          </w:p>
        </w:tc>
      </w:tr>
      <w:tr w:rsidR="005F7696" w:rsidRPr="003451AE" w14:paraId="69EFE9CD" w14:textId="77777777" w:rsidTr="000853E1">
        <w:tc>
          <w:tcPr>
            <w:tcW w:w="2405" w:type="dxa"/>
            <w:tcBorders>
              <w:top w:val="nil"/>
              <w:bottom w:val="nil"/>
              <w:right w:val="single" w:sz="4" w:space="0" w:color="auto"/>
            </w:tcBorders>
            <w:shd w:val="clear" w:color="auto" w:fill="auto"/>
            <w:tcMar>
              <w:top w:w="28" w:type="dxa"/>
              <w:bottom w:w="28" w:type="dxa"/>
            </w:tcMar>
          </w:tcPr>
          <w:p w14:paraId="6C9FBF3F" w14:textId="77777777" w:rsidR="005F7696" w:rsidRPr="003451AE" w:rsidRDefault="005F7696" w:rsidP="000853E1">
            <w:pPr>
              <w:spacing w:before="0" w:after="0"/>
              <w:rPr>
                <w:rFonts w:cs="Arial"/>
                <w:szCs w:val="20"/>
              </w:rPr>
            </w:pPr>
            <w:r>
              <w:rPr>
                <w:rFonts w:cs="Arial"/>
                <w:szCs w:val="20"/>
              </w:rPr>
              <w:t>Hospital Admissions</w:t>
            </w:r>
          </w:p>
        </w:tc>
        <w:tc>
          <w:tcPr>
            <w:tcW w:w="1134" w:type="dxa"/>
            <w:tcBorders>
              <w:top w:val="nil"/>
              <w:left w:val="single" w:sz="3" w:space="0" w:color="auto"/>
              <w:bottom w:val="nil"/>
              <w:right w:val="nil"/>
            </w:tcBorders>
            <w:shd w:val="clear" w:color="auto" w:fill="auto"/>
            <w:tcMar>
              <w:top w:w="28" w:type="dxa"/>
              <w:bottom w:w="28" w:type="dxa"/>
            </w:tcMar>
          </w:tcPr>
          <w:p w14:paraId="4778BA8A" w14:textId="51353B2D" w:rsidR="005F7696" w:rsidRPr="003451AE" w:rsidRDefault="00A93BF0" w:rsidP="000853E1">
            <w:pPr>
              <w:spacing w:before="0" w:after="0"/>
              <w:jc w:val="right"/>
              <w:rPr>
                <w:rFonts w:cs="Arial"/>
                <w:szCs w:val="20"/>
              </w:rPr>
            </w:pPr>
            <w:r>
              <w:rPr>
                <w:rFonts w:cs="Arial"/>
                <w:szCs w:val="20"/>
              </w:rPr>
              <w:t>113</w:t>
            </w:r>
          </w:p>
        </w:tc>
        <w:tc>
          <w:tcPr>
            <w:tcW w:w="1134" w:type="dxa"/>
            <w:tcBorders>
              <w:top w:val="nil"/>
              <w:left w:val="nil"/>
              <w:bottom w:val="nil"/>
              <w:right w:val="single" w:sz="3" w:space="0" w:color="auto"/>
            </w:tcBorders>
            <w:shd w:val="clear" w:color="auto" w:fill="auto"/>
            <w:tcMar>
              <w:top w:w="28" w:type="dxa"/>
              <w:bottom w:w="28" w:type="dxa"/>
            </w:tcMar>
          </w:tcPr>
          <w:p w14:paraId="7D991446" w14:textId="022C19B3" w:rsidR="005F7696" w:rsidRPr="003451AE" w:rsidRDefault="00A93BF0" w:rsidP="000853E1">
            <w:pPr>
              <w:spacing w:before="0" w:after="0"/>
              <w:jc w:val="right"/>
              <w:rPr>
                <w:rFonts w:cs="Arial"/>
                <w:szCs w:val="20"/>
              </w:rPr>
            </w:pPr>
            <w:r>
              <w:rPr>
                <w:rFonts w:cs="Arial"/>
                <w:szCs w:val="20"/>
              </w:rPr>
              <w:t>14</w:t>
            </w:r>
          </w:p>
        </w:tc>
        <w:tc>
          <w:tcPr>
            <w:tcW w:w="1134" w:type="dxa"/>
            <w:tcBorders>
              <w:top w:val="nil"/>
              <w:left w:val="single" w:sz="3" w:space="0" w:color="auto"/>
              <w:bottom w:val="nil"/>
              <w:right w:val="nil"/>
            </w:tcBorders>
            <w:shd w:val="clear" w:color="auto" w:fill="auto"/>
            <w:tcMar>
              <w:top w:w="28" w:type="dxa"/>
              <w:bottom w:w="28" w:type="dxa"/>
            </w:tcMar>
          </w:tcPr>
          <w:p w14:paraId="74ABC0F4" w14:textId="70E28E2A" w:rsidR="005F7696" w:rsidRPr="003451AE" w:rsidRDefault="00A93BF0" w:rsidP="000853E1">
            <w:pPr>
              <w:spacing w:before="0" w:after="0"/>
              <w:jc w:val="right"/>
              <w:rPr>
                <w:rFonts w:cs="Arial"/>
                <w:szCs w:val="20"/>
              </w:rPr>
            </w:pPr>
            <w:r>
              <w:rPr>
                <w:rFonts w:cs="Arial"/>
                <w:szCs w:val="20"/>
              </w:rPr>
              <w:t>140</w:t>
            </w:r>
          </w:p>
        </w:tc>
        <w:tc>
          <w:tcPr>
            <w:tcW w:w="1134" w:type="dxa"/>
            <w:tcBorders>
              <w:top w:val="nil"/>
              <w:left w:val="nil"/>
              <w:bottom w:val="nil"/>
              <w:right w:val="single" w:sz="4" w:space="0" w:color="auto"/>
            </w:tcBorders>
            <w:shd w:val="clear" w:color="auto" w:fill="auto"/>
            <w:tcMar>
              <w:top w:w="28" w:type="dxa"/>
              <w:bottom w:w="28" w:type="dxa"/>
            </w:tcMar>
          </w:tcPr>
          <w:p w14:paraId="7C1656D5" w14:textId="3E74CC8F" w:rsidR="005F7696" w:rsidRPr="003451AE" w:rsidRDefault="00A93BF0" w:rsidP="000853E1">
            <w:pPr>
              <w:spacing w:before="0" w:after="0"/>
              <w:jc w:val="right"/>
              <w:rPr>
                <w:rFonts w:cs="Arial"/>
                <w:szCs w:val="20"/>
              </w:rPr>
            </w:pPr>
            <w:r>
              <w:rPr>
                <w:rFonts w:cs="Arial"/>
                <w:szCs w:val="20"/>
              </w:rPr>
              <w:t>12</w:t>
            </w:r>
          </w:p>
        </w:tc>
        <w:tc>
          <w:tcPr>
            <w:tcW w:w="1134" w:type="dxa"/>
            <w:tcBorders>
              <w:top w:val="nil"/>
              <w:left w:val="single" w:sz="4" w:space="0" w:color="auto"/>
              <w:bottom w:val="nil"/>
              <w:right w:val="nil"/>
            </w:tcBorders>
            <w:shd w:val="clear" w:color="auto" w:fill="auto"/>
            <w:tcMar>
              <w:top w:w="28" w:type="dxa"/>
              <w:bottom w:w="28" w:type="dxa"/>
            </w:tcMar>
          </w:tcPr>
          <w:p w14:paraId="000E35E0" w14:textId="21D858B3" w:rsidR="005F7696" w:rsidRPr="003451AE" w:rsidRDefault="00A93BF0" w:rsidP="000853E1">
            <w:pPr>
              <w:spacing w:before="0" w:after="0"/>
              <w:jc w:val="right"/>
              <w:rPr>
                <w:rFonts w:cs="Arial"/>
                <w:szCs w:val="20"/>
              </w:rPr>
            </w:pPr>
            <w:r>
              <w:rPr>
                <w:rFonts w:cs="Arial"/>
                <w:szCs w:val="20"/>
              </w:rPr>
              <w:t>43</w:t>
            </w:r>
          </w:p>
        </w:tc>
        <w:tc>
          <w:tcPr>
            <w:tcW w:w="1134" w:type="dxa"/>
            <w:tcBorders>
              <w:top w:val="nil"/>
              <w:left w:val="nil"/>
              <w:bottom w:val="nil"/>
            </w:tcBorders>
            <w:shd w:val="clear" w:color="auto" w:fill="auto"/>
            <w:tcMar>
              <w:top w:w="28" w:type="dxa"/>
              <w:bottom w:w="28" w:type="dxa"/>
            </w:tcMar>
          </w:tcPr>
          <w:p w14:paraId="3C3575AB" w14:textId="03CFA133" w:rsidR="005F7696" w:rsidRPr="003451AE" w:rsidRDefault="00A93BF0" w:rsidP="000853E1">
            <w:pPr>
              <w:spacing w:before="0" w:after="0"/>
              <w:jc w:val="right"/>
              <w:rPr>
                <w:rFonts w:cs="Arial"/>
                <w:szCs w:val="20"/>
              </w:rPr>
            </w:pPr>
            <w:r>
              <w:rPr>
                <w:rFonts w:cs="Arial"/>
                <w:szCs w:val="20"/>
              </w:rPr>
              <w:t>5</w:t>
            </w:r>
          </w:p>
        </w:tc>
      </w:tr>
      <w:tr w:rsidR="005F7696" w:rsidRPr="003451AE" w14:paraId="138EF355" w14:textId="77777777" w:rsidTr="000853E1">
        <w:tc>
          <w:tcPr>
            <w:tcW w:w="2405" w:type="dxa"/>
            <w:tcBorders>
              <w:top w:val="nil"/>
              <w:bottom w:val="nil"/>
              <w:right w:val="single" w:sz="4" w:space="0" w:color="auto"/>
            </w:tcBorders>
            <w:shd w:val="clear" w:color="auto" w:fill="auto"/>
            <w:tcMar>
              <w:top w:w="28" w:type="dxa"/>
              <w:bottom w:w="28" w:type="dxa"/>
            </w:tcMar>
          </w:tcPr>
          <w:p w14:paraId="33E94C4B" w14:textId="77777777" w:rsidR="005F7696" w:rsidRPr="003451AE" w:rsidRDefault="005F7696" w:rsidP="000853E1">
            <w:pPr>
              <w:spacing w:before="0" w:after="0"/>
              <w:rPr>
                <w:rFonts w:cs="Arial"/>
                <w:szCs w:val="20"/>
              </w:rPr>
            </w:pPr>
            <w:r>
              <w:rPr>
                <w:rFonts w:cs="Arial"/>
                <w:szCs w:val="20"/>
              </w:rPr>
              <w:t>Perinatal Collections</w:t>
            </w:r>
          </w:p>
        </w:tc>
        <w:tc>
          <w:tcPr>
            <w:tcW w:w="1134" w:type="dxa"/>
            <w:tcBorders>
              <w:top w:val="nil"/>
              <w:left w:val="single" w:sz="3" w:space="0" w:color="auto"/>
              <w:bottom w:val="nil"/>
              <w:right w:val="nil"/>
            </w:tcBorders>
            <w:shd w:val="clear" w:color="auto" w:fill="auto"/>
            <w:tcMar>
              <w:top w:w="28" w:type="dxa"/>
              <w:bottom w:w="28" w:type="dxa"/>
            </w:tcMar>
          </w:tcPr>
          <w:p w14:paraId="1820A587" w14:textId="4F67D0A8" w:rsidR="005F7696" w:rsidRPr="003451AE" w:rsidRDefault="00A93BF0" w:rsidP="000853E1">
            <w:pPr>
              <w:spacing w:before="0" w:after="0"/>
              <w:jc w:val="right"/>
              <w:rPr>
                <w:rFonts w:cs="Arial"/>
                <w:szCs w:val="20"/>
              </w:rPr>
            </w:pPr>
            <w:r>
              <w:rPr>
                <w:rFonts w:cs="Arial"/>
                <w:szCs w:val="20"/>
              </w:rPr>
              <w:t>49</w:t>
            </w:r>
          </w:p>
        </w:tc>
        <w:tc>
          <w:tcPr>
            <w:tcW w:w="1134" w:type="dxa"/>
            <w:tcBorders>
              <w:top w:val="nil"/>
              <w:left w:val="nil"/>
              <w:bottom w:val="nil"/>
              <w:right w:val="single" w:sz="3" w:space="0" w:color="auto"/>
            </w:tcBorders>
            <w:shd w:val="clear" w:color="auto" w:fill="auto"/>
            <w:tcMar>
              <w:top w:w="28" w:type="dxa"/>
              <w:bottom w:w="28" w:type="dxa"/>
            </w:tcMar>
          </w:tcPr>
          <w:p w14:paraId="377ADC13" w14:textId="5CBCA089" w:rsidR="005F7696" w:rsidRPr="003451AE" w:rsidRDefault="00A93BF0" w:rsidP="000853E1">
            <w:pPr>
              <w:spacing w:before="0" w:after="0"/>
              <w:jc w:val="right"/>
              <w:rPr>
                <w:rFonts w:cs="Arial"/>
                <w:szCs w:val="20"/>
              </w:rPr>
            </w:pPr>
            <w:r>
              <w:rPr>
                <w:rFonts w:cs="Arial"/>
                <w:szCs w:val="20"/>
              </w:rPr>
              <w:t>5</w:t>
            </w:r>
          </w:p>
        </w:tc>
        <w:tc>
          <w:tcPr>
            <w:tcW w:w="1134" w:type="dxa"/>
            <w:tcBorders>
              <w:top w:val="nil"/>
              <w:left w:val="single" w:sz="3" w:space="0" w:color="auto"/>
              <w:bottom w:val="nil"/>
              <w:right w:val="nil"/>
            </w:tcBorders>
            <w:shd w:val="clear" w:color="auto" w:fill="auto"/>
            <w:tcMar>
              <w:top w:w="28" w:type="dxa"/>
              <w:bottom w:w="28" w:type="dxa"/>
            </w:tcMar>
          </w:tcPr>
          <w:p w14:paraId="7F5988EF" w14:textId="4B678A00" w:rsidR="005F7696" w:rsidRPr="003451AE" w:rsidRDefault="00A93BF0" w:rsidP="000853E1">
            <w:pPr>
              <w:spacing w:before="0" w:after="0"/>
              <w:jc w:val="right"/>
              <w:rPr>
                <w:rFonts w:cs="Arial"/>
                <w:szCs w:val="20"/>
              </w:rPr>
            </w:pPr>
            <w:r>
              <w:rPr>
                <w:rFonts w:cs="Arial"/>
                <w:szCs w:val="20"/>
              </w:rPr>
              <w:t>74</w:t>
            </w:r>
          </w:p>
        </w:tc>
        <w:tc>
          <w:tcPr>
            <w:tcW w:w="1134" w:type="dxa"/>
            <w:tcBorders>
              <w:top w:val="nil"/>
              <w:left w:val="nil"/>
              <w:bottom w:val="nil"/>
              <w:right w:val="single" w:sz="4" w:space="0" w:color="auto"/>
            </w:tcBorders>
            <w:shd w:val="clear" w:color="auto" w:fill="auto"/>
            <w:tcMar>
              <w:top w:w="28" w:type="dxa"/>
              <w:bottom w:w="28" w:type="dxa"/>
            </w:tcMar>
          </w:tcPr>
          <w:p w14:paraId="28E73655" w14:textId="5E2600DC" w:rsidR="005F7696" w:rsidRPr="003451AE" w:rsidRDefault="00A93BF0" w:rsidP="000853E1">
            <w:pPr>
              <w:spacing w:before="0" w:after="0"/>
              <w:jc w:val="right"/>
              <w:rPr>
                <w:rFonts w:cs="Arial"/>
                <w:szCs w:val="20"/>
              </w:rPr>
            </w:pPr>
            <w:r>
              <w:rPr>
                <w:rFonts w:cs="Arial"/>
                <w:szCs w:val="20"/>
              </w:rPr>
              <w:t>8</w:t>
            </w:r>
          </w:p>
        </w:tc>
        <w:tc>
          <w:tcPr>
            <w:tcW w:w="1134" w:type="dxa"/>
            <w:tcBorders>
              <w:top w:val="nil"/>
              <w:left w:val="single" w:sz="4" w:space="0" w:color="auto"/>
              <w:bottom w:val="nil"/>
              <w:right w:val="nil"/>
            </w:tcBorders>
            <w:shd w:val="clear" w:color="auto" w:fill="auto"/>
            <w:tcMar>
              <w:top w:w="28" w:type="dxa"/>
              <w:bottom w:w="28" w:type="dxa"/>
            </w:tcMar>
          </w:tcPr>
          <w:p w14:paraId="491C17F2" w14:textId="72FBD01C" w:rsidR="005F7696" w:rsidRPr="003451AE" w:rsidRDefault="00A93BF0" w:rsidP="000853E1">
            <w:pPr>
              <w:spacing w:before="0" w:after="0"/>
              <w:jc w:val="right"/>
              <w:rPr>
                <w:rFonts w:cs="Arial"/>
                <w:szCs w:val="20"/>
              </w:rPr>
            </w:pPr>
            <w:r>
              <w:rPr>
                <w:rFonts w:cs="Arial"/>
                <w:szCs w:val="20"/>
              </w:rPr>
              <w:t>7</w:t>
            </w:r>
          </w:p>
        </w:tc>
        <w:tc>
          <w:tcPr>
            <w:tcW w:w="1134" w:type="dxa"/>
            <w:tcBorders>
              <w:top w:val="nil"/>
              <w:left w:val="nil"/>
              <w:bottom w:val="nil"/>
            </w:tcBorders>
            <w:shd w:val="clear" w:color="auto" w:fill="auto"/>
            <w:tcMar>
              <w:top w:w="28" w:type="dxa"/>
              <w:bottom w:w="28" w:type="dxa"/>
            </w:tcMar>
          </w:tcPr>
          <w:p w14:paraId="55CF7A2D" w14:textId="416BBA5B" w:rsidR="005F7696" w:rsidRPr="003451AE" w:rsidRDefault="00A93BF0" w:rsidP="000853E1">
            <w:pPr>
              <w:spacing w:before="0" w:after="0"/>
              <w:jc w:val="right"/>
              <w:rPr>
                <w:rFonts w:cs="Arial"/>
                <w:szCs w:val="20"/>
              </w:rPr>
            </w:pPr>
            <w:r>
              <w:rPr>
                <w:rFonts w:cs="Arial"/>
                <w:szCs w:val="20"/>
              </w:rPr>
              <w:t>2</w:t>
            </w:r>
          </w:p>
        </w:tc>
      </w:tr>
      <w:tr w:rsidR="005F7696" w:rsidRPr="003451AE" w14:paraId="76812A38" w14:textId="77777777" w:rsidTr="000853E1">
        <w:tc>
          <w:tcPr>
            <w:tcW w:w="2405" w:type="dxa"/>
            <w:tcBorders>
              <w:top w:val="nil"/>
              <w:bottom w:val="single" w:sz="4" w:space="0" w:color="auto"/>
              <w:right w:val="single" w:sz="4" w:space="0" w:color="auto"/>
            </w:tcBorders>
            <w:shd w:val="clear" w:color="auto" w:fill="auto"/>
            <w:tcMar>
              <w:top w:w="28" w:type="dxa"/>
              <w:bottom w:w="28" w:type="dxa"/>
            </w:tcMar>
          </w:tcPr>
          <w:p w14:paraId="6E19B554" w14:textId="77777777" w:rsidR="005F7696" w:rsidRPr="003451AE" w:rsidRDefault="005F7696" w:rsidP="000853E1">
            <w:pPr>
              <w:spacing w:before="0" w:after="0"/>
              <w:rPr>
                <w:rFonts w:cs="Arial"/>
                <w:szCs w:val="20"/>
              </w:rPr>
            </w:pPr>
            <w:r>
              <w:rPr>
                <w:rFonts w:cs="Arial"/>
                <w:szCs w:val="20"/>
              </w:rPr>
              <w:t>Emergency Department</w:t>
            </w:r>
          </w:p>
        </w:tc>
        <w:tc>
          <w:tcPr>
            <w:tcW w:w="1134" w:type="dxa"/>
            <w:tcBorders>
              <w:top w:val="nil"/>
              <w:left w:val="single" w:sz="3" w:space="0" w:color="auto"/>
              <w:bottom w:val="single" w:sz="4" w:space="0" w:color="auto"/>
              <w:right w:val="nil"/>
            </w:tcBorders>
            <w:shd w:val="clear" w:color="auto" w:fill="auto"/>
            <w:tcMar>
              <w:top w:w="28" w:type="dxa"/>
              <w:bottom w:w="28" w:type="dxa"/>
            </w:tcMar>
          </w:tcPr>
          <w:p w14:paraId="6B4E5338" w14:textId="5CD91C62" w:rsidR="005F7696" w:rsidRPr="003451AE" w:rsidRDefault="00A93BF0" w:rsidP="000853E1">
            <w:pPr>
              <w:spacing w:before="0" w:after="0"/>
              <w:jc w:val="right"/>
              <w:rPr>
                <w:rFonts w:cs="Arial"/>
                <w:szCs w:val="20"/>
              </w:rPr>
            </w:pPr>
            <w:r>
              <w:rPr>
                <w:rFonts w:cs="Arial"/>
                <w:szCs w:val="20"/>
              </w:rPr>
              <w:t>32</w:t>
            </w:r>
          </w:p>
        </w:tc>
        <w:tc>
          <w:tcPr>
            <w:tcW w:w="1134" w:type="dxa"/>
            <w:tcBorders>
              <w:top w:val="nil"/>
              <w:left w:val="nil"/>
              <w:bottom w:val="single" w:sz="4" w:space="0" w:color="auto"/>
              <w:right w:val="single" w:sz="3" w:space="0" w:color="auto"/>
            </w:tcBorders>
            <w:shd w:val="clear" w:color="auto" w:fill="auto"/>
            <w:tcMar>
              <w:top w:w="28" w:type="dxa"/>
              <w:bottom w:w="28" w:type="dxa"/>
            </w:tcMar>
          </w:tcPr>
          <w:p w14:paraId="36DB875A" w14:textId="1022C7F3" w:rsidR="005F7696" w:rsidRPr="003451AE" w:rsidRDefault="00A93BF0" w:rsidP="000853E1">
            <w:pPr>
              <w:spacing w:before="0" w:after="0"/>
              <w:jc w:val="right"/>
              <w:rPr>
                <w:rFonts w:cs="Arial"/>
                <w:szCs w:val="20"/>
              </w:rPr>
            </w:pPr>
            <w:r>
              <w:rPr>
                <w:rFonts w:cs="Arial"/>
                <w:szCs w:val="20"/>
              </w:rPr>
              <w:t>10</w:t>
            </w:r>
          </w:p>
        </w:tc>
        <w:tc>
          <w:tcPr>
            <w:tcW w:w="1134" w:type="dxa"/>
            <w:tcBorders>
              <w:top w:val="nil"/>
              <w:left w:val="single" w:sz="3" w:space="0" w:color="auto"/>
              <w:bottom w:val="single" w:sz="3" w:space="0" w:color="auto"/>
              <w:right w:val="nil"/>
            </w:tcBorders>
            <w:shd w:val="clear" w:color="auto" w:fill="auto"/>
            <w:tcMar>
              <w:top w:w="28" w:type="dxa"/>
              <w:bottom w:w="28" w:type="dxa"/>
            </w:tcMar>
          </w:tcPr>
          <w:p w14:paraId="1EE452DA" w14:textId="215D81C8" w:rsidR="005F7696" w:rsidRPr="003451AE" w:rsidRDefault="00A93BF0" w:rsidP="000853E1">
            <w:pPr>
              <w:spacing w:before="0" w:after="0"/>
              <w:jc w:val="right"/>
              <w:rPr>
                <w:rFonts w:cs="Arial"/>
                <w:szCs w:val="20"/>
              </w:rPr>
            </w:pPr>
            <w:r>
              <w:rPr>
                <w:rFonts w:cs="Arial"/>
                <w:szCs w:val="20"/>
              </w:rPr>
              <w:t>58</w:t>
            </w:r>
          </w:p>
        </w:tc>
        <w:tc>
          <w:tcPr>
            <w:tcW w:w="1134" w:type="dxa"/>
            <w:tcBorders>
              <w:top w:val="nil"/>
              <w:left w:val="nil"/>
              <w:bottom w:val="single" w:sz="3" w:space="0" w:color="auto"/>
              <w:right w:val="single" w:sz="4" w:space="0" w:color="auto"/>
            </w:tcBorders>
            <w:shd w:val="clear" w:color="auto" w:fill="auto"/>
            <w:tcMar>
              <w:top w:w="28" w:type="dxa"/>
              <w:bottom w:w="28" w:type="dxa"/>
            </w:tcMar>
          </w:tcPr>
          <w:p w14:paraId="384B2FCA" w14:textId="1B489A98" w:rsidR="005F7696" w:rsidRPr="003451AE" w:rsidRDefault="00A93BF0" w:rsidP="000853E1">
            <w:pPr>
              <w:spacing w:before="0" w:after="0"/>
              <w:jc w:val="right"/>
              <w:rPr>
                <w:rFonts w:cs="Arial"/>
                <w:szCs w:val="20"/>
              </w:rPr>
            </w:pPr>
            <w:r>
              <w:rPr>
                <w:rFonts w:cs="Arial"/>
                <w:szCs w:val="20"/>
              </w:rPr>
              <w:t>10</w:t>
            </w:r>
          </w:p>
        </w:tc>
        <w:tc>
          <w:tcPr>
            <w:tcW w:w="1134" w:type="dxa"/>
            <w:tcBorders>
              <w:top w:val="nil"/>
              <w:left w:val="single" w:sz="4" w:space="0" w:color="auto"/>
              <w:bottom w:val="single" w:sz="3" w:space="0" w:color="auto"/>
              <w:right w:val="nil"/>
            </w:tcBorders>
            <w:shd w:val="clear" w:color="auto" w:fill="auto"/>
            <w:tcMar>
              <w:top w:w="28" w:type="dxa"/>
              <w:bottom w:w="28" w:type="dxa"/>
            </w:tcMar>
          </w:tcPr>
          <w:p w14:paraId="377533DF" w14:textId="77777777" w:rsidR="005F7696" w:rsidRPr="003451AE" w:rsidRDefault="005F7696" w:rsidP="000853E1">
            <w:pPr>
              <w:spacing w:before="0" w:after="0"/>
              <w:jc w:val="right"/>
              <w:rPr>
                <w:rFonts w:cs="Arial"/>
                <w:szCs w:val="20"/>
              </w:rPr>
            </w:pPr>
            <w:r>
              <w:rPr>
                <w:rFonts w:cs="Arial"/>
                <w:szCs w:val="20"/>
              </w:rPr>
              <w:t>1</w:t>
            </w:r>
          </w:p>
        </w:tc>
        <w:tc>
          <w:tcPr>
            <w:tcW w:w="1134" w:type="dxa"/>
            <w:tcBorders>
              <w:top w:val="nil"/>
              <w:left w:val="nil"/>
              <w:bottom w:val="single" w:sz="3" w:space="0" w:color="auto"/>
            </w:tcBorders>
            <w:shd w:val="clear" w:color="auto" w:fill="auto"/>
            <w:tcMar>
              <w:top w:w="28" w:type="dxa"/>
              <w:bottom w:w="28" w:type="dxa"/>
            </w:tcMar>
          </w:tcPr>
          <w:p w14:paraId="2653C389" w14:textId="4B5F70E4" w:rsidR="005F7696" w:rsidRPr="003451AE" w:rsidRDefault="00A93BF0" w:rsidP="000853E1">
            <w:pPr>
              <w:spacing w:before="0" w:after="0"/>
              <w:jc w:val="right"/>
              <w:rPr>
                <w:rFonts w:cs="Arial"/>
                <w:szCs w:val="20"/>
              </w:rPr>
            </w:pPr>
            <w:r>
              <w:rPr>
                <w:rFonts w:cs="Arial"/>
                <w:szCs w:val="20"/>
              </w:rPr>
              <w:t>0</w:t>
            </w:r>
          </w:p>
        </w:tc>
      </w:tr>
      <w:tr w:rsidR="005F7696" w:rsidRPr="003451AE" w14:paraId="3FCC25A9" w14:textId="77777777" w:rsidTr="000853E1">
        <w:tc>
          <w:tcPr>
            <w:tcW w:w="2405" w:type="dxa"/>
            <w:tcBorders>
              <w:right w:val="single" w:sz="4" w:space="0" w:color="auto"/>
            </w:tcBorders>
            <w:tcMar>
              <w:top w:w="28" w:type="dxa"/>
              <w:bottom w:w="28" w:type="dxa"/>
            </w:tcMar>
          </w:tcPr>
          <w:p w14:paraId="543DA32C" w14:textId="706BF29E" w:rsidR="005F7696" w:rsidRDefault="005F7696" w:rsidP="00E637F9">
            <w:pPr>
              <w:spacing w:before="0" w:after="0"/>
              <w:jc w:val="left"/>
              <w:rPr>
                <w:rFonts w:cs="Arial"/>
                <w:szCs w:val="20"/>
              </w:rPr>
            </w:pPr>
            <w:r>
              <w:rPr>
                <w:rFonts w:cs="Arial"/>
                <w:szCs w:val="20"/>
              </w:rPr>
              <w:t>TOTAL</w:t>
            </w:r>
            <w:r w:rsidR="00E637F9">
              <w:rPr>
                <w:rFonts w:cs="Arial"/>
                <w:szCs w:val="20"/>
              </w:rPr>
              <w:t>^</w:t>
            </w:r>
          </w:p>
        </w:tc>
        <w:tc>
          <w:tcPr>
            <w:tcW w:w="1134" w:type="dxa"/>
            <w:tcBorders>
              <w:top w:val="single" w:sz="4" w:space="0" w:color="auto"/>
              <w:left w:val="single" w:sz="3" w:space="0" w:color="auto"/>
              <w:right w:val="nil"/>
            </w:tcBorders>
            <w:tcMar>
              <w:top w:w="28" w:type="dxa"/>
              <w:bottom w:w="28" w:type="dxa"/>
            </w:tcMar>
          </w:tcPr>
          <w:p w14:paraId="5BA9C080" w14:textId="277AB318" w:rsidR="005F7696" w:rsidRPr="003451AE" w:rsidRDefault="00A93BF0" w:rsidP="000853E1">
            <w:pPr>
              <w:spacing w:before="0" w:after="0"/>
              <w:jc w:val="right"/>
              <w:rPr>
                <w:rFonts w:cs="Arial"/>
                <w:szCs w:val="20"/>
              </w:rPr>
            </w:pPr>
            <w:r>
              <w:rPr>
                <w:rFonts w:cs="Arial"/>
                <w:szCs w:val="20"/>
              </w:rPr>
              <w:t>264</w:t>
            </w:r>
          </w:p>
        </w:tc>
        <w:tc>
          <w:tcPr>
            <w:tcW w:w="1134" w:type="dxa"/>
            <w:tcBorders>
              <w:top w:val="single" w:sz="4" w:space="0" w:color="auto"/>
              <w:left w:val="nil"/>
              <w:right w:val="single" w:sz="4" w:space="0" w:color="auto"/>
            </w:tcBorders>
            <w:tcMar>
              <w:top w:w="28" w:type="dxa"/>
              <w:bottom w:w="28" w:type="dxa"/>
            </w:tcMar>
          </w:tcPr>
          <w:p w14:paraId="1A4ACF76" w14:textId="29357883" w:rsidR="005F7696" w:rsidRPr="003451AE" w:rsidRDefault="00A93BF0" w:rsidP="000853E1">
            <w:pPr>
              <w:spacing w:before="0" w:after="0"/>
              <w:jc w:val="right"/>
              <w:rPr>
                <w:rFonts w:cs="Arial"/>
                <w:szCs w:val="20"/>
              </w:rPr>
            </w:pPr>
            <w:r>
              <w:rPr>
                <w:rFonts w:cs="Arial"/>
                <w:szCs w:val="20"/>
              </w:rPr>
              <w:t>39</w:t>
            </w:r>
          </w:p>
        </w:tc>
        <w:tc>
          <w:tcPr>
            <w:tcW w:w="1134" w:type="dxa"/>
            <w:tcBorders>
              <w:left w:val="single" w:sz="4" w:space="0" w:color="auto"/>
              <w:right w:val="nil"/>
            </w:tcBorders>
            <w:tcMar>
              <w:top w:w="28" w:type="dxa"/>
              <w:bottom w:w="28" w:type="dxa"/>
            </w:tcMar>
          </w:tcPr>
          <w:p w14:paraId="430596FE" w14:textId="77777777" w:rsidR="005F7696" w:rsidRPr="003451AE" w:rsidRDefault="005F7696" w:rsidP="000853E1">
            <w:pPr>
              <w:spacing w:before="0" w:after="0"/>
              <w:jc w:val="right"/>
              <w:rPr>
                <w:rFonts w:cs="Arial"/>
                <w:szCs w:val="20"/>
              </w:rPr>
            </w:pPr>
            <w:r>
              <w:rPr>
                <w:rFonts w:cs="Arial"/>
                <w:szCs w:val="20"/>
              </w:rPr>
              <w:t>225</w:t>
            </w:r>
          </w:p>
        </w:tc>
        <w:tc>
          <w:tcPr>
            <w:tcW w:w="1134" w:type="dxa"/>
            <w:tcBorders>
              <w:left w:val="nil"/>
              <w:right w:val="single" w:sz="4" w:space="0" w:color="auto"/>
            </w:tcBorders>
            <w:tcMar>
              <w:top w:w="28" w:type="dxa"/>
              <w:bottom w:w="28" w:type="dxa"/>
            </w:tcMar>
          </w:tcPr>
          <w:p w14:paraId="487E5FCC" w14:textId="2066C6AF" w:rsidR="005F7696" w:rsidRPr="003451AE" w:rsidRDefault="00A93BF0" w:rsidP="000853E1">
            <w:pPr>
              <w:spacing w:before="0" w:after="0"/>
              <w:jc w:val="right"/>
              <w:rPr>
                <w:rFonts w:cs="Arial"/>
                <w:szCs w:val="20"/>
              </w:rPr>
            </w:pPr>
            <w:r>
              <w:rPr>
                <w:rFonts w:cs="Arial"/>
                <w:szCs w:val="20"/>
              </w:rPr>
              <w:t>22</w:t>
            </w:r>
          </w:p>
        </w:tc>
        <w:tc>
          <w:tcPr>
            <w:tcW w:w="1134" w:type="dxa"/>
            <w:tcBorders>
              <w:left w:val="single" w:sz="4" w:space="0" w:color="auto"/>
              <w:right w:val="nil"/>
            </w:tcBorders>
            <w:tcMar>
              <w:top w:w="28" w:type="dxa"/>
              <w:bottom w:w="28" w:type="dxa"/>
            </w:tcMar>
          </w:tcPr>
          <w:p w14:paraId="332DE090" w14:textId="77777777" w:rsidR="005F7696" w:rsidRPr="003451AE" w:rsidRDefault="005F7696" w:rsidP="000853E1">
            <w:pPr>
              <w:spacing w:before="0" w:after="0"/>
              <w:jc w:val="right"/>
              <w:rPr>
                <w:rFonts w:cs="Arial"/>
                <w:szCs w:val="20"/>
              </w:rPr>
            </w:pPr>
            <w:r>
              <w:rPr>
                <w:rFonts w:cs="Arial"/>
                <w:szCs w:val="20"/>
              </w:rPr>
              <w:t>111</w:t>
            </w:r>
          </w:p>
        </w:tc>
        <w:tc>
          <w:tcPr>
            <w:tcW w:w="1134" w:type="dxa"/>
            <w:tcBorders>
              <w:left w:val="nil"/>
            </w:tcBorders>
            <w:tcMar>
              <w:top w:w="28" w:type="dxa"/>
              <w:bottom w:w="28" w:type="dxa"/>
            </w:tcMar>
          </w:tcPr>
          <w:p w14:paraId="020CCAC9" w14:textId="21E0F08E" w:rsidR="005F7696" w:rsidRPr="003451AE" w:rsidRDefault="00A93BF0" w:rsidP="000853E1">
            <w:pPr>
              <w:spacing w:before="0" w:after="0"/>
              <w:jc w:val="right"/>
              <w:rPr>
                <w:rFonts w:cs="Arial"/>
                <w:szCs w:val="20"/>
              </w:rPr>
            </w:pPr>
            <w:r>
              <w:rPr>
                <w:rFonts w:cs="Arial"/>
                <w:szCs w:val="20"/>
              </w:rPr>
              <w:t>14</w:t>
            </w:r>
          </w:p>
        </w:tc>
      </w:tr>
    </w:tbl>
    <w:bookmarkEnd w:id="797"/>
    <w:p w14:paraId="532075A7" w14:textId="77777777" w:rsidR="00E637F9" w:rsidRPr="009558C6" w:rsidRDefault="00E637F9" w:rsidP="00E637F9">
      <w:pPr>
        <w:rPr>
          <w:sz w:val="18"/>
          <w:szCs w:val="18"/>
        </w:rPr>
      </w:pPr>
      <w:r w:rsidRPr="009558C6">
        <w:rPr>
          <w:sz w:val="18"/>
          <w:szCs w:val="18"/>
        </w:rPr>
        <w:t>*The total number of projects</w:t>
      </w:r>
      <w:r>
        <w:rPr>
          <w:sz w:val="18"/>
          <w:szCs w:val="18"/>
        </w:rPr>
        <w:t xml:space="preserve"> (</w:t>
      </w:r>
      <w:proofErr w:type="spellStart"/>
      <w:r>
        <w:rPr>
          <w:sz w:val="18"/>
          <w:szCs w:val="18"/>
        </w:rPr>
        <w:t>EoIs</w:t>
      </w:r>
      <w:proofErr w:type="spellEnd"/>
      <w:r>
        <w:rPr>
          <w:sz w:val="18"/>
          <w:szCs w:val="18"/>
        </w:rPr>
        <w:t>)</w:t>
      </w:r>
      <w:r w:rsidRPr="009558C6">
        <w:rPr>
          <w:sz w:val="18"/>
          <w:szCs w:val="18"/>
        </w:rPr>
        <w:t>, users, and publications</w:t>
      </w:r>
      <w:r>
        <w:rPr>
          <w:sz w:val="18"/>
          <w:szCs w:val="18"/>
        </w:rPr>
        <w:t xml:space="preserve"> that have</w:t>
      </w:r>
      <w:r w:rsidRPr="009558C6">
        <w:rPr>
          <w:sz w:val="18"/>
          <w:szCs w:val="18"/>
        </w:rPr>
        <w:t xml:space="preserve"> request</w:t>
      </w:r>
      <w:r>
        <w:rPr>
          <w:sz w:val="18"/>
          <w:szCs w:val="18"/>
        </w:rPr>
        <w:t>ed</w:t>
      </w:r>
      <w:r w:rsidRPr="009558C6">
        <w:rPr>
          <w:sz w:val="18"/>
          <w:szCs w:val="18"/>
        </w:rPr>
        <w:t>, us</w:t>
      </w:r>
      <w:r>
        <w:rPr>
          <w:sz w:val="18"/>
          <w:szCs w:val="18"/>
        </w:rPr>
        <w:t>ed</w:t>
      </w:r>
      <w:r w:rsidRPr="009558C6">
        <w:rPr>
          <w:sz w:val="18"/>
          <w:szCs w:val="18"/>
        </w:rPr>
        <w:t>, and repor</w:t>
      </w:r>
      <w:r>
        <w:rPr>
          <w:sz w:val="18"/>
          <w:szCs w:val="18"/>
        </w:rPr>
        <w:t>ted</w:t>
      </w:r>
      <w:r w:rsidRPr="009558C6">
        <w:rPr>
          <w:sz w:val="18"/>
          <w:szCs w:val="18"/>
        </w:rPr>
        <w:t xml:space="preserve"> </w:t>
      </w:r>
      <w:r>
        <w:rPr>
          <w:sz w:val="18"/>
          <w:szCs w:val="18"/>
        </w:rPr>
        <w:t xml:space="preserve">(respectively) </w:t>
      </w:r>
      <w:r w:rsidRPr="009558C6">
        <w:rPr>
          <w:sz w:val="18"/>
          <w:szCs w:val="18"/>
        </w:rPr>
        <w:t>Cause of Death data ha</w:t>
      </w:r>
      <w:r>
        <w:rPr>
          <w:sz w:val="18"/>
          <w:szCs w:val="18"/>
        </w:rPr>
        <w:t>ve</w:t>
      </w:r>
      <w:r w:rsidRPr="009558C6">
        <w:rPr>
          <w:sz w:val="18"/>
          <w:szCs w:val="18"/>
        </w:rPr>
        <w:t xml:space="preserve"> increased beyond the number of new instances since the last report. This </w:t>
      </w:r>
      <w:r>
        <w:rPr>
          <w:sz w:val="18"/>
          <w:szCs w:val="18"/>
        </w:rPr>
        <w:t xml:space="preserve">resulted from a review of </w:t>
      </w:r>
      <w:r w:rsidRPr="009558C6">
        <w:rPr>
          <w:sz w:val="18"/>
          <w:szCs w:val="18"/>
        </w:rPr>
        <w:t xml:space="preserve">previously closed </w:t>
      </w:r>
      <w:proofErr w:type="spellStart"/>
      <w:r w:rsidRPr="009558C6">
        <w:rPr>
          <w:sz w:val="18"/>
          <w:szCs w:val="18"/>
        </w:rPr>
        <w:t>EoIs</w:t>
      </w:r>
      <w:proofErr w:type="spellEnd"/>
      <w:r w:rsidRPr="009558C6">
        <w:rPr>
          <w:sz w:val="18"/>
          <w:szCs w:val="18"/>
        </w:rPr>
        <w:t xml:space="preserve"> that </w:t>
      </w:r>
      <w:r>
        <w:rPr>
          <w:sz w:val="18"/>
          <w:szCs w:val="18"/>
        </w:rPr>
        <w:t>revealed</w:t>
      </w:r>
      <w:r w:rsidRPr="009558C6">
        <w:rPr>
          <w:sz w:val="18"/>
          <w:szCs w:val="18"/>
        </w:rPr>
        <w:t xml:space="preserve"> </w:t>
      </w:r>
      <w:r>
        <w:rPr>
          <w:sz w:val="18"/>
          <w:szCs w:val="18"/>
        </w:rPr>
        <w:t xml:space="preserve">instances not previously </w:t>
      </w:r>
      <w:r w:rsidRPr="009558C6">
        <w:rPr>
          <w:sz w:val="18"/>
          <w:szCs w:val="18"/>
        </w:rPr>
        <w:t>reported in this table.</w:t>
      </w:r>
    </w:p>
    <w:p w14:paraId="1F4E5B24" w14:textId="77777777" w:rsidR="00E637F9" w:rsidRPr="009558C6" w:rsidRDefault="00E637F9" w:rsidP="00E637F9">
      <w:pPr>
        <w:rPr>
          <w:sz w:val="18"/>
          <w:szCs w:val="18"/>
        </w:rPr>
      </w:pPr>
      <w:r w:rsidRPr="009558C6">
        <w:rPr>
          <w:sz w:val="18"/>
          <w:szCs w:val="18"/>
        </w:rPr>
        <w:t>^Projects (</w:t>
      </w:r>
      <w:proofErr w:type="spellStart"/>
      <w:r w:rsidRPr="009558C6">
        <w:rPr>
          <w:sz w:val="18"/>
          <w:szCs w:val="18"/>
        </w:rPr>
        <w:t>EoIs</w:t>
      </w:r>
      <w:proofErr w:type="spellEnd"/>
      <w:r w:rsidRPr="009558C6">
        <w:rPr>
          <w:sz w:val="18"/>
          <w:szCs w:val="18"/>
        </w:rPr>
        <w:t xml:space="preserve">), Users, and Publications can each request, use, and report on multiple linked health record datasets. Therefore, the total value does not equal the sum of the values above. </w:t>
      </w:r>
    </w:p>
    <w:p w14:paraId="15CD976C" w14:textId="77777777" w:rsidR="005F7696" w:rsidRDefault="005F7696" w:rsidP="005F7696">
      <w:pPr>
        <w:spacing w:before="0" w:after="0"/>
      </w:pPr>
    </w:p>
    <w:p w14:paraId="0B36B83E" w14:textId="77777777" w:rsidR="005F7696" w:rsidRDefault="005F7696" w:rsidP="005F7696">
      <w:pPr>
        <w:pStyle w:val="Heading2"/>
        <w:spacing w:line="240" w:lineRule="auto"/>
        <w:jc w:val="left"/>
      </w:pPr>
      <w:bookmarkStart w:id="800" w:name="_Toc124762795"/>
      <w:r>
        <w:t>Other activities</w:t>
      </w:r>
      <w:bookmarkEnd w:id="800"/>
    </w:p>
    <w:p w14:paraId="4D46EA3B" w14:textId="772A3AEB" w:rsidR="005F7696" w:rsidRDefault="005F7696" w:rsidP="005F7696">
      <w:r>
        <w:t>In 2022, ALSWH was the only project invited to present a webinar at the P</w:t>
      </w:r>
      <w:r w:rsidR="000806FB">
        <w:t>opulation Health Research Network (P</w:t>
      </w:r>
      <w:r>
        <w:t>HRN</w:t>
      </w:r>
      <w:r w:rsidR="000806FB">
        <w:t>)</w:t>
      </w:r>
      <w:r>
        <w:t xml:space="preserve"> Client Services Forum. The objectives of the PHRN of the session were: </w:t>
      </w:r>
    </w:p>
    <w:p w14:paraId="3494ACC1" w14:textId="77777777" w:rsidR="005F7696" w:rsidRDefault="005F7696" w:rsidP="00C472D7">
      <w:pPr>
        <w:pStyle w:val="BodyText"/>
        <w:numPr>
          <w:ilvl w:val="0"/>
          <w:numId w:val="68"/>
        </w:numPr>
        <w:ind w:left="340" w:hanging="340"/>
      </w:pPr>
      <w:r>
        <w:t xml:space="preserve">To give </w:t>
      </w:r>
      <w:r>
        <w:rPr>
          <w:lang w:eastAsia="en-US"/>
        </w:rPr>
        <w:t>client</w:t>
      </w:r>
      <w:r>
        <w:t xml:space="preserve"> services officers, data linkers and data custodians the opportunity to hear the outcomes and impact of research that they have supported. </w:t>
      </w:r>
    </w:p>
    <w:p w14:paraId="46B4415A" w14:textId="77777777" w:rsidR="005F7696" w:rsidRDefault="005F7696" w:rsidP="00C472D7">
      <w:pPr>
        <w:pStyle w:val="BodyText"/>
        <w:numPr>
          <w:ilvl w:val="0"/>
          <w:numId w:val="68"/>
        </w:numPr>
        <w:ind w:left="340" w:hanging="340"/>
      </w:pPr>
      <w:r>
        <w:t>To increase the understanding of client services officers, data linkers and data custodians of the researcher experience of applying for and obtaining cross-jurisdictional linked data.</w:t>
      </w:r>
    </w:p>
    <w:p w14:paraId="0C3C005A" w14:textId="77777777" w:rsidR="005F7696" w:rsidRDefault="005F7696" w:rsidP="00C472D7">
      <w:pPr>
        <w:pStyle w:val="BodyText"/>
        <w:numPr>
          <w:ilvl w:val="0"/>
          <w:numId w:val="68"/>
        </w:numPr>
        <w:ind w:left="340" w:hanging="340"/>
      </w:pPr>
      <w:r>
        <w:t>To highlight research findings and their impact.</w:t>
      </w:r>
    </w:p>
    <w:p w14:paraId="74E62A53" w14:textId="77777777" w:rsidR="005F7696" w:rsidRDefault="005F7696" w:rsidP="005F7696">
      <w:r>
        <w:t xml:space="preserve">The ALSWH presenters were Gita Mishra, Colleen </w:t>
      </w:r>
      <w:proofErr w:type="gramStart"/>
      <w:r>
        <w:t>Loos</w:t>
      </w:r>
      <w:proofErr w:type="gramEnd"/>
      <w:r>
        <w:t xml:space="preserve"> and Leigh Tooth. The participants in the session included members of the PHRN Project Office, Client Services staff, data linkage staff, data outputs team staff, data custodians, and managers from each of the PHRN jurisdictions (WA, SA, NT, QLD, NSW, ACT, Commonwealth, VIC, TAS). (In 2021, ALSWH also participated in the PHRN Linkage Luminaries Webinar series </w:t>
      </w:r>
      <w:hyperlink r:id="rId44" w:history="1">
        <w:r w:rsidRPr="004E7BE4">
          <w:rPr>
            <w:rStyle w:val="Hyperlink"/>
          </w:rPr>
          <w:t>https://www.youtube.com/watch?v=EZ3uF27z968</w:t>
        </w:r>
      </w:hyperlink>
      <w:r>
        <w:t xml:space="preserve">). </w:t>
      </w:r>
    </w:p>
    <w:bookmarkEnd w:id="798"/>
    <w:p w14:paraId="6640B14A" w14:textId="77777777" w:rsidR="00720CC4" w:rsidRPr="00C13450" w:rsidRDefault="00720CC4" w:rsidP="00C13450"/>
    <w:p w14:paraId="54550982" w14:textId="77777777" w:rsidR="005F7696" w:rsidRDefault="005F7696" w:rsidP="005F7696">
      <w:pPr>
        <w:pStyle w:val="Heading2"/>
        <w:spacing w:line="240" w:lineRule="auto"/>
        <w:jc w:val="left"/>
      </w:pPr>
      <w:bookmarkStart w:id="801" w:name="_Toc34753643"/>
      <w:bookmarkStart w:id="802" w:name="_Toc124762796"/>
      <w:r>
        <w:lastRenderedPageBreak/>
        <w:t>Legal and ethical considerations for health record linkage</w:t>
      </w:r>
      <w:bookmarkEnd w:id="801"/>
      <w:bookmarkEnd w:id="802"/>
    </w:p>
    <w:p w14:paraId="5D5A98DE" w14:textId="77777777" w:rsidR="005F7696" w:rsidRPr="00B9354F" w:rsidRDefault="005F7696" w:rsidP="005F7696">
      <w:pPr>
        <w:pStyle w:val="2012TechReportBodytext"/>
      </w:pPr>
      <w:r>
        <w:t xml:space="preserve">This section outlines ALSWH compliance with </w:t>
      </w:r>
      <w:r w:rsidRPr="00B9354F">
        <w:t xml:space="preserve">legal and ethical requirements for health record linkage. Data security measures are as described in the </w:t>
      </w:r>
      <w:hyperlink r:id="rId45" w:history="1">
        <w:r w:rsidRPr="00B9354F">
          <w:rPr>
            <w:rStyle w:val="Hyperlink"/>
          </w:rPr>
          <w:t>2019 Technical Report.</w:t>
        </w:r>
      </w:hyperlink>
    </w:p>
    <w:p w14:paraId="77A751EA" w14:textId="77777777" w:rsidR="005F7696" w:rsidRPr="00B9354F" w:rsidRDefault="005F7696" w:rsidP="005F7696">
      <w:pPr>
        <w:pStyle w:val="Heading3"/>
        <w:spacing w:line="240" w:lineRule="auto"/>
        <w:jc w:val="left"/>
      </w:pPr>
      <w:bookmarkStart w:id="803" w:name="_Toc124762797"/>
      <w:r w:rsidRPr="00B9354F">
        <w:t>Applicable legislation and guidelines</w:t>
      </w:r>
      <w:bookmarkEnd w:id="803"/>
    </w:p>
    <w:p w14:paraId="68FE72F8" w14:textId="77777777" w:rsidR="005F7696" w:rsidRPr="00EE57B1" w:rsidRDefault="005F7696" w:rsidP="005F7696">
      <w:pPr>
        <w:pStyle w:val="2012TechReportBodytext"/>
      </w:pPr>
      <w:r w:rsidRPr="00EE57B1">
        <w:t xml:space="preserve">ALSWH is bound by the Australian Privacy Act 1988 under its contractual obligations to the Commonwealth Department of Health, which funds the Study. The Universities of Queensland and Newcastle are also subject to privacy legislation in their respective States (which is substantially </w:t>
      </w:r>
      <w:proofErr w:type="gramStart"/>
      <w:r w:rsidRPr="00EE57B1">
        <w:t>similar to</w:t>
      </w:r>
      <w:proofErr w:type="gramEnd"/>
      <w:r w:rsidRPr="00EE57B1">
        <w:t xml:space="preserve"> the national legislation). Further, to ensure best practice on our own behalf, and to maintain the compliance of organisations from which ALSWH accesses linked health records, ALSWH must adhere to the following</w:t>
      </w:r>
      <w:r>
        <w:t xml:space="preserve"> national regulations, as well as to State and Territory privacy and health privacy legislation.</w:t>
      </w:r>
    </w:p>
    <w:p w14:paraId="048D82C4" w14:textId="77777777" w:rsidR="005F7696" w:rsidRPr="00EE57B1" w:rsidRDefault="005B3C73" w:rsidP="00C472D7">
      <w:pPr>
        <w:pStyle w:val="ListParagraph"/>
        <w:numPr>
          <w:ilvl w:val="0"/>
          <w:numId w:val="63"/>
        </w:numPr>
        <w:spacing w:after="200"/>
        <w:ind w:left="340" w:hanging="340"/>
        <w:rPr>
          <w:i/>
        </w:rPr>
      </w:pPr>
      <w:hyperlink r:id="rId46" w:history="1">
        <w:r w:rsidR="005F7696" w:rsidRPr="00EE57B1">
          <w:rPr>
            <w:rStyle w:val="Hyperlink"/>
            <w:i/>
          </w:rPr>
          <w:t>NHMRC Guidelines approved under Section 95 of the Privacy Act 1988</w:t>
        </w:r>
      </w:hyperlink>
      <w:r w:rsidR="005F7696" w:rsidRPr="00EE57B1">
        <w:rPr>
          <w:i/>
        </w:rPr>
        <w:t xml:space="preserve"> (November 2014)</w:t>
      </w:r>
    </w:p>
    <w:p w14:paraId="43DE578B" w14:textId="77777777" w:rsidR="005F7696" w:rsidRPr="00EE57B1" w:rsidRDefault="005B3C73" w:rsidP="00C472D7">
      <w:pPr>
        <w:pStyle w:val="ListParagraph"/>
        <w:numPr>
          <w:ilvl w:val="0"/>
          <w:numId w:val="63"/>
        </w:numPr>
        <w:spacing w:after="200"/>
        <w:ind w:left="340" w:hanging="340"/>
      </w:pPr>
      <w:hyperlink r:id="rId47" w:history="1">
        <w:r w:rsidR="005F7696" w:rsidRPr="4BC15704">
          <w:rPr>
            <w:rStyle w:val="Hyperlink"/>
            <w:i/>
            <w:iCs/>
          </w:rPr>
          <w:t>Australian Privacy Principles (APP) guidelines</w:t>
        </w:r>
      </w:hyperlink>
      <w:r w:rsidR="005F7696" w:rsidRPr="4BC15704">
        <w:rPr>
          <w:i/>
          <w:iCs/>
        </w:rPr>
        <w:t xml:space="preserve"> (Version 1.2 July 2019) </w:t>
      </w:r>
      <w:r w:rsidR="005F7696">
        <w:t>as well as Privacy principles operating in Australian States and Territories.</w:t>
      </w:r>
    </w:p>
    <w:p w14:paraId="43D14E21" w14:textId="1E2038DD" w:rsidR="005F7696" w:rsidRPr="00EE57B1" w:rsidRDefault="005F7696" w:rsidP="00C472D7">
      <w:pPr>
        <w:pStyle w:val="ListParagraph"/>
        <w:numPr>
          <w:ilvl w:val="0"/>
          <w:numId w:val="63"/>
        </w:numPr>
        <w:spacing w:after="200"/>
        <w:ind w:left="340" w:hanging="340"/>
      </w:pPr>
      <w:r w:rsidRPr="00EE57B1">
        <w:rPr>
          <w:i/>
        </w:rPr>
        <w:t xml:space="preserve">Australian Government </w:t>
      </w:r>
      <w:hyperlink r:id="rId48" w:history="1">
        <w:r w:rsidR="00EC78C2" w:rsidRPr="00EC78C2">
          <w:rPr>
            <w:rStyle w:val="Hyperlink"/>
            <w:i/>
          </w:rPr>
          <w:t>Best Practice Guide to Applying Data Sharing Principles</w:t>
        </w:r>
        <w:r w:rsidRPr="00EC78C2">
          <w:rPr>
            <w:rStyle w:val="Hyperlink"/>
          </w:rPr>
          <w:t xml:space="preserve"> (</w:t>
        </w:r>
      </w:hyperlink>
      <w:r w:rsidRPr="00EE57B1">
        <w:t>15 March 2019)</w:t>
      </w:r>
    </w:p>
    <w:p w14:paraId="4FAF31A3" w14:textId="77777777" w:rsidR="005F7696" w:rsidRPr="00EE57B1" w:rsidRDefault="005F7696" w:rsidP="005F7696">
      <w:pPr>
        <w:pStyle w:val="BodyText"/>
      </w:pPr>
      <w:r w:rsidRPr="00EE57B1">
        <w:t>The universities and researchers conducting ALSWH are also ethically bound by:</w:t>
      </w:r>
    </w:p>
    <w:p w14:paraId="0F101867" w14:textId="77777777" w:rsidR="005F7696" w:rsidRPr="00EE57B1" w:rsidRDefault="005B3C73" w:rsidP="00C472D7">
      <w:pPr>
        <w:pStyle w:val="ListParagraph"/>
        <w:numPr>
          <w:ilvl w:val="0"/>
          <w:numId w:val="63"/>
        </w:numPr>
        <w:spacing w:after="200"/>
        <w:ind w:left="340" w:hanging="340"/>
        <w:rPr>
          <w:i/>
          <w:iCs/>
        </w:rPr>
      </w:pPr>
      <w:hyperlink r:id="rId49" w:anchor="block-views-block-file-attachments-content-block-1">
        <w:r w:rsidR="005F7696" w:rsidRPr="4BC15704">
          <w:rPr>
            <w:rStyle w:val="Hyperlink"/>
            <w:i/>
            <w:iCs/>
          </w:rPr>
          <w:t>NHMRC National Statement on Ethical Conduct in Human Research 2007</w:t>
        </w:r>
      </w:hyperlink>
      <w:r w:rsidR="005F7696">
        <w:t xml:space="preserve"> </w:t>
      </w:r>
      <w:r w:rsidR="005F7696" w:rsidRPr="4BC15704">
        <w:rPr>
          <w:i/>
          <w:iCs/>
        </w:rPr>
        <w:t>(Updated 2019; Chapters 2.2-3 and 3.2 are particularly relevant)</w:t>
      </w:r>
    </w:p>
    <w:p w14:paraId="7784E741" w14:textId="77777777" w:rsidR="005F7696" w:rsidRPr="00EE57B1" w:rsidRDefault="005B3C73" w:rsidP="00C472D7">
      <w:pPr>
        <w:pStyle w:val="ListParagraph"/>
        <w:numPr>
          <w:ilvl w:val="0"/>
          <w:numId w:val="63"/>
        </w:numPr>
        <w:spacing w:after="200"/>
        <w:ind w:left="340" w:hanging="340"/>
        <w:rPr>
          <w:i/>
        </w:rPr>
      </w:pPr>
      <w:hyperlink r:id="rId50" w:history="1">
        <w:r w:rsidR="005F7696" w:rsidRPr="00EE57B1">
          <w:rPr>
            <w:rStyle w:val="Hyperlink"/>
            <w:i/>
          </w:rPr>
          <w:t>The Australian Code for the Responsible Conduct of Research 2018</w:t>
        </w:r>
      </w:hyperlink>
      <w:r w:rsidR="005F7696" w:rsidRPr="00EE57B1">
        <w:rPr>
          <w:i/>
        </w:rPr>
        <w:t xml:space="preserve"> – </w:t>
      </w:r>
      <w:hyperlink r:id="rId51" w:history="1">
        <w:r w:rsidR="005F7696" w:rsidRPr="00EE57B1">
          <w:rPr>
            <w:rStyle w:val="Hyperlink"/>
            <w:i/>
          </w:rPr>
          <w:t>Management of Data and Information in Research (2019)</w:t>
        </w:r>
      </w:hyperlink>
    </w:p>
    <w:p w14:paraId="40A89F86" w14:textId="77777777" w:rsidR="005F7696" w:rsidRPr="00EE57B1" w:rsidRDefault="005F7696" w:rsidP="005F7696">
      <w:pPr>
        <w:pStyle w:val="BodyText"/>
      </w:pPr>
      <w:r w:rsidRPr="00EE57B1">
        <w:t>The following also apply to Commonwealth agencies disclosing health records to ALSWH:</w:t>
      </w:r>
    </w:p>
    <w:p w14:paraId="1FFCBBB6" w14:textId="77777777" w:rsidR="005F7696" w:rsidRPr="00EE57B1" w:rsidRDefault="005F7696" w:rsidP="00C472D7">
      <w:pPr>
        <w:pStyle w:val="ListParagraph"/>
        <w:numPr>
          <w:ilvl w:val="0"/>
          <w:numId w:val="63"/>
        </w:numPr>
        <w:spacing w:after="200"/>
        <w:ind w:left="340" w:hanging="340"/>
      </w:pPr>
      <w:r w:rsidRPr="4BC15704">
        <w:rPr>
          <w:rFonts w:cs="Arial"/>
          <w:i/>
          <w:iCs/>
        </w:rPr>
        <w:t>P</w:t>
      </w:r>
      <w:hyperlink r:id="rId52" w:history="1">
        <w:r w:rsidRPr="4BC15704">
          <w:rPr>
            <w:rStyle w:val="Hyperlink"/>
            <w:rFonts w:cs="Arial"/>
            <w:i/>
            <w:iCs/>
          </w:rPr>
          <w:t>rivacy public interest determination guide</w:t>
        </w:r>
      </w:hyperlink>
      <w:r w:rsidRPr="4BC15704">
        <w:rPr>
          <w:rFonts w:cs="Arial"/>
          <w:i/>
          <w:iCs/>
        </w:rPr>
        <w:t xml:space="preserve"> V1.0, June 2014.</w:t>
      </w:r>
    </w:p>
    <w:p w14:paraId="3DB9FB67" w14:textId="77777777" w:rsidR="005F7696" w:rsidRPr="001F0DFA" w:rsidRDefault="005B3C73" w:rsidP="00C472D7">
      <w:pPr>
        <w:pStyle w:val="BodyDHS"/>
        <w:numPr>
          <w:ilvl w:val="0"/>
          <w:numId w:val="63"/>
        </w:numPr>
        <w:spacing w:before="120" w:after="200" w:line="360" w:lineRule="auto"/>
        <w:ind w:left="340" w:hanging="340"/>
        <w:contextualSpacing/>
        <w:rPr>
          <w:rFonts w:ascii="Arial" w:hAnsi="Arial" w:cs="Arial"/>
          <w:sz w:val="20"/>
          <w:szCs w:val="20"/>
        </w:rPr>
      </w:pPr>
      <w:hyperlink r:id="rId53" w:history="1">
        <w:r w:rsidR="005F7696" w:rsidRPr="002B2D8C">
          <w:rPr>
            <w:rStyle w:val="Hyperlink"/>
            <w:rFonts w:ascii="Arial" w:hAnsi="Arial" w:cs="Arial"/>
            <w:i/>
          </w:rPr>
          <w:t>Health Insurance Act 1973</w:t>
        </w:r>
      </w:hyperlink>
      <w:r w:rsidR="005F7696" w:rsidRPr="002B2D8C">
        <w:rPr>
          <w:rStyle w:val="Hyperlink"/>
          <w:rFonts w:ascii="Arial" w:hAnsi="Arial" w:cs="Arial"/>
          <w:i/>
        </w:rPr>
        <w:t xml:space="preserve"> </w:t>
      </w:r>
      <w:r w:rsidR="005F7696" w:rsidRPr="001F0DFA">
        <w:rPr>
          <w:rFonts w:ascii="Arial" w:hAnsi="Arial" w:cs="Arial"/>
          <w:sz w:val="20"/>
          <w:szCs w:val="20"/>
        </w:rPr>
        <w:t>(for MBS data).</w:t>
      </w:r>
    </w:p>
    <w:p w14:paraId="22EE606F" w14:textId="77777777" w:rsidR="005F7696" w:rsidRPr="00EE57B1" w:rsidRDefault="005B3C73" w:rsidP="00C472D7">
      <w:pPr>
        <w:pStyle w:val="ListParagraph"/>
        <w:numPr>
          <w:ilvl w:val="0"/>
          <w:numId w:val="63"/>
        </w:numPr>
        <w:spacing w:after="200"/>
        <w:ind w:left="340" w:hanging="340"/>
        <w:jc w:val="left"/>
        <w:rPr>
          <w:rFonts w:cs="Arial"/>
        </w:rPr>
      </w:pPr>
      <w:hyperlink r:id="rId54" w:history="1">
        <w:r w:rsidR="005F7696" w:rsidRPr="4BC15704">
          <w:rPr>
            <w:rStyle w:val="Hyperlink"/>
            <w:rFonts w:cs="Arial"/>
            <w:i/>
            <w:iCs/>
          </w:rPr>
          <w:t>Public Interest Disclosure Act 2013</w:t>
        </w:r>
      </w:hyperlink>
    </w:p>
    <w:p w14:paraId="2DF636C7" w14:textId="22C309DC" w:rsidR="005F7696" w:rsidRPr="001F0DFA" w:rsidRDefault="005B3C73" w:rsidP="00C472D7">
      <w:pPr>
        <w:pStyle w:val="BodyDHS"/>
        <w:numPr>
          <w:ilvl w:val="0"/>
          <w:numId w:val="63"/>
        </w:numPr>
        <w:spacing w:before="120" w:after="200" w:line="360" w:lineRule="auto"/>
        <w:ind w:left="340" w:hanging="340"/>
        <w:rPr>
          <w:rFonts w:ascii="Arial" w:hAnsi="Arial" w:cs="Arial"/>
          <w:sz w:val="20"/>
          <w:szCs w:val="20"/>
        </w:rPr>
      </w:pPr>
      <w:hyperlink r:id="rId55" w:history="1">
        <w:r w:rsidR="00EC78C2" w:rsidRPr="00EC78C2">
          <w:rPr>
            <w:rStyle w:val="Hyperlink"/>
            <w:rFonts w:ascii="Arial" w:hAnsi="Arial" w:cs="Arial"/>
            <w:i/>
          </w:rPr>
          <w:t>High Level Principles for Data Integration Involving Commonwealth Data for Statistical and Research Purposes</w:t>
        </w:r>
      </w:hyperlink>
      <w:r w:rsidR="00EC78C2">
        <w:rPr>
          <w:rFonts w:ascii="Arial" w:hAnsi="Arial" w:cs="Arial"/>
          <w:i/>
        </w:rPr>
        <w:t xml:space="preserve"> </w:t>
      </w:r>
      <w:r w:rsidR="005F7696" w:rsidRPr="001F0DFA">
        <w:rPr>
          <w:rFonts w:ascii="Arial" w:hAnsi="Arial" w:cs="Arial"/>
          <w:sz w:val="20"/>
          <w:szCs w:val="20"/>
        </w:rPr>
        <w:t>(February 2010)</w:t>
      </w:r>
    </w:p>
    <w:p w14:paraId="59A02976" w14:textId="77777777" w:rsidR="005F7696" w:rsidRPr="001F0DFA" w:rsidRDefault="005B3C73" w:rsidP="00C472D7">
      <w:pPr>
        <w:pStyle w:val="BodyDHS"/>
        <w:numPr>
          <w:ilvl w:val="0"/>
          <w:numId w:val="63"/>
        </w:numPr>
        <w:spacing w:before="120" w:after="200" w:line="360" w:lineRule="auto"/>
        <w:ind w:left="340" w:hanging="340"/>
        <w:contextualSpacing/>
        <w:rPr>
          <w:rFonts w:ascii="Arial" w:hAnsi="Arial" w:cs="Arial"/>
          <w:b/>
          <w:sz w:val="20"/>
          <w:szCs w:val="20"/>
        </w:rPr>
      </w:pPr>
      <w:hyperlink r:id="rId56" w:history="1">
        <w:r w:rsidR="005F7696" w:rsidRPr="002B2D8C">
          <w:rPr>
            <w:rStyle w:val="Hyperlink"/>
            <w:rFonts w:ascii="Arial" w:hAnsi="Arial" w:cs="Arial"/>
            <w:i/>
          </w:rPr>
          <w:t>A Guide for Data Integration Projects involving Commonwealth Data for Statistical and Research purposes</w:t>
        </w:r>
      </w:hyperlink>
      <w:r w:rsidR="005F7696" w:rsidRPr="001F0DFA">
        <w:rPr>
          <w:rFonts w:ascii="Arial" w:hAnsi="Arial" w:cs="Arial"/>
          <w:i/>
          <w:sz w:val="20"/>
          <w:szCs w:val="20"/>
        </w:rPr>
        <w:t xml:space="preserve"> </w:t>
      </w:r>
      <w:r w:rsidR="005F7696" w:rsidRPr="001F0DFA">
        <w:rPr>
          <w:rFonts w:ascii="Arial" w:hAnsi="Arial" w:cs="Arial"/>
          <w:sz w:val="20"/>
          <w:szCs w:val="20"/>
        </w:rPr>
        <w:t>(National Statistical Service).</w:t>
      </w:r>
    </w:p>
    <w:p w14:paraId="70638468" w14:textId="77777777" w:rsidR="005F7696" w:rsidRDefault="005F7696" w:rsidP="005F7696">
      <w:pPr>
        <w:pStyle w:val="2012TechReportBodytext"/>
      </w:pPr>
      <w:r w:rsidRPr="00EE57B1">
        <w:t xml:space="preserve">ALSWH’s </w:t>
      </w:r>
      <w:hyperlink r:id="rId57" w:history="1">
        <w:r w:rsidRPr="001D594E">
          <w:rPr>
            <w:rStyle w:val="Hyperlink"/>
          </w:rPr>
          <w:t>Participant Privacy Policy</w:t>
        </w:r>
      </w:hyperlink>
      <w:r w:rsidRPr="00EE57B1">
        <w:t xml:space="preserve"> is available on the web site</w:t>
      </w:r>
      <w:r>
        <w:t xml:space="preserve"> and is regularly updated. All researchers and collaborators accessing linked data are also subject to ALSWH </w:t>
      </w:r>
      <w:hyperlink r:id="rId58" w:history="1">
        <w:r w:rsidRPr="001D594E">
          <w:rPr>
            <w:rStyle w:val="Hyperlink"/>
          </w:rPr>
          <w:t>Data Access Protocols</w:t>
        </w:r>
      </w:hyperlink>
      <w:r>
        <w:t xml:space="preserve">  in addition to the Codes of Conduct and Privacy Policies of their home institutions. The University of Queensland and University of Newcastle Privacy Codes are:</w:t>
      </w:r>
    </w:p>
    <w:p w14:paraId="34DB833E" w14:textId="77777777" w:rsidR="005F7696" w:rsidRDefault="005F7696" w:rsidP="00C472D7">
      <w:pPr>
        <w:pStyle w:val="ListParagraph"/>
        <w:numPr>
          <w:ilvl w:val="0"/>
          <w:numId w:val="63"/>
        </w:numPr>
        <w:spacing w:after="200"/>
        <w:ind w:left="340" w:hanging="340"/>
      </w:pPr>
      <w:r>
        <w:lastRenderedPageBreak/>
        <w:t>The University of Queensland Policy and Procedures library (</w:t>
      </w:r>
      <w:hyperlink r:id="rId59" w:history="1">
        <w:r>
          <w:rPr>
            <w:rStyle w:val="Hyperlink"/>
            <w:rFonts w:cs="Arial"/>
            <w:szCs w:val="20"/>
          </w:rPr>
          <w:t>http://ppl.app.uq.edu.au/</w:t>
        </w:r>
      </w:hyperlink>
      <w:r>
        <w:t xml:space="preserve">), including: 1.60.01 Right to Information, 1.60.02 Privacy Management, 1.60.04 Records Management, 4.20 Research Conduct and Integrity, and 4.20.06 Research Data Management. </w:t>
      </w:r>
    </w:p>
    <w:p w14:paraId="6446A5EE" w14:textId="77777777" w:rsidR="005F7696" w:rsidRDefault="005F7696" w:rsidP="00C472D7">
      <w:pPr>
        <w:pStyle w:val="ListParagraph"/>
        <w:numPr>
          <w:ilvl w:val="0"/>
          <w:numId w:val="63"/>
        </w:numPr>
        <w:spacing w:after="200"/>
        <w:ind w:left="340" w:hanging="340"/>
      </w:pPr>
      <w:r>
        <w:t>The University of Newcastle  Responsible Conduct of Research Policy (</w:t>
      </w:r>
      <w:hyperlink r:id="rId60" w:history="1">
        <w:r w:rsidRPr="00B13227">
          <w:rPr>
            <w:rStyle w:val="Hyperlink"/>
          </w:rPr>
          <w:t>https://policies.newcastle.edu.au/document/view-current.php?id=66</w:t>
        </w:r>
      </w:hyperlink>
      <w:r>
        <w:t>) and Privacy Management Plan (</w:t>
      </w:r>
      <w:hyperlink r:id="rId61" w:history="1">
        <w:r>
          <w:rPr>
            <w:rStyle w:val="Hyperlink"/>
            <w:rFonts w:cs="Arial"/>
            <w:szCs w:val="20"/>
          </w:rPr>
          <w:t>https://www.newcastle.edu.au/privacy</w:t>
        </w:r>
      </w:hyperlink>
      <w:r>
        <w:t>)</w:t>
      </w:r>
    </w:p>
    <w:p w14:paraId="05589573" w14:textId="77777777" w:rsidR="005F7696" w:rsidRDefault="005F7696" w:rsidP="005F7696">
      <w:pPr>
        <w:spacing w:before="0" w:after="0" w:line="240" w:lineRule="auto"/>
        <w:jc w:val="left"/>
      </w:pPr>
    </w:p>
    <w:p w14:paraId="326A052A" w14:textId="4DDC2227" w:rsidR="005F7696" w:rsidRDefault="005F7696" w:rsidP="005F7696">
      <w:pPr>
        <w:pStyle w:val="2012TechReportBodytext"/>
        <w:rPr>
          <w:rFonts w:cs="Arial"/>
          <w:szCs w:val="20"/>
        </w:rPr>
      </w:pPr>
      <w:r w:rsidRPr="0016115C">
        <w:t>ALSWH compliance with national guidelines</w:t>
      </w:r>
      <w:r>
        <w:t xml:space="preserve"> was described in the </w:t>
      </w:r>
      <w:hyperlink r:id="rId62" w:history="1">
        <w:r w:rsidRPr="00EC78C2">
          <w:rPr>
            <w:rStyle w:val="Hyperlink"/>
          </w:rPr>
          <w:t>2019 Technical Report.</w:t>
        </w:r>
      </w:hyperlink>
      <w:r>
        <w:t xml:space="preserve"> The history of consent procedures is also detailed in that report, and is summarised </w:t>
      </w:r>
      <w:r>
        <w:rPr>
          <w:rFonts w:cs="Arial"/>
          <w:szCs w:val="20"/>
        </w:rPr>
        <w:fldChar w:fldCharType="begin"/>
      </w:r>
      <w:r>
        <w:instrText xml:space="preserve"> REF _Ref57385460 \h </w:instrText>
      </w:r>
      <w:r>
        <w:rPr>
          <w:rFonts w:cs="Arial"/>
          <w:szCs w:val="20"/>
        </w:rPr>
      </w:r>
      <w:r>
        <w:rPr>
          <w:rFonts w:cs="Arial"/>
          <w:szCs w:val="20"/>
        </w:rPr>
        <w:fldChar w:fldCharType="separate"/>
      </w:r>
      <w:r w:rsidR="007D19D7">
        <w:t xml:space="preserve">Figure </w:t>
      </w:r>
      <w:r w:rsidR="007D19D7">
        <w:rPr>
          <w:noProof/>
        </w:rPr>
        <w:t>5</w:t>
      </w:r>
      <w:r w:rsidR="007D19D7">
        <w:noBreakHyphen/>
      </w:r>
      <w:r w:rsidR="007D19D7">
        <w:rPr>
          <w:noProof/>
        </w:rPr>
        <w:t>2</w:t>
      </w:r>
      <w:r>
        <w:rPr>
          <w:rFonts w:cs="Arial"/>
          <w:szCs w:val="20"/>
        </w:rPr>
        <w:fldChar w:fldCharType="end"/>
      </w:r>
      <w:r w:rsidR="00EC78C2">
        <w:rPr>
          <w:rFonts w:cs="Arial"/>
          <w:szCs w:val="20"/>
        </w:rPr>
        <w:t>.</w:t>
      </w:r>
    </w:p>
    <w:p w14:paraId="2854F26D" w14:textId="77777777" w:rsidR="005F7696" w:rsidRDefault="005F7696" w:rsidP="005F7696">
      <w:pPr>
        <w:keepNext/>
        <w:keepLines/>
      </w:pPr>
      <w:r w:rsidRPr="792315CC">
        <w:rPr>
          <w:noProof/>
        </w:rPr>
        <w:t xml:space="preserve"> </w:t>
      </w:r>
      <w:r>
        <w:rPr>
          <w:noProof/>
        </w:rPr>
        <w:drawing>
          <wp:inline distT="0" distB="0" distL="0" distR="0" wp14:anchorId="2FF0726F" wp14:editId="3662CA84">
            <wp:extent cx="5730238" cy="960120"/>
            <wp:effectExtent l="0" t="0" r="3810" b="0"/>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iagram&#10;&#10;Description automatically generated"/>
                    <pic:cNvPicPr/>
                  </pic:nvPicPr>
                  <pic:blipFill>
                    <a:blip r:embed="rId63">
                      <a:extLst>
                        <a:ext uri="{28A0092B-C50C-407E-A947-70E740481C1C}">
                          <a14:useLocalDpi xmlns:a14="http://schemas.microsoft.com/office/drawing/2010/main" val="0"/>
                        </a:ext>
                      </a:extLst>
                    </a:blip>
                    <a:stretch>
                      <a:fillRect/>
                    </a:stretch>
                  </pic:blipFill>
                  <pic:spPr>
                    <a:xfrm>
                      <a:off x="0" y="0"/>
                      <a:ext cx="5730238" cy="960120"/>
                    </a:xfrm>
                    <a:prstGeom prst="rect">
                      <a:avLst/>
                    </a:prstGeom>
                  </pic:spPr>
                </pic:pic>
              </a:graphicData>
            </a:graphic>
          </wp:inline>
        </w:drawing>
      </w:r>
    </w:p>
    <w:p w14:paraId="5DE51517" w14:textId="06F665EA" w:rsidR="005F7696" w:rsidRDefault="005F7696" w:rsidP="0000266C">
      <w:pPr>
        <w:pStyle w:val="Caption"/>
      </w:pPr>
      <w:bookmarkStart w:id="804" w:name="_Ref57385460"/>
      <w:bookmarkStart w:id="805" w:name="_Toc56166888"/>
      <w:r>
        <w:t xml:space="preserve">Figure </w:t>
      </w:r>
      <w:fldSimple w:instr=" STYLEREF 1 \s ">
        <w:r w:rsidR="007D19D7">
          <w:rPr>
            <w:noProof/>
          </w:rPr>
          <w:t>5</w:t>
        </w:r>
      </w:fldSimple>
      <w:r w:rsidR="00621B2D">
        <w:noBreakHyphen/>
      </w:r>
      <w:fldSimple w:instr=" SEQ Figure \* ARABIC \s 1 ">
        <w:r w:rsidR="007D19D7">
          <w:rPr>
            <w:noProof/>
          </w:rPr>
          <w:t>2</w:t>
        </w:r>
      </w:fldSimple>
      <w:bookmarkEnd w:id="804"/>
      <w:r>
        <w:t xml:space="preserve"> History of data linkage consent for ALSWH participants 1996-2018.</w:t>
      </w:r>
      <w:bookmarkEnd w:id="805"/>
    </w:p>
    <w:p w14:paraId="3866F6DC" w14:textId="77777777" w:rsidR="005F7696" w:rsidRPr="00594540" w:rsidRDefault="005F7696" w:rsidP="005F7696"/>
    <w:p w14:paraId="61193827" w14:textId="77777777" w:rsidR="005F7696" w:rsidRPr="00E03A8D" w:rsidRDefault="005F7696" w:rsidP="005F7696">
      <w:pPr>
        <w:pStyle w:val="Heading3"/>
        <w:spacing w:line="240" w:lineRule="auto"/>
        <w:jc w:val="left"/>
      </w:pPr>
      <w:bookmarkStart w:id="806" w:name="_Toc124762798"/>
      <w:r w:rsidRPr="0016115C">
        <w:t>Consent status of ALSWH participants</w:t>
      </w:r>
      <w:bookmarkEnd w:id="806"/>
    </w:p>
    <w:p w14:paraId="356401B3" w14:textId="3F07A596" w:rsidR="009E3565" w:rsidRDefault="005F7696" w:rsidP="00E7298C">
      <w:pPr>
        <w:pStyle w:val="Caption"/>
        <w:spacing w:before="0" w:line="360" w:lineRule="auto"/>
      </w:pPr>
      <w:r w:rsidRPr="00E7298C">
        <w:rPr>
          <w:b w:val="0"/>
          <w:bCs w:val="0"/>
          <w:szCs w:val="24"/>
        </w:rPr>
        <w:t xml:space="preserve">Consent for health record linkage applies to all collections, apart from the National Death Index, which is conducted for all participants as an integral part of longitudinal tracking. ALSWH operates bundled opt-out consent due to the number and complexity of the record collections involved. Participants are informed of details of the collections accessed via the Study </w:t>
      </w:r>
      <w:hyperlink r:id="rId64" w:history="1">
        <w:r w:rsidRPr="00E7298C">
          <w:rPr>
            <w:szCs w:val="24"/>
          </w:rPr>
          <w:t>website</w:t>
        </w:r>
      </w:hyperlink>
      <w:r w:rsidRPr="00E7298C">
        <w:rPr>
          <w:b w:val="0"/>
          <w:bCs w:val="0"/>
          <w:szCs w:val="24"/>
        </w:rPr>
        <w:t>. Table 5-10 shows the definitive health record linkage consent categories. Participants who were active in the Study from 2005 are covered by the opt-out consent provisions which were introduced from that time, while participants who have never explicitly responded to health record consent communications and have not been active in the study since 2005, are covered by waived consent.</w:t>
      </w:r>
      <w:bookmarkStart w:id="807" w:name="_Toc56156878"/>
    </w:p>
    <w:p w14:paraId="51D83C53" w14:textId="77777777" w:rsidR="009E3565" w:rsidRDefault="009E3565" w:rsidP="0000266C">
      <w:pPr>
        <w:pStyle w:val="Caption"/>
      </w:pPr>
    </w:p>
    <w:p w14:paraId="5C17991E" w14:textId="3F84743F" w:rsidR="005F7696" w:rsidRDefault="005F7696" w:rsidP="0000266C">
      <w:pPr>
        <w:pStyle w:val="Caption"/>
      </w:pPr>
      <w:r>
        <w:t xml:space="preserve">Table </w:t>
      </w:r>
      <w:r>
        <w:fldChar w:fldCharType="begin"/>
      </w:r>
      <w:r>
        <w:instrText>STYLEREF 1 \s</w:instrText>
      </w:r>
      <w:r>
        <w:fldChar w:fldCharType="separate"/>
      </w:r>
      <w:r w:rsidR="007D19D7">
        <w:rPr>
          <w:noProof/>
        </w:rPr>
        <w:t>5</w:t>
      </w:r>
      <w:r>
        <w:fldChar w:fldCharType="end"/>
      </w:r>
      <w:r>
        <w:noBreakHyphen/>
        <w:t>10 Health record linkage consent categories</w:t>
      </w:r>
      <w:bookmarkEnd w:id="807"/>
    </w:p>
    <w:tbl>
      <w:tblPr>
        <w:tblStyle w:val="TableGrid"/>
        <w:tblW w:w="0" w:type="auto"/>
        <w:tblLook w:val="04A0" w:firstRow="1" w:lastRow="0" w:firstColumn="1" w:lastColumn="0" w:noHBand="0" w:noVBand="1"/>
      </w:tblPr>
      <w:tblGrid>
        <w:gridCol w:w="1273"/>
        <w:gridCol w:w="5243"/>
        <w:gridCol w:w="2500"/>
      </w:tblGrid>
      <w:tr w:rsidR="005F7696" w14:paraId="0A19ECCB" w14:textId="77777777" w:rsidTr="00FE01C6">
        <w:trPr>
          <w:tblHeader/>
        </w:trPr>
        <w:tc>
          <w:tcPr>
            <w:tcW w:w="1273" w:type="dxa"/>
            <w:tcBorders>
              <w:bottom w:val="single" w:sz="4" w:space="0" w:color="auto"/>
              <w:right w:val="nil"/>
            </w:tcBorders>
            <w:shd w:val="clear" w:color="auto" w:fill="E5DFEC" w:themeFill="accent4" w:themeFillTint="33"/>
            <w:tcMar>
              <w:top w:w="28" w:type="dxa"/>
              <w:bottom w:w="28" w:type="dxa"/>
            </w:tcMar>
            <w:vAlign w:val="center"/>
          </w:tcPr>
          <w:p w14:paraId="1059FB3A" w14:textId="77777777" w:rsidR="005F7696" w:rsidRPr="0016115C" w:rsidRDefault="005F7696" w:rsidP="000853E1">
            <w:pPr>
              <w:pStyle w:val="BodyText"/>
              <w:spacing w:before="0" w:after="0"/>
              <w:jc w:val="left"/>
              <w:rPr>
                <w:rFonts w:cs="Arial"/>
                <w:b/>
                <w:szCs w:val="20"/>
              </w:rPr>
            </w:pPr>
            <w:r w:rsidRPr="0016115C">
              <w:rPr>
                <w:rFonts w:cs="Arial"/>
                <w:b/>
                <w:szCs w:val="20"/>
              </w:rPr>
              <w:t>Consent status</w:t>
            </w:r>
          </w:p>
        </w:tc>
        <w:tc>
          <w:tcPr>
            <w:tcW w:w="5243" w:type="dxa"/>
            <w:tcBorders>
              <w:left w:val="nil"/>
              <w:bottom w:val="single" w:sz="4" w:space="0" w:color="auto"/>
              <w:right w:val="nil"/>
            </w:tcBorders>
            <w:shd w:val="clear" w:color="auto" w:fill="E5DFEC" w:themeFill="accent4" w:themeFillTint="33"/>
            <w:tcMar>
              <w:top w:w="28" w:type="dxa"/>
              <w:bottom w:w="28" w:type="dxa"/>
            </w:tcMar>
            <w:vAlign w:val="center"/>
          </w:tcPr>
          <w:p w14:paraId="6707A60D" w14:textId="77777777" w:rsidR="005F7696" w:rsidRPr="0016115C" w:rsidRDefault="005F7696" w:rsidP="000853E1">
            <w:pPr>
              <w:pStyle w:val="BodyText"/>
              <w:spacing w:before="0" w:after="0"/>
              <w:jc w:val="center"/>
              <w:rPr>
                <w:rFonts w:cs="Arial"/>
                <w:b/>
                <w:szCs w:val="20"/>
              </w:rPr>
            </w:pPr>
            <w:r>
              <w:rPr>
                <w:rFonts w:cs="Arial"/>
                <w:b/>
                <w:szCs w:val="20"/>
              </w:rPr>
              <w:t>Relevant participants</w:t>
            </w:r>
          </w:p>
        </w:tc>
        <w:tc>
          <w:tcPr>
            <w:tcW w:w="2500" w:type="dxa"/>
            <w:tcBorders>
              <w:left w:val="nil"/>
              <w:bottom w:val="single" w:sz="4" w:space="0" w:color="auto"/>
            </w:tcBorders>
            <w:shd w:val="clear" w:color="auto" w:fill="E5DFEC" w:themeFill="accent4" w:themeFillTint="33"/>
            <w:tcMar>
              <w:top w:w="28" w:type="dxa"/>
              <w:bottom w:w="28" w:type="dxa"/>
            </w:tcMar>
            <w:vAlign w:val="center"/>
          </w:tcPr>
          <w:p w14:paraId="2B7A3397" w14:textId="77777777" w:rsidR="005F7696" w:rsidRPr="0016115C" w:rsidRDefault="005F7696" w:rsidP="000853E1">
            <w:pPr>
              <w:pStyle w:val="BodyText"/>
              <w:spacing w:before="0" w:after="0"/>
              <w:jc w:val="left"/>
              <w:rPr>
                <w:rFonts w:cs="Arial"/>
                <w:b/>
                <w:szCs w:val="20"/>
              </w:rPr>
            </w:pPr>
            <w:r w:rsidRPr="0016115C">
              <w:rPr>
                <w:rFonts w:cs="Arial"/>
                <w:b/>
                <w:szCs w:val="20"/>
              </w:rPr>
              <w:t>Linkage</w:t>
            </w:r>
          </w:p>
        </w:tc>
      </w:tr>
      <w:tr w:rsidR="005F7696" w14:paraId="5F9A6789" w14:textId="77777777" w:rsidTr="000853E1">
        <w:tc>
          <w:tcPr>
            <w:tcW w:w="1273" w:type="dxa"/>
            <w:tcBorders>
              <w:bottom w:val="single" w:sz="4" w:space="0" w:color="auto"/>
              <w:right w:val="nil"/>
            </w:tcBorders>
            <w:tcMar>
              <w:top w:w="28" w:type="dxa"/>
              <w:bottom w:w="28" w:type="dxa"/>
            </w:tcMar>
          </w:tcPr>
          <w:p w14:paraId="1F9DDF6C" w14:textId="77777777" w:rsidR="005F7696" w:rsidRDefault="005F7696" w:rsidP="00C472D7">
            <w:pPr>
              <w:pStyle w:val="BodyText"/>
              <w:numPr>
                <w:ilvl w:val="0"/>
                <w:numId w:val="66"/>
              </w:numPr>
              <w:spacing w:before="0" w:after="0"/>
              <w:ind w:left="227" w:hanging="227"/>
              <w:jc w:val="left"/>
              <w:rPr>
                <w:rFonts w:cs="Arial"/>
                <w:szCs w:val="20"/>
              </w:rPr>
            </w:pPr>
            <w:r>
              <w:rPr>
                <w:rFonts w:cs="Arial"/>
                <w:szCs w:val="20"/>
              </w:rPr>
              <w:t>Declined</w:t>
            </w:r>
          </w:p>
        </w:tc>
        <w:tc>
          <w:tcPr>
            <w:tcW w:w="5243" w:type="dxa"/>
            <w:tcBorders>
              <w:left w:val="nil"/>
              <w:bottom w:val="single" w:sz="4" w:space="0" w:color="auto"/>
              <w:right w:val="nil"/>
            </w:tcBorders>
            <w:tcMar>
              <w:top w:w="28" w:type="dxa"/>
              <w:bottom w:w="28" w:type="dxa"/>
            </w:tcMar>
          </w:tcPr>
          <w:p w14:paraId="0690E424" w14:textId="77777777" w:rsidR="005F7696" w:rsidRDefault="005F7696" w:rsidP="00C472D7">
            <w:pPr>
              <w:pStyle w:val="BodyText"/>
              <w:numPr>
                <w:ilvl w:val="0"/>
                <w:numId w:val="62"/>
              </w:numPr>
              <w:spacing w:before="0" w:after="0"/>
              <w:ind w:left="340" w:hanging="340"/>
              <w:jc w:val="left"/>
              <w:rPr>
                <w:rFonts w:cs="Arial"/>
                <w:szCs w:val="20"/>
              </w:rPr>
            </w:pPr>
            <w:r>
              <w:rPr>
                <w:rFonts w:cs="Arial"/>
                <w:szCs w:val="20"/>
              </w:rPr>
              <w:t>L</w:t>
            </w:r>
            <w:r w:rsidRPr="003451AE">
              <w:rPr>
                <w:rFonts w:cs="Arial"/>
                <w:szCs w:val="20"/>
              </w:rPr>
              <w:t>atest</w:t>
            </w:r>
            <w:r w:rsidRPr="00BD3537">
              <w:rPr>
                <w:rFonts w:cs="Arial"/>
                <w:szCs w:val="20"/>
              </w:rPr>
              <w:t xml:space="preserve"> answer to the data linkage questions is ‘</w:t>
            </w:r>
            <w:r w:rsidRPr="0016115C">
              <w:rPr>
                <w:rFonts w:cs="Arial"/>
                <w:b/>
                <w:szCs w:val="20"/>
              </w:rPr>
              <w:t>No</w:t>
            </w:r>
            <w:r w:rsidRPr="00BD3537">
              <w:rPr>
                <w:rFonts w:cs="Arial"/>
                <w:szCs w:val="20"/>
              </w:rPr>
              <w:t xml:space="preserve">’ </w:t>
            </w:r>
          </w:p>
          <w:p w14:paraId="7F8CEB80" w14:textId="77777777" w:rsidR="005F7696" w:rsidRDefault="005F7696" w:rsidP="00C472D7">
            <w:pPr>
              <w:pStyle w:val="BodyText"/>
              <w:numPr>
                <w:ilvl w:val="0"/>
                <w:numId w:val="62"/>
              </w:numPr>
              <w:spacing w:before="0" w:after="0"/>
              <w:ind w:left="340" w:hanging="340"/>
              <w:jc w:val="left"/>
              <w:rPr>
                <w:rFonts w:cs="Arial"/>
                <w:szCs w:val="20"/>
              </w:rPr>
            </w:pPr>
            <w:r>
              <w:rPr>
                <w:rFonts w:cs="Arial"/>
                <w:szCs w:val="20"/>
              </w:rPr>
              <w:t>Explicitly declined data linkage by contacting ALSWH</w:t>
            </w:r>
          </w:p>
          <w:p w14:paraId="5C339711" w14:textId="77777777" w:rsidR="005F7696" w:rsidRPr="00700348" w:rsidRDefault="005F7696" w:rsidP="00C472D7">
            <w:pPr>
              <w:pStyle w:val="BodyText"/>
              <w:numPr>
                <w:ilvl w:val="0"/>
                <w:numId w:val="62"/>
              </w:numPr>
              <w:spacing w:before="0" w:after="0"/>
              <w:ind w:left="340" w:hanging="340"/>
              <w:jc w:val="left"/>
              <w:rPr>
                <w:rFonts w:cs="Arial"/>
                <w:szCs w:val="20"/>
              </w:rPr>
            </w:pPr>
            <w:r>
              <w:rPr>
                <w:rFonts w:cs="Arial"/>
                <w:szCs w:val="20"/>
              </w:rPr>
              <w:t>W</w:t>
            </w:r>
            <w:r w:rsidRPr="00BD3537">
              <w:rPr>
                <w:rFonts w:cs="Arial"/>
                <w:szCs w:val="20"/>
              </w:rPr>
              <w:t xml:space="preserve">ithdrawn from the </w:t>
            </w:r>
            <w:r>
              <w:rPr>
                <w:rFonts w:cs="Arial"/>
                <w:szCs w:val="20"/>
              </w:rPr>
              <w:t>Study</w:t>
            </w:r>
            <w:r w:rsidRPr="00BD3537">
              <w:rPr>
                <w:rFonts w:cs="Arial"/>
                <w:szCs w:val="20"/>
              </w:rPr>
              <w:t xml:space="preserve"> because of privacy, </w:t>
            </w:r>
            <w:proofErr w:type="gramStart"/>
            <w:r w:rsidRPr="00BD3537">
              <w:rPr>
                <w:rFonts w:cs="Arial"/>
                <w:szCs w:val="20"/>
              </w:rPr>
              <w:t>confidentiality</w:t>
            </w:r>
            <w:proofErr w:type="gramEnd"/>
            <w:r w:rsidRPr="00BD3537">
              <w:rPr>
                <w:rFonts w:cs="Arial"/>
                <w:szCs w:val="20"/>
              </w:rPr>
              <w:t xml:space="preserve"> or Medicare data linkage concerns.</w:t>
            </w:r>
          </w:p>
        </w:tc>
        <w:tc>
          <w:tcPr>
            <w:tcW w:w="2500" w:type="dxa"/>
            <w:tcBorders>
              <w:left w:val="nil"/>
              <w:bottom w:val="single" w:sz="4" w:space="0" w:color="auto"/>
            </w:tcBorders>
            <w:tcMar>
              <w:top w:w="28" w:type="dxa"/>
              <w:bottom w:w="28" w:type="dxa"/>
            </w:tcMar>
          </w:tcPr>
          <w:p w14:paraId="423753E6" w14:textId="77777777" w:rsidR="005F7696" w:rsidRPr="00BD3537" w:rsidRDefault="005F7696" w:rsidP="000853E1">
            <w:pPr>
              <w:pStyle w:val="BodyText"/>
              <w:spacing w:before="0" w:after="0"/>
              <w:jc w:val="left"/>
              <w:rPr>
                <w:rFonts w:cs="Arial"/>
                <w:szCs w:val="20"/>
              </w:rPr>
            </w:pPr>
            <w:r>
              <w:rPr>
                <w:rFonts w:cs="Arial"/>
                <w:szCs w:val="20"/>
              </w:rPr>
              <w:t>NDI only; deterministic only (no personal information is to be transferred to/from AIHW)</w:t>
            </w:r>
          </w:p>
        </w:tc>
      </w:tr>
      <w:tr w:rsidR="005F7696" w14:paraId="37A3F222" w14:textId="77777777" w:rsidTr="000853E1">
        <w:tc>
          <w:tcPr>
            <w:tcW w:w="1273" w:type="dxa"/>
            <w:tcBorders>
              <w:top w:val="single" w:sz="4" w:space="0" w:color="auto"/>
              <w:bottom w:val="single" w:sz="4" w:space="0" w:color="auto"/>
              <w:right w:val="nil"/>
            </w:tcBorders>
            <w:tcMar>
              <w:top w:w="28" w:type="dxa"/>
              <w:bottom w:w="28" w:type="dxa"/>
            </w:tcMar>
          </w:tcPr>
          <w:p w14:paraId="4182C976" w14:textId="77777777" w:rsidR="005F7696" w:rsidRDefault="005F7696" w:rsidP="00C472D7">
            <w:pPr>
              <w:pStyle w:val="BodyText"/>
              <w:numPr>
                <w:ilvl w:val="0"/>
                <w:numId w:val="66"/>
              </w:numPr>
              <w:spacing w:before="0" w:after="0"/>
              <w:ind w:left="227" w:hanging="227"/>
              <w:jc w:val="left"/>
              <w:rPr>
                <w:rFonts w:cs="Arial"/>
                <w:szCs w:val="20"/>
              </w:rPr>
            </w:pPr>
            <w:r>
              <w:rPr>
                <w:rFonts w:cs="Arial"/>
                <w:szCs w:val="20"/>
              </w:rPr>
              <w:t>Express consent</w:t>
            </w:r>
          </w:p>
        </w:tc>
        <w:tc>
          <w:tcPr>
            <w:tcW w:w="5243" w:type="dxa"/>
            <w:tcBorders>
              <w:top w:val="single" w:sz="4" w:space="0" w:color="auto"/>
              <w:left w:val="nil"/>
              <w:bottom w:val="single" w:sz="4" w:space="0" w:color="auto"/>
              <w:right w:val="nil"/>
            </w:tcBorders>
            <w:tcMar>
              <w:top w:w="28" w:type="dxa"/>
              <w:bottom w:w="28" w:type="dxa"/>
            </w:tcMar>
          </w:tcPr>
          <w:p w14:paraId="517793C6" w14:textId="77777777" w:rsidR="005F7696" w:rsidRDefault="005F7696" w:rsidP="000853E1">
            <w:pPr>
              <w:pStyle w:val="BodyText"/>
              <w:spacing w:before="0" w:after="0"/>
              <w:jc w:val="left"/>
              <w:rPr>
                <w:rFonts w:cs="Arial"/>
                <w:szCs w:val="20"/>
              </w:rPr>
            </w:pPr>
            <w:r>
              <w:rPr>
                <w:rFonts w:cs="Arial"/>
                <w:szCs w:val="20"/>
              </w:rPr>
              <w:t>L</w:t>
            </w:r>
            <w:r w:rsidRPr="003451AE">
              <w:rPr>
                <w:rFonts w:cs="Arial"/>
                <w:szCs w:val="20"/>
              </w:rPr>
              <w:t>atest</w:t>
            </w:r>
            <w:r w:rsidRPr="00BD3537">
              <w:rPr>
                <w:rFonts w:cs="Arial"/>
                <w:szCs w:val="20"/>
              </w:rPr>
              <w:t xml:space="preserve"> answer to the data linkage questions </w:t>
            </w:r>
            <w:r>
              <w:rPr>
                <w:rFonts w:cs="Arial"/>
                <w:szCs w:val="20"/>
              </w:rPr>
              <w:t>is</w:t>
            </w:r>
            <w:r w:rsidRPr="00BD3537">
              <w:rPr>
                <w:rFonts w:cs="Arial"/>
                <w:szCs w:val="20"/>
              </w:rPr>
              <w:t xml:space="preserve"> ‘</w:t>
            </w:r>
            <w:r w:rsidRPr="0016115C">
              <w:rPr>
                <w:rFonts w:cs="Arial"/>
                <w:b/>
                <w:szCs w:val="20"/>
              </w:rPr>
              <w:t>Yes</w:t>
            </w:r>
            <w:r>
              <w:rPr>
                <w:rFonts w:cs="Arial"/>
                <w:szCs w:val="20"/>
              </w:rPr>
              <w:t>’.</w:t>
            </w:r>
          </w:p>
        </w:tc>
        <w:tc>
          <w:tcPr>
            <w:tcW w:w="2500" w:type="dxa"/>
            <w:tcBorders>
              <w:top w:val="single" w:sz="4" w:space="0" w:color="auto"/>
              <w:left w:val="nil"/>
              <w:bottom w:val="single" w:sz="4" w:space="0" w:color="auto"/>
            </w:tcBorders>
            <w:tcMar>
              <w:top w:w="28" w:type="dxa"/>
              <w:bottom w:w="28" w:type="dxa"/>
            </w:tcMar>
          </w:tcPr>
          <w:p w14:paraId="736CFFF3" w14:textId="77777777" w:rsidR="005F7696" w:rsidRDefault="005F7696" w:rsidP="000853E1">
            <w:pPr>
              <w:pStyle w:val="BodyText"/>
              <w:spacing w:before="0" w:after="0"/>
              <w:jc w:val="left"/>
              <w:rPr>
                <w:rFonts w:cs="Arial"/>
                <w:szCs w:val="20"/>
              </w:rPr>
            </w:pPr>
            <w:r>
              <w:rPr>
                <w:rFonts w:cs="Arial"/>
                <w:szCs w:val="20"/>
              </w:rPr>
              <w:t>All</w:t>
            </w:r>
          </w:p>
        </w:tc>
      </w:tr>
      <w:tr w:rsidR="005F7696" w14:paraId="16D55BD7" w14:textId="77777777" w:rsidTr="000853E1">
        <w:tc>
          <w:tcPr>
            <w:tcW w:w="1273" w:type="dxa"/>
            <w:tcBorders>
              <w:top w:val="single" w:sz="4" w:space="0" w:color="auto"/>
              <w:bottom w:val="single" w:sz="4" w:space="0" w:color="auto"/>
              <w:right w:val="nil"/>
            </w:tcBorders>
            <w:tcMar>
              <w:top w:w="28" w:type="dxa"/>
              <w:bottom w:w="28" w:type="dxa"/>
            </w:tcMar>
          </w:tcPr>
          <w:p w14:paraId="278CC8B6" w14:textId="77777777" w:rsidR="005F7696" w:rsidRDefault="005F7696" w:rsidP="00C472D7">
            <w:pPr>
              <w:pStyle w:val="BodyText"/>
              <w:numPr>
                <w:ilvl w:val="0"/>
                <w:numId w:val="66"/>
              </w:numPr>
              <w:spacing w:before="0" w:after="0"/>
              <w:ind w:left="227" w:hanging="227"/>
              <w:jc w:val="left"/>
              <w:rPr>
                <w:rFonts w:cs="Arial"/>
                <w:szCs w:val="20"/>
              </w:rPr>
            </w:pPr>
            <w:r>
              <w:rPr>
                <w:rFonts w:cs="Arial"/>
                <w:szCs w:val="20"/>
              </w:rPr>
              <w:lastRenderedPageBreak/>
              <w:t>Implicit consent</w:t>
            </w:r>
          </w:p>
        </w:tc>
        <w:tc>
          <w:tcPr>
            <w:tcW w:w="5243" w:type="dxa"/>
            <w:tcBorders>
              <w:top w:val="single" w:sz="4" w:space="0" w:color="auto"/>
              <w:left w:val="nil"/>
              <w:bottom w:val="single" w:sz="4" w:space="0" w:color="auto"/>
              <w:right w:val="nil"/>
            </w:tcBorders>
            <w:tcMar>
              <w:top w:w="28" w:type="dxa"/>
              <w:bottom w:w="28" w:type="dxa"/>
            </w:tcMar>
          </w:tcPr>
          <w:p w14:paraId="5EFCB719" w14:textId="77777777" w:rsidR="005F7696" w:rsidRDefault="005F7696" w:rsidP="000853E1">
            <w:pPr>
              <w:pStyle w:val="BodyText"/>
              <w:spacing w:before="0" w:after="0"/>
              <w:jc w:val="left"/>
              <w:rPr>
                <w:rFonts w:cs="Arial"/>
                <w:szCs w:val="20"/>
              </w:rPr>
            </w:pPr>
            <w:r>
              <w:rPr>
                <w:rFonts w:cs="Arial"/>
                <w:szCs w:val="20"/>
              </w:rPr>
              <w:t xml:space="preserve">Not in category a) or b), who </w:t>
            </w:r>
            <w:r w:rsidRPr="0016115C">
              <w:rPr>
                <w:rFonts w:cs="Arial"/>
                <w:b/>
                <w:szCs w:val="20"/>
              </w:rPr>
              <w:t>have</w:t>
            </w:r>
            <w:r>
              <w:rPr>
                <w:rFonts w:cs="Arial"/>
                <w:szCs w:val="20"/>
              </w:rPr>
              <w:t xml:space="preserve"> completed ALSWH surveys since the introduction of opt-out consent (2005).</w:t>
            </w:r>
          </w:p>
        </w:tc>
        <w:tc>
          <w:tcPr>
            <w:tcW w:w="2500" w:type="dxa"/>
            <w:tcBorders>
              <w:top w:val="single" w:sz="4" w:space="0" w:color="auto"/>
              <w:left w:val="nil"/>
              <w:bottom w:val="single" w:sz="4" w:space="0" w:color="auto"/>
            </w:tcBorders>
            <w:tcMar>
              <w:top w:w="28" w:type="dxa"/>
              <w:bottom w:w="28" w:type="dxa"/>
            </w:tcMar>
          </w:tcPr>
          <w:p w14:paraId="200910C7" w14:textId="77777777" w:rsidR="005F7696" w:rsidRDefault="005F7696" w:rsidP="000853E1">
            <w:pPr>
              <w:pStyle w:val="BodyText"/>
              <w:spacing w:before="0" w:after="0"/>
              <w:jc w:val="left"/>
              <w:rPr>
                <w:rFonts w:cs="Arial"/>
                <w:szCs w:val="20"/>
              </w:rPr>
            </w:pPr>
            <w:r>
              <w:rPr>
                <w:rFonts w:cs="Arial"/>
                <w:szCs w:val="20"/>
              </w:rPr>
              <w:t>All except VIC P</w:t>
            </w:r>
          </w:p>
        </w:tc>
      </w:tr>
      <w:tr w:rsidR="005F7696" w14:paraId="4605BC7E" w14:textId="77777777" w:rsidTr="000853E1">
        <w:tc>
          <w:tcPr>
            <w:tcW w:w="1273" w:type="dxa"/>
            <w:tcBorders>
              <w:top w:val="single" w:sz="4" w:space="0" w:color="auto"/>
              <w:right w:val="nil"/>
            </w:tcBorders>
            <w:tcMar>
              <w:top w:w="28" w:type="dxa"/>
              <w:bottom w:w="28" w:type="dxa"/>
            </w:tcMar>
          </w:tcPr>
          <w:p w14:paraId="12310DC4" w14:textId="77777777" w:rsidR="005F7696" w:rsidRDefault="005F7696" w:rsidP="00C472D7">
            <w:pPr>
              <w:pStyle w:val="BodyText"/>
              <w:numPr>
                <w:ilvl w:val="0"/>
                <w:numId w:val="66"/>
              </w:numPr>
              <w:spacing w:before="0" w:after="0"/>
              <w:ind w:left="227" w:hanging="227"/>
              <w:jc w:val="left"/>
              <w:rPr>
                <w:rFonts w:cs="Arial"/>
                <w:szCs w:val="20"/>
              </w:rPr>
            </w:pPr>
            <w:r>
              <w:rPr>
                <w:rFonts w:cs="Arial"/>
                <w:szCs w:val="20"/>
              </w:rPr>
              <w:t>Waived consent</w:t>
            </w:r>
          </w:p>
        </w:tc>
        <w:tc>
          <w:tcPr>
            <w:tcW w:w="5243" w:type="dxa"/>
            <w:tcBorders>
              <w:top w:val="single" w:sz="4" w:space="0" w:color="auto"/>
              <w:left w:val="nil"/>
              <w:right w:val="nil"/>
            </w:tcBorders>
            <w:tcMar>
              <w:top w:w="28" w:type="dxa"/>
              <w:bottom w:w="28" w:type="dxa"/>
            </w:tcMar>
          </w:tcPr>
          <w:p w14:paraId="7EE9D6B1" w14:textId="77777777" w:rsidR="005F7696" w:rsidRDefault="005F7696" w:rsidP="000853E1">
            <w:pPr>
              <w:pStyle w:val="BodyText"/>
              <w:spacing w:before="0" w:after="0"/>
              <w:jc w:val="left"/>
              <w:rPr>
                <w:rFonts w:cs="Arial"/>
                <w:szCs w:val="20"/>
              </w:rPr>
            </w:pPr>
            <w:r>
              <w:rPr>
                <w:rFonts w:cs="Arial"/>
                <w:szCs w:val="20"/>
              </w:rPr>
              <w:t xml:space="preserve">Not in category a) or b), who </w:t>
            </w:r>
            <w:r w:rsidRPr="0016115C">
              <w:rPr>
                <w:rFonts w:cs="Arial"/>
                <w:b/>
                <w:szCs w:val="20"/>
              </w:rPr>
              <w:t>have not</w:t>
            </w:r>
            <w:r>
              <w:rPr>
                <w:rFonts w:cs="Arial"/>
                <w:szCs w:val="20"/>
              </w:rPr>
              <w:t xml:space="preserve"> completed a survey since the introduction of opt-out consent (2005).</w:t>
            </w:r>
          </w:p>
        </w:tc>
        <w:tc>
          <w:tcPr>
            <w:tcW w:w="2500" w:type="dxa"/>
            <w:tcBorders>
              <w:top w:val="single" w:sz="4" w:space="0" w:color="auto"/>
              <w:left w:val="nil"/>
            </w:tcBorders>
            <w:tcMar>
              <w:top w:w="28" w:type="dxa"/>
              <w:bottom w:w="28" w:type="dxa"/>
            </w:tcMar>
          </w:tcPr>
          <w:p w14:paraId="6BDE30DF" w14:textId="77777777" w:rsidR="005F7696" w:rsidRDefault="005F7696" w:rsidP="000853E1">
            <w:pPr>
              <w:pStyle w:val="BodyText"/>
              <w:spacing w:before="0" w:after="0"/>
              <w:jc w:val="left"/>
              <w:rPr>
                <w:rFonts w:cs="Arial"/>
                <w:szCs w:val="20"/>
              </w:rPr>
            </w:pPr>
            <w:r>
              <w:rPr>
                <w:rFonts w:cs="Arial"/>
                <w:szCs w:val="20"/>
              </w:rPr>
              <w:t>All except VIC P; the Data Custodian for SA Cancer does not supply sensitive variables for this group</w:t>
            </w:r>
          </w:p>
        </w:tc>
      </w:tr>
    </w:tbl>
    <w:p w14:paraId="651D13C0" w14:textId="27006C0C" w:rsidR="005F7696" w:rsidRDefault="005F7696" w:rsidP="003D5E6A">
      <w:pPr>
        <w:pStyle w:val="BodyText"/>
        <w:spacing w:before="0" w:after="0"/>
        <w:rPr>
          <w:rFonts w:cs="Arial"/>
          <w:szCs w:val="20"/>
        </w:rPr>
      </w:pPr>
    </w:p>
    <w:p w14:paraId="1F356F0A" w14:textId="0CA0B0A4" w:rsidR="005F7696" w:rsidRDefault="005F7696" w:rsidP="005F7696">
      <w:pPr>
        <w:pStyle w:val="BodyText"/>
      </w:pPr>
      <w:r>
        <w:rPr>
          <w:rFonts w:cs="Arial"/>
          <w:szCs w:val="20"/>
        </w:rPr>
        <w:fldChar w:fldCharType="begin"/>
      </w:r>
      <w:r>
        <w:rPr>
          <w:rFonts w:cs="Arial"/>
          <w:szCs w:val="20"/>
        </w:rPr>
        <w:instrText xml:space="preserve"> REF _Ref57385505 \h </w:instrText>
      </w:r>
      <w:r>
        <w:rPr>
          <w:rFonts w:cs="Arial"/>
          <w:szCs w:val="20"/>
        </w:rPr>
      </w:r>
      <w:r>
        <w:rPr>
          <w:rFonts w:cs="Arial"/>
          <w:szCs w:val="20"/>
        </w:rPr>
        <w:fldChar w:fldCharType="separate"/>
      </w:r>
      <w:r w:rsidR="007D19D7">
        <w:t xml:space="preserve">Table </w:t>
      </w:r>
      <w:r w:rsidR="007D19D7">
        <w:rPr>
          <w:noProof/>
        </w:rPr>
        <w:t>5</w:t>
      </w:r>
      <w:r w:rsidR="007D19D7">
        <w:noBreakHyphen/>
      </w:r>
      <w:r>
        <w:rPr>
          <w:rFonts w:cs="Arial"/>
          <w:szCs w:val="20"/>
        </w:rPr>
        <w:fldChar w:fldCharType="end"/>
      </w:r>
      <w:r>
        <w:rPr>
          <w:rFonts w:cs="Arial"/>
          <w:szCs w:val="20"/>
        </w:rPr>
        <w:t xml:space="preserve"> shows</w:t>
      </w:r>
      <w:r>
        <w:t xml:space="preserve"> consent status for health record linkage, by cohort. There have been no further opt</w:t>
      </w:r>
      <w:r>
        <w:noBreakHyphen/>
        <w:t xml:space="preserve">outs from health record linkage since the last report. </w:t>
      </w:r>
    </w:p>
    <w:p w14:paraId="5FF186EE" w14:textId="77987374" w:rsidR="005F7696" w:rsidRDefault="005F7696" w:rsidP="0000266C">
      <w:pPr>
        <w:pStyle w:val="Caption"/>
      </w:pPr>
      <w:bookmarkStart w:id="808" w:name="_Ref57385505"/>
      <w:bookmarkStart w:id="809" w:name="_Toc18931522"/>
      <w:bookmarkStart w:id="810" w:name="_Toc56156879"/>
      <w:r>
        <w:t xml:space="preserve">Table </w:t>
      </w:r>
      <w:r>
        <w:fldChar w:fldCharType="begin"/>
      </w:r>
      <w:r>
        <w:instrText>STYLEREF 1 \s</w:instrText>
      </w:r>
      <w:r>
        <w:fldChar w:fldCharType="separate"/>
      </w:r>
      <w:r w:rsidR="007D19D7">
        <w:rPr>
          <w:noProof/>
        </w:rPr>
        <w:t>5</w:t>
      </w:r>
      <w:r>
        <w:fldChar w:fldCharType="end"/>
      </w:r>
      <w:r>
        <w:noBreakHyphen/>
      </w:r>
      <w:bookmarkEnd w:id="808"/>
      <w:r>
        <w:t>11 Health record linkage: Consent status of ALSWH participants (</w:t>
      </w:r>
      <w:proofErr w:type="gramStart"/>
      <w:r>
        <w:t>at</w:t>
      </w:r>
      <w:proofErr w:type="gramEnd"/>
      <w:r>
        <w:t xml:space="preserve"> July 2022)</w:t>
      </w:r>
      <w:bookmarkEnd w:id="809"/>
      <w:bookmarkEnd w:id="810"/>
    </w:p>
    <w:tbl>
      <w:tblPr>
        <w:tblW w:w="9067" w:type="dxa"/>
        <w:tblLayout w:type="fixed"/>
        <w:tblLook w:val="04A0" w:firstRow="1" w:lastRow="0" w:firstColumn="1" w:lastColumn="0" w:noHBand="0" w:noVBand="1"/>
      </w:tblPr>
      <w:tblGrid>
        <w:gridCol w:w="1134"/>
        <w:gridCol w:w="1129"/>
        <w:gridCol w:w="993"/>
        <w:gridCol w:w="708"/>
        <w:gridCol w:w="850"/>
        <w:gridCol w:w="851"/>
        <w:gridCol w:w="993"/>
        <w:gridCol w:w="708"/>
        <w:gridCol w:w="851"/>
        <w:gridCol w:w="850"/>
      </w:tblGrid>
      <w:tr w:rsidR="005F7696" w:rsidRPr="002F0841" w14:paraId="0DD022AF" w14:textId="77777777" w:rsidTr="000853E1">
        <w:trPr>
          <w:trHeight w:val="234"/>
        </w:trPr>
        <w:tc>
          <w:tcPr>
            <w:tcW w:w="1134" w:type="dxa"/>
            <w:vMerge w:val="restart"/>
            <w:tcBorders>
              <w:top w:val="single" w:sz="4" w:space="0" w:color="auto"/>
              <w:left w:val="single" w:sz="4" w:space="0" w:color="auto"/>
              <w:right w:val="single" w:sz="4" w:space="0" w:color="auto"/>
            </w:tcBorders>
            <w:shd w:val="clear" w:color="auto" w:fill="E5DFEC" w:themeFill="accent4" w:themeFillTint="33"/>
            <w:noWrap/>
            <w:tcMar>
              <w:top w:w="28" w:type="dxa"/>
              <w:bottom w:w="28" w:type="dxa"/>
            </w:tcMar>
            <w:vAlign w:val="center"/>
          </w:tcPr>
          <w:p w14:paraId="4FD2506C" w14:textId="77777777" w:rsidR="005F7696" w:rsidRPr="002F0841" w:rsidRDefault="005F7696" w:rsidP="000853E1">
            <w:pPr>
              <w:spacing w:before="0" w:after="0"/>
              <w:rPr>
                <w:rFonts w:cs="Arial"/>
                <w:b/>
                <w:bCs/>
                <w:color w:val="000000"/>
                <w:szCs w:val="20"/>
              </w:rPr>
            </w:pPr>
            <w:r w:rsidRPr="002F0841">
              <w:rPr>
                <w:rFonts w:cs="Arial"/>
                <w:b/>
                <w:bCs/>
                <w:color w:val="000000"/>
                <w:szCs w:val="20"/>
              </w:rPr>
              <w:t>Cohort</w:t>
            </w:r>
          </w:p>
        </w:tc>
        <w:tc>
          <w:tcPr>
            <w:tcW w:w="1129" w:type="dxa"/>
            <w:vMerge w:val="restart"/>
            <w:tcBorders>
              <w:top w:val="single" w:sz="4" w:space="0" w:color="auto"/>
              <w:left w:val="single" w:sz="4" w:space="0" w:color="auto"/>
              <w:right w:val="single" w:sz="4" w:space="0" w:color="auto"/>
            </w:tcBorders>
            <w:shd w:val="clear" w:color="auto" w:fill="E5DFEC" w:themeFill="accent4" w:themeFillTint="33"/>
            <w:noWrap/>
            <w:tcMar>
              <w:top w:w="28" w:type="dxa"/>
              <w:bottom w:w="28" w:type="dxa"/>
            </w:tcMar>
            <w:vAlign w:val="center"/>
          </w:tcPr>
          <w:p w14:paraId="526411A8" w14:textId="77777777" w:rsidR="005F7696" w:rsidRPr="002F0841" w:rsidRDefault="005F7696" w:rsidP="000853E1">
            <w:pPr>
              <w:spacing w:before="0" w:after="0"/>
              <w:jc w:val="center"/>
              <w:rPr>
                <w:rFonts w:cs="Arial"/>
                <w:b/>
                <w:bCs/>
                <w:color w:val="000000"/>
                <w:szCs w:val="20"/>
              </w:rPr>
            </w:pPr>
            <w:r w:rsidRPr="002F0841">
              <w:rPr>
                <w:rFonts w:cs="Arial"/>
                <w:b/>
                <w:bCs/>
                <w:color w:val="000000"/>
                <w:szCs w:val="20"/>
              </w:rPr>
              <w:t>Total</w:t>
            </w:r>
          </w:p>
          <w:p w14:paraId="64062C60" w14:textId="77777777" w:rsidR="005F7696" w:rsidRPr="002F0841" w:rsidRDefault="005F7696" w:rsidP="000853E1">
            <w:pPr>
              <w:spacing w:before="0" w:after="0"/>
              <w:jc w:val="center"/>
              <w:rPr>
                <w:rFonts w:cs="Arial"/>
                <w:b/>
                <w:bCs/>
                <w:color w:val="000000"/>
                <w:szCs w:val="20"/>
              </w:rPr>
            </w:pPr>
            <w:r w:rsidRPr="002F0841">
              <w:rPr>
                <w:rFonts w:cs="Arial"/>
                <w:b/>
                <w:bCs/>
                <w:color w:val="000000"/>
                <w:szCs w:val="20"/>
              </w:rPr>
              <w:t>N</w:t>
            </w:r>
          </w:p>
        </w:tc>
        <w:tc>
          <w:tcPr>
            <w:tcW w:w="1701" w:type="dxa"/>
            <w:gridSpan w:val="2"/>
            <w:vMerge w:val="restart"/>
            <w:tcBorders>
              <w:top w:val="single" w:sz="4" w:space="0" w:color="auto"/>
              <w:left w:val="single" w:sz="4" w:space="0" w:color="auto"/>
              <w:right w:val="single" w:sz="4" w:space="0" w:color="auto"/>
            </w:tcBorders>
            <w:shd w:val="clear" w:color="auto" w:fill="E5DFEC" w:themeFill="accent4" w:themeFillTint="33"/>
            <w:noWrap/>
            <w:tcMar>
              <w:top w:w="28" w:type="dxa"/>
              <w:bottom w:w="28" w:type="dxa"/>
            </w:tcMar>
            <w:vAlign w:val="center"/>
          </w:tcPr>
          <w:p w14:paraId="5BE1509D" w14:textId="77777777" w:rsidR="005F7696" w:rsidRPr="002F0841" w:rsidRDefault="005F7696" w:rsidP="00C472D7">
            <w:pPr>
              <w:pStyle w:val="ListParagraph"/>
              <w:numPr>
                <w:ilvl w:val="0"/>
                <w:numId w:val="67"/>
              </w:numPr>
              <w:spacing w:before="0" w:after="0"/>
              <w:ind w:left="227" w:hanging="227"/>
              <w:jc w:val="center"/>
              <w:rPr>
                <w:rFonts w:cs="Arial"/>
                <w:b/>
                <w:bCs/>
                <w:color w:val="000000"/>
                <w:szCs w:val="20"/>
              </w:rPr>
            </w:pPr>
            <w:r w:rsidRPr="002F0841">
              <w:rPr>
                <w:rFonts w:cs="Arial"/>
                <w:b/>
                <w:bCs/>
                <w:color w:val="000000"/>
                <w:szCs w:val="20"/>
              </w:rPr>
              <w:t>Declined</w:t>
            </w:r>
          </w:p>
        </w:tc>
        <w:tc>
          <w:tcPr>
            <w:tcW w:w="5103" w:type="dxa"/>
            <w:gridSpan w:val="6"/>
            <w:tcBorders>
              <w:top w:val="single" w:sz="4" w:space="0" w:color="auto"/>
              <w:left w:val="single" w:sz="4" w:space="0" w:color="auto"/>
              <w:bottom w:val="nil"/>
              <w:right w:val="single" w:sz="4" w:space="0" w:color="auto"/>
            </w:tcBorders>
            <w:shd w:val="clear" w:color="auto" w:fill="E5DFEC" w:themeFill="accent4" w:themeFillTint="33"/>
            <w:tcMar>
              <w:top w:w="28" w:type="dxa"/>
              <w:bottom w:w="28" w:type="dxa"/>
            </w:tcMar>
            <w:vAlign w:val="center"/>
          </w:tcPr>
          <w:p w14:paraId="6DDE8CE5" w14:textId="77777777" w:rsidR="005F7696" w:rsidRPr="002F0841" w:rsidRDefault="005F7696" w:rsidP="000853E1">
            <w:pPr>
              <w:spacing w:before="0" w:after="0"/>
              <w:jc w:val="center"/>
              <w:rPr>
                <w:rFonts w:cs="Arial"/>
                <w:i/>
                <w:iCs/>
                <w:color w:val="000000"/>
                <w:szCs w:val="20"/>
              </w:rPr>
            </w:pPr>
            <w:r w:rsidRPr="002F0841">
              <w:rPr>
                <w:rFonts w:cs="Arial"/>
                <w:b/>
                <w:bCs/>
                <w:color w:val="000000"/>
                <w:szCs w:val="20"/>
              </w:rPr>
              <w:t>Consent type</w:t>
            </w:r>
          </w:p>
        </w:tc>
      </w:tr>
      <w:tr w:rsidR="005F7696" w:rsidRPr="002F0841" w14:paraId="2BC479B0" w14:textId="77777777" w:rsidTr="000853E1">
        <w:trPr>
          <w:trHeight w:val="227"/>
        </w:trPr>
        <w:tc>
          <w:tcPr>
            <w:tcW w:w="1134" w:type="dxa"/>
            <w:vMerge/>
            <w:tcBorders>
              <w:left w:val="single" w:sz="4" w:space="0" w:color="auto"/>
              <w:bottom w:val="single" w:sz="4" w:space="0" w:color="auto"/>
              <w:right w:val="single" w:sz="4" w:space="0" w:color="auto"/>
            </w:tcBorders>
            <w:shd w:val="clear" w:color="auto" w:fill="E5DFEC" w:themeFill="accent4" w:themeFillTint="33"/>
            <w:noWrap/>
            <w:tcMar>
              <w:top w:w="28" w:type="dxa"/>
              <w:bottom w:w="28" w:type="dxa"/>
            </w:tcMar>
            <w:vAlign w:val="center"/>
          </w:tcPr>
          <w:p w14:paraId="04CF3FDC" w14:textId="77777777" w:rsidR="005F7696" w:rsidRPr="002F0841" w:rsidRDefault="005F7696" w:rsidP="000853E1">
            <w:pPr>
              <w:spacing w:before="0" w:after="0"/>
              <w:rPr>
                <w:rFonts w:cs="Arial"/>
                <w:color w:val="000000"/>
                <w:szCs w:val="20"/>
              </w:rPr>
            </w:pPr>
          </w:p>
        </w:tc>
        <w:tc>
          <w:tcPr>
            <w:tcW w:w="1129" w:type="dxa"/>
            <w:vMerge/>
            <w:tcBorders>
              <w:left w:val="single" w:sz="4" w:space="0" w:color="auto"/>
              <w:bottom w:val="single" w:sz="4" w:space="0" w:color="auto"/>
              <w:right w:val="single" w:sz="4" w:space="0" w:color="auto"/>
            </w:tcBorders>
            <w:shd w:val="clear" w:color="auto" w:fill="E5DFEC" w:themeFill="accent4" w:themeFillTint="33"/>
            <w:noWrap/>
            <w:tcMar>
              <w:top w:w="28" w:type="dxa"/>
              <w:bottom w:w="28" w:type="dxa"/>
            </w:tcMar>
            <w:vAlign w:val="center"/>
          </w:tcPr>
          <w:p w14:paraId="1DD19BD0" w14:textId="77777777" w:rsidR="005F7696" w:rsidRPr="002F0841" w:rsidRDefault="005F7696" w:rsidP="000853E1">
            <w:pPr>
              <w:spacing w:before="0" w:after="0"/>
              <w:jc w:val="right"/>
              <w:rPr>
                <w:rFonts w:cs="Arial"/>
                <w:color w:val="000000"/>
                <w:szCs w:val="20"/>
              </w:rPr>
            </w:pPr>
          </w:p>
        </w:tc>
        <w:tc>
          <w:tcPr>
            <w:tcW w:w="1701" w:type="dxa"/>
            <w:gridSpan w:val="2"/>
            <w:vMerge/>
            <w:tcBorders>
              <w:left w:val="single" w:sz="4" w:space="0" w:color="auto"/>
              <w:bottom w:val="single" w:sz="4" w:space="0" w:color="auto"/>
              <w:right w:val="single" w:sz="4" w:space="0" w:color="auto"/>
            </w:tcBorders>
            <w:shd w:val="clear" w:color="auto" w:fill="E5DFEC" w:themeFill="accent4" w:themeFillTint="33"/>
            <w:noWrap/>
            <w:tcMar>
              <w:top w:w="28" w:type="dxa"/>
              <w:bottom w:w="28" w:type="dxa"/>
            </w:tcMar>
            <w:vAlign w:val="center"/>
          </w:tcPr>
          <w:p w14:paraId="0D533995" w14:textId="77777777" w:rsidR="005F7696" w:rsidRPr="002F0841" w:rsidRDefault="005F7696" w:rsidP="000853E1">
            <w:pPr>
              <w:spacing w:before="0" w:after="0"/>
              <w:jc w:val="right"/>
              <w:rPr>
                <w:rFonts w:cs="Arial"/>
                <w:i/>
                <w:iCs/>
                <w:color w:val="000000"/>
                <w:szCs w:val="20"/>
              </w:rPr>
            </w:pPr>
          </w:p>
        </w:tc>
        <w:tc>
          <w:tcPr>
            <w:tcW w:w="1701" w:type="dxa"/>
            <w:gridSpan w:val="2"/>
            <w:tcBorders>
              <w:top w:val="nil"/>
              <w:left w:val="single" w:sz="4" w:space="0" w:color="auto"/>
              <w:bottom w:val="single" w:sz="4" w:space="0" w:color="auto"/>
              <w:right w:val="nil"/>
            </w:tcBorders>
            <w:shd w:val="clear" w:color="auto" w:fill="E5DFEC" w:themeFill="accent4" w:themeFillTint="33"/>
            <w:tcMar>
              <w:top w:w="28" w:type="dxa"/>
              <w:bottom w:w="28" w:type="dxa"/>
            </w:tcMar>
            <w:vAlign w:val="center"/>
          </w:tcPr>
          <w:p w14:paraId="4CD4B363" w14:textId="77777777" w:rsidR="005F7696" w:rsidRPr="002F0841" w:rsidRDefault="005F7696" w:rsidP="00C472D7">
            <w:pPr>
              <w:pStyle w:val="ListParagraph"/>
              <w:numPr>
                <w:ilvl w:val="0"/>
                <w:numId w:val="67"/>
              </w:numPr>
              <w:spacing w:before="0" w:after="0"/>
              <w:ind w:left="227" w:hanging="227"/>
              <w:jc w:val="center"/>
              <w:rPr>
                <w:rFonts w:cs="Arial"/>
                <w:b/>
                <w:bCs/>
                <w:color w:val="000000"/>
                <w:szCs w:val="20"/>
              </w:rPr>
            </w:pPr>
            <w:r w:rsidRPr="002F0841">
              <w:rPr>
                <w:rFonts w:cs="Arial"/>
                <w:b/>
                <w:bCs/>
                <w:color w:val="000000"/>
                <w:szCs w:val="20"/>
              </w:rPr>
              <w:t>Express</w:t>
            </w:r>
          </w:p>
        </w:tc>
        <w:tc>
          <w:tcPr>
            <w:tcW w:w="1701" w:type="dxa"/>
            <w:gridSpan w:val="2"/>
            <w:tcBorders>
              <w:top w:val="nil"/>
              <w:left w:val="nil"/>
              <w:bottom w:val="single" w:sz="4" w:space="0" w:color="auto"/>
              <w:right w:val="nil"/>
            </w:tcBorders>
            <w:shd w:val="clear" w:color="auto" w:fill="E5DFEC" w:themeFill="accent4" w:themeFillTint="33"/>
            <w:tcMar>
              <w:top w:w="28" w:type="dxa"/>
              <w:bottom w:w="28" w:type="dxa"/>
            </w:tcMar>
            <w:vAlign w:val="center"/>
          </w:tcPr>
          <w:p w14:paraId="16F2C7E4" w14:textId="77777777" w:rsidR="005F7696" w:rsidRPr="002F0841" w:rsidRDefault="005F7696" w:rsidP="00C472D7">
            <w:pPr>
              <w:pStyle w:val="ListParagraph"/>
              <w:numPr>
                <w:ilvl w:val="0"/>
                <w:numId w:val="67"/>
              </w:numPr>
              <w:spacing w:before="0" w:after="0"/>
              <w:ind w:left="227" w:hanging="227"/>
              <w:jc w:val="center"/>
              <w:rPr>
                <w:rFonts w:cs="Arial"/>
                <w:b/>
                <w:bCs/>
                <w:color w:val="000000"/>
                <w:szCs w:val="20"/>
              </w:rPr>
            </w:pPr>
            <w:r w:rsidRPr="002F0841">
              <w:rPr>
                <w:rFonts w:cs="Arial"/>
                <w:b/>
                <w:bCs/>
                <w:color w:val="000000"/>
                <w:szCs w:val="20"/>
              </w:rPr>
              <w:t>Implicit</w:t>
            </w:r>
          </w:p>
        </w:tc>
        <w:tc>
          <w:tcPr>
            <w:tcW w:w="1701" w:type="dxa"/>
            <w:gridSpan w:val="2"/>
            <w:tcBorders>
              <w:top w:val="nil"/>
              <w:left w:val="nil"/>
              <w:bottom w:val="single" w:sz="4" w:space="0" w:color="auto"/>
              <w:right w:val="single" w:sz="4" w:space="0" w:color="auto"/>
            </w:tcBorders>
            <w:shd w:val="clear" w:color="auto" w:fill="E5DFEC" w:themeFill="accent4" w:themeFillTint="33"/>
            <w:noWrap/>
            <w:tcMar>
              <w:top w:w="28" w:type="dxa"/>
              <w:bottom w:w="28" w:type="dxa"/>
            </w:tcMar>
            <w:vAlign w:val="center"/>
          </w:tcPr>
          <w:p w14:paraId="7AEB3105" w14:textId="77777777" w:rsidR="005F7696" w:rsidRPr="002F0841" w:rsidRDefault="005F7696" w:rsidP="00C472D7">
            <w:pPr>
              <w:pStyle w:val="ListParagraph"/>
              <w:numPr>
                <w:ilvl w:val="0"/>
                <w:numId w:val="67"/>
              </w:numPr>
              <w:spacing w:before="0" w:after="0"/>
              <w:ind w:left="227" w:hanging="227"/>
              <w:jc w:val="center"/>
              <w:rPr>
                <w:rFonts w:cs="Arial"/>
                <w:b/>
                <w:bCs/>
                <w:color w:val="000000"/>
                <w:szCs w:val="20"/>
              </w:rPr>
            </w:pPr>
            <w:r w:rsidRPr="002F0841">
              <w:rPr>
                <w:rFonts w:cs="Arial"/>
                <w:b/>
                <w:bCs/>
                <w:color w:val="000000"/>
                <w:szCs w:val="20"/>
              </w:rPr>
              <w:t>Waived</w:t>
            </w:r>
          </w:p>
        </w:tc>
      </w:tr>
      <w:tr w:rsidR="005F7696" w:rsidRPr="002F0841" w14:paraId="06FAD63A" w14:textId="77777777" w:rsidTr="000853E1">
        <w:trPr>
          <w:trHeight w:val="288"/>
        </w:trPr>
        <w:tc>
          <w:tcPr>
            <w:tcW w:w="1134" w:type="dxa"/>
            <w:tcBorders>
              <w:top w:val="single" w:sz="4" w:space="0" w:color="auto"/>
              <w:left w:val="single" w:sz="4" w:space="0" w:color="auto"/>
              <w:bottom w:val="nil"/>
              <w:right w:val="single" w:sz="4" w:space="0" w:color="auto"/>
            </w:tcBorders>
            <w:shd w:val="clear" w:color="auto" w:fill="auto"/>
            <w:noWrap/>
            <w:tcMar>
              <w:top w:w="28" w:type="dxa"/>
              <w:bottom w:w="28" w:type="dxa"/>
            </w:tcMar>
            <w:vAlign w:val="center"/>
            <w:hideMark/>
          </w:tcPr>
          <w:p w14:paraId="2B7D2BEE" w14:textId="77777777" w:rsidR="005F7696" w:rsidRPr="002F0841" w:rsidRDefault="005F7696" w:rsidP="000853E1">
            <w:pPr>
              <w:spacing w:before="0" w:after="0" w:line="240" w:lineRule="auto"/>
              <w:rPr>
                <w:rFonts w:cs="Arial"/>
                <w:color w:val="000000"/>
                <w:szCs w:val="20"/>
              </w:rPr>
            </w:pPr>
            <w:r w:rsidRPr="002F0841">
              <w:rPr>
                <w:rFonts w:cs="Arial"/>
                <w:color w:val="000000"/>
                <w:szCs w:val="20"/>
              </w:rPr>
              <w:t>1921-26</w:t>
            </w:r>
          </w:p>
        </w:tc>
        <w:tc>
          <w:tcPr>
            <w:tcW w:w="1129" w:type="dxa"/>
            <w:tcBorders>
              <w:top w:val="single" w:sz="8" w:space="0" w:color="auto"/>
              <w:left w:val="nil"/>
              <w:bottom w:val="nil"/>
              <w:right w:val="single" w:sz="8" w:space="0" w:color="auto"/>
            </w:tcBorders>
            <w:shd w:val="clear" w:color="auto" w:fill="auto"/>
            <w:noWrap/>
            <w:tcMar>
              <w:top w:w="28" w:type="dxa"/>
              <w:bottom w:w="28" w:type="dxa"/>
            </w:tcMar>
            <w:vAlign w:val="center"/>
            <w:hideMark/>
          </w:tcPr>
          <w:p w14:paraId="7C0B1EE0" w14:textId="77777777" w:rsidR="005F7696" w:rsidRPr="002F0841" w:rsidRDefault="005F7696" w:rsidP="000853E1">
            <w:pPr>
              <w:spacing w:before="0" w:after="0" w:line="240" w:lineRule="auto"/>
              <w:jc w:val="right"/>
              <w:rPr>
                <w:rFonts w:cs="Arial"/>
                <w:color w:val="000000"/>
                <w:szCs w:val="20"/>
              </w:rPr>
            </w:pPr>
            <w:r>
              <w:rPr>
                <w:rFonts w:cs="Arial"/>
                <w:color w:val="000000"/>
                <w:szCs w:val="20"/>
              </w:rPr>
              <w:t>12,432</w:t>
            </w:r>
          </w:p>
        </w:tc>
        <w:tc>
          <w:tcPr>
            <w:tcW w:w="993" w:type="dxa"/>
            <w:tcBorders>
              <w:top w:val="single" w:sz="8" w:space="0" w:color="auto"/>
              <w:left w:val="nil"/>
              <w:bottom w:val="nil"/>
              <w:right w:val="nil"/>
            </w:tcBorders>
            <w:shd w:val="clear" w:color="auto" w:fill="auto"/>
            <w:noWrap/>
            <w:tcMar>
              <w:top w:w="28" w:type="dxa"/>
              <w:bottom w:w="28" w:type="dxa"/>
            </w:tcMar>
            <w:vAlign w:val="center"/>
            <w:hideMark/>
          </w:tcPr>
          <w:p w14:paraId="51AC7A46" w14:textId="77777777" w:rsidR="005F7696" w:rsidRPr="002F0841" w:rsidRDefault="005F7696" w:rsidP="000853E1">
            <w:pPr>
              <w:spacing w:before="0" w:after="0" w:line="240" w:lineRule="auto"/>
              <w:jc w:val="right"/>
              <w:rPr>
                <w:rFonts w:cs="Arial"/>
                <w:color w:val="000000"/>
                <w:szCs w:val="20"/>
              </w:rPr>
            </w:pPr>
            <w:r>
              <w:rPr>
                <w:rFonts w:cs="Arial"/>
                <w:color w:val="000000"/>
                <w:szCs w:val="20"/>
              </w:rPr>
              <w:t>353</w:t>
            </w:r>
          </w:p>
        </w:tc>
        <w:tc>
          <w:tcPr>
            <w:tcW w:w="708" w:type="dxa"/>
            <w:tcBorders>
              <w:top w:val="single" w:sz="8" w:space="0" w:color="auto"/>
              <w:left w:val="nil"/>
              <w:bottom w:val="nil"/>
              <w:right w:val="single" w:sz="8" w:space="0" w:color="auto"/>
            </w:tcBorders>
            <w:shd w:val="clear" w:color="auto" w:fill="auto"/>
            <w:noWrap/>
            <w:tcMar>
              <w:top w:w="28" w:type="dxa"/>
              <w:bottom w:w="28" w:type="dxa"/>
            </w:tcMar>
            <w:vAlign w:val="center"/>
            <w:hideMark/>
          </w:tcPr>
          <w:p w14:paraId="60DBB5DB"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2.8%</w:t>
            </w:r>
          </w:p>
        </w:tc>
        <w:tc>
          <w:tcPr>
            <w:tcW w:w="850" w:type="dxa"/>
            <w:tcBorders>
              <w:top w:val="nil"/>
              <w:left w:val="nil"/>
              <w:bottom w:val="nil"/>
              <w:right w:val="nil"/>
            </w:tcBorders>
            <w:shd w:val="clear" w:color="auto" w:fill="auto"/>
            <w:tcMar>
              <w:top w:w="28" w:type="dxa"/>
              <w:bottom w:w="28" w:type="dxa"/>
            </w:tcMar>
            <w:vAlign w:val="center"/>
            <w:hideMark/>
          </w:tcPr>
          <w:p w14:paraId="67DC7802" w14:textId="77777777" w:rsidR="005F7696" w:rsidRPr="002F0841" w:rsidRDefault="005F7696" w:rsidP="000853E1">
            <w:pPr>
              <w:spacing w:before="0" w:after="0" w:line="240" w:lineRule="auto"/>
              <w:jc w:val="right"/>
              <w:rPr>
                <w:rFonts w:cs="Arial"/>
                <w:color w:val="000000"/>
                <w:szCs w:val="20"/>
              </w:rPr>
            </w:pPr>
            <w:r>
              <w:rPr>
                <w:rFonts w:cs="Arial"/>
                <w:color w:val="000000"/>
                <w:szCs w:val="20"/>
              </w:rPr>
              <w:t>9,131</w:t>
            </w:r>
          </w:p>
        </w:tc>
        <w:tc>
          <w:tcPr>
            <w:tcW w:w="851" w:type="dxa"/>
            <w:tcBorders>
              <w:top w:val="single" w:sz="8" w:space="0" w:color="auto"/>
              <w:left w:val="nil"/>
              <w:bottom w:val="nil"/>
              <w:right w:val="single" w:sz="8" w:space="0" w:color="auto"/>
            </w:tcBorders>
            <w:shd w:val="clear" w:color="auto" w:fill="auto"/>
            <w:noWrap/>
            <w:tcMar>
              <w:top w:w="28" w:type="dxa"/>
              <w:bottom w:w="28" w:type="dxa"/>
            </w:tcMar>
            <w:vAlign w:val="center"/>
            <w:hideMark/>
          </w:tcPr>
          <w:p w14:paraId="0FF4E2AF"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73.4%</w:t>
            </w:r>
          </w:p>
        </w:tc>
        <w:tc>
          <w:tcPr>
            <w:tcW w:w="993" w:type="dxa"/>
            <w:tcBorders>
              <w:top w:val="nil"/>
              <w:left w:val="nil"/>
              <w:bottom w:val="nil"/>
              <w:right w:val="nil"/>
            </w:tcBorders>
            <w:shd w:val="clear" w:color="auto" w:fill="auto"/>
            <w:tcMar>
              <w:top w:w="28" w:type="dxa"/>
              <w:bottom w:w="28" w:type="dxa"/>
            </w:tcMar>
            <w:vAlign w:val="center"/>
            <w:hideMark/>
          </w:tcPr>
          <w:p w14:paraId="40A91403" w14:textId="77777777" w:rsidR="005F7696" w:rsidRPr="002F0841" w:rsidRDefault="005F7696" w:rsidP="000853E1">
            <w:pPr>
              <w:spacing w:before="0" w:after="0" w:line="240" w:lineRule="auto"/>
              <w:jc w:val="right"/>
              <w:rPr>
                <w:rFonts w:cs="Arial"/>
                <w:color w:val="000000"/>
                <w:szCs w:val="20"/>
              </w:rPr>
            </w:pPr>
            <w:r>
              <w:rPr>
                <w:rFonts w:cs="Arial"/>
                <w:color w:val="000000" w:themeColor="text1"/>
                <w:szCs w:val="20"/>
              </w:rPr>
              <w:t>389</w:t>
            </w:r>
          </w:p>
        </w:tc>
        <w:tc>
          <w:tcPr>
            <w:tcW w:w="708" w:type="dxa"/>
            <w:tcBorders>
              <w:top w:val="single" w:sz="8" w:space="0" w:color="auto"/>
              <w:left w:val="nil"/>
              <w:bottom w:val="nil"/>
              <w:right w:val="single" w:sz="8" w:space="0" w:color="auto"/>
            </w:tcBorders>
            <w:shd w:val="clear" w:color="auto" w:fill="auto"/>
            <w:noWrap/>
            <w:tcMar>
              <w:top w:w="28" w:type="dxa"/>
              <w:bottom w:w="28" w:type="dxa"/>
            </w:tcMar>
            <w:vAlign w:val="center"/>
            <w:hideMark/>
          </w:tcPr>
          <w:p w14:paraId="31719906"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3.1%</w:t>
            </w:r>
          </w:p>
        </w:tc>
        <w:tc>
          <w:tcPr>
            <w:tcW w:w="851" w:type="dxa"/>
            <w:tcBorders>
              <w:top w:val="nil"/>
              <w:left w:val="nil"/>
              <w:bottom w:val="nil"/>
              <w:right w:val="nil"/>
            </w:tcBorders>
            <w:shd w:val="clear" w:color="auto" w:fill="auto"/>
            <w:noWrap/>
            <w:tcMar>
              <w:top w:w="28" w:type="dxa"/>
              <w:bottom w:w="28" w:type="dxa"/>
            </w:tcMar>
            <w:vAlign w:val="center"/>
            <w:hideMark/>
          </w:tcPr>
          <w:p w14:paraId="6E083E2A" w14:textId="77777777" w:rsidR="005F7696" w:rsidRPr="002F0841" w:rsidRDefault="005F7696" w:rsidP="000853E1">
            <w:pPr>
              <w:spacing w:before="0" w:after="0" w:line="240" w:lineRule="auto"/>
              <w:jc w:val="right"/>
              <w:rPr>
                <w:rFonts w:cs="Arial"/>
                <w:color w:val="000000"/>
                <w:szCs w:val="20"/>
              </w:rPr>
            </w:pPr>
            <w:r>
              <w:rPr>
                <w:rFonts w:cs="Arial"/>
                <w:color w:val="000000" w:themeColor="text1"/>
                <w:szCs w:val="20"/>
              </w:rPr>
              <w:t>2,559</w:t>
            </w:r>
          </w:p>
        </w:tc>
        <w:tc>
          <w:tcPr>
            <w:tcW w:w="850" w:type="dxa"/>
            <w:tcBorders>
              <w:top w:val="single" w:sz="8" w:space="0" w:color="auto"/>
              <w:left w:val="nil"/>
              <w:bottom w:val="nil"/>
              <w:right w:val="single" w:sz="8" w:space="0" w:color="auto"/>
            </w:tcBorders>
            <w:shd w:val="clear" w:color="auto" w:fill="auto"/>
            <w:noWrap/>
            <w:tcMar>
              <w:top w:w="28" w:type="dxa"/>
              <w:bottom w:w="28" w:type="dxa"/>
            </w:tcMar>
            <w:vAlign w:val="center"/>
            <w:hideMark/>
          </w:tcPr>
          <w:p w14:paraId="4D45B9EF"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20.6%</w:t>
            </w:r>
          </w:p>
        </w:tc>
      </w:tr>
      <w:tr w:rsidR="005F7696" w:rsidRPr="002F0841" w14:paraId="01E862B0" w14:textId="77777777" w:rsidTr="000853E1">
        <w:trPr>
          <w:trHeight w:val="288"/>
        </w:trPr>
        <w:tc>
          <w:tcPr>
            <w:tcW w:w="1134" w:type="dxa"/>
            <w:tcBorders>
              <w:top w:val="nil"/>
              <w:left w:val="single" w:sz="4" w:space="0" w:color="auto"/>
              <w:bottom w:val="nil"/>
              <w:right w:val="single" w:sz="4" w:space="0" w:color="auto"/>
            </w:tcBorders>
            <w:shd w:val="clear" w:color="auto" w:fill="auto"/>
            <w:noWrap/>
            <w:tcMar>
              <w:top w:w="28" w:type="dxa"/>
              <w:bottom w:w="28" w:type="dxa"/>
            </w:tcMar>
            <w:vAlign w:val="center"/>
            <w:hideMark/>
          </w:tcPr>
          <w:p w14:paraId="5FF91EB9" w14:textId="77777777" w:rsidR="005F7696" w:rsidRPr="002F0841" w:rsidRDefault="005F7696" w:rsidP="000853E1">
            <w:pPr>
              <w:spacing w:before="0" w:after="0" w:line="240" w:lineRule="auto"/>
              <w:rPr>
                <w:rFonts w:cs="Arial"/>
                <w:color w:val="000000"/>
                <w:szCs w:val="20"/>
              </w:rPr>
            </w:pPr>
            <w:r w:rsidRPr="002F0841">
              <w:rPr>
                <w:rFonts w:cs="Arial"/>
                <w:color w:val="000000"/>
                <w:szCs w:val="20"/>
              </w:rPr>
              <w:t>1946-51</w:t>
            </w:r>
          </w:p>
        </w:tc>
        <w:tc>
          <w:tcPr>
            <w:tcW w:w="1129" w:type="dxa"/>
            <w:tcBorders>
              <w:top w:val="nil"/>
              <w:left w:val="nil"/>
              <w:bottom w:val="nil"/>
              <w:right w:val="single" w:sz="8" w:space="0" w:color="auto"/>
            </w:tcBorders>
            <w:shd w:val="clear" w:color="auto" w:fill="auto"/>
            <w:noWrap/>
            <w:tcMar>
              <w:top w:w="28" w:type="dxa"/>
              <w:bottom w:w="28" w:type="dxa"/>
            </w:tcMar>
            <w:vAlign w:val="center"/>
            <w:hideMark/>
          </w:tcPr>
          <w:p w14:paraId="731C8D20" w14:textId="77777777" w:rsidR="005F7696" w:rsidRPr="002F0841" w:rsidRDefault="005F7696" w:rsidP="000853E1">
            <w:pPr>
              <w:spacing w:before="0" w:after="0" w:line="240" w:lineRule="auto"/>
              <w:jc w:val="right"/>
              <w:rPr>
                <w:rFonts w:cs="Arial"/>
                <w:color w:val="000000"/>
                <w:szCs w:val="20"/>
              </w:rPr>
            </w:pPr>
            <w:r>
              <w:rPr>
                <w:rFonts w:cs="Arial"/>
                <w:color w:val="000000" w:themeColor="text1"/>
                <w:szCs w:val="20"/>
              </w:rPr>
              <w:t>13,714</w:t>
            </w:r>
          </w:p>
        </w:tc>
        <w:tc>
          <w:tcPr>
            <w:tcW w:w="993" w:type="dxa"/>
            <w:tcBorders>
              <w:top w:val="nil"/>
              <w:left w:val="nil"/>
              <w:bottom w:val="nil"/>
              <w:right w:val="nil"/>
            </w:tcBorders>
            <w:shd w:val="clear" w:color="auto" w:fill="auto"/>
            <w:noWrap/>
            <w:tcMar>
              <w:top w:w="28" w:type="dxa"/>
              <w:bottom w:w="28" w:type="dxa"/>
            </w:tcMar>
            <w:vAlign w:val="center"/>
            <w:hideMark/>
          </w:tcPr>
          <w:p w14:paraId="295EF060" w14:textId="77777777" w:rsidR="005F7696" w:rsidRPr="002F0841" w:rsidRDefault="005F7696" w:rsidP="000853E1">
            <w:pPr>
              <w:spacing w:before="0" w:after="0" w:line="240" w:lineRule="auto"/>
              <w:jc w:val="right"/>
              <w:rPr>
                <w:rFonts w:cs="Arial"/>
                <w:color w:val="000000"/>
                <w:szCs w:val="20"/>
              </w:rPr>
            </w:pPr>
            <w:r>
              <w:rPr>
                <w:rFonts w:cs="Arial"/>
                <w:color w:val="000000" w:themeColor="text1"/>
                <w:szCs w:val="20"/>
              </w:rPr>
              <w:t>758</w:t>
            </w:r>
          </w:p>
        </w:tc>
        <w:tc>
          <w:tcPr>
            <w:tcW w:w="708" w:type="dxa"/>
            <w:tcBorders>
              <w:top w:val="nil"/>
              <w:left w:val="nil"/>
              <w:bottom w:val="nil"/>
              <w:right w:val="single" w:sz="8" w:space="0" w:color="auto"/>
            </w:tcBorders>
            <w:shd w:val="clear" w:color="auto" w:fill="auto"/>
            <w:noWrap/>
            <w:tcMar>
              <w:top w:w="28" w:type="dxa"/>
              <w:bottom w:w="28" w:type="dxa"/>
            </w:tcMar>
            <w:vAlign w:val="center"/>
            <w:hideMark/>
          </w:tcPr>
          <w:p w14:paraId="3A384E25"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5.5%</w:t>
            </w:r>
          </w:p>
        </w:tc>
        <w:tc>
          <w:tcPr>
            <w:tcW w:w="850" w:type="dxa"/>
            <w:tcBorders>
              <w:top w:val="nil"/>
              <w:left w:val="nil"/>
              <w:bottom w:val="nil"/>
              <w:right w:val="nil"/>
            </w:tcBorders>
            <w:shd w:val="clear" w:color="auto" w:fill="auto"/>
            <w:tcMar>
              <w:top w:w="28" w:type="dxa"/>
              <w:bottom w:w="28" w:type="dxa"/>
            </w:tcMar>
            <w:vAlign w:val="center"/>
            <w:hideMark/>
          </w:tcPr>
          <w:p w14:paraId="1D1AAEEB" w14:textId="77777777" w:rsidR="005F7696" w:rsidRPr="002F0841" w:rsidRDefault="005F7696" w:rsidP="000853E1">
            <w:pPr>
              <w:spacing w:before="0" w:after="0" w:line="240" w:lineRule="auto"/>
              <w:jc w:val="right"/>
              <w:rPr>
                <w:rFonts w:cs="Arial"/>
                <w:color w:val="000000"/>
                <w:szCs w:val="20"/>
              </w:rPr>
            </w:pPr>
            <w:r>
              <w:rPr>
                <w:rFonts w:cs="Arial"/>
                <w:color w:val="000000"/>
                <w:szCs w:val="20"/>
              </w:rPr>
              <w:t>11,236</w:t>
            </w:r>
          </w:p>
        </w:tc>
        <w:tc>
          <w:tcPr>
            <w:tcW w:w="851" w:type="dxa"/>
            <w:tcBorders>
              <w:top w:val="nil"/>
              <w:left w:val="nil"/>
              <w:bottom w:val="nil"/>
              <w:right w:val="single" w:sz="8" w:space="0" w:color="auto"/>
            </w:tcBorders>
            <w:shd w:val="clear" w:color="auto" w:fill="auto"/>
            <w:noWrap/>
            <w:tcMar>
              <w:top w:w="28" w:type="dxa"/>
              <w:bottom w:w="28" w:type="dxa"/>
            </w:tcMar>
            <w:vAlign w:val="center"/>
            <w:hideMark/>
          </w:tcPr>
          <w:p w14:paraId="23B5402B"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81.9%</w:t>
            </w:r>
          </w:p>
        </w:tc>
        <w:tc>
          <w:tcPr>
            <w:tcW w:w="993" w:type="dxa"/>
            <w:tcBorders>
              <w:top w:val="nil"/>
              <w:left w:val="nil"/>
              <w:bottom w:val="nil"/>
              <w:right w:val="nil"/>
            </w:tcBorders>
            <w:shd w:val="clear" w:color="auto" w:fill="auto"/>
            <w:tcMar>
              <w:top w:w="28" w:type="dxa"/>
              <w:bottom w:w="28" w:type="dxa"/>
            </w:tcMar>
            <w:vAlign w:val="center"/>
            <w:hideMark/>
          </w:tcPr>
          <w:p w14:paraId="7B6B8071" w14:textId="77777777" w:rsidR="005F7696" w:rsidRPr="002F0841" w:rsidRDefault="005F7696" w:rsidP="000853E1">
            <w:pPr>
              <w:spacing w:before="0" w:after="0" w:line="240" w:lineRule="auto"/>
              <w:jc w:val="right"/>
              <w:rPr>
                <w:rFonts w:cs="Arial"/>
                <w:color w:val="000000"/>
                <w:szCs w:val="20"/>
              </w:rPr>
            </w:pPr>
            <w:r>
              <w:rPr>
                <w:rFonts w:cs="Arial"/>
                <w:color w:val="000000" w:themeColor="text1"/>
                <w:szCs w:val="20"/>
              </w:rPr>
              <w:t>439</w:t>
            </w:r>
          </w:p>
        </w:tc>
        <w:tc>
          <w:tcPr>
            <w:tcW w:w="708" w:type="dxa"/>
            <w:tcBorders>
              <w:top w:val="nil"/>
              <w:left w:val="nil"/>
              <w:bottom w:val="nil"/>
              <w:right w:val="single" w:sz="8" w:space="0" w:color="auto"/>
            </w:tcBorders>
            <w:shd w:val="clear" w:color="auto" w:fill="auto"/>
            <w:noWrap/>
            <w:tcMar>
              <w:top w:w="28" w:type="dxa"/>
              <w:bottom w:w="28" w:type="dxa"/>
            </w:tcMar>
            <w:vAlign w:val="center"/>
            <w:hideMark/>
          </w:tcPr>
          <w:p w14:paraId="662B728C"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3.2%</w:t>
            </w:r>
          </w:p>
        </w:tc>
        <w:tc>
          <w:tcPr>
            <w:tcW w:w="851" w:type="dxa"/>
            <w:tcBorders>
              <w:top w:val="nil"/>
              <w:left w:val="nil"/>
              <w:bottom w:val="nil"/>
              <w:right w:val="nil"/>
            </w:tcBorders>
            <w:shd w:val="clear" w:color="auto" w:fill="auto"/>
            <w:noWrap/>
            <w:tcMar>
              <w:top w:w="28" w:type="dxa"/>
              <w:bottom w:w="28" w:type="dxa"/>
            </w:tcMar>
            <w:vAlign w:val="center"/>
            <w:hideMark/>
          </w:tcPr>
          <w:p w14:paraId="2BD65CAC" w14:textId="77777777" w:rsidR="005F7696" w:rsidRPr="002F0841" w:rsidRDefault="005F7696" w:rsidP="000853E1">
            <w:pPr>
              <w:spacing w:before="0" w:after="0" w:line="240" w:lineRule="auto"/>
              <w:jc w:val="right"/>
              <w:rPr>
                <w:rFonts w:cs="Arial"/>
                <w:color w:val="000000"/>
                <w:szCs w:val="20"/>
              </w:rPr>
            </w:pPr>
            <w:r>
              <w:rPr>
                <w:rFonts w:cs="Arial"/>
                <w:color w:val="000000" w:themeColor="text1"/>
                <w:szCs w:val="20"/>
              </w:rPr>
              <w:t>1,281</w:t>
            </w:r>
          </w:p>
        </w:tc>
        <w:tc>
          <w:tcPr>
            <w:tcW w:w="850" w:type="dxa"/>
            <w:tcBorders>
              <w:top w:val="nil"/>
              <w:left w:val="nil"/>
              <w:bottom w:val="nil"/>
              <w:right w:val="single" w:sz="8" w:space="0" w:color="auto"/>
            </w:tcBorders>
            <w:shd w:val="clear" w:color="auto" w:fill="auto"/>
            <w:noWrap/>
            <w:tcMar>
              <w:top w:w="28" w:type="dxa"/>
              <w:bottom w:w="28" w:type="dxa"/>
            </w:tcMar>
            <w:vAlign w:val="center"/>
            <w:hideMark/>
          </w:tcPr>
          <w:p w14:paraId="59ADF6F8"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9.3%</w:t>
            </w:r>
          </w:p>
        </w:tc>
      </w:tr>
      <w:tr w:rsidR="005F7696" w:rsidRPr="002F0841" w14:paraId="6F98818A" w14:textId="77777777" w:rsidTr="000853E1">
        <w:trPr>
          <w:trHeight w:val="288"/>
        </w:trPr>
        <w:tc>
          <w:tcPr>
            <w:tcW w:w="1134" w:type="dxa"/>
            <w:tcBorders>
              <w:top w:val="nil"/>
              <w:left w:val="single" w:sz="4" w:space="0" w:color="auto"/>
              <w:bottom w:val="nil"/>
              <w:right w:val="single" w:sz="4" w:space="0" w:color="auto"/>
            </w:tcBorders>
            <w:shd w:val="clear" w:color="auto" w:fill="auto"/>
            <w:noWrap/>
            <w:tcMar>
              <w:top w:w="28" w:type="dxa"/>
              <w:bottom w:w="28" w:type="dxa"/>
            </w:tcMar>
            <w:vAlign w:val="center"/>
            <w:hideMark/>
          </w:tcPr>
          <w:p w14:paraId="4B1E9E34" w14:textId="77777777" w:rsidR="005F7696" w:rsidRPr="002F0841" w:rsidRDefault="005F7696" w:rsidP="000853E1">
            <w:pPr>
              <w:spacing w:before="0" w:after="0" w:line="240" w:lineRule="auto"/>
              <w:rPr>
                <w:rFonts w:cs="Arial"/>
                <w:color w:val="000000"/>
                <w:szCs w:val="20"/>
              </w:rPr>
            </w:pPr>
            <w:r w:rsidRPr="002F0841">
              <w:rPr>
                <w:rFonts w:cs="Arial"/>
                <w:color w:val="000000"/>
                <w:szCs w:val="20"/>
              </w:rPr>
              <w:t>1973-78</w:t>
            </w:r>
          </w:p>
        </w:tc>
        <w:tc>
          <w:tcPr>
            <w:tcW w:w="1129" w:type="dxa"/>
            <w:tcBorders>
              <w:top w:val="nil"/>
              <w:left w:val="nil"/>
              <w:bottom w:val="nil"/>
              <w:right w:val="single" w:sz="8" w:space="0" w:color="auto"/>
            </w:tcBorders>
            <w:shd w:val="clear" w:color="auto" w:fill="auto"/>
            <w:noWrap/>
            <w:tcMar>
              <w:top w:w="28" w:type="dxa"/>
              <w:bottom w:w="28" w:type="dxa"/>
            </w:tcMar>
            <w:vAlign w:val="center"/>
            <w:hideMark/>
          </w:tcPr>
          <w:p w14:paraId="70A8076F" w14:textId="77777777" w:rsidR="005F7696" w:rsidRPr="002F0841" w:rsidRDefault="005F7696" w:rsidP="000853E1">
            <w:pPr>
              <w:spacing w:before="0" w:after="0" w:line="240" w:lineRule="auto"/>
              <w:jc w:val="right"/>
              <w:rPr>
                <w:rFonts w:cs="Arial"/>
                <w:color w:val="000000"/>
                <w:szCs w:val="20"/>
              </w:rPr>
            </w:pPr>
            <w:r>
              <w:rPr>
                <w:rFonts w:cs="Arial"/>
                <w:color w:val="000000"/>
                <w:szCs w:val="20"/>
              </w:rPr>
              <w:t>14,247</w:t>
            </w:r>
          </w:p>
        </w:tc>
        <w:tc>
          <w:tcPr>
            <w:tcW w:w="993" w:type="dxa"/>
            <w:tcBorders>
              <w:top w:val="nil"/>
              <w:left w:val="nil"/>
              <w:bottom w:val="nil"/>
              <w:right w:val="nil"/>
            </w:tcBorders>
            <w:shd w:val="clear" w:color="auto" w:fill="auto"/>
            <w:noWrap/>
            <w:tcMar>
              <w:top w:w="28" w:type="dxa"/>
              <w:bottom w:w="28" w:type="dxa"/>
            </w:tcMar>
            <w:vAlign w:val="center"/>
            <w:hideMark/>
          </w:tcPr>
          <w:p w14:paraId="7932164C" w14:textId="77777777" w:rsidR="005F7696" w:rsidRPr="002F0841" w:rsidRDefault="005F7696" w:rsidP="000853E1">
            <w:pPr>
              <w:spacing w:before="0" w:after="0" w:line="240" w:lineRule="auto"/>
              <w:jc w:val="right"/>
              <w:rPr>
                <w:rFonts w:cs="Arial"/>
                <w:color w:val="000000"/>
                <w:szCs w:val="20"/>
              </w:rPr>
            </w:pPr>
            <w:r>
              <w:rPr>
                <w:rFonts w:cs="Arial"/>
                <w:color w:val="000000" w:themeColor="text1"/>
                <w:szCs w:val="20"/>
              </w:rPr>
              <w:t>745</w:t>
            </w:r>
          </w:p>
        </w:tc>
        <w:tc>
          <w:tcPr>
            <w:tcW w:w="708" w:type="dxa"/>
            <w:tcBorders>
              <w:top w:val="nil"/>
              <w:left w:val="nil"/>
              <w:bottom w:val="nil"/>
              <w:right w:val="single" w:sz="8" w:space="0" w:color="auto"/>
            </w:tcBorders>
            <w:shd w:val="clear" w:color="auto" w:fill="auto"/>
            <w:noWrap/>
            <w:tcMar>
              <w:top w:w="28" w:type="dxa"/>
              <w:bottom w:w="28" w:type="dxa"/>
            </w:tcMar>
            <w:vAlign w:val="center"/>
            <w:hideMark/>
          </w:tcPr>
          <w:p w14:paraId="118E4DE2"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5.2%</w:t>
            </w:r>
          </w:p>
        </w:tc>
        <w:tc>
          <w:tcPr>
            <w:tcW w:w="850" w:type="dxa"/>
            <w:tcBorders>
              <w:top w:val="nil"/>
              <w:left w:val="nil"/>
              <w:bottom w:val="nil"/>
              <w:right w:val="nil"/>
            </w:tcBorders>
            <w:shd w:val="clear" w:color="auto" w:fill="auto"/>
            <w:tcMar>
              <w:top w:w="28" w:type="dxa"/>
              <w:bottom w:w="28" w:type="dxa"/>
            </w:tcMar>
            <w:vAlign w:val="center"/>
            <w:hideMark/>
          </w:tcPr>
          <w:p w14:paraId="1B4E9CB6" w14:textId="77777777" w:rsidR="005F7696" w:rsidRPr="002F0841" w:rsidRDefault="005F7696" w:rsidP="000853E1">
            <w:pPr>
              <w:spacing w:before="0" w:after="0" w:line="240" w:lineRule="auto"/>
              <w:jc w:val="right"/>
              <w:rPr>
                <w:rFonts w:cs="Arial"/>
                <w:color w:val="000000"/>
                <w:szCs w:val="20"/>
              </w:rPr>
            </w:pPr>
            <w:r>
              <w:rPr>
                <w:rFonts w:cs="Arial"/>
                <w:color w:val="000000" w:themeColor="text1"/>
                <w:szCs w:val="20"/>
              </w:rPr>
              <w:t>9,896</w:t>
            </w:r>
          </w:p>
        </w:tc>
        <w:tc>
          <w:tcPr>
            <w:tcW w:w="851" w:type="dxa"/>
            <w:tcBorders>
              <w:top w:val="nil"/>
              <w:left w:val="nil"/>
              <w:bottom w:val="nil"/>
              <w:right w:val="single" w:sz="8" w:space="0" w:color="auto"/>
            </w:tcBorders>
            <w:shd w:val="clear" w:color="auto" w:fill="auto"/>
            <w:noWrap/>
            <w:tcMar>
              <w:top w:w="28" w:type="dxa"/>
              <w:bottom w:w="28" w:type="dxa"/>
            </w:tcMar>
            <w:vAlign w:val="center"/>
            <w:hideMark/>
          </w:tcPr>
          <w:p w14:paraId="31DEC224"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69.5%</w:t>
            </w:r>
          </w:p>
        </w:tc>
        <w:tc>
          <w:tcPr>
            <w:tcW w:w="993" w:type="dxa"/>
            <w:tcBorders>
              <w:top w:val="nil"/>
              <w:left w:val="nil"/>
              <w:bottom w:val="nil"/>
              <w:right w:val="nil"/>
            </w:tcBorders>
            <w:shd w:val="clear" w:color="auto" w:fill="auto"/>
            <w:tcMar>
              <w:top w:w="28" w:type="dxa"/>
              <w:bottom w:w="28" w:type="dxa"/>
            </w:tcMar>
            <w:vAlign w:val="center"/>
            <w:hideMark/>
          </w:tcPr>
          <w:p w14:paraId="49CAB89E" w14:textId="77777777" w:rsidR="005F7696" w:rsidRPr="002F0841" w:rsidRDefault="005F7696" w:rsidP="000853E1">
            <w:pPr>
              <w:spacing w:before="0" w:after="0" w:line="240" w:lineRule="auto"/>
              <w:jc w:val="right"/>
              <w:rPr>
                <w:rFonts w:cs="Arial"/>
                <w:color w:val="000000"/>
                <w:szCs w:val="20"/>
              </w:rPr>
            </w:pPr>
            <w:r>
              <w:rPr>
                <w:rFonts w:cs="Arial"/>
                <w:color w:val="000000" w:themeColor="text1"/>
                <w:szCs w:val="20"/>
              </w:rPr>
              <w:t>1,382</w:t>
            </w:r>
          </w:p>
        </w:tc>
        <w:tc>
          <w:tcPr>
            <w:tcW w:w="708" w:type="dxa"/>
            <w:tcBorders>
              <w:top w:val="nil"/>
              <w:left w:val="nil"/>
              <w:bottom w:val="nil"/>
              <w:right w:val="single" w:sz="8" w:space="0" w:color="auto"/>
            </w:tcBorders>
            <w:shd w:val="clear" w:color="auto" w:fill="auto"/>
            <w:noWrap/>
            <w:tcMar>
              <w:top w:w="28" w:type="dxa"/>
              <w:bottom w:w="28" w:type="dxa"/>
            </w:tcMar>
            <w:vAlign w:val="center"/>
            <w:hideMark/>
          </w:tcPr>
          <w:p w14:paraId="01196190"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9.7%</w:t>
            </w:r>
          </w:p>
        </w:tc>
        <w:tc>
          <w:tcPr>
            <w:tcW w:w="851" w:type="dxa"/>
            <w:tcBorders>
              <w:top w:val="nil"/>
              <w:left w:val="nil"/>
              <w:bottom w:val="nil"/>
              <w:right w:val="nil"/>
            </w:tcBorders>
            <w:shd w:val="clear" w:color="auto" w:fill="auto"/>
            <w:noWrap/>
            <w:tcMar>
              <w:top w:w="28" w:type="dxa"/>
              <w:bottom w:w="28" w:type="dxa"/>
            </w:tcMar>
            <w:vAlign w:val="center"/>
            <w:hideMark/>
          </w:tcPr>
          <w:p w14:paraId="45C094D3" w14:textId="77777777" w:rsidR="005F7696" w:rsidRPr="002F0841" w:rsidRDefault="005F7696" w:rsidP="000853E1">
            <w:pPr>
              <w:spacing w:before="0" w:after="0" w:line="240" w:lineRule="auto"/>
              <w:jc w:val="right"/>
              <w:rPr>
                <w:rFonts w:cs="Arial"/>
                <w:color w:val="000000"/>
                <w:szCs w:val="20"/>
              </w:rPr>
            </w:pPr>
            <w:r>
              <w:rPr>
                <w:rFonts w:cs="Arial"/>
                <w:color w:val="000000" w:themeColor="text1"/>
                <w:szCs w:val="20"/>
              </w:rPr>
              <w:t>2,224</w:t>
            </w:r>
          </w:p>
        </w:tc>
        <w:tc>
          <w:tcPr>
            <w:tcW w:w="850" w:type="dxa"/>
            <w:tcBorders>
              <w:top w:val="nil"/>
              <w:left w:val="nil"/>
              <w:bottom w:val="nil"/>
              <w:right w:val="single" w:sz="8" w:space="0" w:color="auto"/>
            </w:tcBorders>
            <w:shd w:val="clear" w:color="auto" w:fill="auto"/>
            <w:noWrap/>
            <w:tcMar>
              <w:top w:w="28" w:type="dxa"/>
              <w:bottom w:w="28" w:type="dxa"/>
            </w:tcMar>
            <w:vAlign w:val="center"/>
            <w:hideMark/>
          </w:tcPr>
          <w:p w14:paraId="081A2F62"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15.6%</w:t>
            </w:r>
          </w:p>
        </w:tc>
      </w:tr>
      <w:tr w:rsidR="005F7696" w:rsidRPr="002F0841" w14:paraId="0E5C3027" w14:textId="77777777" w:rsidTr="000853E1">
        <w:trPr>
          <w:trHeight w:val="312"/>
        </w:trPr>
        <w:tc>
          <w:tcPr>
            <w:tcW w:w="1134" w:type="dxa"/>
            <w:tcBorders>
              <w:top w:val="nil"/>
              <w:left w:val="single" w:sz="4" w:space="0" w:color="auto"/>
              <w:bottom w:val="nil"/>
              <w:right w:val="single" w:sz="4" w:space="0" w:color="auto"/>
            </w:tcBorders>
            <w:shd w:val="clear" w:color="auto" w:fill="auto"/>
            <w:noWrap/>
            <w:tcMar>
              <w:top w:w="28" w:type="dxa"/>
              <w:bottom w:w="28" w:type="dxa"/>
            </w:tcMar>
            <w:vAlign w:val="center"/>
            <w:hideMark/>
          </w:tcPr>
          <w:p w14:paraId="48AE7B27" w14:textId="77777777" w:rsidR="005F7696" w:rsidRPr="002F0841" w:rsidRDefault="005F7696" w:rsidP="000853E1">
            <w:pPr>
              <w:spacing w:before="0" w:after="0" w:line="240" w:lineRule="auto"/>
              <w:rPr>
                <w:rFonts w:cs="Arial"/>
                <w:color w:val="000000"/>
                <w:szCs w:val="20"/>
              </w:rPr>
            </w:pPr>
            <w:r w:rsidRPr="002F0841">
              <w:rPr>
                <w:rFonts w:cs="Arial"/>
                <w:color w:val="000000"/>
                <w:szCs w:val="20"/>
              </w:rPr>
              <w:t>1989-95</w:t>
            </w:r>
            <w:r w:rsidRPr="002F0841">
              <w:rPr>
                <w:rFonts w:cs="Arial"/>
                <w:color w:val="000000"/>
                <w:szCs w:val="20"/>
                <w:vertAlign w:val="superscript"/>
              </w:rPr>
              <w:t>1</w:t>
            </w:r>
          </w:p>
        </w:tc>
        <w:tc>
          <w:tcPr>
            <w:tcW w:w="1129" w:type="dxa"/>
            <w:tcBorders>
              <w:top w:val="nil"/>
              <w:left w:val="nil"/>
              <w:bottom w:val="nil"/>
              <w:right w:val="single" w:sz="8" w:space="0" w:color="auto"/>
            </w:tcBorders>
            <w:shd w:val="clear" w:color="auto" w:fill="auto"/>
            <w:noWrap/>
            <w:tcMar>
              <w:top w:w="28" w:type="dxa"/>
              <w:bottom w:w="28" w:type="dxa"/>
            </w:tcMar>
            <w:vAlign w:val="center"/>
            <w:hideMark/>
          </w:tcPr>
          <w:p w14:paraId="68B74FEC" w14:textId="77777777" w:rsidR="005F7696" w:rsidRPr="002F0841" w:rsidRDefault="005F7696" w:rsidP="000853E1">
            <w:pPr>
              <w:spacing w:before="0" w:after="0" w:line="240" w:lineRule="auto"/>
              <w:jc w:val="right"/>
              <w:rPr>
                <w:rFonts w:cs="Arial"/>
                <w:color w:val="000000"/>
                <w:szCs w:val="20"/>
              </w:rPr>
            </w:pPr>
            <w:r>
              <w:rPr>
                <w:rFonts w:cs="Arial"/>
                <w:color w:val="000000" w:themeColor="text1"/>
                <w:szCs w:val="20"/>
              </w:rPr>
              <w:t>17,010</w:t>
            </w:r>
          </w:p>
        </w:tc>
        <w:tc>
          <w:tcPr>
            <w:tcW w:w="993" w:type="dxa"/>
            <w:tcBorders>
              <w:top w:val="nil"/>
              <w:left w:val="nil"/>
              <w:bottom w:val="nil"/>
              <w:right w:val="nil"/>
            </w:tcBorders>
            <w:shd w:val="clear" w:color="auto" w:fill="auto"/>
            <w:noWrap/>
            <w:tcMar>
              <w:top w:w="28" w:type="dxa"/>
              <w:bottom w:w="28" w:type="dxa"/>
            </w:tcMar>
            <w:vAlign w:val="center"/>
            <w:hideMark/>
          </w:tcPr>
          <w:p w14:paraId="5B81F8E2" w14:textId="77777777" w:rsidR="005F7696" w:rsidRPr="002F0841" w:rsidRDefault="005F7696" w:rsidP="000853E1">
            <w:pPr>
              <w:spacing w:before="0" w:after="0" w:line="240" w:lineRule="auto"/>
              <w:jc w:val="right"/>
              <w:rPr>
                <w:rFonts w:cs="Arial"/>
                <w:color w:val="000000"/>
                <w:szCs w:val="20"/>
              </w:rPr>
            </w:pPr>
            <w:r>
              <w:rPr>
                <w:rFonts w:cs="Arial"/>
                <w:color w:val="000000"/>
                <w:szCs w:val="20"/>
              </w:rPr>
              <w:t>17</w:t>
            </w:r>
          </w:p>
        </w:tc>
        <w:tc>
          <w:tcPr>
            <w:tcW w:w="708" w:type="dxa"/>
            <w:tcBorders>
              <w:top w:val="nil"/>
              <w:left w:val="nil"/>
              <w:bottom w:val="nil"/>
              <w:right w:val="single" w:sz="8" w:space="0" w:color="auto"/>
            </w:tcBorders>
            <w:shd w:val="clear" w:color="auto" w:fill="auto"/>
            <w:noWrap/>
            <w:tcMar>
              <w:top w:w="28" w:type="dxa"/>
              <w:bottom w:w="28" w:type="dxa"/>
            </w:tcMar>
            <w:vAlign w:val="center"/>
            <w:hideMark/>
          </w:tcPr>
          <w:p w14:paraId="2435E260"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0.1%</w:t>
            </w:r>
          </w:p>
        </w:tc>
        <w:tc>
          <w:tcPr>
            <w:tcW w:w="850" w:type="dxa"/>
            <w:tcBorders>
              <w:top w:val="nil"/>
              <w:left w:val="nil"/>
              <w:bottom w:val="nil"/>
              <w:right w:val="nil"/>
            </w:tcBorders>
            <w:shd w:val="clear" w:color="auto" w:fill="auto"/>
            <w:tcMar>
              <w:top w:w="28" w:type="dxa"/>
              <w:bottom w:w="28" w:type="dxa"/>
            </w:tcMar>
            <w:vAlign w:val="center"/>
            <w:hideMark/>
          </w:tcPr>
          <w:p w14:paraId="423A4269" w14:textId="77777777" w:rsidR="005F7696" w:rsidRPr="002F0841" w:rsidRDefault="005F7696" w:rsidP="000853E1">
            <w:pPr>
              <w:spacing w:before="0" w:after="0" w:line="240" w:lineRule="auto"/>
              <w:jc w:val="right"/>
              <w:rPr>
                <w:rFonts w:cs="Arial"/>
                <w:color w:val="000000"/>
                <w:szCs w:val="20"/>
              </w:rPr>
            </w:pPr>
            <w:r>
              <w:rPr>
                <w:rFonts w:cs="Arial"/>
                <w:color w:val="000000" w:themeColor="text1"/>
                <w:szCs w:val="20"/>
              </w:rPr>
              <w:t>16,993</w:t>
            </w:r>
          </w:p>
        </w:tc>
        <w:tc>
          <w:tcPr>
            <w:tcW w:w="851" w:type="dxa"/>
            <w:tcBorders>
              <w:top w:val="nil"/>
              <w:left w:val="nil"/>
              <w:bottom w:val="nil"/>
              <w:right w:val="single" w:sz="8" w:space="0" w:color="auto"/>
            </w:tcBorders>
            <w:shd w:val="clear" w:color="auto" w:fill="auto"/>
            <w:noWrap/>
            <w:tcMar>
              <w:top w:w="28" w:type="dxa"/>
              <w:bottom w:w="28" w:type="dxa"/>
            </w:tcMar>
            <w:vAlign w:val="center"/>
            <w:hideMark/>
          </w:tcPr>
          <w:p w14:paraId="50127F33"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99.9%</w:t>
            </w:r>
          </w:p>
        </w:tc>
        <w:tc>
          <w:tcPr>
            <w:tcW w:w="993" w:type="dxa"/>
            <w:tcBorders>
              <w:top w:val="nil"/>
              <w:left w:val="nil"/>
              <w:bottom w:val="nil"/>
              <w:right w:val="nil"/>
            </w:tcBorders>
            <w:shd w:val="clear" w:color="auto" w:fill="auto"/>
            <w:tcMar>
              <w:top w:w="28" w:type="dxa"/>
              <w:bottom w:w="28" w:type="dxa"/>
            </w:tcMar>
            <w:vAlign w:val="center"/>
            <w:hideMark/>
          </w:tcPr>
          <w:p w14:paraId="70A6A52F" w14:textId="77777777" w:rsidR="005F7696" w:rsidRPr="002F0841" w:rsidRDefault="005F7696" w:rsidP="000853E1">
            <w:pPr>
              <w:spacing w:before="0" w:after="0" w:line="240" w:lineRule="auto"/>
              <w:jc w:val="right"/>
              <w:rPr>
                <w:rFonts w:cs="Arial"/>
                <w:color w:val="000000"/>
                <w:szCs w:val="20"/>
              </w:rPr>
            </w:pPr>
            <w:r>
              <w:rPr>
                <w:rFonts w:cs="Arial"/>
                <w:color w:val="000000"/>
                <w:szCs w:val="20"/>
              </w:rPr>
              <w:t>N/A </w:t>
            </w:r>
          </w:p>
        </w:tc>
        <w:tc>
          <w:tcPr>
            <w:tcW w:w="708" w:type="dxa"/>
            <w:tcBorders>
              <w:top w:val="nil"/>
              <w:left w:val="nil"/>
              <w:bottom w:val="nil"/>
              <w:right w:val="single" w:sz="8" w:space="0" w:color="auto"/>
            </w:tcBorders>
            <w:shd w:val="clear" w:color="auto" w:fill="auto"/>
            <w:tcMar>
              <w:top w:w="28" w:type="dxa"/>
              <w:bottom w:w="28" w:type="dxa"/>
            </w:tcMar>
            <w:vAlign w:val="center"/>
            <w:hideMark/>
          </w:tcPr>
          <w:p w14:paraId="441BFE3A"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N/A </w:t>
            </w:r>
          </w:p>
        </w:tc>
        <w:tc>
          <w:tcPr>
            <w:tcW w:w="851" w:type="dxa"/>
            <w:tcBorders>
              <w:top w:val="nil"/>
              <w:left w:val="nil"/>
              <w:bottom w:val="nil"/>
              <w:right w:val="nil"/>
            </w:tcBorders>
            <w:shd w:val="clear" w:color="auto" w:fill="auto"/>
            <w:tcMar>
              <w:top w:w="28" w:type="dxa"/>
              <w:bottom w:w="28" w:type="dxa"/>
            </w:tcMar>
            <w:vAlign w:val="center"/>
            <w:hideMark/>
          </w:tcPr>
          <w:p w14:paraId="00F4BE2E" w14:textId="77777777" w:rsidR="005F7696" w:rsidRPr="0032501D" w:rsidRDefault="005F7696" w:rsidP="000853E1">
            <w:pPr>
              <w:spacing w:before="0" w:after="0" w:line="240" w:lineRule="auto"/>
              <w:jc w:val="right"/>
              <w:rPr>
                <w:rFonts w:cs="Arial"/>
                <w:i/>
                <w:iCs/>
                <w:color w:val="000000"/>
                <w:szCs w:val="20"/>
              </w:rPr>
            </w:pPr>
            <w:r>
              <w:rPr>
                <w:rFonts w:cs="Arial"/>
                <w:color w:val="000000"/>
                <w:szCs w:val="20"/>
              </w:rPr>
              <w:t>N/A </w:t>
            </w:r>
          </w:p>
        </w:tc>
        <w:tc>
          <w:tcPr>
            <w:tcW w:w="850" w:type="dxa"/>
            <w:tcBorders>
              <w:top w:val="nil"/>
              <w:left w:val="nil"/>
              <w:bottom w:val="nil"/>
              <w:right w:val="single" w:sz="8" w:space="0" w:color="auto"/>
            </w:tcBorders>
            <w:shd w:val="clear" w:color="auto" w:fill="auto"/>
            <w:tcMar>
              <w:top w:w="28" w:type="dxa"/>
              <w:bottom w:w="28" w:type="dxa"/>
            </w:tcMar>
            <w:vAlign w:val="center"/>
            <w:hideMark/>
          </w:tcPr>
          <w:p w14:paraId="4830ACA6"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N/A </w:t>
            </w:r>
          </w:p>
        </w:tc>
      </w:tr>
      <w:tr w:rsidR="005F7696" w:rsidRPr="002F0841" w14:paraId="7E0B1504" w14:textId="77777777" w:rsidTr="000853E1">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01B010ED" w14:textId="77777777" w:rsidR="005F7696" w:rsidRPr="002F0841" w:rsidRDefault="005F7696" w:rsidP="000853E1">
            <w:pPr>
              <w:spacing w:before="0" w:after="0" w:line="240" w:lineRule="auto"/>
              <w:rPr>
                <w:rFonts w:cs="Arial"/>
                <w:b/>
                <w:bCs/>
                <w:color w:val="000000"/>
                <w:szCs w:val="20"/>
              </w:rPr>
            </w:pPr>
            <w:r w:rsidRPr="002F0841">
              <w:rPr>
                <w:rFonts w:cs="Arial"/>
                <w:b/>
                <w:bCs/>
                <w:color w:val="000000"/>
                <w:szCs w:val="20"/>
              </w:rPr>
              <w:t>TOTAL</w:t>
            </w:r>
          </w:p>
        </w:tc>
        <w:tc>
          <w:tcPr>
            <w:tcW w:w="1129" w:type="dxa"/>
            <w:tcBorders>
              <w:top w:val="single" w:sz="8" w:space="0" w:color="auto"/>
              <w:left w:val="nil"/>
              <w:bottom w:val="single" w:sz="8" w:space="0" w:color="auto"/>
              <w:right w:val="single" w:sz="8" w:space="0" w:color="auto"/>
            </w:tcBorders>
            <w:shd w:val="clear" w:color="auto" w:fill="auto"/>
            <w:noWrap/>
            <w:tcMar>
              <w:top w:w="28" w:type="dxa"/>
              <w:bottom w:w="28" w:type="dxa"/>
            </w:tcMar>
            <w:vAlign w:val="center"/>
            <w:hideMark/>
          </w:tcPr>
          <w:p w14:paraId="5A8615E2" w14:textId="77777777" w:rsidR="005F7696" w:rsidRPr="002F0841" w:rsidRDefault="005F7696" w:rsidP="000853E1">
            <w:pPr>
              <w:spacing w:before="0" w:after="0" w:line="240" w:lineRule="auto"/>
              <w:jc w:val="right"/>
              <w:rPr>
                <w:rFonts w:cs="Arial"/>
                <w:color w:val="000000"/>
                <w:szCs w:val="20"/>
              </w:rPr>
            </w:pPr>
            <w:r>
              <w:rPr>
                <w:rFonts w:cs="Arial"/>
                <w:color w:val="000000"/>
                <w:szCs w:val="20"/>
              </w:rPr>
              <w:t>57,403</w:t>
            </w:r>
          </w:p>
        </w:tc>
        <w:tc>
          <w:tcPr>
            <w:tcW w:w="993" w:type="dxa"/>
            <w:tcBorders>
              <w:top w:val="single" w:sz="8" w:space="0" w:color="auto"/>
              <w:left w:val="nil"/>
              <w:bottom w:val="single" w:sz="8" w:space="0" w:color="auto"/>
              <w:right w:val="nil"/>
            </w:tcBorders>
            <w:shd w:val="clear" w:color="auto" w:fill="auto"/>
            <w:noWrap/>
            <w:tcMar>
              <w:top w:w="28" w:type="dxa"/>
              <w:bottom w:w="28" w:type="dxa"/>
            </w:tcMar>
            <w:vAlign w:val="center"/>
            <w:hideMark/>
          </w:tcPr>
          <w:p w14:paraId="65026B60" w14:textId="77777777" w:rsidR="005F7696" w:rsidRPr="002F0841" w:rsidRDefault="005F7696" w:rsidP="000853E1">
            <w:pPr>
              <w:spacing w:before="0" w:after="0" w:line="240" w:lineRule="auto"/>
              <w:jc w:val="right"/>
              <w:rPr>
                <w:rFonts w:cs="Arial"/>
                <w:color w:val="000000"/>
                <w:szCs w:val="20"/>
              </w:rPr>
            </w:pPr>
            <w:r>
              <w:rPr>
                <w:rFonts w:cs="Arial"/>
                <w:color w:val="000000"/>
                <w:szCs w:val="20"/>
              </w:rPr>
              <w:t>1,873</w:t>
            </w:r>
          </w:p>
        </w:tc>
        <w:tc>
          <w:tcPr>
            <w:tcW w:w="708" w:type="dxa"/>
            <w:tcBorders>
              <w:top w:val="single" w:sz="8" w:space="0" w:color="auto"/>
              <w:left w:val="nil"/>
              <w:bottom w:val="single" w:sz="8" w:space="0" w:color="auto"/>
              <w:right w:val="single" w:sz="8" w:space="0" w:color="auto"/>
            </w:tcBorders>
            <w:shd w:val="clear" w:color="auto" w:fill="auto"/>
            <w:noWrap/>
            <w:tcMar>
              <w:top w:w="28" w:type="dxa"/>
              <w:bottom w:w="28" w:type="dxa"/>
            </w:tcMar>
            <w:vAlign w:val="center"/>
            <w:hideMark/>
          </w:tcPr>
          <w:p w14:paraId="28DE1E6A"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3.3%</w:t>
            </w:r>
          </w:p>
        </w:tc>
        <w:tc>
          <w:tcPr>
            <w:tcW w:w="850" w:type="dxa"/>
            <w:tcBorders>
              <w:top w:val="single" w:sz="8" w:space="0" w:color="auto"/>
              <w:left w:val="nil"/>
              <w:bottom w:val="single" w:sz="8" w:space="0" w:color="auto"/>
              <w:right w:val="nil"/>
            </w:tcBorders>
            <w:shd w:val="clear" w:color="auto" w:fill="auto"/>
            <w:tcMar>
              <w:top w:w="28" w:type="dxa"/>
              <w:bottom w:w="28" w:type="dxa"/>
            </w:tcMar>
            <w:vAlign w:val="center"/>
            <w:hideMark/>
          </w:tcPr>
          <w:p w14:paraId="6C41887F" w14:textId="77777777" w:rsidR="005F7696" w:rsidRPr="002F0841" w:rsidRDefault="005F7696" w:rsidP="000853E1">
            <w:pPr>
              <w:spacing w:before="0" w:after="0" w:line="240" w:lineRule="auto"/>
              <w:jc w:val="right"/>
              <w:rPr>
                <w:rFonts w:cs="Arial"/>
                <w:color w:val="000000"/>
                <w:szCs w:val="20"/>
              </w:rPr>
            </w:pPr>
            <w:r>
              <w:rPr>
                <w:rFonts w:cs="Arial"/>
                <w:color w:val="000000"/>
                <w:szCs w:val="20"/>
              </w:rPr>
              <w:t>47,256</w:t>
            </w:r>
          </w:p>
        </w:tc>
        <w:tc>
          <w:tcPr>
            <w:tcW w:w="851" w:type="dxa"/>
            <w:tcBorders>
              <w:top w:val="single" w:sz="8" w:space="0" w:color="auto"/>
              <w:left w:val="nil"/>
              <w:bottom w:val="single" w:sz="8" w:space="0" w:color="auto"/>
              <w:right w:val="single" w:sz="8" w:space="0" w:color="auto"/>
            </w:tcBorders>
            <w:shd w:val="clear" w:color="auto" w:fill="auto"/>
            <w:noWrap/>
            <w:tcMar>
              <w:top w:w="28" w:type="dxa"/>
              <w:bottom w:w="28" w:type="dxa"/>
            </w:tcMar>
            <w:vAlign w:val="center"/>
            <w:hideMark/>
          </w:tcPr>
          <w:p w14:paraId="291E4E9F"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82.3%</w:t>
            </w:r>
          </w:p>
        </w:tc>
        <w:tc>
          <w:tcPr>
            <w:tcW w:w="993" w:type="dxa"/>
            <w:tcBorders>
              <w:top w:val="single" w:sz="8" w:space="0" w:color="auto"/>
              <w:left w:val="nil"/>
              <w:bottom w:val="single" w:sz="8" w:space="0" w:color="auto"/>
              <w:right w:val="nil"/>
            </w:tcBorders>
            <w:shd w:val="clear" w:color="auto" w:fill="auto"/>
            <w:tcMar>
              <w:top w:w="28" w:type="dxa"/>
              <w:bottom w:w="28" w:type="dxa"/>
            </w:tcMar>
            <w:vAlign w:val="center"/>
            <w:hideMark/>
          </w:tcPr>
          <w:p w14:paraId="0ABB058D" w14:textId="77777777" w:rsidR="005F7696" w:rsidRPr="002F0841" w:rsidRDefault="005F7696" w:rsidP="000853E1">
            <w:pPr>
              <w:spacing w:before="0" w:after="0" w:line="240" w:lineRule="auto"/>
              <w:jc w:val="right"/>
              <w:rPr>
                <w:rFonts w:cs="Arial"/>
                <w:color w:val="000000"/>
                <w:szCs w:val="20"/>
              </w:rPr>
            </w:pPr>
            <w:r>
              <w:rPr>
                <w:rFonts w:cs="Arial"/>
                <w:color w:val="000000"/>
                <w:szCs w:val="20"/>
              </w:rPr>
              <w:t>2,210</w:t>
            </w:r>
          </w:p>
        </w:tc>
        <w:tc>
          <w:tcPr>
            <w:tcW w:w="708" w:type="dxa"/>
            <w:tcBorders>
              <w:top w:val="single" w:sz="8" w:space="0" w:color="auto"/>
              <w:left w:val="nil"/>
              <w:bottom w:val="single" w:sz="8" w:space="0" w:color="auto"/>
              <w:right w:val="single" w:sz="8" w:space="0" w:color="auto"/>
            </w:tcBorders>
            <w:shd w:val="clear" w:color="auto" w:fill="auto"/>
            <w:noWrap/>
            <w:tcMar>
              <w:top w:w="28" w:type="dxa"/>
              <w:bottom w:w="28" w:type="dxa"/>
            </w:tcMar>
            <w:vAlign w:val="center"/>
            <w:hideMark/>
          </w:tcPr>
          <w:p w14:paraId="43D0B941"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3.8%</w:t>
            </w:r>
          </w:p>
        </w:tc>
        <w:tc>
          <w:tcPr>
            <w:tcW w:w="851" w:type="dxa"/>
            <w:tcBorders>
              <w:top w:val="single" w:sz="8" w:space="0" w:color="auto"/>
              <w:left w:val="nil"/>
              <w:bottom w:val="single" w:sz="8" w:space="0" w:color="auto"/>
              <w:right w:val="nil"/>
            </w:tcBorders>
            <w:shd w:val="clear" w:color="auto" w:fill="auto"/>
            <w:tcMar>
              <w:top w:w="28" w:type="dxa"/>
              <w:bottom w:w="28" w:type="dxa"/>
            </w:tcMar>
            <w:vAlign w:val="center"/>
            <w:hideMark/>
          </w:tcPr>
          <w:p w14:paraId="395FD3F2" w14:textId="77777777" w:rsidR="005F7696" w:rsidRPr="002F0841" w:rsidRDefault="005F7696" w:rsidP="000853E1">
            <w:pPr>
              <w:spacing w:before="0" w:after="0" w:line="240" w:lineRule="auto"/>
              <w:jc w:val="right"/>
              <w:rPr>
                <w:rFonts w:cs="Arial"/>
                <w:color w:val="000000"/>
                <w:szCs w:val="20"/>
              </w:rPr>
            </w:pPr>
            <w:r>
              <w:rPr>
                <w:rFonts w:cs="Arial"/>
                <w:color w:val="000000"/>
                <w:szCs w:val="20"/>
              </w:rPr>
              <w:t>6,064</w:t>
            </w:r>
          </w:p>
        </w:tc>
        <w:tc>
          <w:tcPr>
            <w:tcW w:w="850" w:type="dxa"/>
            <w:tcBorders>
              <w:top w:val="single" w:sz="8" w:space="0" w:color="auto"/>
              <w:left w:val="nil"/>
              <w:bottom w:val="single" w:sz="8" w:space="0" w:color="auto"/>
              <w:right w:val="single" w:sz="8" w:space="0" w:color="auto"/>
            </w:tcBorders>
            <w:shd w:val="clear" w:color="auto" w:fill="auto"/>
            <w:noWrap/>
            <w:tcMar>
              <w:top w:w="28" w:type="dxa"/>
              <w:bottom w:w="28" w:type="dxa"/>
            </w:tcMar>
            <w:vAlign w:val="center"/>
            <w:hideMark/>
          </w:tcPr>
          <w:p w14:paraId="2C52C2E2" w14:textId="77777777" w:rsidR="005F7696" w:rsidRPr="002F0841" w:rsidRDefault="005F7696" w:rsidP="000853E1">
            <w:pPr>
              <w:spacing w:before="0" w:after="0" w:line="240" w:lineRule="auto"/>
              <w:jc w:val="right"/>
              <w:rPr>
                <w:rFonts w:cs="Arial"/>
                <w:i/>
                <w:iCs/>
                <w:color w:val="000000"/>
                <w:szCs w:val="20"/>
              </w:rPr>
            </w:pPr>
            <w:r>
              <w:rPr>
                <w:rFonts w:cs="Arial"/>
                <w:i/>
                <w:iCs/>
                <w:color w:val="000000"/>
                <w:szCs w:val="20"/>
              </w:rPr>
              <w:t>10.6%</w:t>
            </w:r>
          </w:p>
        </w:tc>
      </w:tr>
    </w:tbl>
    <w:p w14:paraId="0A322E25" w14:textId="77777777" w:rsidR="005F7696" w:rsidRDefault="005F7696" w:rsidP="005F7696">
      <w:pPr>
        <w:spacing w:before="160" w:after="80" w:line="240" w:lineRule="auto"/>
        <w:rPr>
          <w:rFonts w:cs="Arial"/>
          <w:szCs w:val="20"/>
        </w:rPr>
      </w:pPr>
      <w:r>
        <w:rPr>
          <w:rFonts w:cs="Arial"/>
          <w:szCs w:val="20"/>
          <w:vertAlign w:val="superscript"/>
        </w:rPr>
        <w:t>1</w:t>
      </w:r>
      <w:r>
        <w:rPr>
          <w:rFonts w:cs="Arial"/>
          <w:szCs w:val="20"/>
        </w:rPr>
        <w:t xml:space="preserve"> </w:t>
      </w:r>
      <w:r>
        <w:rPr>
          <w:rFonts w:cs="Arial"/>
          <w:i/>
          <w:sz w:val="18"/>
          <w:szCs w:val="18"/>
        </w:rPr>
        <w:t>Note that the 1989-95 cohort expressly consented on enrolment in 2012/13, therefore, qualified consent is not applicable</w:t>
      </w:r>
    </w:p>
    <w:p w14:paraId="4221064D" w14:textId="77777777" w:rsidR="005F7696" w:rsidRDefault="005F7696" w:rsidP="005F7696">
      <w:pPr>
        <w:spacing w:before="160" w:after="80" w:line="240" w:lineRule="auto"/>
        <w:rPr>
          <w:rFonts w:cs="Arial"/>
          <w:szCs w:val="20"/>
        </w:rPr>
      </w:pPr>
    </w:p>
    <w:p w14:paraId="07FB8F0B" w14:textId="77777777" w:rsidR="005F7696" w:rsidRDefault="005F7696" w:rsidP="005F7696">
      <w:pPr>
        <w:pStyle w:val="Heading3"/>
        <w:spacing w:line="240" w:lineRule="auto"/>
        <w:jc w:val="left"/>
      </w:pPr>
      <w:bookmarkStart w:id="811" w:name="_Toc124762799"/>
      <w:r>
        <w:t>Communicating with ALSWH participants about health record linkage</w:t>
      </w:r>
      <w:bookmarkEnd w:id="811"/>
    </w:p>
    <w:p w14:paraId="58AB4F05" w14:textId="31213608" w:rsidR="005F7696" w:rsidRPr="00C842EF" w:rsidRDefault="005F7696" w:rsidP="005F7696">
      <w:pPr>
        <w:pStyle w:val="2012TechReportBodytext"/>
      </w:pPr>
      <w:r>
        <w:t>ALSWH participants have been informed about health record linkage and opt-out consent in annual newsletters since 2005. This information was updated in 2020 (with approval from the Department</w:t>
      </w:r>
      <w:r w:rsidR="009E6BD0">
        <w:t xml:space="preserve"> of Health and Aged Care</w:t>
      </w:r>
      <w:r>
        <w:t xml:space="preserve">).  </w:t>
      </w:r>
    </w:p>
    <w:p w14:paraId="3F034B3B" w14:textId="77777777" w:rsidR="005F7696" w:rsidRPr="00EE57B1" w:rsidRDefault="005F7696" w:rsidP="005F7696">
      <w:pPr>
        <w:pStyle w:val="Heading3"/>
        <w:spacing w:line="240" w:lineRule="auto"/>
        <w:jc w:val="left"/>
      </w:pPr>
      <w:bookmarkStart w:id="812" w:name="_Toc34753644"/>
      <w:bookmarkStart w:id="813" w:name="_Toc124762800"/>
      <w:r w:rsidRPr="00EE57B1">
        <w:t>Current HREC approvals for health record linkage</w:t>
      </w:r>
      <w:bookmarkEnd w:id="812"/>
      <w:bookmarkEnd w:id="813"/>
    </w:p>
    <w:p w14:paraId="7C69FD28" w14:textId="36370566" w:rsidR="002B2D8C" w:rsidRDefault="005F7696" w:rsidP="00E7298C">
      <w:pPr>
        <w:pStyle w:val="2012TechReportBodytext"/>
      </w:pPr>
      <w:r>
        <w:fldChar w:fldCharType="begin"/>
      </w:r>
      <w:r>
        <w:instrText xml:space="preserve"> REF _Ref57385536 \h </w:instrText>
      </w:r>
      <w:r>
        <w:fldChar w:fldCharType="separate"/>
      </w:r>
      <w:r w:rsidR="007D19D7">
        <w:t xml:space="preserve">Table </w:t>
      </w:r>
      <w:r w:rsidR="007D19D7">
        <w:rPr>
          <w:noProof/>
        </w:rPr>
        <w:t>5</w:t>
      </w:r>
      <w:r w:rsidR="007D19D7">
        <w:noBreakHyphen/>
      </w:r>
      <w:r>
        <w:fldChar w:fldCharType="end"/>
      </w:r>
      <w:r>
        <w:t xml:space="preserve"> </w:t>
      </w:r>
      <w:r w:rsidRPr="00EE57B1">
        <w:t>show</w:t>
      </w:r>
      <w:r w:rsidRPr="0016115C">
        <w:t>s</w:t>
      </w:r>
      <w:r w:rsidRPr="00EE57B1">
        <w:t xml:space="preserve"> current HREC approvals for the ALSWH Data Linkage Project. The </w:t>
      </w:r>
      <w:hyperlink r:id="rId65" w:history="1">
        <w:r w:rsidRPr="00A26E1B">
          <w:rPr>
            <w:rStyle w:val="Hyperlink"/>
          </w:rPr>
          <w:t>National Mutual Acceptance Scheme</w:t>
        </w:r>
      </w:hyperlink>
      <w:r w:rsidRPr="00EE57B1">
        <w:t xml:space="preserve"> (</w:t>
      </w:r>
      <w:r w:rsidRPr="0016115C">
        <w:t>NMA</w:t>
      </w:r>
      <w:r w:rsidRPr="00EE57B1">
        <w:t>) aims to reduce duplication of coverage for cross-jurisdictional and/or multi-site projects</w:t>
      </w:r>
      <w:r>
        <w:t xml:space="preserve">. (There are some exceptions; we still require local approval for data linkage in WA, Tasmania and for the </w:t>
      </w:r>
      <w:r w:rsidRPr="00991048">
        <w:t>Victorian Perinatal Data Collection</w:t>
      </w:r>
      <w:r>
        <w:t>). In 2021, our NT data linkage protocol was transferred to the ACT Health HREC. We were also granted approval by the Calvary Bruce Public Hospital HREC (ACT) which will allow Emergency Department records for this hospital to be included in future ACT data linkage requests.</w:t>
      </w:r>
    </w:p>
    <w:p w14:paraId="6913DE6B" w14:textId="77777777" w:rsidR="002B2D8C" w:rsidRDefault="002B2D8C">
      <w:pPr>
        <w:spacing w:before="0" w:after="0" w:line="240" w:lineRule="auto"/>
        <w:jc w:val="left"/>
      </w:pPr>
      <w:r>
        <w:br w:type="page"/>
      </w:r>
    </w:p>
    <w:p w14:paraId="74EF072D" w14:textId="5BD38A8B" w:rsidR="005F7696" w:rsidRDefault="005F7696" w:rsidP="0000266C">
      <w:pPr>
        <w:pStyle w:val="Caption"/>
      </w:pPr>
      <w:bookmarkStart w:id="814" w:name="_Ref57385536"/>
      <w:bookmarkStart w:id="815" w:name="_Toc18931523"/>
      <w:bookmarkStart w:id="816" w:name="_Toc56156880"/>
      <w:r>
        <w:lastRenderedPageBreak/>
        <w:t xml:space="preserve">Table </w:t>
      </w:r>
      <w:r>
        <w:fldChar w:fldCharType="begin"/>
      </w:r>
      <w:r>
        <w:instrText>STYLEREF 1 \s</w:instrText>
      </w:r>
      <w:r>
        <w:fldChar w:fldCharType="separate"/>
      </w:r>
      <w:r w:rsidR="007D19D7">
        <w:rPr>
          <w:noProof/>
        </w:rPr>
        <w:t>5</w:t>
      </w:r>
      <w:r>
        <w:fldChar w:fldCharType="end"/>
      </w:r>
      <w:r>
        <w:noBreakHyphen/>
      </w:r>
      <w:bookmarkEnd w:id="814"/>
      <w:r>
        <w:t>12 Health record linkage: Current HREC approvals</w:t>
      </w:r>
      <w:bookmarkEnd w:id="815"/>
      <w:bookmarkEnd w:id="816"/>
      <w:r>
        <w:t xml:space="preserve"> (</w:t>
      </w:r>
      <w:proofErr w:type="gramStart"/>
      <w:r>
        <w:t>at</w:t>
      </w:r>
      <w:proofErr w:type="gramEnd"/>
      <w:r>
        <w:t xml:space="preserve"> </w:t>
      </w:r>
      <w:r w:rsidR="002B2D8C">
        <w:t xml:space="preserve">November </w:t>
      </w:r>
      <w:r w:rsidR="006D3773">
        <w:t>2022</w:t>
      </w:r>
      <w:r>
        <w:t>)</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1276"/>
        <w:gridCol w:w="1275"/>
        <w:gridCol w:w="2694"/>
      </w:tblGrid>
      <w:tr w:rsidR="005F7696" w:rsidRPr="00016598" w14:paraId="739184B8" w14:textId="77777777" w:rsidTr="000853E1">
        <w:trPr>
          <w:tblHeader/>
        </w:trPr>
        <w:tc>
          <w:tcPr>
            <w:tcW w:w="2235" w:type="dxa"/>
            <w:shd w:val="clear" w:color="auto" w:fill="E5DFEC" w:themeFill="accent4" w:themeFillTint="33"/>
            <w:tcMar>
              <w:top w:w="28" w:type="dxa"/>
              <w:bottom w:w="28" w:type="dxa"/>
            </w:tcMar>
            <w:vAlign w:val="center"/>
            <w:hideMark/>
          </w:tcPr>
          <w:p w14:paraId="10F33F96" w14:textId="77777777" w:rsidR="005F7696" w:rsidRPr="00016598" w:rsidRDefault="005F7696" w:rsidP="000853E1">
            <w:pPr>
              <w:spacing w:before="0" w:after="0"/>
              <w:rPr>
                <w:rFonts w:cs="Arial"/>
                <w:b/>
                <w:szCs w:val="20"/>
              </w:rPr>
            </w:pPr>
            <w:r w:rsidRPr="00016598">
              <w:rPr>
                <w:rFonts w:cs="Arial"/>
                <w:b/>
                <w:szCs w:val="20"/>
              </w:rPr>
              <w:t>Ethics Committee</w:t>
            </w:r>
          </w:p>
        </w:tc>
        <w:tc>
          <w:tcPr>
            <w:tcW w:w="2126" w:type="dxa"/>
            <w:shd w:val="clear" w:color="auto" w:fill="E5DFEC" w:themeFill="accent4" w:themeFillTint="33"/>
            <w:tcMar>
              <w:top w:w="28" w:type="dxa"/>
              <w:bottom w:w="28" w:type="dxa"/>
            </w:tcMar>
            <w:vAlign w:val="center"/>
            <w:hideMark/>
          </w:tcPr>
          <w:p w14:paraId="5EDB293E" w14:textId="77777777" w:rsidR="005F7696" w:rsidRPr="00016598" w:rsidRDefault="005F7696" w:rsidP="000853E1">
            <w:pPr>
              <w:spacing w:before="0" w:after="0"/>
              <w:rPr>
                <w:rFonts w:cs="Arial"/>
                <w:b/>
                <w:szCs w:val="20"/>
              </w:rPr>
            </w:pPr>
            <w:r w:rsidRPr="00016598">
              <w:rPr>
                <w:rFonts w:cs="Arial"/>
                <w:b/>
                <w:szCs w:val="20"/>
              </w:rPr>
              <w:t xml:space="preserve">Reference </w:t>
            </w:r>
          </w:p>
        </w:tc>
        <w:tc>
          <w:tcPr>
            <w:tcW w:w="1276" w:type="dxa"/>
            <w:shd w:val="clear" w:color="auto" w:fill="E5DFEC" w:themeFill="accent4" w:themeFillTint="33"/>
            <w:tcMar>
              <w:top w:w="28" w:type="dxa"/>
              <w:bottom w:w="28" w:type="dxa"/>
            </w:tcMar>
            <w:vAlign w:val="center"/>
            <w:hideMark/>
          </w:tcPr>
          <w:p w14:paraId="18CA21DE" w14:textId="77777777" w:rsidR="005F7696" w:rsidRPr="00016598" w:rsidRDefault="005F7696" w:rsidP="000853E1">
            <w:pPr>
              <w:spacing w:before="0" w:after="0"/>
              <w:rPr>
                <w:rFonts w:cs="Arial"/>
                <w:b/>
                <w:szCs w:val="20"/>
              </w:rPr>
            </w:pPr>
            <w:r w:rsidRPr="00016598">
              <w:rPr>
                <w:rFonts w:cs="Arial"/>
                <w:b/>
                <w:szCs w:val="20"/>
              </w:rPr>
              <w:t>Approved</w:t>
            </w:r>
          </w:p>
        </w:tc>
        <w:tc>
          <w:tcPr>
            <w:tcW w:w="1275" w:type="dxa"/>
            <w:shd w:val="clear" w:color="auto" w:fill="E5DFEC" w:themeFill="accent4" w:themeFillTint="33"/>
            <w:tcMar>
              <w:top w:w="28" w:type="dxa"/>
              <w:bottom w:w="28" w:type="dxa"/>
            </w:tcMar>
            <w:vAlign w:val="center"/>
            <w:hideMark/>
          </w:tcPr>
          <w:p w14:paraId="1D81FC2B" w14:textId="77777777" w:rsidR="005F7696" w:rsidRPr="00016598" w:rsidRDefault="005F7696" w:rsidP="000853E1">
            <w:pPr>
              <w:spacing w:before="0" w:after="0"/>
              <w:rPr>
                <w:rFonts w:cs="Arial"/>
                <w:b/>
                <w:szCs w:val="20"/>
              </w:rPr>
            </w:pPr>
            <w:r w:rsidRPr="00016598">
              <w:rPr>
                <w:rFonts w:cs="Arial"/>
                <w:b/>
                <w:szCs w:val="20"/>
              </w:rPr>
              <w:t xml:space="preserve">Expiry </w:t>
            </w:r>
          </w:p>
        </w:tc>
        <w:tc>
          <w:tcPr>
            <w:tcW w:w="2694" w:type="dxa"/>
            <w:shd w:val="clear" w:color="auto" w:fill="E5DFEC" w:themeFill="accent4" w:themeFillTint="33"/>
            <w:tcMar>
              <w:top w:w="28" w:type="dxa"/>
              <w:bottom w:w="28" w:type="dxa"/>
            </w:tcMar>
            <w:vAlign w:val="center"/>
            <w:hideMark/>
          </w:tcPr>
          <w:p w14:paraId="1EB3D224" w14:textId="77777777" w:rsidR="005F7696" w:rsidRPr="00016598" w:rsidRDefault="005F7696" w:rsidP="000853E1">
            <w:pPr>
              <w:spacing w:before="0" w:after="0"/>
              <w:rPr>
                <w:rFonts w:cs="Arial"/>
                <w:b/>
                <w:szCs w:val="20"/>
              </w:rPr>
            </w:pPr>
            <w:r w:rsidRPr="00016598">
              <w:rPr>
                <w:rFonts w:cs="Arial"/>
                <w:b/>
                <w:szCs w:val="20"/>
              </w:rPr>
              <w:t xml:space="preserve">Coverage </w:t>
            </w:r>
          </w:p>
        </w:tc>
      </w:tr>
      <w:tr w:rsidR="005F7696" w:rsidRPr="00016598" w14:paraId="2F7E2E04" w14:textId="77777777" w:rsidTr="000853E1">
        <w:tc>
          <w:tcPr>
            <w:tcW w:w="2235" w:type="dxa"/>
            <w:vMerge w:val="restart"/>
            <w:tcMar>
              <w:top w:w="28" w:type="dxa"/>
              <w:bottom w:w="28" w:type="dxa"/>
            </w:tcMar>
            <w:hideMark/>
          </w:tcPr>
          <w:p w14:paraId="309D7849" w14:textId="77777777" w:rsidR="005F7696" w:rsidRPr="00016598" w:rsidRDefault="005F7696" w:rsidP="000853E1">
            <w:pPr>
              <w:spacing w:before="0" w:after="0"/>
              <w:jc w:val="left"/>
              <w:rPr>
                <w:rFonts w:cs="Arial"/>
                <w:szCs w:val="20"/>
              </w:rPr>
            </w:pPr>
            <w:r>
              <w:rPr>
                <w:rFonts w:cs="Arial"/>
                <w:szCs w:val="20"/>
              </w:rPr>
              <w:t xml:space="preserve">The </w:t>
            </w:r>
            <w:r w:rsidRPr="00016598">
              <w:rPr>
                <w:rFonts w:cs="Arial"/>
                <w:szCs w:val="20"/>
              </w:rPr>
              <w:t>University of Newcastle HREC (EC00144);</w:t>
            </w:r>
            <w:r>
              <w:rPr>
                <w:rFonts w:cs="Arial"/>
                <w:szCs w:val="20"/>
              </w:rPr>
              <w:t xml:space="preserve"> </w:t>
            </w:r>
            <w:r w:rsidRPr="00016598">
              <w:rPr>
                <w:rFonts w:cs="Arial"/>
                <w:szCs w:val="20"/>
              </w:rPr>
              <w:t xml:space="preserve">ratified by </w:t>
            </w:r>
            <w:r>
              <w:rPr>
                <w:rFonts w:cs="Arial"/>
                <w:szCs w:val="20"/>
              </w:rPr>
              <w:t xml:space="preserve">The </w:t>
            </w:r>
            <w:r w:rsidRPr="00016598">
              <w:rPr>
                <w:rFonts w:cs="Arial"/>
                <w:szCs w:val="20"/>
              </w:rPr>
              <w:t xml:space="preserve">University of Queensland </w:t>
            </w:r>
            <w:r>
              <w:rPr>
                <w:rFonts w:cs="Arial"/>
                <w:szCs w:val="20"/>
              </w:rPr>
              <w:t>HRECs</w:t>
            </w:r>
            <w:r w:rsidRPr="00016598">
              <w:rPr>
                <w:rFonts w:cs="Arial"/>
                <w:szCs w:val="20"/>
              </w:rPr>
              <w:t xml:space="preserve"> (EC00456/7)</w:t>
            </w:r>
          </w:p>
        </w:tc>
        <w:tc>
          <w:tcPr>
            <w:tcW w:w="2126" w:type="dxa"/>
            <w:tcMar>
              <w:top w:w="28" w:type="dxa"/>
              <w:bottom w:w="28" w:type="dxa"/>
            </w:tcMar>
            <w:hideMark/>
          </w:tcPr>
          <w:p w14:paraId="241C62A9" w14:textId="77777777" w:rsidR="005F7696" w:rsidRPr="00016598" w:rsidRDefault="005F7696" w:rsidP="000853E1">
            <w:pPr>
              <w:spacing w:before="0" w:after="0"/>
              <w:jc w:val="left"/>
              <w:rPr>
                <w:rFonts w:cs="Arial"/>
                <w:szCs w:val="20"/>
              </w:rPr>
            </w:pPr>
            <w:r w:rsidRPr="00016598">
              <w:rPr>
                <w:rFonts w:cs="Arial"/>
                <w:szCs w:val="20"/>
              </w:rPr>
              <w:t>H-2011-</w:t>
            </w:r>
            <w:proofErr w:type="gramStart"/>
            <w:r w:rsidRPr="00016598">
              <w:rPr>
                <w:rFonts w:cs="Arial"/>
                <w:szCs w:val="20"/>
              </w:rPr>
              <w:t>0371;</w:t>
            </w:r>
            <w:proofErr w:type="gramEnd"/>
          </w:p>
          <w:p w14:paraId="7001B493" w14:textId="77777777" w:rsidR="005F7696" w:rsidRPr="00016598" w:rsidRDefault="005F7696" w:rsidP="000853E1">
            <w:pPr>
              <w:spacing w:before="0" w:after="0"/>
              <w:jc w:val="left"/>
              <w:rPr>
                <w:rFonts w:cs="Arial"/>
                <w:szCs w:val="20"/>
              </w:rPr>
            </w:pPr>
            <w:r w:rsidRPr="00016598">
              <w:rPr>
                <w:rFonts w:cs="Arial"/>
                <w:szCs w:val="20"/>
              </w:rPr>
              <w:t>2012</w:t>
            </w:r>
            <w:r>
              <w:rPr>
                <w:rFonts w:cs="Arial"/>
                <w:szCs w:val="20"/>
              </w:rPr>
              <w:t>/HE</w:t>
            </w:r>
            <w:r w:rsidRPr="00016598">
              <w:rPr>
                <w:rFonts w:cs="Arial"/>
                <w:szCs w:val="20"/>
              </w:rPr>
              <w:t>000132</w:t>
            </w:r>
          </w:p>
          <w:p w14:paraId="0C795AAD" w14:textId="77777777" w:rsidR="005F7696" w:rsidRPr="00016598" w:rsidRDefault="005F7696" w:rsidP="000853E1">
            <w:pPr>
              <w:spacing w:before="0" w:after="0"/>
              <w:jc w:val="left"/>
              <w:rPr>
                <w:rFonts w:cs="Arial"/>
                <w:szCs w:val="20"/>
              </w:rPr>
            </w:pPr>
          </w:p>
        </w:tc>
        <w:tc>
          <w:tcPr>
            <w:tcW w:w="1276" w:type="dxa"/>
            <w:tcMar>
              <w:top w:w="28" w:type="dxa"/>
              <w:bottom w:w="28" w:type="dxa"/>
            </w:tcMar>
            <w:hideMark/>
          </w:tcPr>
          <w:p w14:paraId="26984849" w14:textId="77777777" w:rsidR="005F7696" w:rsidRPr="00016598" w:rsidRDefault="005F7696" w:rsidP="000853E1">
            <w:pPr>
              <w:spacing w:before="0" w:after="0"/>
              <w:rPr>
                <w:rFonts w:cs="Arial"/>
                <w:szCs w:val="20"/>
              </w:rPr>
            </w:pPr>
            <w:proofErr w:type="gramStart"/>
            <w:r w:rsidRPr="00016598">
              <w:rPr>
                <w:rFonts w:cs="Arial"/>
                <w:szCs w:val="20"/>
              </w:rPr>
              <w:t>31/01/12;</w:t>
            </w:r>
            <w:proofErr w:type="gramEnd"/>
          </w:p>
          <w:p w14:paraId="3B19DD28" w14:textId="77777777" w:rsidR="005F7696" w:rsidRPr="00016598" w:rsidRDefault="005F7696" w:rsidP="000853E1">
            <w:pPr>
              <w:spacing w:before="0" w:after="0"/>
              <w:rPr>
                <w:rFonts w:cs="Arial"/>
                <w:szCs w:val="20"/>
              </w:rPr>
            </w:pPr>
            <w:r w:rsidRPr="00016598">
              <w:rPr>
                <w:rFonts w:cs="Arial"/>
                <w:szCs w:val="20"/>
              </w:rPr>
              <w:t>9/02/12</w:t>
            </w:r>
          </w:p>
        </w:tc>
        <w:tc>
          <w:tcPr>
            <w:tcW w:w="1275" w:type="dxa"/>
            <w:tcMar>
              <w:top w:w="28" w:type="dxa"/>
              <w:bottom w:w="28" w:type="dxa"/>
            </w:tcMar>
            <w:hideMark/>
          </w:tcPr>
          <w:p w14:paraId="6A4609B1" w14:textId="77777777" w:rsidR="005F7696" w:rsidRPr="00016598" w:rsidRDefault="005F7696" w:rsidP="000853E1">
            <w:pPr>
              <w:spacing w:before="0" w:after="0"/>
              <w:rPr>
                <w:rFonts w:cs="Arial"/>
                <w:szCs w:val="20"/>
              </w:rPr>
            </w:pPr>
            <w:r w:rsidRPr="00016598">
              <w:rPr>
                <w:rFonts w:cs="Arial"/>
                <w:szCs w:val="20"/>
              </w:rPr>
              <w:t>31/12/25</w:t>
            </w:r>
          </w:p>
        </w:tc>
        <w:tc>
          <w:tcPr>
            <w:tcW w:w="2694" w:type="dxa"/>
            <w:tcMar>
              <w:top w:w="28" w:type="dxa"/>
              <w:bottom w:w="28" w:type="dxa"/>
            </w:tcMar>
            <w:hideMark/>
          </w:tcPr>
          <w:p w14:paraId="1BEEB40E" w14:textId="77777777" w:rsidR="005F7696" w:rsidRPr="00016598" w:rsidRDefault="005F7696" w:rsidP="000853E1">
            <w:pPr>
              <w:spacing w:before="0" w:after="0"/>
              <w:jc w:val="left"/>
              <w:rPr>
                <w:rFonts w:cs="Arial"/>
                <w:szCs w:val="20"/>
              </w:rPr>
            </w:pPr>
            <w:r w:rsidRPr="00016598">
              <w:rPr>
                <w:rFonts w:cs="Arial"/>
                <w:szCs w:val="20"/>
              </w:rPr>
              <w:t>ALSWH Data linkage Project (subject to jurisdictional approvals)</w:t>
            </w:r>
          </w:p>
        </w:tc>
      </w:tr>
      <w:tr w:rsidR="005F7696" w:rsidRPr="00016598" w14:paraId="5B1D29CE" w14:textId="77777777" w:rsidTr="000853E1">
        <w:tc>
          <w:tcPr>
            <w:tcW w:w="2235" w:type="dxa"/>
            <w:vMerge/>
            <w:tcMar>
              <w:top w:w="28" w:type="dxa"/>
              <w:bottom w:w="28" w:type="dxa"/>
            </w:tcMar>
            <w:hideMark/>
          </w:tcPr>
          <w:p w14:paraId="16B81A62" w14:textId="77777777" w:rsidR="005F7696" w:rsidRPr="00016598" w:rsidRDefault="005F7696" w:rsidP="000853E1">
            <w:pPr>
              <w:spacing w:before="0" w:after="0"/>
              <w:jc w:val="left"/>
              <w:rPr>
                <w:rFonts w:cs="Arial"/>
                <w:szCs w:val="20"/>
              </w:rPr>
            </w:pPr>
          </w:p>
        </w:tc>
        <w:tc>
          <w:tcPr>
            <w:tcW w:w="2126" w:type="dxa"/>
            <w:tcMar>
              <w:top w:w="28" w:type="dxa"/>
              <w:bottom w:w="28" w:type="dxa"/>
            </w:tcMar>
            <w:hideMark/>
          </w:tcPr>
          <w:p w14:paraId="2FD8EDA8" w14:textId="77777777" w:rsidR="005F7696" w:rsidRPr="00016598" w:rsidRDefault="005F7696" w:rsidP="000853E1">
            <w:pPr>
              <w:spacing w:before="0" w:after="0"/>
              <w:jc w:val="left"/>
              <w:rPr>
                <w:rFonts w:cs="Arial"/>
                <w:szCs w:val="20"/>
              </w:rPr>
            </w:pPr>
            <w:r w:rsidRPr="00016598">
              <w:rPr>
                <w:rFonts w:cs="Arial"/>
                <w:szCs w:val="20"/>
              </w:rPr>
              <w:t>H-2014-</w:t>
            </w:r>
            <w:proofErr w:type="gramStart"/>
            <w:r w:rsidRPr="00016598">
              <w:rPr>
                <w:rFonts w:cs="Arial"/>
                <w:szCs w:val="20"/>
              </w:rPr>
              <w:t>0246;</w:t>
            </w:r>
            <w:proofErr w:type="gramEnd"/>
          </w:p>
          <w:p w14:paraId="30220785" w14:textId="77777777" w:rsidR="005F7696" w:rsidRPr="00016598" w:rsidRDefault="005F7696" w:rsidP="000853E1">
            <w:pPr>
              <w:spacing w:before="0" w:after="0"/>
              <w:jc w:val="left"/>
              <w:rPr>
                <w:rFonts w:cs="Arial"/>
                <w:szCs w:val="20"/>
              </w:rPr>
            </w:pPr>
            <w:r w:rsidRPr="00016598">
              <w:rPr>
                <w:rFonts w:cs="Arial"/>
                <w:szCs w:val="20"/>
              </w:rPr>
              <w:t>2014</w:t>
            </w:r>
            <w:r>
              <w:rPr>
                <w:rFonts w:cs="Arial"/>
                <w:szCs w:val="20"/>
              </w:rPr>
              <w:t>/HE</w:t>
            </w:r>
            <w:r w:rsidRPr="00016598">
              <w:rPr>
                <w:rFonts w:cs="Arial"/>
                <w:szCs w:val="20"/>
              </w:rPr>
              <w:t>001213</w:t>
            </w:r>
          </w:p>
        </w:tc>
        <w:tc>
          <w:tcPr>
            <w:tcW w:w="1276" w:type="dxa"/>
            <w:tcMar>
              <w:top w:w="28" w:type="dxa"/>
              <w:bottom w:w="28" w:type="dxa"/>
            </w:tcMar>
            <w:hideMark/>
          </w:tcPr>
          <w:p w14:paraId="248749B7" w14:textId="77777777" w:rsidR="005F7696" w:rsidRPr="00016598" w:rsidRDefault="005F7696" w:rsidP="000853E1">
            <w:pPr>
              <w:spacing w:before="0" w:after="0"/>
              <w:rPr>
                <w:rFonts w:cs="Arial"/>
                <w:szCs w:val="20"/>
              </w:rPr>
            </w:pPr>
            <w:proofErr w:type="gramStart"/>
            <w:r w:rsidRPr="00016598">
              <w:rPr>
                <w:rFonts w:cs="Arial"/>
                <w:szCs w:val="20"/>
              </w:rPr>
              <w:t>07/08/14;</w:t>
            </w:r>
            <w:proofErr w:type="gramEnd"/>
          </w:p>
          <w:p w14:paraId="7523C77F" w14:textId="77777777" w:rsidR="005F7696" w:rsidRPr="00016598" w:rsidRDefault="005F7696" w:rsidP="000853E1">
            <w:pPr>
              <w:spacing w:before="0" w:after="0"/>
              <w:rPr>
                <w:rFonts w:cs="Arial"/>
                <w:szCs w:val="20"/>
              </w:rPr>
            </w:pPr>
            <w:r w:rsidRPr="00016598">
              <w:rPr>
                <w:rFonts w:cs="Arial"/>
                <w:szCs w:val="20"/>
              </w:rPr>
              <w:t>10/09/14</w:t>
            </w:r>
          </w:p>
        </w:tc>
        <w:tc>
          <w:tcPr>
            <w:tcW w:w="1275" w:type="dxa"/>
            <w:tcMar>
              <w:top w:w="28" w:type="dxa"/>
              <w:bottom w:w="28" w:type="dxa"/>
            </w:tcMar>
            <w:hideMark/>
          </w:tcPr>
          <w:p w14:paraId="78A9410E" w14:textId="77777777" w:rsidR="005F7696" w:rsidRPr="00016598" w:rsidRDefault="005F7696" w:rsidP="000853E1">
            <w:pPr>
              <w:spacing w:before="0" w:after="0"/>
              <w:rPr>
                <w:rFonts w:cs="Arial"/>
                <w:szCs w:val="20"/>
              </w:rPr>
            </w:pPr>
            <w:r w:rsidRPr="00016598">
              <w:rPr>
                <w:rFonts w:cs="Arial"/>
                <w:szCs w:val="20"/>
              </w:rPr>
              <w:t>31/12/25</w:t>
            </w:r>
          </w:p>
        </w:tc>
        <w:tc>
          <w:tcPr>
            <w:tcW w:w="2694" w:type="dxa"/>
            <w:tcMar>
              <w:top w:w="28" w:type="dxa"/>
              <w:bottom w:w="28" w:type="dxa"/>
            </w:tcMar>
            <w:hideMark/>
          </w:tcPr>
          <w:p w14:paraId="1031A1E9" w14:textId="77777777" w:rsidR="005F7696" w:rsidRPr="00016598" w:rsidRDefault="005F7696" w:rsidP="000853E1">
            <w:pPr>
              <w:spacing w:before="0" w:after="0"/>
              <w:jc w:val="left"/>
              <w:rPr>
                <w:rFonts w:cs="Arial"/>
                <w:szCs w:val="20"/>
              </w:rPr>
            </w:pPr>
            <w:proofErr w:type="spellStart"/>
            <w:r w:rsidRPr="00016598">
              <w:rPr>
                <w:rFonts w:cs="Arial"/>
                <w:szCs w:val="20"/>
              </w:rPr>
              <w:t>MatCH</w:t>
            </w:r>
            <w:proofErr w:type="spellEnd"/>
            <w:r w:rsidRPr="00016598">
              <w:rPr>
                <w:rFonts w:cs="Arial"/>
                <w:szCs w:val="20"/>
              </w:rPr>
              <w:t xml:space="preserve"> Phase 1 </w:t>
            </w:r>
            <w:proofErr w:type="spellStart"/>
            <w:r w:rsidRPr="00016598">
              <w:rPr>
                <w:rFonts w:cs="Arial"/>
                <w:szCs w:val="20"/>
              </w:rPr>
              <w:t>Substudy</w:t>
            </w:r>
            <w:proofErr w:type="spellEnd"/>
            <w:r>
              <w:rPr>
                <w:rFonts w:cs="Arial"/>
                <w:szCs w:val="20"/>
              </w:rPr>
              <w:t xml:space="preserve"> (survey and record linkage)</w:t>
            </w:r>
          </w:p>
        </w:tc>
      </w:tr>
      <w:tr w:rsidR="005F7696" w:rsidRPr="00016598" w14:paraId="2021EB4C" w14:textId="77777777" w:rsidTr="000853E1">
        <w:tc>
          <w:tcPr>
            <w:tcW w:w="2235" w:type="dxa"/>
            <w:vMerge/>
            <w:tcMar>
              <w:top w:w="28" w:type="dxa"/>
              <w:bottom w:w="28" w:type="dxa"/>
            </w:tcMar>
          </w:tcPr>
          <w:p w14:paraId="08D9AC97" w14:textId="77777777" w:rsidR="005F7696" w:rsidRPr="00016598" w:rsidRDefault="005F7696" w:rsidP="000853E1">
            <w:pPr>
              <w:spacing w:before="0" w:after="0"/>
              <w:jc w:val="left"/>
              <w:rPr>
                <w:rFonts w:cs="Arial"/>
                <w:szCs w:val="20"/>
              </w:rPr>
            </w:pPr>
          </w:p>
        </w:tc>
        <w:tc>
          <w:tcPr>
            <w:tcW w:w="2126" w:type="dxa"/>
            <w:tcMar>
              <w:top w:w="28" w:type="dxa"/>
              <w:bottom w:w="28" w:type="dxa"/>
            </w:tcMar>
          </w:tcPr>
          <w:p w14:paraId="21BECDC9" w14:textId="77777777" w:rsidR="005F7696" w:rsidRDefault="005F7696" w:rsidP="000853E1">
            <w:pPr>
              <w:spacing w:before="0" w:after="0"/>
              <w:jc w:val="left"/>
              <w:rPr>
                <w:rFonts w:cs="Arial"/>
                <w:szCs w:val="20"/>
              </w:rPr>
            </w:pPr>
            <w:r w:rsidRPr="00752159">
              <w:rPr>
                <w:rFonts w:cs="Arial"/>
                <w:szCs w:val="20"/>
              </w:rPr>
              <w:t>H-2021-</w:t>
            </w:r>
            <w:proofErr w:type="gramStart"/>
            <w:r w:rsidRPr="00752159">
              <w:rPr>
                <w:rFonts w:cs="Arial"/>
                <w:szCs w:val="20"/>
              </w:rPr>
              <w:t>0383</w:t>
            </w:r>
            <w:r>
              <w:rPr>
                <w:rFonts w:cs="Arial"/>
                <w:szCs w:val="20"/>
              </w:rPr>
              <w:t>;</w:t>
            </w:r>
            <w:proofErr w:type="gramEnd"/>
          </w:p>
          <w:p w14:paraId="2FE962F3" w14:textId="77777777" w:rsidR="005F7696" w:rsidRPr="00016598" w:rsidRDefault="005F7696" w:rsidP="000853E1">
            <w:pPr>
              <w:spacing w:before="0" w:after="0"/>
              <w:jc w:val="left"/>
              <w:rPr>
                <w:rFonts w:cs="Arial"/>
                <w:szCs w:val="20"/>
              </w:rPr>
            </w:pPr>
            <w:r>
              <w:rPr>
                <w:bCs/>
              </w:rPr>
              <w:t>2021/HE001641</w:t>
            </w:r>
          </w:p>
        </w:tc>
        <w:tc>
          <w:tcPr>
            <w:tcW w:w="1276" w:type="dxa"/>
            <w:tcMar>
              <w:top w:w="28" w:type="dxa"/>
              <w:bottom w:w="28" w:type="dxa"/>
            </w:tcMar>
          </w:tcPr>
          <w:p w14:paraId="2785D055" w14:textId="77777777" w:rsidR="005F7696" w:rsidRDefault="005F7696" w:rsidP="000853E1">
            <w:pPr>
              <w:spacing w:before="0" w:after="0"/>
              <w:rPr>
                <w:rFonts w:cs="Arial"/>
                <w:szCs w:val="20"/>
              </w:rPr>
            </w:pPr>
            <w:proofErr w:type="gramStart"/>
            <w:r>
              <w:rPr>
                <w:rFonts w:cs="Arial"/>
                <w:szCs w:val="20"/>
              </w:rPr>
              <w:t>15/12/21;</w:t>
            </w:r>
            <w:proofErr w:type="gramEnd"/>
          </w:p>
          <w:p w14:paraId="53960E5E" w14:textId="77777777" w:rsidR="005F7696" w:rsidRPr="00016598" w:rsidRDefault="005F7696" w:rsidP="000853E1">
            <w:pPr>
              <w:spacing w:before="0" w:after="0"/>
              <w:rPr>
                <w:rFonts w:cs="Arial"/>
                <w:szCs w:val="20"/>
              </w:rPr>
            </w:pPr>
            <w:r>
              <w:rPr>
                <w:rFonts w:cs="Arial"/>
                <w:szCs w:val="20"/>
              </w:rPr>
              <w:t>23/08/21</w:t>
            </w:r>
          </w:p>
        </w:tc>
        <w:tc>
          <w:tcPr>
            <w:tcW w:w="1275" w:type="dxa"/>
            <w:tcMar>
              <w:top w:w="28" w:type="dxa"/>
              <w:bottom w:w="28" w:type="dxa"/>
            </w:tcMar>
          </w:tcPr>
          <w:p w14:paraId="3EB1FC8C" w14:textId="77777777" w:rsidR="005F7696" w:rsidRPr="00016598" w:rsidRDefault="005F7696" w:rsidP="000853E1">
            <w:pPr>
              <w:spacing w:before="0" w:after="0"/>
              <w:rPr>
                <w:rFonts w:cs="Arial"/>
                <w:szCs w:val="20"/>
              </w:rPr>
            </w:pPr>
          </w:p>
        </w:tc>
        <w:tc>
          <w:tcPr>
            <w:tcW w:w="2694" w:type="dxa"/>
            <w:tcMar>
              <w:top w:w="28" w:type="dxa"/>
              <w:bottom w:w="28" w:type="dxa"/>
            </w:tcMar>
          </w:tcPr>
          <w:p w14:paraId="4D325CE0" w14:textId="77777777" w:rsidR="005F7696" w:rsidRPr="00016598" w:rsidRDefault="005F7696" w:rsidP="000853E1">
            <w:pPr>
              <w:spacing w:before="0" w:after="0"/>
              <w:jc w:val="left"/>
              <w:rPr>
                <w:rFonts w:cs="Arial"/>
                <w:szCs w:val="20"/>
              </w:rPr>
            </w:pPr>
            <w:proofErr w:type="spellStart"/>
            <w:r>
              <w:rPr>
                <w:rFonts w:cs="Arial"/>
                <w:szCs w:val="20"/>
              </w:rPr>
              <w:t>MatCHES</w:t>
            </w:r>
            <w:proofErr w:type="spellEnd"/>
            <w:r>
              <w:rPr>
                <w:rFonts w:cs="Arial"/>
                <w:szCs w:val="20"/>
              </w:rPr>
              <w:t xml:space="preserve"> (survey and record linkage)</w:t>
            </w:r>
          </w:p>
        </w:tc>
      </w:tr>
      <w:tr w:rsidR="005F7696" w:rsidRPr="00016598" w14:paraId="2D492638" w14:textId="77777777" w:rsidTr="000853E1">
        <w:tc>
          <w:tcPr>
            <w:tcW w:w="2235" w:type="dxa"/>
            <w:vMerge/>
            <w:tcMar>
              <w:top w:w="28" w:type="dxa"/>
              <w:bottom w:w="28" w:type="dxa"/>
            </w:tcMar>
            <w:hideMark/>
          </w:tcPr>
          <w:p w14:paraId="504C87FE" w14:textId="77777777" w:rsidR="005F7696" w:rsidRPr="00016598" w:rsidRDefault="005F7696" w:rsidP="000853E1">
            <w:pPr>
              <w:spacing w:before="0" w:after="0"/>
              <w:jc w:val="left"/>
              <w:rPr>
                <w:rFonts w:cs="Arial"/>
                <w:szCs w:val="20"/>
              </w:rPr>
            </w:pPr>
          </w:p>
        </w:tc>
        <w:tc>
          <w:tcPr>
            <w:tcW w:w="2126" w:type="dxa"/>
            <w:shd w:val="clear" w:color="auto" w:fill="D9D9D9" w:themeFill="background1" w:themeFillShade="D9"/>
            <w:tcMar>
              <w:top w:w="28" w:type="dxa"/>
              <w:bottom w:w="28" w:type="dxa"/>
            </w:tcMar>
            <w:hideMark/>
          </w:tcPr>
          <w:p w14:paraId="2309FCC2" w14:textId="77777777" w:rsidR="005F7696" w:rsidRPr="00016598" w:rsidRDefault="005F7696" w:rsidP="000853E1">
            <w:pPr>
              <w:spacing w:before="0" w:after="0"/>
              <w:jc w:val="left"/>
              <w:rPr>
                <w:rFonts w:cs="Arial"/>
                <w:szCs w:val="20"/>
              </w:rPr>
            </w:pPr>
            <w:r w:rsidRPr="00016598">
              <w:rPr>
                <w:rFonts w:cs="Arial"/>
                <w:szCs w:val="20"/>
              </w:rPr>
              <w:t>H-076-</w:t>
            </w:r>
            <w:proofErr w:type="gramStart"/>
            <w:r w:rsidRPr="00016598">
              <w:rPr>
                <w:rFonts w:cs="Arial"/>
                <w:szCs w:val="20"/>
              </w:rPr>
              <w:t>0795;</w:t>
            </w:r>
            <w:proofErr w:type="gramEnd"/>
          </w:p>
          <w:p w14:paraId="51325E04" w14:textId="77777777" w:rsidR="005F7696" w:rsidRPr="00016598" w:rsidRDefault="005F7696" w:rsidP="000853E1">
            <w:pPr>
              <w:spacing w:before="0" w:after="0"/>
              <w:jc w:val="left"/>
              <w:rPr>
                <w:rFonts w:cs="Arial"/>
                <w:szCs w:val="20"/>
              </w:rPr>
            </w:pPr>
            <w:r w:rsidRPr="00016598">
              <w:rPr>
                <w:rFonts w:cs="Arial"/>
                <w:szCs w:val="20"/>
              </w:rPr>
              <w:t>2004</w:t>
            </w:r>
            <w:r>
              <w:rPr>
                <w:rFonts w:cs="Arial"/>
                <w:szCs w:val="20"/>
              </w:rPr>
              <w:t>/HE</w:t>
            </w:r>
            <w:r w:rsidRPr="00016598">
              <w:rPr>
                <w:rFonts w:cs="Arial"/>
                <w:szCs w:val="20"/>
              </w:rPr>
              <w:t>000224</w:t>
            </w:r>
          </w:p>
        </w:tc>
        <w:tc>
          <w:tcPr>
            <w:tcW w:w="1276" w:type="dxa"/>
            <w:shd w:val="clear" w:color="auto" w:fill="D9D9D9" w:themeFill="background1" w:themeFillShade="D9"/>
            <w:tcMar>
              <w:top w:w="28" w:type="dxa"/>
              <w:bottom w:w="28" w:type="dxa"/>
            </w:tcMar>
            <w:hideMark/>
          </w:tcPr>
          <w:p w14:paraId="144D9A7E" w14:textId="77777777" w:rsidR="005F7696" w:rsidRPr="00016598" w:rsidRDefault="005F7696" w:rsidP="000853E1">
            <w:pPr>
              <w:spacing w:before="0" w:after="0"/>
              <w:rPr>
                <w:rFonts w:cs="Arial"/>
                <w:szCs w:val="20"/>
              </w:rPr>
            </w:pPr>
            <w:proofErr w:type="gramStart"/>
            <w:r w:rsidRPr="00016598">
              <w:rPr>
                <w:rFonts w:cs="Arial"/>
                <w:szCs w:val="20"/>
              </w:rPr>
              <w:t>26/07/95;</w:t>
            </w:r>
            <w:proofErr w:type="gramEnd"/>
          </w:p>
          <w:p w14:paraId="002CA1DA" w14:textId="77777777" w:rsidR="005F7696" w:rsidRPr="00016598" w:rsidRDefault="005F7696" w:rsidP="000853E1">
            <w:pPr>
              <w:spacing w:before="0" w:after="0"/>
              <w:rPr>
                <w:rFonts w:cs="Arial"/>
                <w:szCs w:val="20"/>
              </w:rPr>
            </w:pPr>
            <w:r w:rsidRPr="00016598">
              <w:rPr>
                <w:rFonts w:cs="Arial"/>
                <w:szCs w:val="20"/>
              </w:rPr>
              <w:t>2/04/04</w:t>
            </w:r>
          </w:p>
        </w:tc>
        <w:tc>
          <w:tcPr>
            <w:tcW w:w="1275" w:type="dxa"/>
            <w:shd w:val="clear" w:color="auto" w:fill="D9D9D9" w:themeFill="background1" w:themeFillShade="D9"/>
            <w:tcMar>
              <w:top w:w="28" w:type="dxa"/>
              <w:bottom w:w="28" w:type="dxa"/>
            </w:tcMar>
            <w:hideMark/>
          </w:tcPr>
          <w:p w14:paraId="4B49E603" w14:textId="77777777" w:rsidR="005F7696" w:rsidRPr="00016598" w:rsidRDefault="005F7696" w:rsidP="000853E1">
            <w:pPr>
              <w:spacing w:before="0" w:after="0"/>
              <w:rPr>
                <w:rFonts w:cs="Arial"/>
                <w:szCs w:val="20"/>
              </w:rPr>
            </w:pPr>
            <w:r w:rsidRPr="00016598">
              <w:rPr>
                <w:rFonts w:cs="Arial"/>
                <w:szCs w:val="20"/>
              </w:rPr>
              <w:t>31/12/30</w:t>
            </w:r>
          </w:p>
        </w:tc>
        <w:tc>
          <w:tcPr>
            <w:tcW w:w="2694" w:type="dxa"/>
            <w:shd w:val="clear" w:color="auto" w:fill="D9D9D9" w:themeFill="background1" w:themeFillShade="D9"/>
            <w:tcMar>
              <w:top w:w="28" w:type="dxa"/>
              <w:bottom w:w="28" w:type="dxa"/>
            </w:tcMar>
            <w:hideMark/>
          </w:tcPr>
          <w:p w14:paraId="6D09D54F" w14:textId="77777777" w:rsidR="005F7696" w:rsidRPr="00016598" w:rsidRDefault="005F7696" w:rsidP="000853E1">
            <w:pPr>
              <w:spacing w:before="0" w:after="0"/>
              <w:jc w:val="left"/>
              <w:rPr>
                <w:rFonts w:cs="Arial"/>
              </w:rPr>
            </w:pPr>
            <w:r w:rsidRPr="3FD91D19">
              <w:rPr>
                <w:rFonts w:cs="Arial"/>
              </w:rPr>
              <w:t>ALSWH Survey program, original cohorts, (including COVID surveys and 1973-78 Cohort Refresh)</w:t>
            </w:r>
          </w:p>
        </w:tc>
      </w:tr>
      <w:tr w:rsidR="005F7696" w:rsidRPr="00016598" w14:paraId="6283B775" w14:textId="77777777" w:rsidTr="000853E1">
        <w:tc>
          <w:tcPr>
            <w:tcW w:w="2235" w:type="dxa"/>
            <w:vMerge/>
            <w:tcMar>
              <w:top w:w="28" w:type="dxa"/>
              <w:bottom w:w="28" w:type="dxa"/>
            </w:tcMar>
            <w:hideMark/>
          </w:tcPr>
          <w:p w14:paraId="6A4C092F" w14:textId="77777777" w:rsidR="005F7696" w:rsidRPr="00016598" w:rsidRDefault="005F7696" w:rsidP="000853E1">
            <w:pPr>
              <w:spacing w:before="0" w:after="0"/>
              <w:jc w:val="left"/>
              <w:rPr>
                <w:rFonts w:cs="Arial"/>
                <w:szCs w:val="20"/>
              </w:rPr>
            </w:pPr>
          </w:p>
        </w:tc>
        <w:tc>
          <w:tcPr>
            <w:tcW w:w="2126" w:type="dxa"/>
            <w:shd w:val="clear" w:color="auto" w:fill="D9D9D9" w:themeFill="background1" w:themeFillShade="D9"/>
            <w:tcMar>
              <w:top w:w="28" w:type="dxa"/>
              <w:bottom w:w="28" w:type="dxa"/>
            </w:tcMar>
            <w:hideMark/>
          </w:tcPr>
          <w:p w14:paraId="02093DEC" w14:textId="77777777" w:rsidR="005F7696" w:rsidRPr="00016598" w:rsidRDefault="005F7696" w:rsidP="000853E1">
            <w:pPr>
              <w:spacing w:before="0" w:after="0"/>
              <w:jc w:val="left"/>
              <w:rPr>
                <w:rFonts w:cs="Arial"/>
                <w:szCs w:val="20"/>
              </w:rPr>
            </w:pPr>
            <w:r w:rsidRPr="00016598">
              <w:rPr>
                <w:rFonts w:cs="Arial"/>
                <w:szCs w:val="20"/>
              </w:rPr>
              <w:t>H-2012-</w:t>
            </w:r>
            <w:proofErr w:type="gramStart"/>
            <w:r w:rsidRPr="00016598">
              <w:rPr>
                <w:rFonts w:cs="Arial"/>
                <w:szCs w:val="20"/>
              </w:rPr>
              <w:t>0256;</w:t>
            </w:r>
            <w:proofErr w:type="gramEnd"/>
          </w:p>
          <w:p w14:paraId="37994527" w14:textId="77777777" w:rsidR="005F7696" w:rsidRPr="00016598" w:rsidRDefault="005F7696" w:rsidP="000853E1">
            <w:pPr>
              <w:spacing w:before="0" w:after="0"/>
              <w:jc w:val="left"/>
              <w:rPr>
                <w:rFonts w:cs="Arial"/>
                <w:szCs w:val="20"/>
              </w:rPr>
            </w:pPr>
            <w:r w:rsidRPr="00016598">
              <w:rPr>
                <w:rFonts w:cs="Arial"/>
                <w:szCs w:val="20"/>
              </w:rPr>
              <w:t>2012</w:t>
            </w:r>
            <w:r>
              <w:rPr>
                <w:rFonts w:cs="Arial"/>
                <w:szCs w:val="20"/>
              </w:rPr>
              <w:t>/HE</w:t>
            </w:r>
            <w:r w:rsidRPr="00016598">
              <w:rPr>
                <w:rFonts w:cs="Arial"/>
                <w:szCs w:val="20"/>
              </w:rPr>
              <w:t>000950</w:t>
            </w:r>
          </w:p>
        </w:tc>
        <w:tc>
          <w:tcPr>
            <w:tcW w:w="1276" w:type="dxa"/>
            <w:shd w:val="clear" w:color="auto" w:fill="D9D9D9" w:themeFill="background1" w:themeFillShade="D9"/>
            <w:tcMar>
              <w:top w:w="28" w:type="dxa"/>
              <w:bottom w:w="28" w:type="dxa"/>
            </w:tcMar>
            <w:hideMark/>
          </w:tcPr>
          <w:p w14:paraId="0DFEA86A" w14:textId="77777777" w:rsidR="005F7696" w:rsidRPr="00016598" w:rsidRDefault="005F7696" w:rsidP="000853E1">
            <w:pPr>
              <w:spacing w:before="0" w:after="0"/>
              <w:rPr>
                <w:rFonts w:cs="Arial"/>
                <w:szCs w:val="20"/>
              </w:rPr>
            </w:pPr>
            <w:proofErr w:type="gramStart"/>
            <w:r w:rsidRPr="00016598">
              <w:rPr>
                <w:rFonts w:cs="Arial"/>
                <w:szCs w:val="20"/>
              </w:rPr>
              <w:t>08/08/12;</w:t>
            </w:r>
            <w:proofErr w:type="gramEnd"/>
          </w:p>
          <w:p w14:paraId="7D8F9A4F" w14:textId="77777777" w:rsidR="005F7696" w:rsidRPr="00016598" w:rsidRDefault="005F7696" w:rsidP="000853E1">
            <w:pPr>
              <w:spacing w:before="0" w:after="0"/>
              <w:rPr>
                <w:rFonts w:cs="Arial"/>
                <w:szCs w:val="20"/>
              </w:rPr>
            </w:pPr>
            <w:r w:rsidRPr="00016598">
              <w:rPr>
                <w:rFonts w:cs="Arial"/>
                <w:szCs w:val="20"/>
              </w:rPr>
              <w:t>31/12/23</w:t>
            </w:r>
          </w:p>
        </w:tc>
        <w:tc>
          <w:tcPr>
            <w:tcW w:w="1275" w:type="dxa"/>
            <w:shd w:val="clear" w:color="auto" w:fill="D9D9D9" w:themeFill="background1" w:themeFillShade="D9"/>
            <w:tcMar>
              <w:top w:w="28" w:type="dxa"/>
              <w:bottom w:w="28" w:type="dxa"/>
            </w:tcMar>
            <w:hideMark/>
          </w:tcPr>
          <w:p w14:paraId="091FC48F" w14:textId="4F079AB6" w:rsidR="005F7696" w:rsidRPr="00016598" w:rsidRDefault="005F7696" w:rsidP="000853E1">
            <w:pPr>
              <w:spacing w:before="0" w:after="0"/>
              <w:rPr>
                <w:rFonts w:cs="Arial"/>
                <w:szCs w:val="20"/>
              </w:rPr>
            </w:pPr>
            <w:r w:rsidRPr="00016598">
              <w:rPr>
                <w:rFonts w:cs="Arial"/>
                <w:szCs w:val="20"/>
              </w:rPr>
              <w:t>31/12/</w:t>
            </w:r>
            <w:r w:rsidR="006D3773">
              <w:rPr>
                <w:rFonts w:cs="Arial"/>
                <w:szCs w:val="20"/>
              </w:rPr>
              <w:t>23</w:t>
            </w:r>
          </w:p>
        </w:tc>
        <w:tc>
          <w:tcPr>
            <w:tcW w:w="2694" w:type="dxa"/>
            <w:shd w:val="clear" w:color="auto" w:fill="D9D9D9" w:themeFill="background1" w:themeFillShade="D9"/>
            <w:tcMar>
              <w:top w:w="28" w:type="dxa"/>
              <w:bottom w:w="28" w:type="dxa"/>
            </w:tcMar>
            <w:hideMark/>
          </w:tcPr>
          <w:p w14:paraId="22C45F2B" w14:textId="77777777" w:rsidR="005F7696" w:rsidRPr="00016598" w:rsidRDefault="005F7696" w:rsidP="000853E1">
            <w:pPr>
              <w:spacing w:before="0" w:after="0"/>
              <w:jc w:val="left"/>
              <w:rPr>
                <w:rFonts w:cs="Arial"/>
                <w:szCs w:val="20"/>
              </w:rPr>
            </w:pPr>
            <w:r w:rsidRPr="00016598">
              <w:rPr>
                <w:rFonts w:cs="Arial"/>
                <w:szCs w:val="20"/>
              </w:rPr>
              <w:t>ALSWH Survey program, 1989-95 cohort</w:t>
            </w:r>
          </w:p>
        </w:tc>
      </w:tr>
      <w:tr w:rsidR="005F7696" w14:paraId="2278AA37" w14:textId="77777777" w:rsidTr="000853E1">
        <w:tc>
          <w:tcPr>
            <w:tcW w:w="2235" w:type="dxa"/>
            <w:vMerge/>
            <w:tcMar>
              <w:top w:w="28" w:type="dxa"/>
              <w:bottom w:w="28" w:type="dxa"/>
            </w:tcMar>
            <w:hideMark/>
          </w:tcPr>
          <w:p w14:paraId="7221DE3D" w14:textId="77777777" w:rsidR="005F7696" w:rsidRDefault="005F7696" w:rsidP="000853E1"/>
        </w:tc>
        <w:tc>
          <w:tcPr>
            <w:tcW w:w="2126" w:type="dxa"/>
            <w:shd w:val="clear" w:color="auto" w:fill="BFBFBF" w:themeFill="background1" w:themeFillShade="BF"/>
            <w:tcMar>
              <w:top w:w="28" w:type="dxa"/>
              <w:bottom w:w="28" w:type="dxa"/>
            </w:tcMar>
            <w:hideMark/>
          </w:tcPr>
          <w:p w14:paraId="1857C917" w14:textId="77777777" w:rsidR="005F7696" w:rsidRDefault="005F7696" w:rsidP="000853E1">
            <w:pPr>
              <w:spacing w:after="0"/>
              <w:jc w:val="left"/>
              <w:rPr>
                <w:szCs w:val="20"/>
              </w:rPr>
            </w:pPr>
            <w:r w:rsidRPr="3FD91D19">
              <w:rPr>
                <w:szCs w:val="20"/>
              </w:rPr>
              <w:t>H-2019-</w:t>
            </w:r>
            <w:proofErr w:type="gramStart"/>
            <w:r w:rsidRPr="3FD91D19">
              <w:rPr>
                <w:szCs w:val="20"/>
              </w:rPr>
              <w:t>0191;</w:t>
            </w:r>
            <w:proofErr w:type="gramEnd"/>
          </w:p>
          <w:p w14:paraId="7ACA45CD" w14:textId="77777777" w:rsidR="005F7696" w:rsidRDefault="005F7696" w:rsidP="000853E1">
            <w:pPr>
              <w:spacing w:before="0"/>
              <w:jc w:val="left"/>
              <w:rPr>
                <w:szCs w:val="20"/>
              </w:rPr>
            </w:pPr>
            <w:r w:rsidRPr="3FD91D19">
              <w:rPr>
                <w:szCs w:val="20"/>
              </w:rPr>
              <w:t>2017/HE001745</w:t>
            </w:r>
          </w:p>
        </w:tc>
        <w:tc>
          <w:tcPr>
            <w:tcW w:w="1276" w:type="dxa"/>
            <w:shd w:val="clear" w:color="auto" w:fill="BFBFBF" w:themeFill="background1" w:themeFillShade="BF"/>
            <w:tcMar>
              <w:top w:w="28" w:type="dxa"/>
              <w:bottom w:w="28" w:type="dxa"/>
            </w:tcMar>
            <w:hideMark/>
          </w:tcPr>
          <w:p w14:paraId="3CE4D07E" w14:textId="77777777" w:rsidR="005F7696" w:rsidRDefault="005F7696" w:rsidP="000853E1">
            <w:pPr>
              <w:rPr>
                <w:szCs w:val="20"/>
              </w:rPr>
            </w:pPr>
            <w:r w:rsidRPr="3FD91D19">
              <w:rPr>
                <w:szCs w:val="20"/>
              </w:rPr>
              <w:t>04/06/19</w:t>
            </w:r>
          </w:p>
        </w:tc>
        <w:tc>
          <w:tcPr>
            <w:tcW w:w="1275" w:type="dxa"/>
            <w:shd w:val="clear" w:color="auto" w:fill="BFBFBF" w:themeFill="background1" w:themeFillShade="BF"/>
            <w:tcMar>
              <w:top w:w="28" w:type="dxa"/>
              <w:bottom w:w="28" w:type="dxa"/>
            </w:tcMar>
            <w:hideMark/>
          </w:tcPr>
          <w:p w14:paraId="311F57E7" w14:textId="77777777" w:rsidR="005F7696" w:rsidRDefault="005F7696" w:rsidP="000853E1">
            <w:pPr>
              <w:rPr>
                <w:szCs w:val="20"/>
              </w:rPr>
            </w:pPr>
            <w:r w:rsidRPr="3FD91D19">
              <w:rPr>
                <w:szCs w:val="20"/>
              </w:rPr>
              <w:t>15/05/24</w:t>
            </w:r>
          </w:p>
        </w:tc>
        <w:tc>
          <w:tcPr>
            <w:tcW w:w="2694" w:type="dxa"/>
            <w:shd w:val="clear" w:color="auto" w:fill="BFBFBF" w:themeFill="background1" w:themeFillShade="BF"/>
            <w:tcMar>
              <w:top w:w="28" w:type="dxa"/>
              <w:bottom w:w="28" w:type="dxa"/>
            </w:tcMar>
            <w:hideMark/>
          </w:tcPr>
          <w:p w14:paraId="1A7C0280" w14:textId="77777777" w:rsidR="005F7696" w:rsidRDefault="005F7696" w:rsidP="000853E1">
            <w:pPr>
              <w:jc w:val="left"/>
              <w:rPr>
                <w:szCs w:val="20"/>
              </w:rPr>
            </w:pPr>
            <w:r w:rsidRPr="3FD91D19">
              <w:rPr>
                <w:szCs w:val="20"/>
              </w:rPr>
              <w:t>Menarche to Menopause (M-</w:t>
            </w:r>
            <w:proofErr w:type="spellStart"/>
            <w:r w:rsidRPr="3FD91D19">
              <w:rPr>
                <w:szCs w:val="20"/>
              </w:rPr>
              <w:t>PreM</w:t>
            </w:r>
            <w:proofErr w:type="spellEnd"/>
            <w:r w:rsidRPr="3FD91D19">
              <w:rPr>
                <w:szCs w:val="20"/>
              </w:rPr>
              <w:t xml:space="preserve">) </w:t>
            </w:r>
            <w:proofErr w:type="spellStart"/>
            <w:r w:rsidRPr="3FD91D19">
              <w:rPr>
                <w:szCs w:val="20"/>
              </w:rPr>
              <w:t>Substudy</w:t>
            </w:r>
            <w:proofErr w:type="spellEnd"/>
          </w:p>
        </w:tc>
      </w:tr>
      <w:tr w:rsidR="005F7696" w14:paraId="10DFE032" w14:textId="77777777" w:rsidTr="000853E1">
        <w:tc>
          <w:tcPr>
            <w:tcW w:w="2235" w:type="dxa"/>
            <w:vMerge/>
            <w:tcMar>
              <w:top w:w="28" w:type="dxa"/>
              <w:bottom w:w="28" w:type="dxa"/>
            </w:tcMar>
            <w:hideMark/>
          </w:tcPr>
          <w:p w14:paraId="0A26BEED" w14:textId="77777777" w:rsidR="005F7696" w:rsidRDefault="005F7696" w:rsidP="000853E1"/>
        </w:tc>
        <w:tc>
          <w:tcPr>
            <w:tcW w:w="2126" w:type="dxa"/>
            <w:shd w:val="clear" w:color="auto" w:fill="BFBFBF" w:themeFill="background1" w:themeFillShade="BF"/>
            <w:tcMar>
              <w:top w:w="28" w:type="dxa"/>
              <w:bottom w:w="28" w:type="dxa"/>
            </w:tcMar>
            <w:hideMark/>
          </w:tcPr>
          <w:p w14:paraId="0B772D64" w14:textId="77777777" w:rsidR="005F7696" w:rsidRDefault="005F7696" w:rsidP="000853E1">
            <w:pPr>
              <w:spacing w:after="0"/>
              <w:jc w:val="left"/>
              <w:rPr>
                <w:szCs w:val="20"/>
              </w:rPr>
            </w:pPr>
            <w:r w:rsidRPr="3FD91D19">
              <w:rPr>
                <w:szCs w:val="20"/>
              </w:rPr>
              <w:t>H-2021-</w:t>
            </w:r>
            <w:proofErr w:type="gramStart"/>
            <w:r w:rsidRPr="3FD91D19">
              <w:rPr>
                <w:szCs w:val="20"/>
              </w:rPr>
              <w:t>0246;</w:t>
            </w:r>
            <w:proofErr w:type="gramEnd"/>
          </w:p>
          <w:p w14:paraId="76151E01" w14:textId="77777777" w:rsidR="005F7696" w:rsidRDefault="005F7696" w:rsidP="000853E1">
            <w:pPr>
              <w:spacing w:before="0"/>
              <w:jc w:val="left"/>
              <w:rPr>
                <w:szCs w:val="20"/>
              </w:rPr>
            </w:pPr>
            <w:r w:rsidRPr="3FD91D19">
              <w:rPr>
                <w:szCs w:val="20"/>
              </w:rPr>
              <w:t>2020/HE002968</w:t>
            </w:r>
          </w:p>
        </w:tc>
        <w:tc>
          <w:tcPr>
            <w:tcW w:w="1276" w:type="dxa"/>
            <w:shd w:val="clear" w:color="auto" w:fill="BFBFBF" w:themeFill="background1" w:themeFillShade="BF"/>
            <w:tcMar>
              <w:top w:w="28" w:type="dxa"/>
              <w:bottom w:w="28" w:type="dxa"/>
            </w:tcMar>
            <w:hideMark/>
          </w:tcPr>
          <w:p w14:paraId="232D13E9" w14:textId="77777777" w:rsidR="005F7696" w:rsidRDefault="005F7696" w:rsidP="000853E1">
            <w:pPr>
              <w:rPr>
                <w:szCs w:val="20"/>
              </w:rPr>
            </w:pPr>
            <w:r w:rsidRPr="3FD91D19">
              <w:rPr>
                <w:szCs w:val="20"/>
              </w:rPr>
              <w:t>31/08/21</w:t>
            </w:r>
          </w:p>
        </w:tc>
        <w:tc>
          <w:tcPr>
            <w:tcW w:w="1275" w:type="dxa"/>
            <w:shd w:val="clear" w:color="auto" w:fill="BFBFBF" w:themeFill="background1" w:themeFillShade="BF"/>
            <w:tcMar>
              <w:top w:w="28" w:type="dxa"/>
              <w:bottom w:w="28" w:type="dxa"/>
            </w:tcMar>
            <w:hideMark/>
          </w:tcPr>
          <w:p w14:paraId="13619BC0" w14:textId="77777777" w:rsidR="005F7696" w:rsidRDefault="005F7696" w:rsidP="000853E1">
            <w:pPr>
              <w:rPr>
                <w:szCs w:val="20"/>
              </w:rPr>
            </w:pPr>
            <w:r w:rsidRPr="3FD91D19">
              <w:rPr>
                <w:szCs w:val="20"/>
              </w:rPr>
              <w:t>17/08/22</w:t>
            </w:r>
          </w:p>
        </w:tc>
        <w:tc>
          <w:tcPr>
            <w:tcW w:w="2694" w:type="dxa"/>
            <w:shd w:val="clear" w:color="auto" w:fill="BFBFBF" w:themeFill="background1" w:themeFillShade="BF"/>
            <w:tcMar>
              <w:top w:w="28" w:type="dxa"/>
              <w:bottom w:w="28" w:type="dxa"/>
            </w:tcMar>
            <w:hideMark/>
          </w:tcPr>
          <w:p w14:paraId="22A0E0E1" w14:textId="77777777" w:rsidR="005F7696" w:rsidRDefault="005F7696" w:rsidP="000853E1">
            <w:pPr>
              <w:jc w:val="left"/>
              <w:rPr>
                <w:szCs w:val="20"/>
              </w:rPr>
            </w:pPr>
            <w:r w:rsidRPr="3FD91D19">
              <w:rPr>
                <w:szCs w:val="20"/>
              </w:rPr>
              <w:t xml:space="preserve">Genetic variants, Early Life exposures, and Longitudinal Endometriosis Symptoms (GELLES) </w:t>
            </w:r>
            <w:proofErr w:type="spellStart"/>
            <w:r w:rsidRPr="3FD91D19">
              <w:rPr>
                <w:szCs w:val="20"/>
              </w:rPr>
              <w:t>Substudy</w:t>
            </w:r>
            <w:proofErr w:type="spellEnd"/>
          </w:p>
        </w:tc>
      </w:tr>
      <w:tr w:rsidR="005F7696" w:rsidRPr="00016598" w14:paraId="5647CBC1" w14:textId="77777777" w:rsidTr="000853E1">
        <w:tc>
          <w:tcPr>
            <w:tcW w:w="2235" w:type="dxa"/>
            <w:vMerge w:val="restart"/>
            <w:tcMar>
              <w:top w:w="28" w:type="dxa"/>
              <w:bottom w:w="28" w:type="dxa"/>
            </w:tcMar>
          </w:tcPr>
          <w:p w14:paraId="77A8AA70" w14:textId="77777777" w:rsidR="005F7696" w:rsidRPr="00016598" w:rsidRDefault="005F7696" w:rsidP="000853E1">
            <w:pPr>
              <w:spacing w:before="0" w:after="0"/>
              <w:jc w:val="left"/>
              <w:rPr>
                <w:rFonts w:cs="Arial"/>
                <w:szCs w:val="20"/>
              </w:rPr>
            </w:pPr>
            <w:r>
              <w:rPr>
                <w:rFonts w:cs="Arial"/>
                <w:szCs w:val="20"/>
              </w:rPr>
              <w:t>Services Australia External Request Evaluation Committee</w:t>
            </w:r>
          </w:p>
        </w:tc>
        <w:tc>
          <w:tcPr>
            <w:tcW w:w="2126" w:type="dxa"/>
            <w:shd w:val="clear" w:color="auto" w:fill="auto"/>
            <w:tcMar>
              <w:top w:w="28" w:type="dxa"/>
              <w:bottom w:w="28" w:type="dxa"/>
            </w:tcMar>
          </w:tcPr>
          <w:p w14:paraId="1C9F8772" w14:textId="77777777" w:rsidR="005F7696" w:rsidRPr="00016598" w:rsidRDefault="005F7696" w:rsidP="000853E1">
            <w:pPr>
              <w:spacing w:before="0" w:after="0"/>
              <w:jc w:val="left"/>
              <w:rPr>
                <w:rFonts w:cs="Arial"/>
                <w:szCs w:val="20"/>
              </w:rPr>
            </w:pPr>
            <w:r>
              <w:rPr>
                <w:rFonts w:cs="Arial"/>
                <w:szCs w:val="20"/>
              </w:rPr>
              <w:t>RMS2001</w:t>
            </w:r>
          </w:p>
        </w:tc>
        <w:tc>
          <w:tcPr>
            <w:tcW w:w="1276" w:type="dxa"/>
            <w:shd w:val="clear" w:color="auto" w:fill="auto"/>
            <w:tcMar>
              <w:top w:w="28" w:type="dxa"/>
              <w:bottom w:w="28" w:type="dxa"/>
            </w:tcMar>
          </w:tcPr>
          <w:p w14:paraId="2F1BE486" w14:textId="77777777" w:rsidR="005F7696" w:rsidRPr="00016598" w:rsidRDefault="005F7696" w:rsidP="000853E1">
            <w:pPr>
              <w:spacing w:before="0" w:after="0"/>
              <w:rPr>
                <w:rFonts w:cs="Arial"/>
                <w:szCs w:val="20"/>
              </w:rPr>
            </w:pPr>
            <w:r>
              <w:rPr>
                <w:rFonts w:cs="Arial"/>
                <w:szCs w:val="20"/>
              </w:rPr>
              <w:t>17/02/22</w:t>
            </w:r>
          </w:p>
        </w:tc>
        <w:tc>
          <w:tcPr>
            <w:tcW w:w="1275" w:type="dxa"/>
            <w:shd w:val="clear" w:color="auto" w:fill="auto"/>
            <w:tcMar>
              <w:top w:w="28" w:type="dxa"/>
              <w:bottom w:w="28" w:type="dxa"/>
            </w:tcMar>
          </w:tcPr>
          <w:p w14:paraId="5C1AC6CA" w14:textId="77777777" w:rsidR="005F7696" w:rsidRPr="00016598" w:rsidRDefault="005F7696" w:rsidP="000853E1">
            <w:pPr>
              <w:spacing w:before="0" w:after="0"/>
              <w:rPr>
                <w:rFonts w:cs="Arial"/>
                <w:szCs w:val="20"/>
              </w:rPr>
            </w:pPr>
            <w:r>
              <w:rPr>
                <w:rFonts w:cs="Arial"/>
                <w:szCs w:val="20"/>
              </w:rPr>
              <w:t>none</w:t>
            </w:r>
          </w:p>
        </w:tc>
        <w:tc>
          <w:tcPr>
            <w:tcW w:w="2694" w:type="dxa"/>
            <w:shd w:val="clear" w:color="auto" w:fill="auto"/>
            <w:tcMar>
              <w:top w:w="28" w:type="dxa"/>
              <w:bottom w:w="28" w:type="dxa"/>
            </w:tcMar>
          </w:tcPr>
          <w:p w14:paraId="0A49129F" w14:textId="77777777" w:rsidR="005F7696" w:rsidRDefault="005F7696" w:rsidP="000853E1">
            <w:pPr>
              <w:spacing w:before="0" w:after="0"/>
              <w:jc w:val="left"/>
              <w:rPr>
                <w:rFonts w:cs="Arial"/>
                <w:szCs w:val="20"/>
              </w:rPr>
            </w:pPr>
            <w:proofErr w:type="spellStart"/>
            <w:r>
              <w:rPr>
                <w:rFonts w:cs="Arial"/>
                <w:szCs w:val="20"/>
              </w:rPr>
              <w:t>MatCHES</w:t>
            </w:r>
            <w:proofErr w:type="spellEnd"/>
          </w:p>
          <w:p w14:paraId="305C0C12" w14:textId="77777777" w:rsidR="005F7696" w:rsidRPr="00016598" w:rsidRDefault="005F7696" w:rsidP="000853E1">
            <w:pPr>
              <w:spacing w:before="0" w:after="0"/>
              <w:jc w:val="left"/>
              <w:rPr>
                <w:rFonts w:cs="Arial"/>
                <w:szCs w:val="20"/>
              </w:rPr>
            </w:pPr>
            <w:r>
              <w:rPr>
                <w:rFonts w:cs="Arial"/>
                <w:szCs w:val="20"/>
              </w:rPr>
              <w:t xml:space="preserve">MBS, </w:t>
            </w:r>
            <w:proofErr w:type="gramStart"/>
            <w:r>
              <w:rPr>
                <w:rFonts w:cs="Arial"/>
                <w:szCs w:val="20"/>
              </w:rPr>
              <w:t>PBS</w:t>
            </w:r>
            <w:proofErr w:type="gramEnd"/>
            <w:r>
              <w:rPr>
                <w:rFonts w:cs="Arial"/>
                <w:szCs w:val="20"/>
              </w:rPr>
              <w:t xml:space="preserve"> and Australian Immunisation Register (child record linkage including validation of Medicare PINs and transfer of concordance file to AIHW)</w:t>
            </w:r>
          </w:p>
        </w:tc>
      </w:tr>
      <w:tr w:rsidR="005F7696" w:rsidRPr="00016598" w14:paraId="56A823BD" w14:textId="77777777" w:rsidTr="000853E1">
        <w:tc>
          <w:tcPr>
            <w:tcW w:w="2235" w:type="dxa"/>
            <w:vMerge/>
            <w:tcMar>
              <w:top w:w="28" w:type="dxa"/>
              <w:bottom w:w="28" w:type="dxa"/>
            </w:tcMar>
          </w:tcPr>
          <w:p w14:paraId="1B609451" w14:textId="77777777" w:rsidR="005F7696" w:rsidRDefault="005F7696" w:rsidP="000853E1">
            <w:pPr>
              <w:spacing w:before="0" w:after="0"/>
              <w:jc w:val="left"/>
              <w:rPr>
                <w:rFonts w:cs="Arial"/>
                <w:szCs w:val="20"/>
              </w:rPr>
            </w:pPr>
          </w:p>
        </w:tc>
        <w:tc>
          <w:tcPr>
            <w:tcW w:w="2126" w:type="dxa"/>
            <w:shd w:val="clear" w:color="auto" w:fill="auto"/>
            <w:tcMar>
              <w:top w:w="28" w:type="dxa"/>
              <w:bottom w:w="28" w:type="dxa"/>
            </w:tcMar>
          </w:tcPr>
          <w:p w14:paraId="63269BCD" w14:textId="77777777" w:rsidR="005F7696" w:rsidRDefault="005F7696" w:rsidP="000853E1">
            <w:pPr>
              <w:spacing w:before="0" w:after="0"/>
              <w:jc w:val="left"/>
              <w:rPr>
                <w:rFonts w:cs="Arial"/>
                <w:szCs w:val="20"/>
              </w:rPr>
            </w:pPr>
            <w:r>
              <w:rPr>
                <w:rFonts w:cs="Arial"/>
                <w:szCs w:val="20"/>
              </w:rPr>
              <w:t>RMS2107</w:t>
            </w:r>
          </w:p>
        </w:tc>
        <w:tc>
          <w:tcPr>
            <w:tcW w:w="1276" w:type="dxa"/>
            <w:shd w:val="clear" w:color="auto" w:fill="auto"/>
            <w:tcMar>
              <w:top w:w="28" w:type="dxa"/>
              <w:bottom w:w="28" w:type="dxa"/>
            </w:tcMar>
          </w:tcPr>
          <w:p w14:paraId="5B33E009" w14:textId="77777777" w:rsidR="005F7696" w:rsidRPr="00016598" w:rsidRDefault="005F7696" w:rsidP="000853E1">
            <w:pPr>
              <w:spacing w:before="0" w:after="0"/>
              <w:rPr>
                <w:rFonts w:cs="Arial"/>
                <w:szCs w:val="20"/>
              </w:rPr>
            </w:pPr>
            <w:r>
              <w:rPr>
                <w:rFonts w:cs="Arial"/>
                <w:szCs w:val="20"/>
              </w:rPr>
              <w:t>01/03/22</w:t>
            </w:r>
          </w:p>
        </w:tc>
        <w:tc>
          <w:tcPr>
            <w:tcW w:w="1275" w:type="dxa"/>
            <w:shd w:val="clear" w:color="auto" w:fill="auto"/>
            <w:tcMar>
              <w:top w:w="28" w:type="dxa"/>
              <w:bottom w:w="28" w:type="dxa"/>
            </w:tcMar>
          </w:tcPr>
          <w:p w14:paraId="7026ADEE" w14:textId="77777777" w:rsidR="005F7696" w:rsidRPr="00016598" w:rsidRDefault="005F7696" w:rsidP="000853E1">
            <w:pPr>
              <w:spacing w:before="0" w:after="0"/>
              <w:rPr>
                <w:rFonts w:cs="Arial"/>
                <w:szCs w:val="20"/>
              </w:rPr>
            </w:pPr>
            <w:r>
              <w:rPr>
                <w:rFonts w:cs="Arial"/>
                <w:szCs w:val="20"/>
              </w:rPr>
              <w:t>none</w:t>
            </w:r>
          </w:p>
        </w:tc>
        <w:tc>
          <w:tcPr>
            <w:tcW w:w="2694" w:type="dxa"/>
            <w:shd w:val="clear" w:color="auto" w:fill="auto"/>
            <w:tcMar>
              <w:top w:w="28" w:type="dxa"/>
              <w:bottom w:w="28" w:type="dxa"/>
            </w:tcMar>
          </w:tcPr>
          <w:p w14:paraId="16EB7C8C" w14:textId="77777777" w:rsidR="005F7696" w:rsidRDefault="005F7696" w:rsidP="000853E1">
            <w:pPr>
              <w:spacing w:before="0" w:after="0"/>
              <w:jc w:val="left"/>
              <w:rPr>
                <w:rFonts w:cs="Arial"/>
                <w:szCs w:val="20"/>
              </w:rPr>
            </w:pPr>
            <w:r>
              <w:rPr>
                <w:rFonts w:cs="Arial"/>
                <w:szCs w:val="20"/>
              </w:rPr>
              <w:t xml:space="preserve">1973-78 Cohort refresh </w:t>
            </w:r>
          </w:p>
          <w:p w14:paraId="6315CEB7" w14:textId="77777777" w:rsidR="005F7696" w:rsidRDefault="005F7696" w:rsidP="000853E1">
            <w:pPr>
              <w:spacing w:before="0" w:after="0"/>
              <w:jc w:val="left"/>
              <w:rPr>
                <w:rFonts w:cs="Arial"/>
                <w:szCs w:val="20"/>
              </w:rPr>
            </w:pPr>
            <w:r>
              <w:rPr>
                <w:rFonts w:cs="Arial"/>
                <w:szCs w:val="20"/>
              </w:rPr>
              <w:t>MBS and PBS (including validation of Medicare PINs and transfer of concordance file to AIHW)</w:t>
            </w:r>
          </w:p>
        </w:tc>
      </w:tr>
      <w:tr w:rsidR="005F7696" w:rsidRPr="00016598" w14:paraId="60E0BB9E" w14:textId="77777777" w:rsidTr="000853E1">
        <w:tc>
          <w:tcPr>
            <w:tcW w:w="2235" w:type="dxa"/>
            <w:vMerge w:val="restart"/>
            <w:tcMar>
              <w:top w:w="28" w:type="dxa"/>
              <w:bottom w:w="28" w:type="dxa"/>
            </w:tcMar>
            <w:hideMark/>
          </w:tcPr>
          <w:p w14:paraId="0B6FDAA9" w14:textId="77777777" w:rsidR="005F7696" w:rsidRPr="00016598" w:rsidRDefault="005F7696" w:rsidP="000853E1">
            <w:pPr>
              <w:spacing w:before="0" w:after="0"/>
              <w:jc w:val="left"/>
              <w:rPr>
                <w:rFonts w:cs="Arial"/>
                <w:szCs w:val="20"/>
              </w:rPr>
            </w:pPr>
            <w:r w:rsidRPr="00016598">
              <w:rPr>
                <w:rFonts w:cs="Arial"/>
                <w:szCs w:val="20"/>
              </w:rPr>
              <w:t>Australian Institute of Health and Welfare HREC (EC00103)</w:t>
            </w:r>
          </w:p>
        </w:tc>
        <w:tc>
          <w:tcPr>
            <w:tcW w:w="2126" w:type="dxa"/>
            <w:tcMar>
              <w:top w:w="28" w:type="dxa"/>
              <w:bottom w:w="28" w:type="dxa"/>
            </w:tcMar>
            <w:hideMark/>
          </w:tcPr>
          <w:p w14:paraId="5D24466E" w14:textId="77777777" w:rsidR="005F7696" w:rsidRPr="00016598" w:rsidRDefault="005F7696" w:rsidP="000853E1">
            <w:pPr>
              <w:spacing w:before="0" w:after="0"/>
              <w:jc w:val="left"/>
              <w:rPr>
                <w:rFonts w:cs="Arial"/>
                <w:szCs w:val="20"/>
              </w:rPr>
            </w:pPr>
            <w:r w:rsidRPr="00016598">
              <w:rPr>
                <w:rFonts w:cs="Arial"/>
                <w:szCs w:val="20"/>
              </w:rPr>
              <w:t>EC2020/3/1115</w:t>
            </w:r>
          </w:p>
        </w:tc>
        <w:tc>
          <w:tcPr>
            <w:tcW w:w="1276" w:type="dxa"/>
            <w:tcMar>
              <w:top w:w="28" w:type="dxa"/>
              <w:bottom w:w="28" w:type="dxa"/>
            </w:tcMar>
            <w:hideMark/>
          </w:tcPr>
          <w:p w14:paraId="53AEDD46" w14:textId="77777777" w:rsidR="005F7696" w:rsidRPr="00016598" w:rsidRDefault="005F7696" w:rsidP="000853E1">
            <w:pPr>
              <w:spacing w:before="0" w:after="0"/>
              <w:rPr>
                <w:rFonts w:cs="Arial"/>
                <w:szCs w:val="20"/>
              </w:rPr>
            </w:pPr>
            <w:r w:rsidRPr="000424A2">
              <w:rPr>
                <w:rFonts w:cs="Arial"/>
                <w:szCs w:val="20"/>
              </w:rPr>
              <w:t>17/08/20</w:t>
            </w:r>
          </w:p>
        </w:tc>
        <w:tc>
          <w:tcPr>
            <w:tcW w:w="1275" w:type="dxa"/>
            <w:tcMar>
              <w:top w:w="28" w:type="dxa"/>
              <w:bottom w:w="28" w:type="dxa"/>
            </w:tcMar>
            <w:hideMark/>
          </w:tcPr>
          <w:p w14:paraId="766BB52C" w14:textId="77777777" w:rsidR="005F7696" w:rsidRPr="00016598" w:rsidRDefault="005F7696" w:rsidP="000853E1">
            <w:pPr>
              <w:spacing w:before="0" w:after="0"/>
              <w:rPr>
                <w:rFonts w:cs="Arial"/>
                <w:szCs w:val="20"/>
              </w:rPr>
            </w:pPr>
            <w:r>
              <w:rPr>
                <w:rFonts w:cs="Arial"/>
                <w:szCs w:val="20"/>
              </w:rPr>
              <w:t>31/12/30</w:t>
            </w:r>
          </w:p>
        </w:tc>
        <w:tc>
          <w:tcPr>
            <w:tcW w:w="2694" w:type="dxa"/>
            <w:tcMar>
              <w:top w:w="28" w:type="dxa"/>
              <w:bottom w:w="28" w:type="dxa"/>
            </w:tcMar>
          </w:tcPr>
          <w:p w14:paraId="1D1244A9" w14:textId="77777777" w:rsidR="005F7696" w:rsidRPr="00016598" w:rsidRDefault="005F7696" w:rsidP="000853E1">
            <w:pPr>
              <w:spacing w:before="0" w:after="0"/>
              <w:jc w:val="left"/>
              <w:rPr>
                <w:rFonts w:cs="Arial"/>
                <w:szCs w:val="20"/>
              </w:rPr>
            </w:pPr>
            <w:r w:rsidRPr="00016598">
              <w:rPr>
                <w:rFonts w:cs="Arial"/>
                <w:szCs w:val="20"/>
              </w:rPr>
              <w:t>All national collections</w:t>
            </w:r>
          </w:p>
        </w:tc>
      </w:tr>
      <w:tr w:rsidR="005F7696" w:rsidRPr="00016598" w14:paraId="5244F991" w14:textId="77777777" w:rsidTr="000853E1">
        <w:tc>
          <w:tcPr>
            <w:tcW w:w="2235" w:type="dxa"/>
            <w:vMerge/>
            <w:tcMar>
              <w:top w:w="28" w:type="dxa"/>
              <w:bottom w:w="28" w:type="dxa"/>
            </w:tcMar>
            <w:hideMark/>
          </w:tcPr>
          <w:p w14:paraId="288A8D64" w14:textId="77777777" w:rsidR="005F7696" w:rsidRPr="00016598" w:rsidRDefault="005F7696" w:rsidP="000853E1">
            <w:pPr>
              <w:spacing w:before="0" w:after="0"/>
              <w:jc w:val="left"/>
              <w:rPr>
                <w:rFonts w:cs="Arial"/>
                <w:szCs w:val="20"/>
              </w:rPr>
            </w:pPr>
          </w:p>
        </w:tc>
        <w:tc>
          <w:tcPr>
            <w:tcW w:w="2126" w:type="dxa"/>
            <w:tcMar>
              <w:top w:w="28" w:type="dxa"/>
              <w:bottom w:w="28" w:type="dxa"/>
            </w:tcMar>
            <w:hideMark/>
          </w:tcPr>
          <w:p w14:paraId="665F0BDE" w14:textId="77777777" w:rsidR="005F7696" w:rsidRPr="00016598" w:rsidRDefault="005F7696" w:rsidP="000853E1">
            <w:pPr>
              <w:spacing w:before="0" w:after="0"/>
              <w:jc w:val="left"/>
              <w:rPr>
                <w:rFonts w:cs="Arial"/>
                <w:szCs w:val="20"/>
              </w:rPr>
            </w:pPr>
            <w:r w:rsidRPr="00016598">
              <w:rPr>
                <w:rFonts w:cs="Arial"/>
                <w:szCs w:val="20"/>
              </w:rPr>
              <w:t>EO2017/1/342</w:t>
            </w:r>
          </w:p>
        </w:tc>
        <w:tc>
          <w:tcPr>
            <w:tcW w:w="1276" w:type="dxa"/>
            <w:tcMar>
              <w:top w:w="28" w:type="dxa"/>
              <w:bottom w:w="28" w:type="dxa"/>
            </w:tcMar>
            <w:hideMark/>
          </w:tcPr>
          <w:p w14:paraId="67573BFB" w14:textId="77777777" w:rsidR="005F7696" w:rsidRPr="00016598" w:rsidRDefault="005F7696" w:rsidP="000853E1">
            <w:pPr>
              <w:spacing w:before="0" w:after="0"/>
              <w:rPr>
                <w:rFonts w:cs="Arial"/>
                <w:szCs w:val="20"/>
              </w:rPr>
            </w:pPr>
            <w:r w:rsidRPr="00016598">
              <w:rPr>
                <w:rFonts w:cs="Arial"/>
                <w:szCs w:val="20"/>
              </w:rPr>
              <w:t>7/03/17</w:t>
            </w:r>
          </w:p>
        </w:tc>
        <w:tc>
          <w:tcPr>
            <w:tcW w:w="1275" w:type="dxa"/>
            <w:tcMar>
              <w:top w:w="28" w:type="dxa"/>
              <w:bottom w:w="28" w:type="dxa"/>
            </w:tcMar>
            <w:hideMark/>
          </w:tcPr>
          <w:p w14:paraId="18A50173" w14:textId="77777777" w:rsidR="005F7696" w:rsidRPr="00016598" w:rsidRDefault="005F7696" w:rsidP="000853E1">
            <w:pPr>
              <w:spacing w:before="0" w:after="0"/>
              <w:rPr>
                <w:rFonts w:cs="Arial"/>
                <w:szCs w:val="20"/>
              </w:rPr>
            </w:pPr>
            <w:r w:rsidRPr="00016598">
              <w:rPr>
                <w:rFonts w:cs="Arial"/>
                <w:szCs w:val="20"/>
              </w:rPr>
              <w:t>31/12/25</w:t>
            </w:r>
          </w:p>
        </w:tc>
        <w:tc>
          <w:tcPr>
            <w:tcW w:w="2694" w:type="dxa"/>
            <w:tcMar>
              <w:top w:w="28" w:type="dxa"/>
              <w:bottom w:w="28" w:type="dxa"/>
            </w:tcMar>
            <w:hideMark/>
          </w:tcPr>
          <w:p w14:paraId="0D355686" w14:textId="77777777" w:rsidR="005F7696" w:rsidRPr="00016598" w:rsidRDefault="005F7696" w:rsidP="000853E1">
            <w:pPr>
              <w:spacing w:before="0" w:after="0"/>
              <w:jc w:val="left"/>
              <w:rPr>
                <w:rFonts w:cs="Arial"/>
                <w:szCs w:val="20"/>
              </w:rPr>
            </w:pPr>
            <w:proofErr w:type="spellStart"/>
            <w:r w:rsidRPr="00016598">
              <w:rPr>
                <w:rFonts w:cs="Arial"/>
                <w:szCs w:val="20"/>
              </w:rPr>
              <w:t>MatCH</w:t>
            </w:r>
            <w:proofErr w:type="spellEnd"/>
            <w:r w:rsidRPr="00016598">
              <w:rPr>
                <w:rFonts w:cs="Arial"/>
                <w:szCs w:val="20"/>
              </w:rPr>
              <w:t xml:space="preserve"> Phase 1 </w:t>
            </w:r>
            <w:proofErr w:type="spellStart"/>
            <w:r w:rsidRPr="00016598">
              <w:rPr>
                <w:rFonts w:cs="Arial"/>
                <w:szCs w:val="20"/>
              </w:rPr>
              <w:t>Substudy</w:t>
            </w:r>
            <w:proofErr w:type="spellEnd"/>
            <w:r w:rsidRPr="00016598">
              <w:rPr>
                <w:rFonts w:cs="Arial"/>
                <w:szCs w:val="20"/>
              </w:rPr>
              <w:t xml:space="preserve"> (child record linkage)</w:t>
            </w:r>
          </w:p>
        </w:tc>
      </w:tr>
      <w:tr w:rsidR="001F0DFA" w:rsidRPr="00016598" w14:paraId="16BB0835" w14:textId="77777777" w:rsidTr="00C50A9F">
        <w:trPr>
          <w:trHeight w:val="342"/>
        </w:trPr>
        <w:tc>
          <w:tcPr>
            <w:tcW w:w="2235" w:type="dxa"/>
            <w:vMerge w:val="restart"/>
            <w:tcMar>
              <w:top w:w="28" w:type="dxa"/>
              <w:bottom w:w="28" w:type="dxa"/>
            </w:tcMar>
            <w:hideMark/>
          </w:tcPr>
          <w:p w14:paraId="3B2713EE" w14:textId="77777777" w:rsidR="001F0DFA" w:rsidRPr="00016598" w:rsidRDefault="001F0DFA" w:rsidP="000853E1">
            <w:pPr>
              <w:spacing w:before="0" w:after="0"/>
              <w:jc w:val="left"/>
              <w:rPr>
                <w:rFonts w:cs="Arial"/>
                <w:szCs w:val="20"/>
              </w:rPr>
            </w:pPr>
            <w:r w:rsidRPr="00016598">
              <w:rPr>
                <w:rFonts w:cs="Arial"/>
                <w:szCs w:val="20"/>
              </w:rPr>
              <w:t>Defence/DVA HREC (EC00460)</w:t>
            </w:r>
          </w:p>
        </w:tc>
        <w:tc>
          <w:tcPr>
            <w:tcW w:w="2126" w:type="dxa"/>
            <w:tcBorders>
              <w:bottom w:val="single" w:sz="4" w:space="0" w:color="auto"/>
            </w:tcBorders>
            <w:tcMar>
              <w:top w:w="28" w:type="dxa"/>
              <w:bottom w:w="28" w:type="dxa"/>
            </w:tcMar>
            <w:hideMark/>
          </w:tcPr>
          <w:p w14:paraId="65346CA6" w14:textId="77777777" w:rsidR="001F0DFA" w:rsidRPr="00016598" w:rsidRDefault="001F0DFA" w:rsidP="000853E1">
            <w:pPr>
              <w:spacing w:before="0" w:after="0"/>
              <w:jc w:val="left"/>
              <w:rPr>
                <w:rFonts w:cs="Arial"/>
                <w:szCs w:val="20"/>
              </w:rPr>
            </w:pPr>
            <w:r w:rsidRPr="00016598">
              <w:rPr>
                <w:rFonts w:cs="Arial"/>
                <w:szCs w:val="20"/>
              </w:rPr>
              <w:t>EO14/022</w:t>
            </w:r>
          </w:p>
        </w:tc>
        <w:tc>
          <w:tcPr>
            <w:tcW w:w="1276" w:type="dxa"/>
            <w:tcMar>
              <w:top w:w="28" w:type="dxa"/>
              <w:bottom w:w="28" w:type="dxa"/>
            </w:tcMar>
            <w:hideMark/>
          </w:tcPr>
          <w:p w14:paraId="2738F852" w14:textId="77777777" w:rsidR="001F0DFA" w:rsidRPr="00016598" w:rsidRDefault="001F0DFA" w:rsidP="000853E1">
            <w:pPr>
              <w:spacing w:before="0" w:after="0"/>
              <w:rPr>
                <w:rFonts w:cs="Arial"/>
                <w:szCs w:val="20"/>
              </w:rPr>
            </w:pPr>
            <w:r w:rsidRPr="00016598">
              <w:rPr>
                <w:rFonts w:cs="Arial"/>
                <w:szCs w:val="20"/>
              </w:rPr>
              <w:t>19/12/14</w:t>
            </w:r>
          </w:p>
        </w:tc>
        <w:tc>
          <w:tcPr>
            <w:tcW w:w="1275" w:type="dxa"/>
            <w:tcMar>
              <w:top w:w="28" w:type="dxa"/>
              <w:bottom w:w="28" w:type="dxa"/>
            </w:tcMar>
            <w:hideMark/>
          </w:tcPr>
          <w:p w14:paraId="4F9B175D" w14:textId="77777777" w:rsidR="001F0DFA" w:rsidRPr="00016598" w:rsidRDefault="001F0DFA" w:rsidP="000853E1">
            <w:pPr>
              <w:spacing w:before="0" w:after="0"/>
              <w:rPr>
                <w:rFonts w:cs="Arial"/>
                <w:szCs w:val="20"/>
              </w:rPr>
            </w:pPr>
            <w:r>
              <w:rPr>
                <w:rFonts w:cs="Arial"/>
                <w:szCs w:val="20"/>
              </w:rPr>
              <w:t>30/06/24</w:t>
            </w:r>
          </w:p>
        </w:tc>
        <w:tc>
          <w:tcPr>
            <w:tcW w:w="2694" w:type="dxa"/>
            <w:tcMar>
              <w:top w:w="28" w:type="dxa"/>
              <w:bottom w:w="28" w:type="dxa"/>
            </w:tcMar>
            <w:hideMark/>
          </w:tcPr>
          <w:p w14:paraId="0BDC1FC2" w14:textId="77777777" w:rsidR="001F0DFA" w:rsidRPr="00016598" w:rsidRDefault="001F0DFA" w:rsidP="000853E1">
            <w:pPr>
              <w:spacing w:before="0" w:after="0"/>
              <w:jc w:val="left"/>
              <w:rPr>
                <w:rFonts w:cs="Arial"/>
                <w:szCs w:val="20"/>
              </w:rPr>
            </w:pPr>
            <w:r w:rsidRPr="00016598">
              <w:rPr>
                <w:rFonts w:cs="Arial"/>
                <w:szCs w:val="20"/>
              </w:rPr>
              <w:t>DVA-AC</w:t>
            </w:r>
            <w:r>
              <w:rPr>
                <w:rFonts w:cs="Arial"/>
                <w:szCs w:val="20"/>
              </w:rPr>
              <w:t xml:space="preserve"> &amp; </w:t>
            </w:r>
            <w:r w:rsidRPr="00016598">
              <w:rPr>
                <w:rFonts w:cs="Arial"/>
                <w:szCs w:val="20"/>
              </w:rPr>
              <w:t>MBS</w:t>
            </w:r>
          </w:p>
        </w:tc>
      </w:tr>
      <w:tr w:rsidR="001F0DFA" w:rsidRPr="00016598" w14:paraId="298FAD72" w14:textId="77777777" w:rsidTr="000853E1">
        <w:trPr>
          <w:trHeight w:val="342"/>
        </w:trPr>
        <w:tc>
          <w:tcPr>
            <w:tcW w:w="2235" w:type="dxa"/>
            <w:vMerge/>
            <w:tcBorders>
              <w:bottom w:val="single" w:sz="4" w:space="0" w:color="auto"/>
            </w:tcBorders>
            <w:tcMar>
              <w:top w:w="28" w:type="dxa"/>
              <w:bottom w:w="28" w:type="dxa"/>
            </w:tcMar>
          </w:tcPr>
          <w:p w14:paraId="1648DC4B" w14:textId="77777777" w:rsidR="001F0DFA" w:rsidRPr="00016598" w:rsidRDefault="001F0DFA" w:rsidP="000853E1">
            <w:pPr>
              <w:spacing w:before="0" w:after="0"/>
              <w:jc w:val="left"/>
              <w:rPr>
                <w:rFonts w:cs="Arial"/>
                <w:szCs w:val="20"/>
              </w:rPr>
            </w:pPr>
          </w:p>
        </w:tc>
        <w:tc>
          <w:tcPr>
            <w:tcW w:w="2126" w:type="dxa"/>
            <w:tcBorders>
              <w:bottom w:val="single" w:sz="4" w:space="0" w:color="auto"/>
            </w:tcBorders>
            <w:tcMar>
              <w:top w:w="28" w:type="dxa"/>
              <w:bottom w:w="28" w:type="dxa"/>
            </w:tcMar>
          </w:tcPr>
          <w:p w14:paraId="0437F7B3" w14:textId="65B67985" w:rsidR="001F0DFA" w:rsidRPr="00016598" w:rsidRDefault="001F0DFA" w:rsidP="000853E1">
            <w:pPr>
              <w:spacing w:before="0" w:after="0"/>
              <w:jc w:val="left"/>
              <w:rPr>
                <w:rFonts w:cs="Arial"/>
                <w:szCs w:val="20"/>
              </w:rPr>
            </w:pPr>
            <w:r>
              <w:rPr>
                <w:rFonts w:cs="Arial"/>
                <w:szCs w:val="20"/>
              </w:rPr>
              <w:t>E002/020</w:t>
            </w:r>
          </w:p>
        </w:tc>
        <w:tc>
          <w:tcPr>
            <w:tcW w:w="1276" w:type="dxa"/>
            <w:tcBorders>
              <w:bottom w:val="single" w:sz="4" w:space="0" w:color="auto"/>
            </w:tcBorders>
            <w:tcMar>
              <w:top w:w="28" w:type="dxa"/>
              <w:bottom w:w="28" w:type="dxa"/>
            </w:tcMar>
          </w:tcPr>
          <w:p w14:paraId="72264852" w14:textId="0A17F140" w:rsidR="001F0DFA" w:rsidRPr="00016598" w:rsidRDefault="001F0DFA" w:rsidP="000853E1">
            <w:pPr>
              <w:spacing w:before="0" w:after="0"/>
              <w:rPr>
                <w:rFonts w:cs="Arial"/>
                <w:szCs w:val="20"/>
              </w:rPr>
            </w:pPr>
            <w:r>
              <w:rPr>
                <w:rFonts w:cs="Arial"/>
                <w:szCs w:val="20"/>
              </w:rPr>
              <w:t>Oct 1996</w:t>
            </w:r>
          </w:p>
        </w:tc>
        <w:tc>
          <w:tcPr>
            <w:tcW w:w="1275" w:type="dxa"/>
            <w:tcBorders>
              <w:bottom w:val="single" w:sz="4" w:space="0" w:color="auto"/>
            </w:tcBorders>
            <w:tcMar>
              <w:top w:w="28" w:type="dxa"/>
              <w:bottom w:w="28" w:type="dxa"/>
            </w:tcMar>
          </w:tcPr>
          <w:p w14:paraId="41B157C4" w14:textId="1BCF4A46" w:rsidR="001F0DFA" w:rsidRDefault="001F0DFA" w:rsidP="000853E1">
            <w:pPr>
              <w:spacing w:before="0" w:after="0"/>
              <w:rPr>
                <w:rFonts w:cs="Arial"/>
                <w:szCs w:val="20"/>
              </w:rPr>
            </w:pPr>
            <w:r>
              <w:rPr>
                <w:rFonts w:cs="Arial"/>
                <w:szCs w:val="20"/>
              </w:rPr>
              <w:t>none</w:t>
            </w:r>
          </w:p>
        </w:tc>
        <w:tc>
          <w:tcPr>
            <w:tcW w:w="2694" w:type="dxa"/>
            <w:tcBorders>
              <w:bottom w:val="single" w:sz="4" w:space="0" w:color="auto"/>
            </w:tcBorders>
            <w:tcMar>
              <w:top w:w="28" w:type="dxa"/>
              <w:bottom w:w="28" w:type="dxa"/>
            </w:tcMar>
          </w:tcPr>
          <w:p w14:paraId="4B80DC49" w14:textId="554BD158" w:rsidR="001F0DFA" w:rsidRPr="00016598" w:rsidRDefault="001F0DFA" w:rsidP="000853E1">
            <w:pPr>
              <w:spacing w:before="0" w:after="0"/>
              <w:jc w:val="left"/>
              <w:rPr>
                <w:rFonts w:cs="Arial"/>
                <w:szCs w:val="20"/>
              </w:rPr>
            </w:pPr>
            <w:r>
              <w:rPr>
                <w:rFonts w:cs="Arial"/>
                <w:szCs w:val="20"/>
              </w:rPr>
              <w:t>Recruitment and consent (1946-51 &amp; 1921-26 cohorts</w:t>
            </w:r>
          </w:p>
        </w:tc>
      </w:tr>
      <w:tr w:rsidR="005F7696" w:rsidRPr="00016598" w14:paraId="0E6E7445" w14:textId="77777777" w:rsidTr="000853E1">
        <w:tc>
          <w:tcPr>
            <w:tcW w:w="2235" w:type="dxa"/>
            <w:vMerge w:val="restart"/>
            <w:tcMar>
              <w:top w:w="28" w:type="dxa"/>
              <w:bottom w:w="28" w:type="dxa"/>
            </w:tcMar>
            <w:hideMark/>
          </w:tcPr>
          <w:p w14:paraId="20368B9C" w14:textId="77777777" w:rsidR="005F7696" w:rsidRPr="00016598" w:rsidRDefault="005F7696" w:rsidP="000853E1">
            <w:pPr>
              <w:spacing w:before="0" w:after="0"/>
              <w:jc w:val="left"/>
              <w:rPr>
                <w:rFonts w:cs="Arial"/>
                <w:szCs w:val="20"/>
              </w:rPr>
            </w:pPr>
            <w:r w:rsidRPr="00016598">
              <w:rPr>
                <w:rFonts w:cs="Arial"/>
                <w:szCs w:val="20"/>
              </w:rPr>
              <w:t>ACT Health HREC (EC00100)</w:t>
            </w:r>
          </w:p>
        </w:tc>
        <w:tc>
          <w:tcPr>
            <w:tcW w:w="2126" w:type="dxa"/>
            <w:tcBorders>
              <w:bottom w:val="nil"/>
            </w:tcBorders>
            <w:tcMar>
              <w:top w:w="28" w:type="dxa"/>
              <w:bottom w:w="28" w:type="dxa"/>
            </w:tcMar>
            <w:hideMark/>
          </w:tcPr>
          <w:p w14:paraId="6796958B" w14:textId="77777777" w:rsidR="005F7696" w:rsidRPr="00016598" w:rsidRDefault="005F7696" w:rsidP="000853E1">
            <w:pPr>
              <w:spacing w:before="0" w:after="0"/>
              <w:jc w:val="left"/>
              <w:rPr>
                <w:rFonts w:cs="Arial"/>
                <w:szCs w:val="20"/>
              </w:rPr>
            </w:pPr>
            <w:r w:rsidRPr="00016598">
              <w:rPr>
                <w:rFonts w:cs="Arial"/>
                <w:szCs w:val="20"/>
              </w:rPr>
              <w:t>ETH.6.13.148</w:t>
            </w:r>
          </w:p>
        </w:tc>
        <w:tc>
          <w:tcPr>
            <w:tcW w:w="1276" w:type="dxa"/>
            <w:tcBorders>
              <w:bottom w:val="nil"/>
            </w:tcBorders>
            <w:tcMar>
              <w:top w:w="28" w:type="dxa"/>
              <w:bottom w:w="28" w:type="dxa"/>
            </w:tcMar>
            <w:hideMark/>
          </w:tcPr>
          <w:p w14:paraId="16F3E657" w14:textId="77777777" w:rsidR="005F7696" w:rsidRPr="00016598" w:rsidRDefault="005F7696" w:rsidP="000853E1">
            <w:pPr>
              <w:spacing w:before="0" w:after="0"/>
              <w:rPr>
                <w:rFonts w:cs="Arial"/>
                <w:szCs w:val="20"/>
              </w:rPr>
            </w:pPr>
            <w:r w:rsidRPr="00016598">
              <w:rPr>
                <w:rFonts w:cs="Arial"/>
                <w:szCs w:val="20"/>
              </w:rPr>
              <w:t>01/07/13</w:t>
            </w:r>
          </w:p>
        </w:tc>
        <w:tc>
          <w:tcPr>
            <w:tcW w:w="1275" w:type="dxa"/>
            <w:vMerge w:val="restart"/>
            <w:tcBorders>
              <w:bottom w:val="nil"/>
            </w:tcBorders>
            <w:tcMar>
              <w:top w:w="28" w:type="dxa"/>
              <w:bottom w:w="28" w:type="dxa"/>
            </w:tcMar>
            <w:hideMark/>
          </w:tcPr>
          <w:p w14:paraId="25D86037" w14:textId="77777777" w:rsidR="005F7696" w:rsidRPr="00016598" w:rsidRDefault="005F7696" w:rsidP="000853E1">
            <w:pPr>
              <w:spacing w:before="0" w:after="0"/>
              <w:rPr>
                <w:rFonts w:cs="Arial"/>
                <w:szCs w:val="20"/>
              </w:rPr>
            </w:pPr>
            <w:r w:rsidRPr="00016598">
              <w:rPr>
                <w:rFonts w:cs="Arial"/>
                <w:szCs w:val="20"/>
              </w:rPr>
              <w:t>31/07/2</w:t>
            </w:r>
            <w:r>
              <w:rPr>
                <w:rFonts w:cs="Arial"/>
                <w:szCs w:val="20"/>
              </w:rPr>
              <w:t>6</w:t>
            </w:r>
          </w:p>
        </w:tc>
        <w:tc>
          <w:tcPr>
            <w:tcW w:w="2694" w:type="dxa"/>
            <w:vMerge w:val="restart"/>
            <w:tcMar>
              <w:top w:w="28" w:type="dxa"/>
              <w:bottom w:w="28" w:type="dxa"/>
            </w:tcMar>
            <w:hideMark/>
          </w:tcPr>
          <w:p w14:paraId="78EFD1D4" w14:textId="77777777" w:rsidR="005F7696" w:rsidRPr="00016598" w:rsidRDefault="005F7696" w:rsidP="000853E1">
            <w:pPr>
              <w:spacing w:before="0" w:after="0"/>
              <w:jc w:val="left"/>
              <w:rPr>
                <w:rFonts w:cs="Arial"/>
                <w:szCs w:val="20"/>
              </w:rPr>
            </w:pPr>
            <w:r w:rsidRPr="00016598">
              <w:rPr>
                <w:rFonts w:cs="Arial"/>
                <w:szCs w:val="20"/>
              </w:rPr>
              <w:t>ACT</w:t>
            </w:r>
            <w:r>
              <w:rPr>
                <w:rFonts w:cs="Arial"/>
                <w:szCs w:val="20"/>
              </w:rPr>
              <w:t xml:space="preserve">, SA, </w:t>
            </w:r>
            <w:proofErr w:type="gramStart"/>
            <w:r>
              <w:rPr>
                <w:rFonts w:cs="Arial"/>
                <w:szCs w:val="20"/>
              </w:rPr>
              <w:t>NT</w:t>
            </w:r>
            <w:proofErr w:type="gramEnd"/>
            <w:r>
              <w:rPr>
                <w:rFonts w:cs="Arial"/>
                <w:szCs w:val="20"/>
              </w:rPr>
              <w:t xml:space="preserve"> and VIC</w:t>
            </w:r>
            <w:r w:rsidRPr="00016598">
              <w:rPr>
                <w:rFonts w:cs="Arial"/>
                <w:szCs w:val="20"/>
              </w:rPr>
              <w:t xml:space="preserve"> </w:t>
            </w:r>
            <w:r>
              <w:rPr>
                <w:rFonts w:cs="Arial"/>
                <w:szCs w:val="20"/>
              </w:rPr>
              <w:t>collections (except VIC P).</w:t>
            </w:r>
          </w:p>
          <w:p w14:paraId="2351A688" w14:textId="77777777" w:rsidR="005F7696" w:rsidRPr="00016598" w:rsidRDefault="005F7696" w:rsidP="000853E1">
            <w:pPr>
              <w:spacing w:before="0" w:after="0"/>
              <w:jc w:val="left"/>
              <w:rPr>
                <w:rFonts w:cs="Arial"/>
                <w:szCs w:val="20"/>
              </w:rPr>
            </w:pPr>
          </w:p>
        </w:tc>
      </w:tr>
      <w:tr w:rsidR="005F7696" w:rsidRPr="00016598" w14:paraId="472D5405" w14:textId="77777777" w:rsidTr="000853E1">
        <w:tc>
          <w:tcPr>
            <w:tcW w:w="2235" w:type="dxa"/>
            <w:vMerge/>
            <w:tcMar>
              <w:top w:w="28" w:type="dxa"/>
              <w:bottom w:w="28" w:type="dxa"/>
            </w:tcMar>
          </w:tcPr>
          <w:p w14:paraId="3E6F2BC5" w14:textId="77777777" w:rsidR="005F7696" w:rsidRPr="006C3C76" w:rsidRDefault="005F7696" w:rsidP="000853E1">
            <w:pPr>
              <w:spacing w:before="0" w:after="0"/>
              <w:jc w:val="left"/>
              <w:rPr>
                <w:rFonts w:cs="Arial"/>
                <w:szCs w:val="20"/>
              </w:rPr>
            </w:pPr>
          </w:p>
        </w:tc>
        <w:tc>
          <w:tcPr>
            <w:tcW w:w="2126" w:type="dxa"/>
            <w:tcBorders>
              <w:top w:val="nil"/>
              <w:bottom w:val="nil"/>
            </w:tcBorders>
            <w:tcMar>
              <w:top w:w="28" w:type="dxa"/>
              <w:bottom w:w="28" w:type="dxa"/>
            </w:tcMar>
          </w:tcPr>
          <w:p w14:paraId="49EF00F4" w14:textId="77777777" w:rsidR="005F7696" w:rsidRPr="00016598" w:rsidRDefault="005F7696" w:rsidP="000853E1">
            <w:pPr>
              <w:spacing w:before="0" w:after="0"/>
              <w:jc w:val="left"/>
              <w:rPr>
                <w:rFonts w:cs="Arial"/>
                <w:szCs w:val="20"/>
              </w:rPr>
            </w:pPr>
            <w:r>
              <w:rPr>
                <w:rFonts w:cs="Arial"/>
                <w:szCs w:val="20"/>
              </w:rPr>
              <w:t xml:space="preserve">- </w:t>
            </w:r>
            <w:r w:rsidRPr="00B3583C">
              <w:rPr>
                <w:rFonts w:cs="Arial"/>
                <w:szCs w:val="20"/>
              </w:rPr>
              <w:t>VIC collections</w:t>
            </w:r>
          </w:p>
        </w:tc>
        <w:tc>
          <w:tcPr>
            <w:tcW w:w="1276" w:type="dxa"/>
            <w:tcBorders>
              <w:top w:val="nil"/>
              <w:bottom w:val="nil"/>
            </w:tcBorders>
            <w:tcMar>
              <w:top w:w="28" w:type="dxa"/>
              <w:bottom w:w="28" w:type="dxa"/>
            </w:tcMar>
            <w:hideMark/>
          </w:tcPr>
          <w:p w14:paraId="7104690E" w14:textId="77777777" w:rsidR="005F7696" w:rsidRPr="00016598" w:rsidRDefault="005F7696" w:rsidP="000853E1">
            <w:pPr>
              <w:spacing w:before="0" w:after="0"/>
              <w:rPr>
                <w:rFonts w:cs="Arial"/>
                <w:szCs w:val="20"/>
              </w:rPr>
            </w:pPr>
            <w:r w:rsidRPr="00016598">
              <w:rPr>
                <w:rFonts w:cs="Arial"/>
                <w:szCs w:val="20"/>
              </w:rPr>
              <w:t>22/08/18</w:t>
            </w:r>
          </w:p>
        </w:tc>
        <w:tc>
          <w:tcPr>
            <w:tcW w:w="1275" w:type="dxa"/>
            <w:vMerge/>
            <w:tcMar>
              <w:top w:w="28" w:type="dxa"/>
              <w:bottom w:w="28" w:type="dxa"/>
            </w:tcMar>
            <w:hideMark/>
          </w:tcPr>
          <w:p w14:paraId="513F24D0" w14:textId="77777777" w:rsidR="005F7696" w:rsidRPr="00016598" w:rsidRDefault="005F7696" w:rsidP="000853E1">
            <w:pPr>
              <w:spacing w:before="0" w:after="0"/>
              <w:rPr>
                <w:rFonts w:cs="Arial"/>
                <w:szCs w:val="20"/>
              </w:rPr>
            </w:pPr>
          </w:p>
        </w:tc>
        <w:tc>
          <w:tcPr>
            <w:tcW w:w="2694" w:type="dxa"/>
            <w:vMerge/>
            <w:tcMar>
              <w:top w:w="28" w:type="dxa"/>
              <w:bottom w:w="28" w:type="dxa"/>
            </w:tcMar>
            <w:hideMark/>
          </w:tcPr>
          <w:p w14:paraId="7E741A99" w14:textId="77777777" w:rsidR="005F7696" w:rsidRPr="00016598" w:rsidRDefault="005F7696" w:rsidP="000853E1">
            <w:pPr>
              <w:spacing w:before="0" w:after="0"/>
              <w:jc w:val="left"/>
              <w:rPr>
                <w:rFonts w:cs="Arial"/>
                <w:szCs w:val="20"/>
              </w:rPr>
            </w:pPr>
          </w:p>
        </w:tc>
      </w:tr>
      <w:tr w:rsidR="005F7696" w:rsidRPr="00016598" w14:paraId="6FDACA53" w14:textId="77777777" w:rsidTr="000853E1">
        <w:tc>
          <w:tcPr>
            <w:tcW w:w="2235" w:type="dxa"/>
            <w:vMerge/>
            <w:tcMar>
              <w:top w:w="28" w:type="dxa"/>
              <w:bottom w:w="28" w:type="dxa"/>
            </w:tcMar>
          </w:tcPr>
          <w:p w14:paraId="30FD2826" w14:textId="77777777" w:rsidR="005F7696" w:rsidRPr="00016598" w:rsidRDefault="005F7696" w:rsidP="000853E1">
            <w:pPr>
              <w:spacing w:before="0" w:after="0"/>
              <w:jc w:val="left"/>
              <w:rPr>
                <w:rFonts w:cs="Arial"/>
                <w:szCs w:val="20"/>
              </w:rPr>
            </w:pPr>
          </w:p>
        </w:tc>
        <w:tc>
          <w:tcPr>
            <w:tcW w:w="2126" w:type="dxa"/>
            <w:tcBorders>
              <w:top w:val="nil"/>
              <w:bottom w:val="nil"/>
            </w:tcBorders>
            <w:tcMar>
              <w:top w:w="28" w:type="dxa"/>
              <w:bottom w:w="28" w:type="dxa"/>
            </w:tcMar>
          </w:tcPr>
          <w:p w14:paraId="7AF9F598" w14:textId="77777777" w:rsidR="005F7696" w:rsidRPr="00016598" w:rsidRDefault="005F7696" w:rsidP="000853E1">
            <w:pPr>
              <w:spacing w:before="0" w:after="0"/>
              <w:jc w:val="left"/>
              <w:rPr>
                <w:rFonts w:cs="Arial"/>
                <w:szCs w:val="20"/>
              </w:rPr>
            </w:pPr>
            <w:r>
              <w:rPr>
                <w:rFonts w:cs="Arial"/>
                <w:szCs w:val="20"/>
              </w:rPr>
              <w:t>- SA collections</w:t>
            </w:r>
          </w:p>
        </w:tc>
        <w:tc>
          <w:tcPr>
            <w:tcW w:w="1276" w:type="dxa"/>
            <w:tcBorders>
              <w:top w:val="nil"/>
              <w:bottom w:val="nil"/>
            </w:tcBorders>
            <w:tcMar>
              <w:top w:w="28" w:type="dxa"/>
              <w:bottom w:w="28" w:type="dxa"/>
            </w:tcMar>
          </w:tcPr>
          <w:p w14:paraId="624FC679" w14:textId="77777777" w:rsidR="005F7696" w:rsidRPr="00016598" w:rsidRDefault="005F7696" w:rsidP="000853E1">
            <w:pPr>
              <w:spacing w:before="0" w:after="0"/>
              <w:rPr>
                <w:rFonts w:cs="Arial"/>
                <w:szCs w:val="20"/>
              </w:rPr>
            </w:pPr>
            <w:r>
              <w:rPr>
                <w:rFonts w:cs="Arial"/>
                <w:szCs w:val="20"/>
              </w:rPr>
              <w:t>19/09/20</w:t>
            </w:r>
          </w:p>
        </w:tc>
        <w:tc>
          <w:tcPr>
            <w:tcW w:w="1275" w:type="dxa"/>
            <w:vMerge/>
            <w:tcMar>
              <w:top w:w="28" w:type="dxa"/>
              <w:bottom w:w="28" w:type="dxa"/>
            </w:tcMar>
          </w:tcPr>
          <w:p w14:paraId="297DEC58" w14:textId="77777777" w:rsidR="005F7696" w:rsidRPr="00016598" w:rsidRDefault="005F7696" w:rsidP="000853E1">
            <w:pPr>
              <w:spacing w:before="0" w:after="0"/>
              <w:rPr>
                <w:rFonts w:cs="Arial"/>
                <w:szCs w:val="20"/>
              </w:rPr>
            </w:pPr>
          </w:p>
        </w:tc>
        <w:tc>
          <w:tcPr>
            <w:tcW w:w="2694" w:type="dxa"/>
            <w:vMerge/>
            <w:tcMar>
              <w:top w:w="28" w:type="dxa"/>
              <w:bottom w:w="28" w:type="dxa"/>
            </w:tcMar>
          </w:tcPr>
          <w:p w14:paraId="5EE0C462" w14:textId="77777777" w:rsidR="005F7696" w:rsidRPr="00016598" w:rsidRDefault="005F7696" w:rsidP="000853E1">
            <w:pPr>
              <w:spacing w:before="0" w:after="0"/>
              <w:jc w:val="left"/>
              <w:rPr>
                <w:rFonts w:cs="Arial"/>
                <w:szCs w:val="20"/>
              </w:rPr>
            </w:pPr>
          </w:p>
        </w:tc>
      </w:tr>
      <w:tr w:rsidR="005F7696" w:rsidRPr="00016598" w14:paraId="09032197" w14:textId="77777777" w:rsidTr="000853E1">
        <w:tc>
          <w:tcPr>
            <w:tcW w:w="2235" w:type="dxa"/>
            <w:vMerge/>
            <w:tcMar>
              <w:top w:w="28" w:type="dxa"/>
              <w:bottom w:w="28" w:type="dxa"/>
            </w:tcMar>
          </w:tcPr>
          <w:p w14:paraId="3790D37B" w14:textId="77777777" w:rsidR="005F7696" w:rsidRPr="00016598" w:rsidRDefault="005F7696" w:rsidP="000853E1">
            <w:pPr>
              <w:spacing w:before="0" w:after="0"/>
              <w:jc w:val="left"/>
              <w:rPr>
                <w:rFonts w:cs="Arial"/>
                <w:szCs w:val="20"/>
              </w:rPr>
            </w:pPr>
          </w:p>
        </w:tc>
        <w:tc>
          <w:tcPr>
            <w:tcW w:w="2126" w:type="dxa"/>
            <w:tcBorders>
              <w:top w:val="nil"/>
            </w:tcBorders>
            <w:tcMar>
              <w:top w:w="28" w:type="dxa"/>
              <w:bottom w:w="28" w:type="dxa"/>
            </w:tcMar>
          </w:tcPr>
          <w:p w14:paraId="4A0DDCF1" w14:textId="77777777" w:rsidR="005F7696" w:rsidRDefault="005F7696" w:rsidP="000853E1">
            <w:pPr>
              <w:spacing w:before="0" w:after="0"/>
              <w:jc w:val="left"/>
              <w:rPr>
                <w:rFonts w:cs="Arial"/>
                <w:szCs w:val="20"/>
              </w:rPr>
            </w:pPr>
            <w:r>
              <w:rPr>
                <w:rFonts w:cs="Arial"/>
                <w:szCs w:val="20"/>
              </w:rPr>
              <w:t>- NT collections</w:t>
            </w:r>
          </w:p>
        </w:tc>
        <w:tc>
          <w:tcPr>
            <w:tcW w:w="1276" w:type="dxa"/>
            <w:tcBorders>
              <w:top w:val="nil"/>
            </w:tcBorders>
            <w:tcMar>
              <w:top w:w="28" w:type="dxa"/>
              <w:bottom w:w="28" w:type="dxa"/>
            </w:tcMar>
          </w:tcPr>
          <w:p w14:paraId="10E1D96D" w14:textId="77777777" w:rsidR="005F7696" w:rsidRDefault="005F7696" w:rsidP="000853E1">
            <w:pPr>
              <w:spacing w:before="0" w:after="0"/>
              <w:rPr>
                <w:rFonts w:cs="Arial"/>
                <w:szCs w:val="20"/>
              </w:rPr>
            </w:pPr>
            <w:r>
              <w:rPr>
                <w:rFonts w:cs="Arial"/>
                <w:szCs w:val="20"/>
              </w:rPr>
              <w:t>27/05/21</w:t>
            </w:r>
          </w:p>
        </w:tc>
        <w:tc>
          <w:tcPr>
            <w:tcW w:w="1275" w:type="dxa"/>
            <w:vMerge/>
            <w:tcMar>
              <w:top w:w="28" w:type="dxa"/>
              <w:bottom w:w="28" w:type="dxa"/>
            </w:tcMar>
          </w:tcPr>
          <w:p w14:paraId="435EF633" w14:textId="77777777" w:rsidR="005F7696" w:rsidRPr="00016598" w:rsidRDefault="005F7696" w:rsidP="000853E1">
            <w:pPr>
              <w:spacing w:before="0" w:after="0"/>
              <w:rPr>
                <w:rFonts w:cs="Arial"/>
                <w:szCs w:val="20"/>
              </w:rPr>
            </w:pPr>
          </w:p>
        </w:tc>
        <w:tc>
          <w:tcPr>
            <w:tcW w:w="2694" w:type="dxa"/>
            <w:vMerge/>
            <w:tcMar>
              <w:top w:w="28" w:type="dxa"/>
              <w:bottom w:w="28" w:type="dxa"/>
            </w:tcMar>
          </w:tcPr>
          <w:p w14:paraId="2D17E6EF" w14:textId="77777777" w:rsidR="005F7696" w:rsidRDefault="005F7696" w:rsidP="000853E1">
            <w:pPr>
              <w:spacing w:before="0" w:after="0"/>
              <w:jc w:val="left"/>
              <w:rPr>
                <w:rFonts w:cs="Arial"/>
                <w:szCs w:val="20"/>
              </w:rPr>
            </w:pPr>
          </w:p>
        </w:tc>
      </w:tr>
      <w:tr w:rsidR="005F7696" w:rsidRPr="00016598" w14:paraId="7E888145" w14:textId="77777777" w:rsidTr="000853E1">
        <w:tc>
          <w:tcPr>
            <w:tcW w:w="2235" w:type="dxa"/>
            <w:tcBorders>
              <w:bottom w:val="single" w:sz="4" w:space="0" w:color="auto"/>
            </w:tcBorders>
            <w:tcMar>
              <w:top w:w="28" w:type="dxa"/>
              <w:bottom w:w="28" w:type="dxa"/>
            </w:tcMar>
          </w:tcPr>
          <w:p w14:paraId="582C4B43" w14:textId="77777777" w:rsidR="005F7696" w:rsidRPr="00016598" w:rsidRDefault="005F7696" w:rsidP="000853E1">
            <w:pPr>
              <w:spacing w:before="0" w:after="0"/>
              <w:jc w:val="left"/>
              <w:rPr>
                <w:rFonts w:cs="Arial"/>
                <w:szCs w:val="20"/>
              </w:rPr>
            </w:pPr>
            <w:r>
              <w:rPr>
                <w:rFonts w:cs="Arial"/>
                <w:szCs w:val="20"/>
              </w:rPr>
              <w:t>Calvary Bruce Public HREC (EC00105)</w:t>
            </w:r>
          </w:p>
        </w:tc>
        <w:tc>
          <w:tcPr>
            <w:tcW w:w="2126" w:type="dxa"/>
            <w:tcBorders>
              <w:top w:val="nil"/>
            </w:tcBorders>
            <w:tcMar>
              <w:top w:w="28" w:type="dxa"/>
              <w:bottom w:w="28" w:type="dxa"/>
            </w:tcMar>
          </w:tcPr>
          <w:p w14:paraId="36502607" w14:textId="77777777" w:rsidR="005F7696" w:rsidRDefault="005F7696" w:rsidP="000853E1">
            <w:pPr>
              <w:spacing w:before="0" w:after="0"/>
              <w:jc w:val="left"/>
              <w:rPr>
                <w:rFonts w:cs="Arial"/>
                <w:szCs w:val="20"/>
              </w:rPr>
            </w:pPr>
            <w:r>
              <w:rPr>
                <w:rFonts w:cs="Arial"/>
                <w:szCs w:val="20"/>
              </w:rPr>
              <w:t>21-2020</w:t>
            </w:r>
          </w:p>
        </w:tc>
        <w:tc>
          <w:tcPr>
            <w:tcW w:w="1276" w:type="dxa"/>
            <w:tcBorders>
              <w:top w:val="nil"/>
            </w:tcBorders>
            <w:tcMar>
              <w:top w:w="28" w:type="dxa"/>
              <w:bottom w:w="28" w:type="dxa"/>
            </w:tcMar>
          </w:tcPr>
          <w:p w14:paraId="3BCFA878" w14:textId="77777777" w:rsidR="005F7696" w:rsidRDefault="005F7696" w:rsidP="000853E1">
            <w:pPr>
              <w:spacing w:before="0" w:after="0"/>
              <w:rPr>
                <w:rFonts w:cs="Arial"/>
                <w:szCs w:val="20"/>
              </w:rPr>
            </w:pPr>
            <w:r>
              <w:rPr>
                <w:rFonts w:cs="Arial"/>
                <w:szCs w:val="20"/>
              </w:rPr>
              <w:t>24/11/20</w:t>
            </w:r>
          </w:p>
        </w:tc>
        <w:tc>
          <w:tcPr>
            <w:tcW w:w="1275" w:type="dxa"/>
            <w:tcBorders>
              <w:top w:val="nil"/>
            </w:tcBorders>
            <w:tcMar>
              <w:top w:w="28" w:type="dxa"/>
              <w:bottom w:w="28" w:type="dxa"/>
            </w:tcMar>
          </w:tcPr>
          <w:p w14:paraId="287ED9D7" w14:textId="77777777" w:rsidR="005F7696" w:rsidRPr="00016598" w:rsidRDefault="005F7696" w:rsidP="000853E1">
            <w:pPr>
              <w:spacing w:before="0" w:after="0"/>
              <w:rPr>
                <w:rFonts w:cs="Arial"/>
                <w:szCs w:val="20"/>
              </w:rPr>
            </w:pPr>
            <w:r>
              <w:rPr>
                <w:rFonts w:cs="Arial"/>
                <w:szCs w:val="20"/>
              </w:rPr>
              <w:t>none</w:t>
            </w:r>
          </w:p>
        </w:tc>
        <w:tc>
          <w:tcPr>
            <w:tcW w:w="2694" w:type="dxa"/>
            <w:tcBorders>
              <w:top w:val="nil"/>
            </w:tcBorders>
            <w:tcMar>
              <w:top w:w="28" w:type="dxa"/>
              <w:bottom w:w="28" w:type="dxa"/>
            </w:tcMar>
          </w:tcPr>
          <w:p w14:paraId="2577C335" w14:textId="77777777" w:rsidR="005F7696" w:rsidRDefault="005F7696" w:rsidP="000853E1">
            <w:pPr>
              <w:spacing w:before="0" w:after="0"/>
              <w:jc w:val="left"/>
              <w:rPr>
                <w:rFonts w:cs="Arial"/>
                <w:szCs w:val="20"/>
              </w:rPr>
            </w:pPr>
            <w:r>
              <w:rPr>
                <w:rFonts w:cs="Arial"/>
                <w:szCs w:val="20"/>
              </w:rPr>
              <w:t xml:space="preserve">ACT E  </w:t>
            </w:r>
          </w:p>
        </w:tc>
      </w:tr>
      <w:tr w:rsidR="005F7696" w:rsidRPr="00016598" w14:paraId="4BD598F0" w14:textId="77777777" w:rsidTr="000853E1">
        <w:tc>
          <w:tcPr>
            <w:tcW w:w="2235" w:type="dxa"/>
            <w:tcBorders>
              <w:top w:val="single" w:sz="4" w:space="0" w:color="auto"/>
            </w:tcBorders>
            <w:tcMar>
              <w:top w:w="28" w:type="dxa"/>
              <w:bottom w:w="28" w:type="dxa"/>
            </w:tcMar>
            <w:hideMark/>
          </w:tcPr>
          <w:p w14:paraId="55D43D09" w14:textId="77777777" w:rsidR="005F7696" w:rsidRPr="00016598" w:rsidRDefault="005F7696" w:rsidP="000853E1">
            <w:pPr>
              <w:spacing w:before="0" w:after="0"/>
              <w:jc w:val="left"/>
              <w:rPr>
                <w:rFonts w:cs="Arial"/>
                <w:szCs w:val="20"/>
              </w:rPr>
            </w:pPr>
            <w:r w:rsidRPr="00016598">
              <w:rPr>
                <w:rFonts w:cs="Arial"/>
                <w:szCs w:val="20"/>
              </w:rPr>
              <w:t>Austin Health HREC (EC00204)</w:t>
            </w:r>
          </w:p>
        </w:tc>
        <w:tc>
          <w:tcPr>
            <w:tcW w:w="2126" w:type="dxa"/>
            <w:tcBorders>
              <w:bottom w:val="single" w:sz="4" w:space="0" w:color="auto"/>
            </w:tcBorders>
            <w:tcMar>
              <w:top w:w="28" w:type="dxa"/>
              <w:bottom w:w="28" w:type="dxa"/>
            </w:tcMar>
            <w:hideMark/>
          </w:tcPr>
          <w:p w14:paraId="4A365D9B" w14:textId="77777777" w:rsidR="005F7696" w:rsidRPr="00016598" w:rsidRDefault="005F7696" w:rsidP="000853E1">
            <w:pPr>
              <w:spacing w:before="0" w:after="0"/>
              <w:jc w:val="left"/>
              <w:rPr>
                <w:rFonts w:cs="Arial"/>
                <w:szCs w:val="20"/>
              </w:rPr>
            </w:pPr>
            <w:r w:rsidRPr="00016598">
              <w:rPr>
                <w:rFonts w:cs="Arial"/>
                <w:szCs w:val="20"/>
              </w:rPr>
              <w:t>HREC/18/ Austin/163</w:t>
            </w:r>
          </w:p>
        </w:tc>
        <w:tc>
          <w:tcPr>
            <w:tcW w:w="1276" w:type="dxa"/>
            <w:tcBorders>
              <w:bottom w:val="single" w:sz="4" w:space="0" w:color="auto"/>
            </w:tcBorders>
            <w:tcMar>
              <w:top w:w="28" w:type="dxa"/>
              <w:bottom w:w="28" w:type="dxa"/>
            </w:tcMar>
            <w:hideMark/>
          </w:tcPr>
          <w:p w14:paraId="22B1ED42" w14:textId="77777777" w:rsidR="005F7696" w:rsidRPr="00016598" w:rsidRDefault="005F7696" w:rsidP="000853E1">
            <w:pPr>
              <w:spacing w:before="0" w:after="0"/>
              <w:rPr>
                <w:rFonts w:cs="Arial"/>
                <w:szCs w:val="20"/>
              </w:rPr>
            </w:pPr>
            <w:r w:rsidRPr="00016598">
              <w:rPr>
                <w:rFonts w:cs="Arial"/>
                <w:szCs w:val="20"/>
              </w:rPr>
              <w:t>17/07/18</w:t>
            </w:r>
          </w:p>
        </w:tc>
        <w:tc>
          <w:tcPr>
            <w:tcW w:w="1275" w:type="dxa"/>
            <w:tcBorders>
              <w:bottom w:val="single" w:sz="4" w:space="0" w:color="auto"/>
            </w:tcBorders>
            <w:tcMar>
              <w:top w:w="28" w:type="dxa"/>
              <w:bottom w:w="28" w:type="dxa"/>
            </w:tcMar>
            <w:hideMark/>
          </w:tcPr>
          <w:p w14:paraId="1EE7D0AC" w14:textId="77777777" w:rsidR="005F7696" w:rsidRPr="00016598" w:rsidRDefault="005F7696" w:rsidP="000853E1">
            <w:pPr>
              <w:spacing w:before="0" w:after="0"/>
              <w:rPr>
                <w:rFonts w:cs="Arial"/>
                <w:szCs w:val="20"/>
              </w:rPr>
            </w:pPr>
            <w:r w:rsidRPr="00016598">
              <w:rPr>
                <w:rFonts w:cs="Arial"/>
                <w:szCs w:val="20"/>
              </w:rPr>
              <w:t>none</w:t>
            </w:r>
          </w:p>
        </w:tc>
        <w:tc>
          <w:tcPr>
            <w:tcW w:w="2694" w:type="dxa"/>
            <w:tcBorders>
              <w:bottom w:val="single" w:sz="4" w:space="0" w:color="auto"/>
            </w:tcBorders>
            <w:tcMar>
              <w:top w:w="28" w:type="dxa"/>
              <w:bottom w:w="28" w:type="dxa"/>
            </w:tcMar>
            <w:hideMark/>
          </w:tcPr>
          <w:p w14:paraId="3E3D2C34" w14:textId="77777777" w:rsidR="005F7696" w:rsidRPr="00016598" w:rsidRDefault="005F7696" w:rsidP="000853E1">
            <w:pPr>
              <w:spacing w:before="0" w:after="0"/>
              <w:jc w:val="left"/>
              <w:rPr>
                <w:rFonts w:cs="Arial"/>
                <w:szCs w:val="20"/>
              </w:rPr>
            </w:pPr>
            <w:r w:rsidRPr="00016598">
              <w:rPr>
                <w:rFonts w:cs="Arial"/>
                <w:szCs w:val="20"/>
              </w:rPr>
              <w:t>VIC P</w:t>
            </w:r>
          </w:p>
        </w:tc>
      </w:tr>
      <w:tr w:rsidR="005F7696" w:rsidRPr="00016598" w14:paraId="5131D1BE" w14:textId="77777777" w:rsidTr="000853E1">
        <w:tc>
          <w:tcPr>
            <w:tcW w:w="2235" w:type="dxa"/>
            <w:vMerge w:val="restart"/>
            <w:tcMar>
              <w:top w:w="28" w:type="dxa"/>
              <w:bottom w:w="28" w:type="dxa"/>
            </w:tcMar>
            <w:hideMark/>
          </w:tcPr>
          <w:p w14:paraId="5C59050E" w14:textId="77777777" w:rsidR="005F7696" w:rsidRPr="00016598" w:rsidRDefault="005F7696" w:rsidP="000853E1">
            <w:pPr>
              <w:spacing w:before="0" w:after="0"/>
              <w:jc w:val="left"/>
              <w:rPr>
                <w:rFonts w:cs="Arial"/>
                <w:szCs w:val="20"/>
              </w:rPr>
            </w:pPr>
            <w:r w:rsidRPr="00016598">
              <w:rPr>
                <w:rFonts w:cs="Arial"/>
                <w:szCs w:val="20"/>
              </w:rPr>
              <w:t xml:space="preserve">NSW Population and Health Services Research Ethics Committee (EC00410)  </w:t>
            </w:r>
          </w:p>
        </w:tc>
        <w:tc>
          <w:tcPr>
            <w:tcW w:w="2126" w:type="dxa"/>
            <w:tcBorders>
              <w:bottom w:val="nil"/>
            </w:tcBorders>
            <w:tcMar>
              <w:top w:w="28" w:type="dxa"/>
              <w:bottom w:w="28" w:type="dxa"/>
            </w:tcMar>
            <w:hideMark/>
          </w:tcPr>
          <w:p w14:paraId="5E23CA11" w14:textId="77777777" w:rsidR="005F7696" w:rsidRPr="00016598" w:rsidRDefault="005F7696" w:rsidP="000853E1">
            <w:pPr>
              <w:spacing w:before="0" w:after="0"/>
              <w:jc w:val="left"/>
              <w:rPr>
                <w:rFonts w:cs="Arial"/>
                <w:szCs w:val="20"/>
              </w:rPr>
            </w:pPr>
            <w:r>
              <w:rPr>
                <w:rFonts w:cs="Arial"/>
                <w:szCs w:val="20"/>
              </w:rPr>
              <w:t>2019/ETH01837 (2011/11/357)</w:t>
            </w:r>
          </w:p>
        </w:tc>
        <w:tc>
          <w:tcPr>
            <w:tcW w:w="1276" w:type="dxa"/>
            <w:tcBorders>
              <w:bottom w:val="nil"/>
            </w:tcBorders>
            <w:tcMar>
              <w:top w:w="28" w:type="dxa"/>
              <w:bottom w:w="28" w:type="dxa"/>
            </w:tcMar>
            <w:hideMark/>
          </w:tcPr>
          <w:p w14:paraId="1E0BE22B" w14:textId="77777777" w:rsidR="005F7696" w:rsidRPr="00016598" w:rsidRDefault="005F7696" w:rsidP="000853E1">
            <w:pPr>
              <w:spacing w:before="0" w:after="0"/>
              <w:rPr>
                <w:rFonts w:cs="Arial"/>
                <w:szCs w:val="20"/>
              </w:rPr>
            </w:pPr>
            <w:r w:rsidRPr="00016598">
              <w:rPr>
                <w:rFonts w:cs="Arial"/>
                <w:szCs w:val="20"/>
              </w:rPr>
              <w:t>03/01/12</w:t>
            </w:r>
          </w:p>
        </w:tc>
        <w:tc>
          <w:tcPr>
            <w:tcW w:w="1275" w:type="dxa"/>
            <w:vMerge w:val="restart"/>
            <w:tcBorders>
              <w:bottom w:val="nil"/>
            </w:tcBorders>
            <w:tcMar>
              <w:top w:w="28" w:type="dxa"/>
              <w:bottom w:w="28" w:type="dxa"/>
            </w:tcMar>
            <w:hideMark/>
          </w:tcPr>
          <w:p w14:paraId="48F045FD" w14:textId="77777777" w:rsidR="005F7696" w:rsidRPr="00016598" w:rsidRDefault="005F7696" w:rsidP="000853E1">
            <w:pPr>
              <w:spacing w:before="0" w:after="0"/>
              <w:rPr>
                <w:rFonts w:cs="Arial"/>
                <w:szCs w:val="20"/>
              </w:rPr>
            </w:pPr>
            <w:r w:rsidRPr="00016598">
              <w:rPr>
                <w:rFonts w:cs="Arial"/>
                <w:szCs w:val="20"/>
              </w:rPr>
              <w:t>31/12/2</w:t>
            </w:r>
            <w:r>
              <w:rPr>
                <w:rFonts w:cs="Arial"/>
                <w:szCs w:val="20"/>
              </w:rPr>
              <w:t xml:space="preserve">5 </w:t>
            </w:r>
          </w:p>
        </w:tc>
        <w:tc>
          <w:tcPr>
            <w:tcW w:w="2694" w:type="dxa"/>
            <w:vMerge w:val="restart"/>
            <w:tcMar>
              <w:top w:w="28" w:type="dxa"/>
              <w:bottom w:w="28" w:type="dxa"/>
            </w:tcMar>
            <w:hideMark/>
          </w:tcPr>
          <w:p w14:paraId="44B9E7DB" w14:textId="77777777" w:rsidR="005F7696" w:rsidRPr="00016598" w:rsidRDefault="005F7696" w:rsidP="000853E1">
            <w:pPr>
              <w:spacing w:before="0" w:after="0"/>
              <w:jc w:val="left"/>
              <w:rPr>
                <w:rFonts w:cs="Arial"/>
                <w:szCs w:val="20"/>
              </w:rPr>
            </w:pPr>
            <w:r w:rsidRPr="00016598">
              <w:rPr>
                <w:rFonts w:cs="Arial"/>
                <w:szCs w:val="20"/>
              </w:rPr>
              <w:t xml:space="preserve">NSW </w:t>
            </w:r>
            <w:r>
              <w:rPr>
                <w:rFonts w:cs="Arial"/>
                <w:szCs w:val="20"/>
              </w:rPr>
              <w:t>&amp; QLD collections</w:t>
            </w:r>
          </w:p>
          <w:p w14:paraId="2B009A72" w14:textId="77777777" w:rsidR="005F7696" w:rsidRPr="00016598" w:rsidRDefault="005F7696" w:rsidP="000853E1">
            <w:pPr>
              <w:spacing w:before="0" w:after="0"/>
              <w:jc w:val="left"/>
              <w:rPr>
                <w:rFonts w:cs="Arial"/>
                <w:szCs w:val="20"/>
              </w:rPr>
            </w:pPr>
          </w:p>
        </w:tc>
      </w:tr>
      <w:tr w:rsidR="005F7696" w:rsidRPr="00016598" w14:paraId="7452D7C4" w14:textId="77777777" w:rsidTr="000853E1">
        <w:tc>
          <w:tcPr>
            <w:tcW w:w="2235" w:type="dxa"/>
            <w:vMerge/>
            <w:tcMar>
              <w:top w:w="28" w:type="dxa"/>
              <w:bottom w:w="28" w:type="dxa"/>
            </w:tcMar>
            <w:hideMark/>
          </w:tcPr>
          <w:p w14:paraId="7F48470D" w14:textId="77777777" w:rsidR="005F7696" w:rsidRPr="00016598" w:rsidRDefault="005F7696" w:rsidP="000853E1">
            <w:pPr>
              <w:spacing w:before="0" w:after="0"/>
              <w:jc w:val="left"/>
              <w:rPr>
                <w:rFonts w:cs="Arial"/>
                <w:szCs w:val="20"/>
              </w:rPr>
            </w:pPr>
          </w:p>
        </w:tc>
        <w:tc>
          <w:tcPr>
            <w:tcW w:w="2126" w:type="dxa"/>
            <w:tcBorders>
              <w:top w:val="nil"/>
            </w:tcBorders>
            <w:tcMar>
              <w:top w:w="28" w:type="dxa"/>
              <w:bottom w:w="28" w:type="dxa"/>
            </w:tcMar>
            <w:hideMark/>
          </w:tcPr>
          <w:p w14:paraId="12DAC68B" w14:textId="77777777" w:rsidR="005F7696" w:rsidRPr="00016598" w:rsidRDefault="005F7696" w:rsidP="000853E1">
            <w:pPr>
              <w:spacing w:before="0" w:after="0"/>
              <w:jc w:val="left"/>
              <w:rPr>
                <w:rFonts w:cs="Arial"/>
                <w:szCs w:val="20"/>
              </w:rPr>
            </w:pPr>
            <w:r>
              <w:rPr>
                <w:rFonts w:cs="Arial"/>
                <w:szCs w:val="20"/>
              </w:rPr>
              <w:t xml:space="preserve">- </w:t>
            </w:r>
            <w:r w:rsidRPr="00016598">
              <w:rPr>
                <w:rFonts w:cs="Arial"/>
                <w:szCs w:val="20"/>
              </w:rPr>
              <w:t>Q</w:t>
            </w:r>
            <w:r>
              <w:rPr>
                <w:rFonts w:cs="Arial"/>
                <w:szCs w:val="20"/>
              </w:rPr>
              <w:t>LD</w:t>
            </w:r>
            <w:r w:rsidRPr="00016598">
              <w:rPr>
                <w:rFonts w:cs="Arial"/>
                <w:szCs w:val="20"/>
              </w:rPr>
              <w:t xml:space="preserve"> collections</w:t>
            </w:r>
          </w:p>
        </w:tc>
        <w:tc>
          <w:tcPr>
            <w:tcW w:w="1276" w:type="dxa"/>
            <w:tcBorders>
              <w:top w:val="nil"/>
            </w:tcBorders>
            <w:tcMar>
              <w:top w:w="28" w:type="dxa"/>
              <w:bottom w:w="28" w:type="dxa"/>
            </w:tcMar>
            <w:hideMark/>
          </w:tcPr>
          <w:p w14:paraId="6DFF900B" w14:textId="77777777" w:rsidR="005F7696" w:rsidRPr="00016598" w:rsidRDefault="005F7696" w:rsidP="000853E1">
            <w:pPr>
              <w:spacing w:before="0" w:after="0"/>
              <w:rPr>
                <w:rFonts w:cs="Arial"/>
                <w:szCs w:val="20"/>
              </w:rPr>
            </w:pPr>
            <w:r w:rsidRPr="00016598">
              <w:rPr>
                <w:rFonts w:cs="Arial"/>
                <w:szCs w:val="20"/>
              </w:rPr>
              <w:t>13/04/18</w:t>
            </w:r>
          </w:p>
        </w:tc>
        <w:tc>
          <w:tcPr>
            <w:tcW w:w="1275" w:type="dxa"/>
            <w:vMerge/>
            <w:tcMar>
              <w:top w:w="28" w:type="dxa"/>
              <w:bottom w:w="28" w:type="dxa"/>
            </w:tcMar>
          </w:tcPr>
          <w:p w14:paraId="0045F621" w14:textId="77777777" w:rsidR="005F7696" w:rsidRPr="00016598" w:rsidRDefault="005F7696" w:rsidP="000853E1">
            <w:pPr>
              <w:spacing w:before="0" w:after="0"/>
              <w:rPr>
                <w:rFonts w:cs="Arial"/>
                <w:szCs w:val="20"/>
              </w:rPr>
            </w:pPr>
          </w:p>
        </w:tc>
        <w:tc>
          <w:tcPr>
            <w:tcW w:w="2694" w:type="dxa"/>
            <w:vMerge/>
            <w:tcMar>
              <w:top w:w="28" w:type="dxa"/>
              <w:bottom w:w="28" w:type="dxa"/>
            </w:tcMar>
            <w:hideMark/>
          </w:tcPr>
          <w:p w14:paraId="16FFF47B" w14:textId="77777777" w:rsidR="005F7696" w:rsidRPr="00016598" w:rsidRDefault="005F7696" w:rsidP="000853E1">
            <w:pPr>
              <w:spacing w:before="0" w:after="0"/>
              <w:jc w:val="left"/>
              <w:rPr>
                <w:rFonts w:cs="Arial"/>
                <w:szCs w:val="20"/>
              </w:rPr>
            </w:pPr>
          </w:p>
        </w:tc>
      </w:tr>
      <w:tr w:rsidR="005F7696" w:rsidRPr="00016598" w14:paraId="2083E9B4" w14:textId="77777777" w:rsidTr="000853E1">
        <w:tc>
          <w:tcPr>
            <w:tcW w:w="2235" w:type="dxa"/>
            <w:tcMar>
              <w:top w:w="28" w:type="dxa"/>
              <w:bottom w:w="28" w:type="dxa"/>
            </w:tcMar>
            <w:hideMark/>
          </w:tcPr>
          <w:p w14:paraId="292C748B" w14:textId="77777777" w:rsidR="005F7696" w:rsidRPr="00016598" w:rsidRDefault="005F7696" w:rsidP="000853E1">
            <w:pPr>
              <w:spacing w:before="0" w:after="0"/>
              <w:jc w:val="left"/>
              <w:rPr>
                <w:rFonts w:cs="Arial"/>
                <w:szCs w:val="20"/>
              </w:rPr>
            </w:pPr>
            <w:r w:rsidRPr="00016598">
              <w:rPr>
                <w:rFonts w:cs="Arial"/>
                <w:szCs w:val="20"/>
              </w:rPr>
              <w:t>Tasmanian Health &amp; Medical HREC (EC00337)</w:t>
            </w:r>
          </w:p>
        </w:tc>
        <w:tc>
          <w:tcPr>
            <w:tcW w:w="2126" w:type="dxa"/>
            <w:tcMar>
              <w:top w:w="28" w:type="dxa"/>
              <w:bottom w:w="28" w:type="dxa"/>
            </w:tcMar>
            <w:hideMark/>
          </w:tcPr>
          <w:p w14:paraId="297FCB98" w14:textId="77777777" w:rsidR="005F7696" w:rsidRPr="00016598" w:rsidRDefault="005F7696" w:rsidP="000853E1">
            <w:pPr>
              <w:spacing w:before="0" w:after="0"/>
              <w:jc w:val="left"/>
              <w:rPr>
                <w:rFonts w:cs="Arial"/>
                <w:szCs w:val="20"/>
              </w:rPr>
            </w:pPr>
            <w:r w:rsidRPr="00016598">
              <w:rPr>
                <w:rFonts w:cs="Arial"/>
                <w:szCs w:val="20"/>
              </w:rPr>
              <w:t>H0017192</w:t>
            </w:r>
          </w:p>
        </w:tc>
        <w:tc>
          <w:tcPr>
            <w:tcW w:w="1276" w:type="dxa"/>
            <w:tcMar>
              <w:top w:w="28" w:type="dxa"/>
              <w:bottom w:w="28" w:type="dxa"/>
            </w:tcMar>
            <w:hideMark/>
          </w:tcPr>
          <w:p w14:paraId="26B24A8E" w14:textId="77777777" w:rsidR="005F7696" w:rsidRPr="00016598" w:rsidRDefault="005F7696" w:rsidP="000853E1">
            <w:pPr>
              <w:spacing w:before="0" w:after="0"/>
              <w:rPr>
                <w:rFonts w:cs="Arial"/>
                <w:szCs w:val="20"/>
              </w:rPr>
            </w:pPr>
            <w:r w:rsidRPr="00016598">
              <w:rPr>
                <w:rFonts w:cs="Arial"/>
                <w:szCs w:val="20"/>
              </w:rPr>
              <w:t>19/04/18</w:t>
            </w:r>
          </w:p>
        </w:tc>
        <w:tc>
          <w:tcPr>
            <w:tcW w:w="1275" w:type="dxa"/>
            <w:tcMar>
              <w:top w:w="28" w:type="dxa"/>
              <w:bottom w:w="28" w:type="dxa"/>
            </w:tcMar>
            <w:hideMark/>
          </w:tcPr>
          <w:p w14:paraId="20E2F63D" w14:textId="77777777" w:rsidR="005F7696" w:rsidRPr="00016598" w:rsidRDefault="005F7696" w:rsidP="000853E1">
            <w:pPr>
              <w:spacing w:before="0" w:after="0"/>
              <w:rPr>
                <w:rFonts w:cs="Arial"/>
                <w:szCs w:val="20"/>
              </w:rPr>
            </w:pPr>
            <w:r w:rsidRPr="00016598">
              <w:rPr>
                <w:rFonts w:cs="Arial"/>
                <w:szCs w:val="20"/>
              </w:rPr>
              <w:t>19/04/22</w:t>
            </w:r>
          </w:p>
        </w:tc>
        <w:tc>
          <w:tcPr>
            <w:tcW w:w="2694" w:type="dxa"/>
            <w:tcMar>
              <w:top w:w="28" w:type="dxa"/>
              <w:bottom w:w="28" w:type="dxa"/>
            </w:tcMar>
            <w:hideMark/>
          </w:tcPr>
          <w:p w14:paraId="3E0D5508" w14:textId="77777777" w:rsidR="005F7696" w:rsidRPr="00016598" w:rsidRDefault="005F7696" w:rsidP="000853E1">
            <w:pPr>
              <w:spacing w:before="0" w:after="0"/>
              <w:jc w:val="left"/>
              <w:rPr>
                <w:rFonts w:cs="Arial"/>
                <w:szCs w:val="20"/>
              </w:rPr>
            </w:pPr>
            <w:r w:rsidRPr="00016598">
              <w:rPr>
                <w:rFonts w:cs="Arial"/>
                <w:szCs w:val="20"/>
              </w:rPr>
              <w:t xml:space="preserve">TAS </w:t>
            </w:r>
            <w:r>
              <w:rPr>
                <w:rFonts w:cs="Arial"/>
                <w:szCs w:val="20"/>
              </w:rPr>
              <w:t>collections</w:t>
            </w:r>
          </w:p>
        </w:tc>
      </w:tr>
      <w:tr w:rsidR="005F7696" w:rsidRPr="00016598" w14:paraId="5BDF716B" w14:textId="77777777" w:rsidTr="000853E1">
        <w:tc>
          <w:tcPr>
            <w:tcW w:w="2235" w:type="dxa"/>
            <w:shd w:val="clear" w:color="auto" w:fill="auto"/>
            <w:tcMar>
              <w:top w:w="28" w:type="dxa"/>
              <w:bottom w:w="28" w:type="dxa"/>
            </w:tcMar>
            <w:hideMark/>
          </w:tcPr>
          <w:p w14:paraId="7FA9510A" w14:textId="77777777" w:rsidR="005F7696" w:rsidRPr="001B7DBB" w:rsidRDefault="005F7696" w:rsidP="000853E1">
            <w:pPr>
              <w:spacing w:before="0" w:after="0"/>
              <w:jc w:val="left"/>
              <w:rPr>
                <w:rFonts w:cs="Arial"/>
                <w:szCs w:val="20"/>
              </w:rPr>
            </w:pPr>
            <w:r w:rsidRPr="0088601F">
              <w:rPr>
                <w:rFonts w:cs="Arial"/>
                <w:szCs w:val="20"/>
              </w:rPr>
              <w:t>Dept of Health WA HREC (EC00422)</w:t>
            </w:r>
          </w:p>
        </w:tc>
        <w:tc>
          <w:tcPr>
            <w:tcW w:w="2126" w:type="dxa"/>
            <w:shd w:val="clear" w:color="auto" w:fill="auto"/>
            <w:tcMar>
              <w:top w:w="28" w:type="dxa"/>
              <w:bottom w:w="28" w:type="dxa"/>
            </w:tcMar>
            <w:hideMark/>
          </w:tcPr>
          <w:p w14:paraId="1D96E4BF" w14:textId="77777777" w:rsidR="005F7696" w:rsidRDefault="005F7696" w:rsidP="000853E1">
            <w:pPr>
              <w:spacing w:before="0" w:after="0"/>
              <w:jc w:val="left"/>
              <w:rPr>
                <w:rFonts w:cs="Arial"/>
                <w:szCs w:val="20"/>
              </w:rPr>
            </w:pPr>
            <w:r w:rsidRPr="00247D58">
              <w:rPr>
                <w:rFonts w:cs="Arial"/>
                <w:szCs w:val="20"/>
              </w:rPr>
              <w:t>RGS</w:t>
            </w:r>
            <w:r>
              <w:rPr>
                <w:rFonts w:cs="Arial"/>
                <w:szCs w:val="20"/>
              </w:rPr>
              <w:t xml:space="preserve"> </w:t>
            </w:r>
            <w:r w:rsidRPr="00247D58">
              <w:rPr>
                <w:rFonts w:cs="Arial"/>
                <w:szCs w:val="20"/>
              </w:rPr>
              <w:t>2853</w:t>
            </w:r>
            <w:r w:rsidRPr="0088601F">
              <w:rPr>
                <w:rFonts w:cs="Arial"/>
                <w:szCs w:val="20"/>
              </w:rPr>
              <w:t xml:space="preserve"> (</w:t>
            </w:r>
            <w:r w:rsidRPr="001B7DBB">
              <w:rPr>
                <w:rFonts w:cs="Arial"/>
                <w:szCs w:val="20"/>
              </w:rPr>
              <w:t>2015/47</w:t>
            </w:r>
            <w:r w:rsidRPr="00247D58">
              <w:rPr>
                <w:rFonts w:cs="Arial"/>
                <w:szCs w:val="20"/>
              </w:rPr>
              <w:t>)</w:t>
            </w:r>
          </w:p>
          <w:p w14:paraId="40D22D75" w14:textId="77777777" w:rsidR="005F7696" w:rsidRPr="00247D58" w:rsidRDefault="005F7696" w:rsidP="000853E1">
            <w:pPr>
              <w:spacing w:before="0" w:after="0"/>
              <w:jc w:val="left"/>
              <w:rPr>
                <w:rFonts w:cs="Arial"/>
                <w:szCs w:val="20"/>
              </w:rPr>
            </w:pPr>
            <w:r>
              <w:rPr>
                <w:rFonts w:cs="Arial"/>
                <w:szCs w:val="20"/>
              </w:rPr>
              <w:t>RGS 4844 (re-application)</w:t>
            </w:r>
          </w:p>
        </w:tc>
        <w:tc>
          <w:tcPr>
            <w:tcW w:w="1276" w:type="dxa"/>
            <w:shd w:val="clear" w:color="auto" w:fill="auto"/>
            <w:tcMar>
              <w:top w:w="28" w:type="dxa"/>
              <w:bottom w:w="28" w:type="dxa"/>
            </w:tcMar>
            <w:hideMark/>
          </w:tcPr>
          <w:p w14:paraId="5A26B293" w14:textId="77777777" w:rsidR="005F7696" w:rsidRDefault="005F7696" w:rsidP="000853E1">
            <w:pPr>
              <w:spacing w:before="0" w:after="0"/>
              <w:rPr>
                <w:rFonts w:cs="Arial"/>
                <w:szCs w:val="20"/>
              </w:rPr>
            </w:pPr>
            <w:r w:rsidRPr="00247D58">
              <w:rPr>
                <w:rFonts w:cs="Arial"/>
                <w:szCs w:val="20"/>
              </w:rPr>
              <w:t>15/12/15</w:t>
            </w:r>
          </w:p>
          <w:p w14:paraId="199D9FC6" w14:textId="77777777" w:rsidR="005F7696" w:rsidRPr="00247D58" w:rsidRDefault="005F7696" w:rsidP="000853E1">
            <w:pPr>
              <w:spacing w:before="0" w:after="0"/>
              <w:rPr>
                <w:rFonts w:cs="Arial"/>
                <w:szCs w:val="20"/>
              </w:rPr>
            </w:pPr>
            <w:r>
              <w:rPr>
                <w:rFonts w:cs="Arial"/>
                <w:szCs w:val="20"/>
              </w:rPr>
              <w:t>16/08/21</w:t>
            </w:r>
          </w:p>
        </w:tc>
        <w:tc>
          <w:tcPr>
            <w:tcW w:w="1275" w:type="dxa"/>
            <w:shd w:val="clear" w:color="auto" w:fill="auto"/>
            <w:tcMar>
              <w:top w:w="28" w:type="dxa"/>
              <w:bottom w:w="28" w:type="dxa"/>
            </w:tcMar>
            <w:hideMark/>
          </w:tcPr>
          <w:p w14:paraId="4F0737C2" w14:textId="77777777" w:rsidR="005F7696" w:rsidRDefault="005F7696" w:rsidP="000853E1">
            <w:pPr>
              <w:spacing w:before="0" w:after="0"/>
              <w:rPr>
                <w:rFonts w:cs="Arial"/>
                <w:szCs w:val="20"/>
              </w:rPr>
            </w:pPr>
            <w:r w:rsidRPr="00247D58">
              <w:rPr>
                <w:rFonts w:cs="Arial"/>
                <w:szCs w:val="20"/>
              </w:rPr>
              <w:t>31/12/21</w:t>
            </w:r>
          </w:p>
          <w:p w14:paraId="62F2FC98" w14:textId="77777777" w:rsidR="005F7696" w:rsidRPr="00247D58" w:rsidRDefault="005F7696" w:rsidP="000853E1">
            <w:pPr>
              <w:spacing w:before="0" w:after="0"/>
              <w:rPr>
                <w:rFonts w:cs="Arial"/>
                <w:szCs w:val="20"/>
              </w:rPr>
            </w:pPr>
            <w:r>
              <w:rPr>
                <w:rFonts w:cs="Arial"/>
                <w:szCs w:val="20"/>
              </w:rPr>
              <w:t>16/08024</w:t>
            </w:r>
            <w:r w:rsidRPr="00247D58">
              <w:rPr>
                <w:rFonts w:cs="Arial"/>
                <w:szCs w:val="20"/>
              </w:rPr>
              <w:t xml:space="preserve"> </w:t>
            </w:r>
          </w:p>
        </w:tc>
        <w:tc>
          <w:tcPr>
            <w:tcW w:w="2694" w:type="dxa"/>
            <w:shd w:val="clear" w:color="auto" w:fill="auto"/>
            <w:tcMar>
              <w:top w:w="28" w:type="dxa"/>
              <w:bottom w:w="28" w:type="dxa"/>
            </w:tcMar>
            <w:hideMark/>
          </w:tcPr>
          <w:p w14:paraId="1ED13B5F" w14:textId="77777777" w:rsidR="005F7696" w:rsidRPr="00016598" w:rsidRDefault="005F7696" w:rsidP="000853E1">
            <w:pPr>
              <w:spacing w:before="0" w:after="0"/>
              <w:jc w:val="left"/>
              <w:rPr>
                <w:rFonts w:cs="Arial"/>
                <w:szCs w:val="20"/>
              </w:rPr>
            </w:pPr>
            <w:r w:rsidRPr="0088601F">
              <w:rPr>
                <w:rFonts w:cs="Arial"/>
                <w:szCs w:val="20"/>
              </w:rPr>
              <w:t>WA collections</w:t>
            </w:r>
            <w:r w:rsidRPr="00016598">
              <w:rPr>
                <w:rFonts w:cs="Arial"/>
                <w:szCs w:val="20"/>
              </w:rPr>
              <w:t xml:space="preserve">  </w:t>
            </w:r>
          </w:p>
        </w:tc>
      </w:tr>
    </w:tbl>
    <w:p w14:paraId="260F01C5" w14:textId="77777777" w:rsidR="005F7696" w:rsidRDefault="005F7696" w:rsidP="005F7696">
      <w:pPr>
        <w:spacing w:after="0"/>
        <w:rPr>
          <w:rFonts w:cs="Arial"/>
          <w:i/>
          <w:sz w:val="18"/>
          <w:szCs w:val="18"/>
        </w:rPr>
      </w:pPr>
      <w:r w:rsidRPr="003451AE">
        <w:rPr>
          <w:rFonts w:cs="Arial"/>
          <w:i/>
          <w:sz w:val="18"/>
          <w:szCs w:val="18"/>
        </w:rPr>
        <w:t>Shaded cells show coverage of the ALSWH survey program, rather than the data linkage component.</w:t>
      </w:r>
    </w:p>
    <w:bookmarkEnd w:id="770"/>
    <w:p w14:paraId="28C3ABA0" w14:textId="77777777" w:rsidR="005F7696" w:rsidRDefault="005F7696" w:rsidP="005F7696">
      <w:pPr>
        <w:spacing w:after="0"/>
      </w:pPr>
    </w:p>
    <w:p w14:paraId="1B1DD1F1" w14:textId="63641599" w:rsidR="00720CC4" w:rsidRPr="00C13450" w:rsidRDefault="00720CC4" w:rsidP="005F7696"/>
    <w:p w14:paraId="032E26A3" w14:textId="5ADE3ED8" w:rsidR="00177D23" w:rsidRDefault="00177D23">
      <w:pPr>
        <w:spacing w:before="0" w:after="0" w:line="240" w:lineRule="auto"/>
        <w:jc w:val="left"/>
        <w:rPr>
          <w:u w:val="single"/>
        </w:rPr>
      </w:pPr>
      <w:r>
        <w:rPr>
          <w:u w:val="single"/>
        </w:rPr>
        <w:br w:type="page"/>
      </w:r>
    </w:p>
    <w:p w14:paraId="31B68C23" w14:textId="39213201" w:rsidR="001F7EB2" w:rsidRPr="00DE377E" w:rsidRDefault="001F7EB2" w:rsidP="006B02B6">
      <w:pPr>
        <w:pStyle w:val="Heading1"/>
        <w:spacing w:before="0" w:line="276" w:lineRule="auto"/>
        <w:ind w:left="431" w:hanging="431"/>
        <w:rPr>
          <w:rFonts w:cs="Arial"/>
        </w:rPr>
      </w:pPr>
      <w:bookmarkStart w:id="817" w:name="_Toc46314680"/>
      <w:bookmarkStart w:id="818" w:name="_Toc46318589"/>
      <w:bookmarkStart w:id="819" w:name="_Toc46314681"/>
      <w:bookmarkStart w:id="820" w:name="_Toc46318590"/>
      <w:bookmarkStart w:id="821" w:name="_Toc46314682"/>
      <w:bookmarkStart w:id="822" w:name="_Toc46318591"/>
      <w:bookmarkStart w:id="823" w:name="_Toc46314683"/>
      <w:bookmarkStart w:id="824" w:name="_Toc46318592"/>
      <w:bookmarkStart w:id="825" w:name="_Toc46314684"/>
      <w:bookmarkStart w:id="826" w:name="_Toc46318593"/>
      <w:bookmarkStart w:id="827" w:name="_Toc46314685"/>
      <w:bookmarkStart w:id="828" w:name="_Toc46318594"/>
      <w:bookmarkStart w:id="829" w:name="_Toc46314686"/>
      <w:bookmarkStart w:id="830" w:name="_Toc46318595"/>
      <w:bookmarkStart w:id="831" w:name="_Toc46314687"/>
      <w:bookmarkStart w:id="832" w:name="_Toc46318596"/>
      <w:bookmarkStart w:id="833" w:name="_Toc46314694"/>
      <w:bookmarkStart w:id="834" w:name="_Toc46318603"/>
      <w:bookmarkStart w:id="835" w:name="_Toc46314726"/>
      <w:bookmarkStart w:id="836" w:name="_Toc46318635"/>
      <w:bookmarkStart w:id="837" w:name="_Toc46314744"/>
      <w:bookmarkStart w:id="838" w:name="_Toc46318653"/>
      <w:bookmarkStart w:id="839" w:name="_Toc46314754"/>
      <w:bookmarkStart w:id="840" w:name="_Toc46318663"/>
      <w:bookmarkStart w:id="841" w:name="_Toc46314781"/>
      <w:bookmarkStart w:id="842" w:name="_Toc46318690"/>
      <w:bookmarkStart w:id="843" w:name="_Toc46314791"/>
      <w:bookmarkStart w:id="844" w:name="_Toc46318700"/>
      <w:bookmarkStart w:id="845" w:name="_Toc46314800"/>
      <w:bookmarkStart w:id="846" w:name="_Toc46318709"/>
      <w:bookmarkStart w:id="847" w:name="_Toc46314818"/>
      <w:bookmarkStart w:id="848" w:name="_Toc46318727"/>
      <w:bookmarkStart w:id="849" w:name="_Toc46314827"/>
      <w:bookmarkStart w:id="850" w:name="_Toc46318736"/>
      <w:bookmarkStart w:id="851" w:name="_Toc46314836"/>
      <w:bookmarkStart w:id="852" w:name="_Toc46318745"/>
      <w:bookmarkStart w:id="853" w:name="_Toc46314854"/>
      <w:bookmarkStart w:id="854" w:name="_Toc46318763"/>
      <w:bookmarkStart w:id="855" w:name="_Toc46314863"/>
      <w:bookmarkStart w:id="856" w:name="_Toc46318772"/>
      <w:bookmarkStart w:id="857" w:name="_Toc46314872"/>
      <w:bookmarkStart w:id="858" w:name="_Toc46318781"/>
      <w:bookmarkStart w:id="859" w:name="_Toc46314890"/>
      <w:bookmarkStart w:id="860" w:name="_Toc46318799"/>
      <w:bookmarkStart w:id="861" w:name="_Toc46314899"/>
      <w:bookmarkStart w:id="862" w:name="_Toc46318808"/>
      <w:bookmarkStart w:id="863" w:name="_Toc46314908"/>
      <w:bookmarkStart w:id="864" w:name="_Toc46318817"/>
      <w:bookmarkStart w:id="865" w:name="_Toc46314926"/>
      <w:bookmarkStart w:id="866" w:name="_Toc46318835"/>
      <w:bookmarkStart w:id="867" w:name="_Toc46314935"/>
      <w:bookmarkStart w:id="868" w:name="_Toc46318844"/>
      <w:bookmarkStart w:id="869" w:name="_Toc46314944"/>
      <w:bookmarkStart w:id="870" w:name="_Toc46318853"/>
      <w:bookmarkStart w:id="871" w:name="_Toc46314963"/>
      <w:bookmarkStart w:id="872" w:name="_Toc46318872"/>
      <w:bookmarkStart w:id="873" w:name="_Toc46314972"/>
      <w:bookmarkStart w:id="874" w:name="_Toc46318881"/>
      <w:bookmarkStart w:id="875" w:name="_Toc46314982"/>
      <w:bookmarkStart w:id="876" w:name="_Toc46318891"/>
      <w:bookmarkStart w:id="877" w:name="_Toc46315000"/>
      <w:bookmarkStart w:id="878" w:name="_Toc46318909"/>
      <w:bookmarkStart w:id="879" w:name="_Toc46315009"/>
      <w:bookmarkStart w:id="880" w:name="_Toc46318918"/>
      <w:bookmarkStart w:id="881" w:name="_Toc46315018"/>
      <w:bookmarkStart w:id="882" w:name="_Toc46318927"/>
      <w:bookmarkStart w:id="883" w:name="_Toc46315036"/>
      <w:bookmarkStart w:id="884" w:name="_Toc46318945"/>
      <w:bookmarkStart w:id="885" w:name="_Toc46315045"/>
      <w:bookmarkStart w:id="886" w:name="_Toc46318954"/>
      <w:bookmarkStart w:id="887" w:name="_Toc46315054"/>
      <w:bookmarkStart w:id="888" w:name="_Toc46318963"/>
      <w:bookmarkStart w:id="889" w:name="_Toc46315075"/>
      <w:bookmarkStart w:id="890" w:name="_Toc46318984"/>
      <w:bookmarkStart w:id="891" w:name="_Toc515960587"/>
      <w:bookmarkStart w:id="892" w:name="_Toc46315078"/>
      <w:bookmarkStart w:id="893" w:name="_Toc46318987"/>
      <w:bookmarkStart w:id="894" w:name="_Toc46315079"/>
      <w:bookmarkStart w:id="895" w:name="_Toc46318988"/>
      <w:bookmarkStart w:id="896" w:name="_Toc46315080"/>
      <w:bookmarkStart w:id="897" w:name="_Toc46318989"/>
      <w:bookmarkStart w:id="898" w:name="_Toc46315081"/>
      <w:bookmarkStart w:id="899" w:name="_Toc46318990"/>
      <w:bookmarkStart w:id="900" w:name="_Toc46315082"/>
      <w:bookmarkStart w:id="901" w:name="_Toc46318991"/>
      <w:bookmarkStart w:id="902" w:name="_Toc46315083"/>
      <w:bookmarkStart w:id="903" w:name="_Toc46318992"/>
      <w:bookmarkStart w:id="904" w:name="_Toc46315084"/>
      <w:bookmarkStart w:id="905" w:name="_Toc46318993"/>
      <w:bookmarkStart w:id="906" w:name="_Toc46315085"/>
      <w:bookmarkStart w:id="907" w:name="_Toc46318994"/>
      <w:bookmarkStart w:id="908" w:name="_Toc46315086"/>
      <w:bookmarkStart w:id="909" w:name="_Toc46318995"/>
      <w:bookmarkStart w:id="910" w:name="_Toc46315087"/>
      <w:bookmarkStart w:id="911" w:name="_Toc46318996"/>
      <w:bookmarkStart w:id="912" w:name="_Toc46315088"/>
      <w:bookmarkStart w:id="913" w:name="_Toc46318997"/>
      <w:bookmarkStart w:id="914" w:name="_Toc46315089"/>
      <w:bookmarkStart w:id="915" w:name="_Toc46318998"/>
      <w:bookmarkStart w:id="916" w:name="_Toc46315090"/>
      <w:bookmarkStart w:id="917" w:name="_Toc46318999"/>
      <w:bookmarkStart w:id="918" w:name="_Toc46315091"/>
      <w:bookmarkStart w:id="919" w:name="_Toc46319000"/>
      <w:bookmarkStart w:id="920" w:name="_Toc46315092"/>
      <w:bookmarkStart w:id="921" w:name="_Toc46319001"/>
      <w:bookmarkStart w:id="922" w:name="_Toc46315093"/>
      <w:bookmarkStart w:id="923" w:name="_Toc46319002"/>
      <w:bookmarkStart w:id="924" w:name="_Toc46315094"/>
      <w:bookmarkStart w:id="925" w:name="_Toc46319003"/>
      <w:bookmarkStart w:id="926" w:name="_Toc46315095"/>
      <w:bookmarkStart w:id="927" w:name="_Toc46319004"/>
      <w:bookmarkStart w:id="928" w:name="_Toc46315096"/>
      <w:bookmarkStart w:id="929" w:name="_Toc46319005"/>
      <w:bookmarkStart w:id="930" w:name="_Toc46315097"/>
      <w:bookmarkStart w:id="931" w:name="_Toc46319006"/>
      <w:bookmarkStart w:id="932" w:name="_Toc46315098"/>
      <w:bookmarkStart w:id="933" w:name="_Toc46319007"/>
      <w:bookmarkStart w:id="934" w:name="_Toc46315099"/>
      <w:bookmarkStart w:id="935" w:name="_Toc46319008"/>
      <w:bookmarkStart w:id="936" w:name="_Toc46315100"/>
      <w:bookmarkStart w:id="937" w:name="_Toc46319009"/>
      <w:bookmarkStart w:id="938" w:name="_Toc46315101"/>
      <w:bookmarkStart w:id="939" w:name="_Toc46319010"/>
      <w:bookmarkStart w:id="940" w:name="_Toc46315102"/>
      <w:bookmarkStart w:id="941" w:name="_Toc46319011"/>
      <w:bookmarkStart w:id="942" w:name="_Toc46315103"/>
      <w:bookmarkStart w:id="943" w:name="_Toc46319012"/>
      <w:bookmarkStart w:id="944" w:name="_Toc46315104"/>
      <w:bookmarkStart w:id="945" w:name="_Toc46319013"/>
      <w:bookmarkStart w:id="946" w:name="_Toc46315105"/>
      <w:bookmarkStart w:id="947" w:name="_Toc46319014"/>
      <w:bookmarkStart w:id="948" w:name="_Toc46315106"/>
      <w:bookmarkStart w:id="949" w:name="_Toc46319015"/>
      <w:bookmarkStart w:id="950" w:name="_Toc46315107"/>
      <w:bookmarkStart w:id="951" w:name="_Toc46319016"/>
      <w:bookmarkStart w:id="952" w:name="_Toc46315108"/>
      <w:bookmarkStart w:id="953" w:name="_Toc46319017"/>
      <w:bookmarkStart w:id="954" w:name="_Toc46315109"/>
      <w:bookmarkStart w:id="955" w:name="_Toc46319018"/>
      <w:bookmarkStart w:id="956" w:name="_Toc46315110"/>
      <w:bookmarkStart w:id="957" w:name="_Toc46319019"/>
      <w:bookmarkStart w:id="958" w:name="_Toc46315111"/>
      <w:bookmarkStart w:id="959" w:name="_Toc46319020"/>
      <w:bookmarkStart w:id="960" w:name="_Toc46315112"/>
      <w:bookmarkStart w:id="961" w:name="_Toc46319021"/>
      <w:bookmarkStart w:id="962" w:name="_Toc46315113"/>
      <w:bookmarkStart w:id="963" w:name="_Toc46319022"/>
      <w:bookmarkStart w:id="964" w:name="_Toc46315114"/>
      <w:bookmarkStart w:id="965" w:name="_Toc46319023"/>
      <w:bookmarkStart w:id="966" w:name="_Toc46315115"/>
      <w:bookmarkStart w:id="967" w:name="_Toc46319024"/>
      <w:bookmarkStart w:id="968" w:name="_Toc46315116"/>
      <w:bookmarkStart w:id="969" w:name="_Toc46319025"/>
      <w:bookmarkStart w:id="970" w:name="_Toc46315117"/>
      <w:bookmarkStart w:id="971" w:name="_Toc46319026"/>
      <w:bookmarkStart w:id="972" w:name="_Toc46315118"/>
      <w:bookmarkStart w:id="973" w:name="_Toc46319027"/>
      <w:bookmarkStart w:id="974" w:name="_Toc46315119"/>
      <w:bookmarkStart w:id="975" w:name="_Toc46319028"/>
      <w:bookmarkStart w:id="976" w:name="_Toc46315120"/>
      <w:bookmarkStart w:id="977" w:name="_Toc46319029"/>
      <w:bookmarkStart w:id="978" w:name="_Toc46315121"/>
      <w:bookmarkStart w:id="979" w:name="_Toc46319030"/>
      <w:bookmarkStart w:id="980" w:name="_Toc46315122"/>
      <w:bookmarkStart w:id="981" w:name="_Toc46319031"/>
      <w:bookmarkStart w:id="982" w:name="_Toc46315123"/>
      <w:bookmarkStart w:id="983" w:name="_Toc46319032"/>
      <w:bookmarkStart w:id="984" w:name="_Toc46315124"/>
      <w:bookmarkStart w:id="985" w:name="_Toc46319033"/>
      <w:bookmarkStart w:id="986" w:name="_Toc46315125"/>
      <w:bookmarkStart w:id="987" w:name="_Toc46319034"/>
      <w:bookmarkStart w:id="988" w:name="_Toc46315126"/>
      <w:bookmarkStart w:id="989" w:name="_Toc46319035"/>
      <w:bookmarkStart w:id="990" w:name="_Toc46315127"/>
      <w:bookmarkStart w:id="991" w:name="_Toc46319036"/>
      <w:bookmarkStart w:id="992" w:name="_Toc46315128"/>
      <w:bookmarkStart w:id="993" w:name="_Toc46319037"/>
      <w:bookmarkStart w:id="994" w:name="_Toc46315129"/>
      <w:bookmarkStart w:id="995" w:name="_Toc46319038"/>
      <w:bookmarkStart w:id="996" w:name="_Toc46315130"/>
      <w:bookmarkStart w:id="997" w:name="_Toc46319039"/>
      <w:bookmarkStart w:id="998" w:name="_Toc46315131"/>
      <w:bookmarkStart w:id="999" w:name="_Toc46319040"/>
      <w:bookmarkStart w:id="1000" w:name="_Toc46315132"/>
      <w:bookmarkStart w:id="1001" w:name="_Toc46319041"/>
      <w:bookmarkStart w:id="1002" w:name="_Toc46315133"/>
      <w:bookmarkStart w:id="1003" w:name="_Toc46319042"/>
      <w:bookmarkStart w:id="1004" w:name="_Toc46315134"/>
      <w:bookmarkStart w:id="1005" w:name="_Toc46319043"/>
      <w:bookmarkStart w:id="1006" w:name="_Toc46315135"/>
      <w:bookmarkStart w:id="1007" w:name="_Toc46319044"/>
      <w:bookmarkStart w:id="1008" w:name="_Toc46315136"/>
      <w:bookmarkStart w:id="1009" w:name="_Toc46319045"/>
      <w:bookmarkStart w:id="1010" w:name="_Toc46315137"/>
      <w:bookmarkStart w:id="1011" w:name="_Toc46319046"/>
      <w:bookmarkStart w:id="1012" w:name="_Toc46315138"/>
      <w:bookmarkStart w:id="1013" w:name="_Toc46319047"/>
      <w:bookmarkStart w:id="1014" w:name="_Toc46315139"/>
      <w:bookmarkStart w:id="1015" w:name="_Toc46319048"/>
      <w:bookmarkStart w:id="1016" w:name="_Toc46315140"/>
      <w:bookmarkStart w:id="1017" w:name="_Toc46319049"/>
      <w:bookmarkStart w:id="1018" w:name="_Toc46315141"/>
      <w:bookmarkStart w:id="1019" w:name="_Toc46319050"/>
      <w:bookmarkStart w:id="1020" w:name="_Toc46315142"/>
      <w:bookmarkStart w:id="1021" w:name="_Toc46319051"/>
      <w:bookmarkStart w:id="1022" w:name="_Toc46315143"/>
      <w:bookmarkStart w:id="1023" w:name="_Toc46319052"/>
      <w:bookmarkStart w:id="1024" w:name="_Toc46315144"/>
      <w:bookmarkStart w:id="1025" w:name="_Toc46319053"/>
      <w:bookmarkStart w:id="1026" w:name="_Toc46315145"/>
      <w:bookmarkStart w:id="1027" w:name="_Toc46319054"/>
      <w:bookmarkStart w:id="1028" w:name="_Toc46315146"/>
      <w:bookmarkStart w:id="1029" w:name="_Toc46319055"/>
      <w:bookmarkStart w:id="1030" w:name="_Toc46315147"/>
      <w:bookmarkStart w:id="1031" w:name="_Toc46319056"/>
      <w:bookmarkStart w:id="1032" w:name="_Toc46315148"/>
      <w:bookmarkStart w:id="1033" w:name="_Toc46319057"/>
      <w:bookmarkStart w:id="1034" w:name="_Toc46315149"/>
      <w:bookmarkStart w:id="1035" w:name="_Toc46319058"/>
      <w:bookmarkStart w:id="1036" w:name="_Toc46315150"/>
      <w:bookmarkStart w:id="1037" w:name="_Toc46319059"/>
      <w:bookmarkStart w:id="1038" w:name="_Toc46315151"/>
      <w:bookmarkStart w:id="1039" w:name="_Toc46319060"/>
      <w:bookmarkStart w:id="1040" w:name="_Toc46315204"/>
      <w:bookmarkStart w:id="1041" w:name="_Toc46319113"/>
      <w:bookmarkStart w:id="1042" w:name="_Toc46315205"/>
      <w:bookmarkStart w:id="1043" w:name="_Toc46319114"/>
      <w:bookmarkStart w:id="1044" w:name="_Toc46315206"/>
      <w:bookmarkStart w:id="1045" w:name="_Toc46319115"/>
      <w:bookmarkStart w:id="1046" w:name="_Toc46315207"/>
      <w:bookmarkStart w:id="1047" w:name="_Toc46319116"/>
      <w:bookmarkStart w:id="1048" w:name="_Toc46315208"/>
      <w:bookmarkStart w:id="1049" w:name="_Toc46319117"/>
      <w:bookmarkStart w:id="1050" w:name="_Toc46315209"/>
      <w:bookmarkStart w:id="1051" w:name="_Toc46319118"/>
      <w:bookmarkStart w:id="1052" w:name="_Toc46315210"/>
      <w:bookmarkStart w:id="1053" w:name="_Toc46319119"/>
      <w:bookmarkStart w:id="1054" w:name="_Toc46315211"/>
      <w:bookmarkStart w:id="1055" w:name="_Toc46319120"/>
      <w:bookmarkStart w:id="1056" w:name="_Toc46315212"/>
      <w:bookmarkStart w:id="1057" w:name="_Toc46319121"/>
      <w:bookmarkStart w:id="1058" w:name="_Toc46315213"/>
      <w:bookmarkStart w:id="1059" w:name="_Toc46319122"/>
      <w:bookmarkStart w:id="1060" w:name="_Toc46315226"/>
      <w:bookmarkStart w:id="1061" w:name="_Toc46319135"/>
      <w:bookmarkStart w:id="1062" w:name="_Toc46315232"/>
      <w:bookmarkStart w:id="1063" w:name="_Toc46319141"/>
      <w:bookmarkStart w:id="1064" w:name="_Toc46315238"/>
      <w:bookmarkStart w:id="1065" w:name="_Toc46319147"/>
      <w:bookmarkStart w:id="1066" w:name="_Toc46315250"/>
      <w:bookmarkStart w:id="1067" w:name="_Toc46319159"/>
      <w:bookmarkStart w:id="1068" w:name="_Toc46315256"/>
      <w:bookmarkStart w:id="1069" w:name="_Toc46319165"/>
      <w:bookmarkStart w:id="1070" w:name="_Toc46315262"/>
      <w:bookmarkStart w:id="1071" w:name="_Toc46319171"/>
      <w:bookmarkStart w:id="1072" w:name="_Toc46315279"/>
      <w:bookmarkStart w:id="1073" w:name="_Toc46319188"/>
      <w:bookmarkStart w:id="1074" w:name="_Toc46315294"/>
      <w:bookmarkStart w:id="1075" w:name="_Toc46319203"/>
      <w:bookmarkStart w:id="1076" w:name="_Toc46315303"/>
      <w:bookmarkStart w:id="1077" w:name="_Toc46319212"/>
      <w:bookmarkStart w:id="1078" w:name="_Toc46315309"/>
      <w:bookmarkStart w:id="1079" w:name="_Toc46319218"/>
      <w:bookmarkStart w:id="1080" w:name="_Toc46315322"/>
      <w:bookmarkStart w:id="1081" w:name="_Toc46319231"/>
      <w:bookmarkStart w:id="1082" w:name="_Toc46315323"/>
      <w:bookmarkStart w:id="1083" w:name="_Toc46319232"/>
      <w:bookmarkStart w:id="1084" w:name="_Toc46315324"/>
      <w:bookmarkStart w:id="1085" w:name="_Toc46319233"/>
      <w:bookmarkStart w:id="1086" w:name="_Toc46315359"/>
      <w:bookmarkStart w:id="1087" w:name="_Toc46319268"/>
      <w:bookmarkStart w:id="1088" w:name="_Toc46315420"/>
      <w:bookmarkStart w:id="1089" w:name="_Toc46319329"/>
      <w:bookmarkStart w:id="1090" w:name="_Toc46315426"/>
      <w:bookmarkStart w:id="1091" w:name="_Toc46319335"/>
      <w:bookmarkStart w:id="1092" w:name="_Toc46315462"/>
      <w:bookmarkStart w:id="1093" w:name="_Toc46319371"/>
      <w:bookmarkStart w:id="1094" w:name="_Toc498091985"/>
      <w:bookmarkStart w:id="1095" w:name="_Toc124762801"/>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sidRPr="00DE377E">
        <w:rPr>
          <w:rFonts w:cs="Arial"/>
        </w:rPr>
        <w:lastRenderedPageBreak/>
        <w:t>Archiving</w:t>
      </w:r>
      <w:bookmarkEnd w:id="1094"/>
      <w:bookmarkEnd w:id="1095"/>
    </w:p>
    <w:p w14:paraId="5641E00D" w14:textId="77777777" w:rsidR="003752D5" w:rsidRPr="003752D5" w:rsidRDefault="003752D5" w:rsidP="00C75E16">
      <w:pPr>
        <w:pStyle w:val="BodyText"/>
        <w:spacing w:before="0" w:after="0"/>
        <w:rPr>
          <w:highlight w:val="yellow"/>
        </w:rPr>
      </w:pPr>
    </w:p>
    <w:p w14:paraId="4280EE87" w14:textId="180B961F" w:rsidR="00A47008" w:rsidRDefault="00A47008" w:rsidP="00A47008">
      <w:pPr>
        <w:pStyle w:val="BodyText"/>
      </w:pPr>
      <w:r w:rsidRPr="00D129EF">
        <w:t>ALSWH</w:t>
      </w:r>
      <w:r w:rsidRPr="00D129EF" w:rsidDel="00AE0D79">
        <w:t xml:space="preserve"> </w:t>
      </w:r>
      <w:r>
        <w:t xml:space="preserve">data are annually </w:t>
      </w:r>
      <w:r w:rsidRPr="00D129EF">
        <w:t>archive</w:t>
      </w:r>
      <w:r>
        <w:t xml:space="preserve">d at </w:t>
      </w:r>
      <w:r w:rsidRPr="00D129EF">
        <w:t>the Australian Data Archive (ADA) at the Australian National University</w:t>
      </w:r>
      <w:r>
        <w:t xml:space="preserve">. </w:t>
      </w:r>
      <w:r w:rsidRPr="00D129EF">
        <w:t xml:space="preserve">To date, data have been archived for </w:t>
      </w:r>
      <w:r w:rsidRPr="006624A5">
        <w:t xml:space="preserve">Surveys </w:t>
      </w:r>
      <w:r>
        <w:t xml:space="preserve">1 to 9 of the </w:t>
      </w:r>
      <w:r w:rsidRPr="006624A5">
        <w:t>1946-</w:t>
      </w:r>
      <w:r>
        <w:t>19</w:t>
      </w:r>
      <w:r w:rsidRPr="006624A5">
        <w:t>51</w:t>
      </w:r>
      <w:r>
        <w:t xml:space="preserve"> cohort, Surveys 1 to 8 of the 1973-1978 </w:t>
      </w:r>
      <w:r w:rsidRPr="006624A5">
        <w:t>cohort</w:t>
      </w:r>
      <w:r>
        <w:t xml:space="preserve">, Surveys 1 to 5 of the 1989-1995 cohort, Surveys 1 to 6 of the 1921-1926 cohort, and the </w:t>
      </w:r>
      <w:r w:rsidR="009E6BD0">
        <w:t xml:space="preserve">ongoing </w:t>
      </w:r>
      <w:r>
        <w:t xml:space="preserve">data from the six-month follow up survey of the 1921-1926 cohort. </w:t>
      </w:r>
    </w:p>
    <w:p w14:paraId="7DFE5920" w14:textId="6D88616B" w:rsidR="00A47008" w:rsidRPr="00D129EF" w:rsidRDefault="00A47008" w:rsidP="00A47008">
      <w:pPr>
        <w:pStyle w:val="BodyText"/>
      </w:pPr>
      <w:r>
        <w:t xml:space="preserve">This year, 2022, only the recent data from the six-month follow up survey of the 1921-1926 cohort was archived. Due to extension of the data collection period for the ninth survey of the 1973-78 cohort, which would usually have been archived in 2022, this survey’s data will be archived in 2023.  </w:t>
      </w:r>
    </w:p>
    <w:p w14:paraId="30E34EB1" w14:textId="77777777" w:rsidR="00A47008" w:rsidRPr="00D129EF" w:rsidRDefault="00A47008" w:rsidP="002B2D8C">
      <w:pPr>
        <w:spacing w:line="312" w:lineRule="auto"/>
      </w:pPr>
      <w:r w:rsidRPr="00D129EF">
        <w:t>In 20</w:t>
      </w:r>
      <w:r>
        <w:t>22,</w:t>
      </w:r>
      <w:r w:rsidRPr="00D129EF">
        <w:t xml:space="preserve"> the </w:t>
      </w:r>
      <w:r>
        <w:t>following were</w:t>
      </w:r>
      <w:r w:rsidRPr="00D129EF">
        <w:t xml:space="preserve"> deposited with ADA:</w:t>
      </w:r>
    </w:p>
    <w:p w14:paraId="1B4EA62F" w14:textId="77777777" w:rsidR="00A47008" w:rsidRDefault="00A47008" w:rsidP="003D5E6A">
      <w:pPr>
        <w:numPr>
          <w:ilvl w:val="0"/>
          <w:numId w:val="46"/>
        </w:numPr>
        <w:ind w:left="714" w:hanging="357"/>
        <w:rPr>
          <w:rFonts w:cs="Arial"/>
        </w:rPr>
      </w:pPr>
      <w:r w:rsidRPr="00D129EF">
        <w:rPr>
          <w:rFonts w:cs="Arial"/>
        </w:rPr>
        <w:t xml:space="preserve">Completed ADA licence form </w:t>
      </w:r>
    </w:p>
    <w:p w14:paraId="3B60086E" w14:textId="77777777" w:rsidR="00A47008" w:rsidRPr="00392D77" w:rsidRDefault="00A47008" w:rsidP="00A47008">
      <w:r w:rsidRPr="00D129EF">
        <w:t>The data archived for the 19</w:t>
      </w:r>
      <w:r>
        <w:t>21</w:t>
      </w:r>
      <w:r w:rsidRPr="00D129EF">
        <w:t>-19</w:t>
      </w:r>
      <w:r>
        <w:t>26</w:t>
      </w:r>
      <w:r w:rsidRPr="00D129EF">
        <w:t xml:space="preserve"> cohort consisted of:</w:t>
      </w:r>
    </w:p>
    <w:p w14:paraId="6E302F1D" w14:textId="77777777" w:rsidR="00A47008" w:rsidRPr="00D129EF" w:rsidRDefault="00A47008" w:rsidP="00A47008">
      <w:pPr>
        <w:numPr>
          <w:ilvl w:val="0"/>
          <w:numId w:val="46"/>
        </w:numPr>
        <w:spacing w:line="240" w:lineRule="auto"/>
        <w:ind w:left="714" w:hanging="357"/>
        <w:rPr>
          <w:rFonts w:cs="Arial"/>
        </w:rPr>
      </w:pPr>
      <w:r w:rsidRPr="00D129EF">
        <w:t xml:space="preserve">1921–1926 </w:t>
      </w:r>
      <w:r w:rsidRPr="00D129EF">
        <w:rPr>
          <w:rFonts w:cs="Arial"/>
        </w:rPr>
        <w:t>cohort 6</w:t>
      </w:r>
      <w:r>
        <w:rPr>
          <w:rFonts w:cs="Arial"/>
        </w:rPr>
        <w:t>-</w:t>
      </w:r>
      <w:r w:rsidRPr="00D129EF">
        <w:rPr>
          <w:rFonts w:cs="Arial"/>
        </w:rPr>
        <w:t>month follow</w:t>
      </w:r>
      <w:r>
        <w:rPr>
          <w:rFonts w:cs="Arial"/>
        </w:rPr>
        <w:t xml:space="preserve"> </w:t>
      </w:r>
      <w:r w:rsidRPr="00D129EF">
        <w:rPr>
          <w:rFonts w:cs="Arial"/>
        </w:rPr>
        <w:t xml:space="preserve">up </w:t>
      </w:r>
      <w:r>
        <w:rPr>
          <w:rFonts w:cs="Arial"/>
        </w:rPr>
        <w:t xml:space="preserve">survey </w:t>
      </w:r>
      <w:r w:rsidRPr="00D129EF">
        <w:rPr>
          <w:rFonts w:cs="Arial"/>
        </w:rPr>
        <w:t>level ‘A’ and ‘B’ analysis datasets in SAS format</w:t>
      </w:r>
    </w:p>
    <w:p w14:paraId="498C4C7E" w14:textId="77777777" w:rsidR="00A47008" w:rsidRDefault="00A47008" w:rsidP="00A47008">
      <w:pPr>
        <w:numPr>
          <w:ilvl w:val="0"/>
          <w:numId w:val="46"/>
        </w:numPr>
        <w:spacing w:line="240" w:lineRule="auto"/>
        <w:ind w:left="714" w:hanging="357"/>
        <w:rPr>
          <w:rFonts w:cs="Arial"/>
        </w:rPr>
      </w:pPr>
      <w:r w:rsidRPr="00D129EF">
        <w:t xml:space="preserve">1921–1926 </w:t>
      </w:r>
      <w:r w:rsidRPr="00D129EF">
        <w:rPr>
          <w:rFonts w:cs="Arial"/>
        </w:rPr>
        <w:t xml:space="preserve">cohort </w:t>
      </w:r>
      <w:r>
        <w:rPr>
          <w:rFonts w:cs="Arial"/>
        </w:rPr>
        <w:t>p</w:t>
      </w:r>
      <w:r w:rsidRPr="00D129EF">
        <w:rPr>
          <w:rFonts w:cs="Arial"/>
        </w:rPr>
        <w:t xml:space="preserve">articipant </w:t>
      </w:r>
      <w:r>
        <w:rPr>
          <w:rFonts w:cs="Arial"/>
        </w:rPr>
        <w:t xml:space="preserve">status </w:t>
      </w:r>
      <w:r w:rsidRPr="00D129EF">
        <w:rPr>
          <w:rFonts w:cs="Arial"/>
        </w:rPr>
        <w:t>file in SAS format</w:t>
      </w:r>
    </w:p>
    <w:p w14:paraId="265F596A" w14:textId="77777777" w:rsidR="00A47008" w:rsidRDefault="00A47008" w:rsidP="00A47008">
      <w:pPr>
        <w:numPr>
          <w:ilvl w:val="0"/>
          <w:numId w:val="46"/>
        </w:numPr>
        <w:spacing w:line="240" w:lineRule="auto"/>
        <w:ind w:left="714" w:hanging="357"/>
        <w:rPr>
          <w:rFonts w:cs="Arial"/>
        </w:rPr>
      </w:pPr>
      <w:r w:rsidRPr="00D129EF">
        <w:t xml:space="preserve">1921–1926 </w:t>
      </w:r>
      <w:r w:rsidRPr="00D129EF">
        <w:rPr>
          <w:rFonts w:cs="Arial"/>
        </w:rPr>
        <w:t xml:space="preserve">cohort </w:t>
      </w:r>
      <w:r>
        <w:rPr>
          <w:rFonts w:cs="Arial"/>
        </w:rPr>
        <w:t xml:space="preserve">comments </w:t>
      </w:r>
      <w:r w:rsidRPr="00D129EF">
        <w:rPr>
          <w:rFonts w:cs="Arial"/>
        </w:rPr>
        <w:t>file in SAS format</w:t>
      </w:r>
    </w:p>
    <w:p w14:paraId="32F5F09B" w14:textId="77777777" w:rsidR="00A47008" w:rsidRPr="00D129EF" w:rsidRDefault="00A47008" w:rsidP="00A47008">
      <w:pPr>
        <w:ind w:left="714"/>
        <w:rPr>
          <w:rFonts w:cs="Arial"/>
        </w:rPr>
      </w:pPr>
    </w:p>
    <w:p w14:paraId="6CCB6C87" w14:textId="77777777" w:rsidR="00A47008" w:rsidRDefault="00A47008" w:rsidP="00C13450">
      <w:pPr>
        <w:pStyle w:val="BodyText"/>
        <w:rPr>
          <w:highlight w:val="yellow"/>
        </w:rPr>
      </w:pPr>
    </w:p>
    <w:p w14:paraId="31E52073" w14:textId="77777777" w:rsidR="00A47008" w:rsidRDefault="00A47008" w:rsidP="00C13450">
      <w:pPr>
        <w:pStyle w:val="BodyText"/>
        <w:rPr>
          <w:highlight w:val="yellow"/>
        </w:rPr>
      </w:pPr>
    </w:p>
    <w:p w14:paraId="674AF4B4" w14:textId="77777777" w:rsidR="00A47008" w:rsidRDefault="00A47008" w:rsidP="00C13450">
      <w:pPr>
        <w:pStyle w:val="BodyText"/>
        <w:rPr>
          <w:highlight w:val="yellow"/>
        </w:rPr>
      </w:pPr>
    </w:p>
    <w:p w14:paraId="7CE9273E" w14:textId="77777777" w:rsidR="00C13450" w:rsidRPr="005F7696" w:rsidRDefault="00C13450" w:rsidP="00C13450">
      <w:pPr>
        <w:rPr>
          <w:highlight w:val="yellow"/>
        </w:rPr>
      </w:pPr>
    </w:p>
    <w:p w14:paraId="26BCB4BF" w14:textId="77777777" w:rsidR="00C13450" w:rsidRDefault="00C13450" w:rsidP="003752D5">
      <w:pPr>
        <w:pStyle w:val="BodyText"/>
      </w:pPr>
    </w:p>
    <w:p w14:paraId="24F0D0DC" w14:textId="77777777" w:rsidR="00C13450" w:rsidRDefault="00C13450" w:rsidP="003752D5">
      <w:pPr>
        <w:pStyle w:val="BodyText"/>
      </w:pPr>
    </w:p>
    <w:p w14:paraId="47478A3D" w14:textId="7985364E" w:rsidR="00C13450" w:rsidRDefault="00C13450" w:rsidP="00B00AEE">
      <w:pPr>
        <w:spacing w:before="0" w:after="0"/>
      </w:pPr>
    </w:p>
    <w:p w14:paraId="71A38A80" w14:textId="77777777" w:rsidR="00C13450" w:rsidRDefault="00C13450" w:rsidP="00B00AEE">
      <w:pPr>
        <w:spacing w:before="0" w:after="0"/>
      </w:pPr>
    </w:p>
    <w:p w14:paraId="4DD23808" w14:textId="1E8F119E" w:rsidR="00B00AEE" w:rsidRPr="00D129EF" w:rsidRDefault="00B00AEE" w:rsidP="00B00AEE">
      <w:pPr>
        <w:spacing w:before="0" w:after="0"/>
        <w:rPr>
          <w:rFonts w:cs="Arial"/>
        </w:rPr>
      </w:pPr>
      <w:r w:rsidRPr="00D129EF">
        <w:rPr>
          <w:rFonts w:cs="Arial"/>
          <w:b/>
          <w:bCs/>
        </w:rPr>
        <w:br w:type="page"/>
      </w:r>
    </w:p>
    <w:p w14:paraId="23833D8B" w14:textId="5BCCF436" w:rsidR="00B90CA3" w:rsidRPr="00DE377E" w:rsidRDefault="00B90CA3" w:rsidP="006B02B6">
      <w:pPr>
        <w:pStyle w:val="Heading1"/>
        <w:spacing w:line="276" w:lineRule="auto"/>
        <w:rPr>
          <w:rFonts w:cs="Arial"/>
        </w:rPr>
      </w:pPr>
      <w:bookmarkStart w:id="1096" w:name="_Toc279995319"/>
      <w:bookmarkStart w:id="1097" w:name="_Toc310480503"/>
      <w:bookmarkStart w:id="1098" w:name="_Toc498091987"/>
      <w:bookmarkStart w:id="1099" w:name="_Toc124762802"/>
      <w:bookmarkEnd w:id="5"/>
      <w:bookmarkEnd w:id="6"/>
      <w:bookmarkEnd w:id="14"/>
      <w:bookmarkEnd w:id="15"/>
      <w:bookmarkEnd w:id="16"/>
      <w:bookmarkEnd w:id="17"/>
      <w:bookmarkEnd w:id="18"/>
      <w:r w:rsidRPr="00DE377E">
        <w:rPr>
          <w:rFonts w:cs="Arial"/>
        </w:rPr>
        <w:lastRenderedPageBreak/>
        <w:t>Methodological issues</w:t>
      </w:r>
      <w:bookmarkEnd w:id="1096"/>
      <w:bookmarkEnd w:id="1097"/>
      <w:bookmarkEnd w:id="1098"/>
      <w:bookmarkEnd w:id="1099"/>
    </w:p>
    <w:p w14:paraId="0C02F178" w14:textId="77777777" w:rsidR="00C13450" w:rsidRPr="00C13450" w:rsidRDefault="00C13450" w:rsidP="005F7930">
      <w:pPr>
        <w:spacing w:line="240" w:lineRule="auto"/>
      </w:pPr>
      <w:bookmarkStart w:id="1100" w:name="_Toc498092008"/>
    </w:p>
    <w:p w14:paraId="030F59E9" w14:textId="2BEA27DD" w:rsidR="00C13450" w:rsidRDefault="0040441E" w:rsidP="0040441E">
      <w:pPr>
        <w:pStyle w:val="Heading2"/>
      </w:pPr>
      <w:bookmarkStart w:id="1101" w:name="_Toc124762803"/>
      <w:bookmarkStart w:id="1102" w:name="_Hlk113007280"/>
      <w:r>
        <w:t>Mean stress derived variable in ALSWH</w:t>
      </w:r>
      <w:bookmarkEnd w:id="1101"/>
    </w:p>
    <w:p w14:paraId="510812DD" w14:textId="4B734CCD" w:rsidR="000E6415" w:rsidRPr="000E6415" w:rsidRDefault="000E6415" w:rsidP="000E6415">
      <w:pPr>
        <w:rPr>
          <w:i/>
          <w:iCs/>
        </w:rPr>
      </w:pPr>
      <w:r w:rsidRPr="000E6415">
        <w:rPr>
          <w:i/>
          <w:iCs/>
        </w:rPr>
        <w:t>Author: David Fitzgerald</w:t>
      </w:r>
    </w:p>
    <w:p w14:paraId="3FFDC20D" w14:textId="12AEAFC3" w:rsidR="0040441E" w:rsidRDefault="0040441E" w:rsidP="00BA2373">
      <w:pPr>
        <w:pStyle w:val="Heading3"/>
      </w:pPr>
      <w:bookmarkStart w:id="1103" w:name="_Toc124762804"/>
      <w:r>
        <w:t>Introduction</w:t>
      </w:r>
      <w:bookmarkEnd w:id="1103"/>
    </w:p>
    <w:p w14:paraId="050A5567" w14:textId="25C47ECA" w:rsidR="0040441E" w:rsidRDefault="0040441E" w:rsidP="009E6BD0">
      <w:pPr>
        <w:pStyle w:val="BodyText0"/>
      </w:pPr>
      <w:r>
        <w:t xml:space="preserve">ALSWH asks questions about the stress the participants have felt in various areas of their life. These questions are used to derive the Mean Stress variable for analysis. These series of questions were developed by ALSWH </w:t>
      </w:r>
      <w:proofErr w:type="gramStart"/>
      <w:r>
        <w:t>on the basis of</w:t>
      </w:r>
      <w:proofErr w:type="gramEnd"/>
      <w:r>
        <w:t xml:space="preserve"> discussions with key informants, including psychologists, sociologists, and women of all ages. </w:t>
      </w:r>
    </w:p>
    <w:p w14:paraId="6C3724A2" w14:textId="5FD7802D" w:rsidR="0040441E" w:rsidRPr="005F31E1" w:rsidRDefault="0040441E" w:rsidP="00BA2373">
      <w:pPr>
        <w:pStyle w:val="Heading3"/>
      </w:pPr>
      <w:bookmarkStart w:id="1104" w:name="_Toc124762805"/>
      <w:r w:rsidRPr="005F31E1">
        <w:t xml:space="preserve">Mean </w:t>
      </w:r>
      <w:r w:rsidR="000E6415">
        <w:t>s</w:t>
      </w:r>
      <w:r w:rsidR="00A26D98">
        <w:t>t</w:t>
      </w:r>
      <w:r w:rsidRPr="005F31E1">
        <w:t>ress in ALSWH</w:t>
      </w:r>
      <w:bookmarkEnd w:id="1104"/>
    </w:p>
    <w:p w14:paraId="1A854D32" w14:textId="0A80D216" w:rsidR="0040441E" w:rsidRDefault="0040441E" w:rsidP="0040441E">
      <w:r>
        <w:t>Mean stress variables have been derived for all the waves in the 1946-51 and 1973-78 cohort surveys, most of the 1989-95 cohort waves and the first two waves of the 1921-26 cohort.</w:t>
      </w:r>
    </w:p>
    <w:p w14:paraId="06EF31D6" w14:textId="0B084D4B" w:rsidR="0040441E" w:rsidRDefault="0040441E" w:rsidP="0040441E">
      <w:r>
        <w:t>The questions have slightly changed over the cohorts and waves, as shown in Table 1. The introduction to the questions</w:t>
      </w:r>
      <w:r w:rsidR="00C05489">
        <w:t xml:space="preserve"> - “Over the last 12 months, how stressed have you felt about the following areas of your life:” - </w:t>
      </w:r>
      <w:r>
        <w:t>has not changed</w:t>
      </w:r>
      <w:r w:rsidR="00C05489">
        <w:t>.</w:t>
      </w:r>
      <w:r>
        <w:t xml:space="preserve"> </w:t>
      </w:r>
    </w:p>
    <w:p w14:paraId="21579AD6" w14:textId="5E67265C" w:rsidR="0040441E" w:rsidRDefault="000E6415" w:rsidP="0040441E">
      <w:r>
        <w:fldChar w:fldCharType="begin"/>
      </w:r>
      <w:r>
        <w:instrText xml:space="preserve"> REF _Ref111734380 \h </w:instrText>
      </w:r>
      <w:r>
        <w:fldChar w:fldCharType="separate"/>
      </w:r>
      <w:r w:rsidR="007D19D7">
        <w:t xml:space="preserve">Table </w:t>
      </w:r>
      <w:r w:rsidR="007D19D7">
        <w:rPr>
          <w:noProof/>
        </w:rPr>
        <w:t>7</w:t>
      </w:r>
      <w:r w:rsidR="007D19D7">
        <w:noBreakHyphen/>
      </w:r>
      <w:r w:rsidR="007D19D7">
        <w:rPr>
          <w:noProof/>
        </w:rPr>
        <w:t>1</w:t>
      </w:r>
      <w:r>
        <w:fldChar w:fldCharType="end"/>
      </w:r>
      <w:r w:rsidR="00391590">
        <w:t xml:space="preserve"> </w:t>
      </w:r>
      <w:r w:rsidR="0040441E">
        <w:t xml:space="preserve">shows the mean </w:t>
      </w:r>
      <w:r w:rsidR="00C05489">
        <w:t>s</w:t>
      </w:r>
      <w:r w:rsidR="0040441E">
        <w:t xml:space="preserve">tress questions asked across the cohorts and waves. The oldest cohort were not asked about stress from their parents and the 1973-78 cohort were not initially asked about stress from their children. Note that in Survey 2 of the 1921-26 </w:t>
      </w:r>
      <w:r w:rsidR="00C05489">
        <w:t xml:space="preserve">cohort </w:t>
      </w:r>
      <w:r w:rsidR="0040441E">
        <w:t>and</w:t>
      </w:r>
      <w:r w:rsidR="00C05489">
        <w:t xml:space="preserve"> S</w:t>
      </w:r>
      <w:r w:rsidR="0040441E">
        <w:t xml:space="preserve">urveys 3 and 4 </w:t>
      </w:r>
      <w:r w:rsidR="00C05489">
        <w:t xml:space="preserve">of the </w:t>
      </w:r>
      <w:r w:rsidR="0040441E">
        <w:t>1946</w:t>
      </w:r>
      <w:r w:rsidR="00E429D6">
        <w:noBreakHyphen/>
      </w:r>
      <w:r w:rsidR="0040441E">
        <w:t xml:space="preserve">51 cohort there was no </w:t>
      </w:r>
      <w:r w:rsidR="00C05489">
        <w:t>‘</w:t>
      </w:r>
      <w:r w:rsidR="0040441E">
        <w:t>Not Applicable</w:t>
      </w:r>
      <w:r w:rsidR="00C05489">
        <w:t>’</w:t>
      </w:r>
      <w:r w:rsidR="0040441E">
        <w:t xml:space="preserve"> option for some questions. The other surveys did have the </w:t>
      </w:r>
      <w:r w:rsidR="00C05489">
        <w:t>‘</w:t>
      </w:r>
      <w:r w:rsidR="0040441E">
        <w:t>Not Applicable</w:t>
      </w:r>
      <w:r w:rsidR="00C05489">
        <w:t>’</w:t>
      </w:r>
      <w:r w:rsidR="0040441E">
        <w:t xml:space="preserve"> option for all questions.</w:t>
      </w:r>
    </w:p>
    <w:p w14:paraId="1849772D" w14:textId="66EF2857" w:rsidR="00C93A32" w:rsidRDefault="0040441E" w:rsidP="0040441E">
      <w:pPr>
        <w:sectPr w:rsidR="00C93A32" w:rsidSect="00586FC1">
          <w:pgSz w:w="11906" w:h="16838"/>
          <w:pgMar w:top="1440" w:right="1440" w:bottom="1440" w:left="1440" w:header="708" w:footer="708" w:gutter="0"/>
          <w:cols w:space="708"/>
          <w:docGrid w:linePitch="360"/>
        </w:sectPr>
      </w:pPr>
      <w:r>
        <w:t xml:space="preserve">The stress questions were only asked in </w:t>
      </w:r>
      <w:r w:rsidR="00C93A32">
        <w:t xml:space="preserve">Surveys </w:t>
      </w:r>
      <w:r>
        <w:t>1 and 2 of the 1921-26 cohort</w:t>
      </w:r>
      <w:r w:rsidR="00391590">
        <w:t xml:space="preserve">. </w:t>
      </w:r>
    </w:p>
    <w:p w14:paraId="63F34444" w14:textId="52BC4F7B" w:rsidR="0040441E" w:rsidRDefault="000E6415" w:rsidP="0000266C">
      <w:pPr>
        <w:pStyle w:val="Caption"/>
      </w:pPr>
      <w:bookmarkStart w:id="1105" w:name="_Ref111734380"/>
      <w:r>
        <w:lastRenderedPageBreak/>
        <w:t xml:space="preserve">Table </w:t>
      </w:r>
      <w:fldSimple w:instr=" STYLEREF 1 \s ">
        <w:r w:rsidR="007D19D7">
          <w:rPr>
            <w:noProof/>
          </w:rPr>
          <w:t>7</w:t>
        </w:r>
      </w:fldSimple>
      <w:r w:rsidR="00327D59">
        <w:noBreakHyphen/>
      </w:r>
      <w:fldSimple w:instr=" SEQ Table \* ARABIC \s 1 ">
        <w:r w:rsidR="007D19D7">
          <w:rPr>
            <w:noProof/>
          </w:rPr>
          <w:t>1</w:t>
        </w:r>
      </w:fldSimple>
      <w:bookmarkEnd w:id="1105"/>
      <w:r>
        <w:t xml:space="preserve"> </w:t>
      </w:r>
      <w:r w:rsidR="00836BB4">
        <w:t>Availability</w:t>
      </w:r>
      <w:r w:rsidR="002A6BB4">
        <w:t xml:space="preserve"> of </w:t>
      </w:r>
      <w:r w:rsidR="00605417">
        <w:t>‘</w:t>
      </w:r>
      <w:r w:rsidR="002A6BB4">
        <w:t>Not Applicable</w:t>
      </w:r>
      <w:r w:rsidR="00605417">
        <w:t>’</w:t>
      </w:r>
      <w:r w:rsidR="002A6BB4">
        <w:t xml:space="preserve"> (NA) in three stress questions for all cohorts and waves</w:t>
      </w:r>
    </w:p>
    <w:tbl>
      <w:tblPr>
        <w:tblStyle w:val="TableGrid200"/>
        <w:tblW w:w="14176" w:type="dxa"/>
        <w:tblInd w:w="-714" w:type="dxa"/>
        <w:tblLayout w:type="fixed"/>
        <w:tblLook w:val="04A0" w:firstRow="1" w:lastRow="0" w:firstColumn="1" w:lastColumn="0" w:noHBand="0" w:noVBand="1"/>
      </w:tblPr>
      <w:tblGrid>
        <w:gridCol w:w="3390"/>
        <w:gridCol w:w="425"/>
        <w:gridCol w:w="426"/>
        <w:gridCol w:w="424"/>
        <w:gridCol w:w="426"/>
        <w:gridCol w:w="425"/>
        <w:gridCol w:w="425"/>
        <w:gridCol w:w="425"/>
        <w:gridCol w:w="430"/>
        <w:gridCol w:w="430"/>
        <w:gridCol w:w="426"/>
        <w:gridCol w:w="426"/>
        <w:gridCol w:w="426"/>
        <w:gridCol w:w="426"/>
        <w:gridCol w:w="426"/>
        <w:gridCol w:w="425"/>
        <w:gridCol w:w="426"/>
        <w:gridCol w:w="425"/>
        <w:gridCol w:w="425"/>
        <w:gridCol w:w="425"/>
        <w:gridCol w:w="426"/>
        <w:gridCol w:w="425"/>
        <w:gridCol w:w="425"/>
        <w:gridCol w:w="425"/>
        <w:gridCol w:w="496"/>
        <w:gridCol w:w="497"/>
      </w:tblGrid>
      <w:tr w:rsidR="00EE4E37" w14:paraId="36BFB168" w14:textId="77777777" w:rsidTr="002A6BB4">
        <w:trPr>
          <w:trHeight w:val="310"/>
        </w:trPr>
        <w:tc>
          <w:tcPr>
            <w:tcW w:w="3390" w:type="dxa"/>
            <w:tcBorders>
              <w:top w:val="single" w:sz="4" w:space="0" w:color="auto"/>
              <w:left w:val="single" w:sz="4" w:space="0" w:color="auto"/>
              <w:bottom w:val="single" w:sz="4" w:space="0" w:color="auto"/>
              <w:right w:val="single" w:sz="4" w:space="0" w:color="auto"/>
            </w:tcBorders>
            <w:vAlign w:val="center"/>
            <w:hideMark/>
          </w:tcPr>
          <w:p w14:paraId="6009737D" w14:textId="77777777" w:rsidR="00EE4E37" w:rsidRPr="005520AA" w:rsidRDefault="00EE4E37" w:rsidP="00776C46">
            <w:pPr>
              <w:rPr>
                <w:b/>
                <w:bCs/>
              </w:rPr>
            </w:pPr>
            <w:r w:rsidRPr="005520AA">
              <w:rPr>
                <w:b/>
                <w:bCs/>
              </w:rPr>
              <w:t>Cohort</w:t>
            </w:r>
          </w:p>
        </w:tc>
        <w:tc>
          <w:tcPr>
            <w:tcW w:w="2551" w:type="dxa"/>
            <w:gridSpan w:val="6"/>
            <w:tcBorders>
              <w:top w:val="single" w:sz="4" w:space="0" w:color="auto"/>
              <w:left w:val="single" w:sz="4" w:space="0" w:color="auto"/>
              <w:bottom w:val="single" w:sz="4" w:space="0" w:color="auto"/>
              <w:right w:val="single" w:sz="4" w:space="0" w:color="auto"/>
            </w:tcBorders>
            <w:vAlign w:val="center"/>
            <w:hideMark/>
          </w:tcPr>
          <w:p w14:paraId="65A06B3C" w14:textId="77777777" w:rsidR="00EE4E37" w:rsidRPr="005520AA" w:rsidRDefault="00EE4E37" w:rsidP="00776C46">
            <w:pPr>
              <w:jc w:val="center"/>
              <w:rPr>
                <w:b/>
                <w:bCs/>
              </w:rPr>
            </w:pPr>
            <w:r w:rsidRPr="005520AA">
              <w:rPr>
                <w:b/>
                <w:bCs/>
              </w:rPr>
              <w:t>1989-95</w:t>
            </w:r>
          </w:p>
        </w:tc>
        <w:tc>
          <w:tcPr>
            <w:tcW w:w="3415" w:type="dxa"/>
            <w:gridSpan w:val="8"/>
            <w:tcBorders>
              <w:top w:val="single" w:sz="4" w:space="0" w:color="auto"/>
              <w:left w:val="single" w:sz="4" w:space="0" w:color="auto"/>
              <w:bottom w:val="single" w:sz="4" w:space="0" w:color="auto"/>
              <w:right w:val="single" w:sz="4" w:space="0" w:color="auto"/>
            </w:tcBorders>
            <w:vAlign w:val="center"/>
            <w:hideMark/>
          </w:tcPr>
          <w:p w14:paraId="563EBB0E" w14:textId="77777777" w:rsidR="00EE4E37" w:rsidRPr="005520AA" w:rsidRDefault="00EE4E37" w:rsidP="00776C46">
            <w:pPr>
              <w:jc w:val="center"/>
              <w:rPr>
                <w:b/>
                <w:bCs/>
              </w:rPr>
            </w:pPr>
            <w:r w:rsidRPr="005520AA">
              <w:rPr>
                <w:b/>
                <w:bCs/>
              </w:rPr>
              <w:t>1973-78</w:t>
            </w:r>
          </w:p>
        </w:tc>
        <w:tc>
          <w:tcPr>
            <w:tcW w:w="3827" w:type="dxa"/>
            <w:gridSpan w:val="9"/>
            <w:tcBorders>
              <w:top w:val="single" w:sz="4" w:space="0" w:color="auto"/>
              <w:left w:val="single" w:sz="4" w:space="0" w:color="auto"/>
              <w:bottom w:val="single" w:sz="4" w:space="0" w:color="auto"/>
              <w:right w:val="single" w:sz="4" w:space="0" w:color="auto"/>
            </w:tcBorders>
            <w:vAlign w:val="center"/>
            <w:hideMark/>
          </w:tcPr>
          <w:p w14:paraId="7D4EC901" w14:textId="77777777" w:rsidR="00EE4E37" w:rsidRPr="005520AA" w:rsidRDefault="00EE4E37" w:rsidP="00776C46">
            <w:pPr>
              <w:jc w:val="center"/>
              <w:rPr>
                <w:b/>
                <w:bCs/>
              </w:rPr>
            </w:pPr>
            <w:r w:rsidRPr="005520AA">
              <w:rPr>
                <w:b/>
                <w:bCs/>
              </w:rPr>
              <w:t>1946-51</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F9AF542" w14:textId="04ED4FD8" w:rsidR="00EE4E37" w:rsidRPr="005520AA" w:rsidRDefault="00EE4E37" w:rsidP="00776C46">
            <w:pPr>
              <w:jc w:val="center"/>
              <w:rPr>
                <w:b/>
                <w:bCs/>
              </w:rPr>
            </w:pPr>
            <w:r>
              <w:rPr>
                <w:b/>
                <w:bCs/>
              </w:rPr>
              <w:t>1921-26</w:t>
            </w:r>
          </w:p>
        </w:tc>
      </w:tr>
      <w:tr w:rsidR="000033E5" w14:paraId="228C69A4" w14:textId="77777777" w:rsidTr="002A6BB4">
        <w:trPr>
          <w:trHeight w:val="310"/>
        </w:trPr>
        <w:tc>
          <w:tcPr>
            <w:tcW w:w="3390" w:type="dxa"/>
            <w:tcBorders>
              <w:top w:val="single" w:sz="4" w:space="0" w:color="auto"/>
              <w:left w:val="single" w:sz="4" w:space="0" w:color="auto"/>
              <w:bottom w:val="single" w:sz="4" w:space="0" w:color="auto"/>
              <w:right w:val="single" w:sz="4" w:space="0" w:color="auto"/>
            </w:tcBorders>
            <w:hideMark/>
          </w:tcPr>
          <w:p w14:paraId="7305A0BF" w14:textId="77777777" w:rsidR="000033E5" w:rsidRDefault="000033E5" w:rsidP="00776C46">
            <w:pPr>
              <w:spacing w:line="240" w:lineRule="auto"/>
            </w:pPr>
            <w:r>
              <w:t>Survey wave</w:t>
            </w:r>
          </w:p>
        </w:tc>
        <w:tc>
          <w:tcPr>
            <w:tcW w:w="425" w:type="dxa"/>
            <w:tcBorders>
              <w:top w:val="single" w:sz="4" w:space="0" w:color="auto"/>
              <w:left w:val="single" w:sz="4" w:space="0" w:color="auto"/>
              <w:bottom w:val="single" w:sz="4" w:space="0" w:color="auto"/>
              <w:right w:val="single" w:sz="4" w:space="0" w:color="auto"/>
            </w:tcBorders>
            <w:hideMark/>
          </w:tcPr>
          <w:p w14:paraId="39F4A18B" w14:textId="77777777" w:rsidR="000033E5" w:rsidRDefault="000033E5" w:rsidP="00776C46">
            <w:pPr>
              <w:jc w:val="center"/>
            </w:pPr>
            <w:r>
              <w:t>1</w:t>
            </w:r>
          </w:p>
        </w:tc>
        <w:tc>
          <w:tcPr>
            <w:tcW w:w="426" w:type="dxa"/>
            <w:tcBorders>
              <w:top w:val="single" w:sz="4" w:space="0" w:color="auto"/>
              <w:left w:val="single" w:sz="4" w:space="0" w:color="auto"/>
              <w:bottom w:val="single" w:sz="4" w:space="0" w:color="auto"/>
              <w:right w:val="single" w:sz="4" w:space="0" w:color="auto"/>
            </w:tcBorders>
            <w:hideMark/>
          </w:tcPr>
          <w:p w14:paraId="78E62989" w14:textId="77777777" w:rsidR="000033E5" w:rsidRDefault="000033E5" w:rsidP="00776C46">
            <w:pPr>
              <w:jc w:val="center"/>
            </w:pPr>
            <w:r>
              <w:t>2</w:t>
            </w:r>
          </w:p>
        </w:tc>
        <w:tc>
          <w:tcPr>
            <w:tcW w:w="424" w:type="dxa"/>
            <w:tcBorders>
              <w:top w:val="single" w:sz="4" w:space="0" w:color="auto"/>
              <w:left w:val="single" w:sz="4" w:space="0" w:color="auto"/>
              <w:bottom w:val="single" w:sz="4" w:space="0" w:color="auto"/>
              <w:right w:val="single" w:sz="4" w:space="0" w:color="auto"/>
            </w:tcBorders>
            <w:hideMark/>
          </w:tcPr>
          <w:p w14:paraId="30D45705" w14:textId="77777777" w:rsidR="000033E5" w:rsidRDefault="000033E5" w:rsidP="00776C46">
            <w:pPr>
              <w:jc w:val="center"/>
            </w:pPr>
            <w:r>
              <w:t>3</w:t>
            </w:r>
          </w:p>
        </w:tc>
        <w:tc>
          <w:tcPr>
            <w:tcW w:w="426" w:type="dxa"/>
            <w:tcBorders>
              <w:top w:val="single" w:sz="4" w:space="0" w:color="auto"/>
              <w:left w:val="single" w:sz="4" w:space="0" w:color="auto"/>
              <w:bottom w:val="single" w:sz="4" w:space="0" w:color="auto"/>
              <w:right w:val="single" w:sz="4" w:space="0" w:color="auto"/>
            </w:tcBorders>
            <w:hideMark/>
          </w:tcPr>
          <w:p w14:paraId="5D1B242B" w14:textId="77777777" w:rsidR="000033E5" w:rsidRDefault="000033E5" w:rsidP="00776C46">
            <w:pPr>
              <w:jc w:val="center"/>
            </w:pPr>
            <w:r>
              <w:t>4</w:t>
            </w:r>
          </w:p>
        </w:tc>
        <w:tc>
          <w:tcPr>
            <w:tcW w:w="425" w:type="dxa"/>
            <w:tcBorders>
              <w:top w:val="single" w:sz="4" w:space="0" w:color="auto"/>
              <w:left w:val="single" w:sz="4" w:space="0" w:color="auto"/>
              <w:bottom w:val="single" w:sz="4" w:space="0" w:color="auto"/>
              <w:right w:val="single" w:sz="4" w:space="0" w:color="auto"/>
            </w:tcBorders>
            <w:hideMark/>
          </w:tcPr>
          <w:p w14:paraId="75477F27" w14:textId="77777777" w:rsidR="000033E5" w:rsidRDefault="000033E5" w:rsidP="00776C46">
            <w:pPr>
              <w:jc w:val="center"/>
            </w:pPr>
            <w:r>
              <w:t>5</w:t>
            </w:r>
          </w:p>
        </w:tc>
        <w:tc>
          <w:tcPr>
            <w:tcW w:w="425" w:type="dxa"/>
            <w:tcBorders>
              <w:top w:val="single" w:sz="4" w:space="0" w:color="auto"/>
              <w:left w:val="single" w:sz="4" w:space="0" w:color="auto"/>
              <w:bottom w:val="single" w:sz="4" w:space="0" w:color="auto"/>
              <w:right w:val="single" w:sz="4" w:space="0" w:color="auto"/>
            </w:tcBorders>
            <w:hideMark/>
          </w:tcPr>
          <w:p w14:paraId="52E5ECD5" w14:textId="77777777" w:rsidR="000033E5" w:rsidRDefault="000033E5" w:rsidP="00776C46">
            <w:pPr>
              <w:jc w:val="center"/>
            </w:pPr>
            <w:r>
              <w:t>6</w:t>
            </w:r>
          </w:p>
        </w:tc>
        <w:tc>
          <w:tcPr>
            <w:tcW w:w="425" w:type="dxa"/>
            <w:tcBorders>
              <w:top w:val="single" w:sz="4" w:space="0" w:color="auto"/>
              <w:left w:val="single" w:sz="4" w:space="0" w:color="auto"/>
              <w:bottom w:val="single" w:sz="4" w:space="0" w:color="auto"/>
              <w:right w:val="single" w:sz="4" w:space="0" w:color="auto"/>
            </w:tcBorders>
            <w:hideMark/>
          </w:tcPr>
          <w:p w14:paraId="59BB9659" w14:textId="77777777" w:rsidR="000033E5" w:rsidRDefault="000033E5" w:rsidP="00776C46">
            <w:pPr>
              <w:jc w:val="center"/>
            </w:pPr>
            <w:r>
              <w:t>1</w:t>
            </w:r>
          </w:p>
        </w:tc>
        <w:tc>
          <w:tcPr>
            <w:tcW w:w="430" w:type="dxa"/>
            <w:tcBorders>
              <w:top w:val="single" w:sz="4" w:space="0" w:color="auto"/>
              <w:left w:val="single" w:sz="4" w:space="0" w:color="auto"/>
              <w:bottom w:val="single" w:sz="4" w:space="0" w:color="auto"/>
              <w:right w:val="single" w:sz="4" w:space="0" w:color="auto"/>
            </w:tcBorders>
            <w:hideMark/>
          </w:tcPr>
          <w:p w14:paraId="0C83AE8D" w14:textId="77777777" w:rsidR="000033E5" w:rsidRDefault="000033E5" w:rsidP="00776C46">
            <w:pPr>
              <w:jc w:val="center"/>
            </w:pPr>
            <w:r>
              <w:t>2</w:t>
            </w:r>
          </w:p>
        </w:tc>
        <w:tc>
          <w:tcPr>
            <w:tcW w:w="430" w:type="dxa"/>
            <w:tcBorders>
              <w:top w:val="single" w:sz="4" w:space="0" w:color="auto"/>
              <w:left w:val="single" w:sz="4" w:space="0" w:color="auto"/>
              <w:bottom w:val="single" w:sz="4" w:space="0" w:color="auto"/>
              <w:right w:val="single" w:sz="4" w:space="0" w:color="auto"/>
            </w:tcBorders>
            <w:hideMark/>
          </w:tcPr>
          <w:p w14:paraId="32CBFF03" w14:textId="77777777" w:rsidR="000033E5" w:rsidRDefault="000033E5" w:rsidP="00776C46">
            <w:pPr>
              <w:jc w:val="center"/>
            </w:pPr>
            <w:r>
              <w:t>3</w:t>
            </w:r>
          </w:p>
        </w:tc>
        <w:tc>
          <w:tcPr>
            <w:tcW w:w="426" w:type="dxa"/>
            <w:tcBorders>
              <w:top w:val="single" w:sz="4" w:space="0" w:color="auto"/>
              <w:left w:val="single" w:sz="4" w:space="0" w:color="auto"/>
              <w:bottom w:val="single" w:sz="4" w:space="0" w:color="auto"/>
              <w:right w:val="single" w:sz="4" w:space="0" w:color="auto"/>
            </w:tcBorders>
            <w:hideMark/>
          </w:tcPr>
          <w:p w14:paraId="5702DADF" w14:textId="77777777" w:rsidR="000033E5" w:rsidRDefault="000033E5" w:rsidP="00776C46">
            <w:pPr>
              <w:jc w:val="center"/>
            </w:pPr>
            <w:r>
              <w:t>4</w:t>
            </w:r>
          </w:p>
        </w:tc>
        <w:tc>
          <w:tcPr>
            <w:tcW w:w="426" w:type="dxa"/>
            <w:tcBorders>
              <w:top w:val="single" w:sz="4" w:space="0" w:color="auto"/>
              <w:left w:val="single" w:sz="4" w:space="0" w:color="auto"/>
              <w:bottom w:val="single" w:sz="4" w:space="0" w:color="auto"/>
              <w:right w:val="single" w:sz="4" w:space="0" w:color="auto"/>
            </w:tcBorders>
            <w:hideMark/>
          </w:tcPr>
          <w:p w14:paraId="2393937A" w14:textId="77777777" w:rsidR="000033E5" w:rsidRDefault="000033E5" w:rsidP="00776C46">
            <w:pPr>
              <w:jc w:val="center"/>
            </w:pPr>
            <w:r>
              <w:t>5</w:t>
            </w:r>
          </w:p>
        </w:tc>
        <w:tc>
          <w:tcPr>
            <w:tcW w:w="426" w:type="dxa"/>
            <w:tcBorders>
              <w:top w:val="single" w:sz="4" w:space="0" w:color="auto"/>
              <w:left w:val="single" w:sz="4" w:space="0" w:color="auto"/>
              <w:bottom w:val="single" w:sz="4" w:space="0" w:color="auto"/>
              <w:right w:val="single" w:sz="4" w:space="0" w:color="auto"/>
            </w:tcBorders>
            <w:hideMark/>
          </w:tcPr>
          <w:p w14:paraId="6F8D6976" w14:textId="77777777" w:rsidR="000033E5" w:rsidRDefault="000033E5" w:rsidP="00776C46">
            <w:pPr>
              <w:jc w:val="center"/>
            </w:pPr>
            <w:r>
              <w:t>6</w:t>
            </w:r>
          </w:p>
        </w:tc>
        <w:tc>
          <w:tcPr>
            <w:tcW w:w="426" w:type="dxa"/>
            <w:tcBorders>
              <w:top w:val="single" w:sz="4" w:space="0" w:color="auto"/>
              <w:left w:val="single" w:sz="4" w:space="0" w:color="auto"/>
              <w:bottom w:val="single" w:sz="4" w:space="0" w:color="auto"/>
              <w:right w:val="single" w:sz="4" w:space="0" w:color="auto"/>
            </w:tcBorders>
            <w:hideMark/>
          </w:tcPr>
          <w:p w14:paraId="1F13D246" w14:textId="77777777" w:rsidR="000033E5" w:rsidRDefault="000033E5" w:rsidP="00776C46">
            <w:pPr>
              <w:jc w:val="center"/>
            </w:pPr>
            <w:r>
              <w:t>7</w:t>
            </w:r>
          </w:p>
        </w:tc>
        <w:tc>
          <w:tcPr>
            <w:tcW w:w="426" w:type="dxa"/>
            <w:tcBorders>
              <w:top w:val="single" w:sz="4" w:space="0" w:color="auto"/>
              <w:left w:val="single" w:sz="4" w:space="0" w:color="auto"/>
              <w:bottom w:val="single" w:sz="4" w:space="0" w:color="auto"/>
              <w:right w:val="single" w:sz="4" w:space="0" w:color="auto"/>
            </w:tcBorders>
            <w:hideMark/>
          </w:tcPr>
          <w:p w14:paraId="56768B63" w14:textId="77777777" w:rsidR="000033E5" w:rsidRDefault="000033E5" w:rsidP="00776C46">
            <w:pPr>
              <w:jc w:val="center"/>
            </w:pPr>
            <w:r>
              <w:t>8</w:t>
            </w:r>
          </w:p>
        </w:tc>
        <w:tc>
          <w:tcPr>
            <w:tcW w:w="425" w:type="dxa"/>
            <w:tcBorders>
              <w:top w:val="single" w:sz="4" w:space="0" w:color="auto"/>
              <w:left w:val="single" w:sz="4" w:space="0" w:color="auto"/>
              <w:bottom w:val="single" w:sz="4" w:space="0" w:color="auto"/>
              <w:right w:val="single" w:sz="4" w:space="0" w:color="auto"/>
            </w:tcBorders>
            <w:hideMark/>
          </w:tcPr>
          <w:p w14:paraId="1CCE4B81" w14:textId="77777777" w:rsidR="000033E5" w:rsidRDefault="000033E5" w:rsidP="00776C46">
            <w:pPr>
              <w:jc w:val="center"/>
            </w:pPr>
            <w:r>
              <w:t>1</w:t>
            </w:r>
          </w:p>
        </w:tc>
        <w:tc>
          <w:tcPr>
            <w:tcW w:w="426" w:type="dxa"/>
            <w:tcBorders>
              <w:top w:val="single" w:sz="4" w:space="0" w:color="auto"/>
              <w:left w:val="single" w:sz="4" w:space="0" w:color="auto"/>
              <w:bottom w:val="single" w:sz="4" w:space="0" w:color="auto"/>
              <w:right w:val="single" w:sz="4" w:space="0" w:color="auto"/>
            </w:tcBorders>
            <w:hideMark/>
          </w:tcPr>
          <w:p w14:paraId="313354FA" w14:textId="77777777" w:rsidR="000033E5" w:rsidRDefault="000033E5" w:rsidP="00776C46">
            <w:pPr>
              <w:jc w:val="center"/>
            </w:pPr>
            <w:r>
              <w:t>2</w:t>
            </w:r>
          </w:p>
        </w:tc>
        <w:tc>
          <w:tcPr>
            <w:tcW w:w="425" w:type="dxa"/>
            <w:tcBorders>
              <w:top w:val="single" w:sz="4" w:space="0" w:color="auto"/>
              <w:left w:val="single" w:sz="4" w:space="0" w:color="auto"/>
              <w:bottom w:val="single" w:sz="4" w:space="0" w:color="auto"/>
              <w:right w:val="single" w:sz="4" w:space="0" w:color="auto"/>
            </w:tcBorders>
            <w:hideMark/>
          </w:tcPr>
          <w:p w14:paraId="194FCEBE" w14:textId="77777777" w:rsidR="000033E5" w:rsidRDefault="000033E5" w:rsidP="00776C46">
            <w:pPr>
              <w:jc w:val="center"/>
            </w:pPr>
            <w:r>
              <w:t>3</w:t>
            </w:r>
          </w:p>
        </w:tc>
        <w:tc>
          <w:tcPr>
            <w:tcW w:w="425" w:type="dxa"/>
            <w:tcBorders>
              <w:top w:val="single" w:sz="4" w:space="0" w:color="auto"/>
              <w:left w:val="single" w:sz="4" w:space="0" w:color="auto"/>
              <w:bottom w:val="single" w:sz="4" w:space="0" w:color="auto"/>
              <w:right w:val="single" w:sz="4" w:space="0" w:color="auto"/>
            </w:tcBorders>
            <w:hideMark/>
          </w:tcPr>
          <w:p w14:paraId="25BB1349" w14:textId="77777777" w:rsidR="000033E5" w:rsidRDefault="000033E5" w:rsidP="00776C46">
            <w:pPr>
              <w:jc w:val="center"/>
            </w:pPr>
            <w:r>
              <w:t>4</w:t>
            </w:r>
          </w:p>
        </w:tc>
        <w:tc>
          <w:tcPr>
            <w:tcW w:w="425" w:type="dxa"/>
            <w:tcBorders>
              <w:top w:val="single" w:sz="4" w:space="0" w:color="auto"/>
              <w:left w:val="single" w:sz="4" w:space="0" w:color="auto"/>
              <w:bottom w:val="single" w:sz="4" w:space="0" w:color="auto"/>
              <w:right w:val="single" w:sz="4" w:space="0" w:color="auto"/>
            </w:tcBorders>
            <w:hideMark/>
          </w:tcPr>
          <w:p w14:paraId="14DF9D35" w14:textId="77777777" w:rsidR="000033E5" w:rsidRDefault="000033E5" w:rsidP="00776C46">
            <w:pPr>
              <w:jc w:val="center"/>
            </w:pPr>
            <w:r>
              <w:t>5</w:t>
            </w:r>
          </w:p>
        </w:tc>
        <w:tc>
          <w:tcPr>
            <w:tcW w:w="426" w:type="dxa"/>
            <w:tcBorders>
              <w:top w:val="single" w:sz="4" w:space="0" w:color="auto"/>
              <w:left w:val="single" w:sz="4" w:space="0" w:color="auto"/>
              <w:bottom w:val="single" w:sz="4" w:space="0" w:color="auto"/>
              <w:right w:val="single" w:sz="4" w:space="0" w:color="auto"/>
            </w:tcBorders>
            <w:hideMark/>
          </w:tcPr>
          <w:p w14:paraId="619EAAE1" w14:textId="77777777" w:rsidR="000033E5" w:rsidRDefault="000033E5" w:rsidP="00776C46">
            <w:pPr>
              <w:jc w:val="center"/>
            </w:pPr>
            <w:r>
              <w:t>6</w:t>
            </w:r>
          </w:p>
        </w:tc>
        <w:tc>
          <w:tcPr>
            <w:tcW w:w="425" w:type="dxa"/>
            <w:tcBorders>
              <w:top w:val="single" w:sz="4" w:space="0" w:color="auto"/>
              <w:left w:val="single" w:sz="4" w:space="0" w:color="auto"/>
              <w:bottom w:val="single" w:sz="4" w:space="0" w:color="auto"/>
              <w:right w:val="single" w:sz="4" w:space="0" w:color="auto"/>
            </w:tcBorders>
            <w:hideMark/>
          </w:tcPr>
          <w:p w14:paraId="1F0E7586" w14:textId="77777777" w:rsidR="000033E5" w:rsidRDefault="000033E5" w:rsidP="00776C46">
            <w:pPr>
              <w:jc w:val="center"/>
            </w:pPr>
            <w:r>
              <w:t>7</w:t>
            </w:r>
          </w:p>
        </w:tc>
        <w:tc>
          <w:tcPr>
            <w:tcW w:w="425" w:type="dxa"/>
            <w:tcBorders>
              <w:top w:val="single" w:sz="4" w:space="0" w:color="auto"/>
              <w:left w:val="single" w:sz="4" w:space="0" w:color="auto"/>
              <w:bottom w:val="single" w:sz="4" w:space="0" w:color="auto"/>
              <w:right w:val="single" w:sz="4" w:space="0" w:color="auto"/>
            </w:tcBorders>
            <w:hideMark/>
          </w:tcPr>
          <w:p w14:paraId="08BF4BDB" w14:textId="77777777" w:rsidR="000033E5" w:rsidRDefault="000033E5" w:rsidP="00776C46">
            <w:pPr>
              <w:jc w:val="center"/>
            </w:pPr>
            <w:r>
              <w:t>8</w:t>
            </w:r>
          </w:p>
        </w:tc>
        <w:tc>
          <w:tcPr>
            <w:tcW w:w="425" w:type="dxa"/>
            <w:tcBorders>
              <w:top w:val="single" w:sz="4" w:space="0" w:color="auto"/>
              <w:left w:val="single" w:sz="4" w:space="0" w:color="auto"/>
              <w:bottom w:val="single" w:sz="4" w:space="0" w:color="auto"/>
              <w:right w:val="single" w:sz="4" w:space="0" w:color="auto"/>
            </w:tcBorders>
            <w:hideMark/>
          </w:tcPr>
          <w:p w14:paraId="2DCDD08C" w14:textId="77777777" w:rsidR="000033E5" w:rsidRDefault="000033E5" w:rsidP="00776C46">
            <w:pPr>
              <w:jc w:val="center"/>
            </w:pPr>
            <w:r>
              <w:t>9</w:t>
            </w:r>
          </w:p>
        </w:tc>
        <w:tc>
          <w:tcPr>
            <w:tcW w:w="496" w:type="dxa"/>
            <w:tcBorders>
              <w:top w:val="single" w:sz="4" w:space="0" w:color="auto"/>
              <w:left w:val="single" w:sz="4" w:space="0" w:color="auto"/>
              <w:bottom w:val="single" w:sz="4" w:space="0" w:color="auto"/>
              <w:right w:val="single" w:sz="4" w:space="0" w:color="auto"/>
            </w:tcBorders>
            <w:hideMark/>
          </w:tcPr>
          <w:p w14:paraId="4BC66958" w14:textId="77777777" w:rsidR="000033E5" w:rsidRPr="00371272" w:rsidRDefault="000033E5" w:rsidP="00776C46">
            <w:pPr>
              <w:jc w:val="center"/>
              <w:rPr>
                <w:sz w:val="18"/>
                <w:szCs w:val="22"/>
              </w:rPr>
            </w:pPr>
            <w:r w:rsidRPr="00371272">
              <w:rPr>
                <w:sz w:val="18"/>
                <w:szCs w:val="22"/>
              </w:rPr>
              <w:t>1</w:t>
            </w:r>
          </w:p>
        </w:tc>
        <w:tc>
          <w:tcPr>
            <w:tcW w:w="497" w:type="dxa"/>
            <w:tcBorders>
              <w:top w:val="single" w:sz="4" w:space="0" w:color="auto"/>
              <w:left w:val="single" w:sz="4" w:space="0" w:color="auto"/>
              <w:bottom w:val="single" w:sz="4" w:space="0" w:color="auto"/>
              <w:right w:val="single" w:sz="4" w:space="0" w:color="auto"/>
            </w:tcBorders>
            <w:hideMark/>
          </w:tcPr>
          <w:p w14:paraId="15C430AF" w14:textId="77777777" w:rsidR="000033E5" w:rsidRPr="00371272" w:rsidRDefault="000033E5" w:rsidP="00776C46">
            <w:pPr>
              <w:jc w:val="center"/>
              <w:rPr>
                <w:sz w:val="18"/>
                <w:szCs w:val="22"/>
              </w:rPr>
            </w:pPr>
            <w:r w:rsidRPr="00371272">
              <w:rPr>
                <w:sz w:val="18"/>
                <w:szCs w:val="22"/>
              </w:rPr>
              <w:t>2</w:t>
            </w:r>
          </w:p>
        </w:tc>
      </w:tr>
      <w:tr w:rsidR="000033E5" w14:paraId="58181821" w14:textId="77777777" w:rsidTr="002A6BB4">
        <w:trPr>
          <w:trHeight w:val="310"/>
        </w:trPr>
        <w:tc>
          <w:tcPr>
            <w:tcW w:w="3390" w:type="dxa"/>
            <w:tcBorders>
              <w:top w:val="single" w:sz="4" w:space="0" w:color="auto"/>
              <w:left w:val="single" w:sz="4" w:space="0" w:color="auto"/>
              <w:bottom w:val="single" w:sz="4" w:space="0" w:color="auto"/>
              <w:right w:val="single" w:sz="4" w:space="0" w:color="auto"/>
            </w:tcBorders>
            <w:hideMark/>
          </w:tcPr>
          <w:p w14:paraId="7FBD77AA" w14:textId="77777777" w:rsidR="000033E5" w:rsidRDefault="000033E5" w:rsidP="00776C46">
            <w:pPr>
              <w:spacing w:line="240" w:lineRule="auto"/>
              <w:rPr>
                <w:i/>
                <w:iCs/>
              </w:rPr>
            </w:pPr>
            <w:r>
              <w:rPr>
                <w:i/>
                <w:iCs/>
              </w:rPr>
              <w:t>Own health</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2A4B2B7"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368D6FF" w14:textId="77777777" w:rsidR="000033E5" w:rsidRDefault="000033E5" w:rsidP="00776C46">
            <w:pPr>
              <w:jc w:val="center"/>
              <w:rPr>
                <w:sz w:val="14"/>
                <w:szCs w:val="14"/>
              </w:rPr>
            </w:pPr>
            <w:r>
              <w:rPr>
                <w:sz w:val="14"/>
                <w:szCs w:val="14"/>
              </w:rPr>
              <w:t>NA</w:t>
            </w:r>
          </w:p>
        </w:tc>
        <w:tc>
          <w:tcPr>
            <w:tcW w:w="42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80CB72D"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ADBF836" w14:textId="77777777" w:rsidR="000033E5" w:rsidRDefault="000033E5" w:rsidP="00776C46">
            <w:pPr>
              <w:jc w:val="center"/>
              <w:rPr>
                <w:sz w:val="14"/>
                <w:szCs w:val="14"/>
              </w:rPr>
            </w:pPr>
            <w:r>
              <w:rPr>
                <w:sz w:val="14"/>
                <w:szCs w:val="14"/>
              </w:rPr>
              <w:t>NA</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3CE18AB" w14:textId="77777777" w:rsidR="000033E5" w:rsidRDefault="000033E5" w:rsidP="00776C46">
            <w:pPr>
              <w:jc w:val="center"/>
              <w:rPr>
                <w:sz w:val="14"/>
                <w:szCs w:val="14"/>
              </w:rPr>
            </w:pPr>
            <w:r>
              <w:rPr>
                <w:sz w:val="14"/>
                <w:szCs w:val="14"/>
              </w:rPr>
              <w:t>NA</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4952512" w14:textId="77777777" w:rsidR="000033E5" w:rsidRDefault="000033E5" w:rsidP="00776C46">
            <w:pPr>
              <w:jc w:val="center"/>
              <w:rPr>
                <w:sz w:val="14"/>
                <w:szCs w:val="14"/>
              </w:rPr>
            </w:pPr>
            <w:r>
              <w:rPr>
                <w:sz w:val="14"/>
                <w:szCs w:val="14"/>
              </w:rPr>
              <w:t>NA</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8BC1248" w14:textId="77777777" w:rsidR="000033E5" w:rsidRDefault="000033E5" w:rsidP="00776C46">
            <w:pPr>
              <w:jc w:val="center"/>
              <w:rPr>
                <w:sz w:val="14"/>
                <w:szCs w:val="14"/>
              </w:rPr>
            </w:pPr>
            <w:r>
              <w:rPr>
                <w:sz w:val="14"/>
                <w:szCs w:val="14"/>
              </w:rPr>
              <w:t>NA</w:t>
            </w:r>
          </w:p>
        </w:tc>
        <w:tc>
          <w:tcPr>
            <w:tcW w:w="43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2163FD3" w14:textId="77777777" w:rsidR="000033E5" w:rsidRDefault="000033E5" w:rsidP="00776C46">
            <w:pPr>
              <w:jc w:val="center"/>
              <w:rPr>
                <w:sz w:val="14"/>
                <w:szCs w:val="14"/>
              </w:rPr>
            </w:pPr>
            <w:r>
              <w:rPr>
                <w:sz w:val="14"/>
                <w:szCs w:val="14"/>
              </w:rPr>
              <w:t>NA</w:t>
            </w:r>
          </w:p>
        </w:tc>
        <w:tc>
          <w:tcPr>
            <w:tcW w:w="43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A9B8287" w14:textId="77777777" w:rsidR="000033E5" w:rsidRDefault="000033E5" w:rsidP="00776C46">
            <w:pPr>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AEB5F12" w14:textId="77777777" w:rsidR="000033E5" w:rsidRDefault="000033E5" w:rsidP="00776C46">
            <w:pPr>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2AAE9D7" w14:textId="77777777" w:rsidR="000033E5" w:rsidRDefault="000033E5" w:rsidP="00776C46">
            <w:pPr>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1D9AEB5"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71001D1"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C225AE9" w14:textId="77777777" w:rsidR="000033E5" w:rsidRDefault="000033E5" w:rsidP="00776C46">
            <w:pPr>
              <w:jc w:val="center"/>
              <w:rPr>
                <w:sz w:val="14"/>
                <w:szCs w:val="14"/>
              </w:rPr>
            </w:pPr>
            <w:r>
              <w:rPr>
                <w:sz w:val="14"/>
                <w:szCs w:val="14"/>
              </w:rPr>
              <w:t>NA</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D067F07"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D43F5F9" w14:textId="77777777" w:rsidR="000033E5" w:rsidRDefault="000033E5" w:rsidP="00776C46">
            <w:pPr>
              <w:jc w:val="center"/>
              <w:rPr>
                <w:sz w:val="14"/>
                <w:szCs w:val="14"/>
              </w:rPr>
            </w:pPr>
            <w:r>
              <w:rPr>
                <w:sz w:val="14"/>
                <w:szCs w:val="14"/>
              </w:rPr>
              <w:t>NA</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34047C4" w14:textId="77777777" w:rsidR="000033E5" w:rsidRDefault="000033E5" w:rsidP="00776C46">
            <w:pPr>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40E2337" w14:textId="77777777" w:rsidR="000033E5" w:rsidRDefault="000033E5" w:rsidP="00776C46">
            <w:pPr>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D69B5DF" w14:textId="77777777" w:rsidR="000033E5" w:rsidRDefault="000033E5" w:rsidP="00776C46">
            <w:pPr>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B72EB06" w14:textId="77777777" w:rsidR="000033E5" w:rsidRDefault="000033E5" w:rsidP="00776C46">
            <w:pPr>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2AF3C2B" w14:textId="77777777" w:rsidR="000033E5" w:rsidRDefault="000033E5" w:rsidP="00776C46">
            <w:pPr>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7A4022F" w14:textId="77777777" w:rsidR="000033E5" w:rsidRDefault="000033E5" w:rsidP="00776C46">
            <w:pPr>
              <w:rPr>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9F48046" w14:textId="77777777" w:rsidR="000033E5" w:rsidRDefault="000033E5" w:rsidP="00776C46">
            <w:pPr>
              <w:jc w:val="center"/>
              <w:rPr>
                <w:sz w:val="14"/>
                <w:szCs w:val="14"/>
              </w:rPr>
            </w:pPr>
          </w:p>
        </w:tc>
        <w:tc>
          <w:tcPr>
            <w:tcW w:w="49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3E9B495" w14:textId="77777777" w:rsidR="000033E5" w:rsidRDefault="000033E5" w:rsidP="00776C46">
            <w:pPr>
              <w:jc w:val="center"/>
              <w:rPr>
                <w:sz w:val="14"/>
                <w:szCs w:val="14"/>
              </w:rPr>
            </w:pPr>
            <w:r>
              <w:rPr>
                <w:sz w:val="14"/>
                <w:szCs w:val="14"/>
              </w:rPr>
              <w:t>NA</w:t>
            </w:r>
          </w:p>
        </w:tc>
        <w:tc>
          <w:tcPr>
            <w:tcW w:w="49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7C15F9E" w14:textId="77777777" w:rsidR="000033E5" w:rsidRDefault="000033E5" w:rsidP="00776C46">
            <w:pPr>
              <w:jc w:val="center"/>
              <w:rPr>
                <w:sz w:val="14"/>
                <w:szCs w:val="14"/>
              </w:rPr>
            </w:pPr>
          </w:p>
        </w:tc>
      </w:tr>
      <w:tr w:rsidR="000033E5" w14:paraId="608B9C54" w14:textId="77777777" w:rsidTr="002A6BB4">
        <w:trPr>
          <w:trHeight w:val="310"/>
        </w:trPr>
        <w:tc>
          <w:tcPr>
            <w:tcW w:w="3390" w:type="dxa"/>
            <w:tcBorders>
              <w:top w:val="single" w:sz="4" w:space="0" w:color="auto"/>
              <w:left w:val="single" w:sz="4" w:space="0" w:color="auto"/>
              <w:bottom w:val="single" w:sz="4" w:space="0" w:color="auto"/>
              <w:right w:val="single" w:sz="4" w:space="0" w:color="auto"/>
            </w:tcBorders>
            <w:hideMark/>
          </w:tcPr>
          <w:p w14:paraId="4CC64A11" w14:textId="77777777" w:rsidR="000033E5" w:rsidRDefault="000033E5" w:rsidP="00776C46">
            <w:pPr>
              <w:spacing w:line="240" w:lineRule="auto"/>
              <w:rPr>
                <w:i/>
                <w:iCs/>
              </w:rPr>
            </w:pPr>
            <w:r>
              <w:rPr>
                <w:i/>
                <w:iCs/>
              </w:rPr>
              <w:t>Money</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E144D2F"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BE1EA34" w14:textId="77777777" w:rsidR="000033E5" w:rsidRDefault="000033E5" w:rsidP="00776C46">
            <w:pPr>
              <w:jc w:val="center"/>
              <w:rPr>
                <w:sz w:val="14"/>
                <w:szCs w:val="14"/>
              </w:rPr>
            </w:pPr>
            <w:r>
              <w:rPr>
                <w:sz w:val="14"/>
                <w:szCs w:val="14"/>
              </w:rPr>
              <w:t>NA</w:t>
            </w:r>
          </w:p>
        </w:tc>
        <w:tc>
          <w:tcPr>
            <w:tcW w:w="42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4E2968C"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3B6418A" w14:textId="77777777" w:rsidR="000033E5" w:rsidRDefault="000033E5" w:rsidP="00776C46">
            <w:pPr>
              <w:jc w:val="center"/>
              <w:rPr>
                <w:sz w:val="14"/>
                <w:szCs w:val="14"/>
              </w:rPr>
            </w:pPr>
            <w:r>
              <w:rPr>
                <w:sz w:val="14"/>
                <w:szCs w:val="14"/>
              </w:rPr>
              <w:t>NA</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1FD2C51" w14:textId="77777777" w:rsidR="000033E5" w:rsidRDefault="000033E5" w:rsidP="00776C46">
            <w:pPr>
              <w:jc w:val="center"/>
              <w:rPr>
                <w:sz w:val="14"/>
                <w:szCs w:val="14"/>
              </w:rPr>
            </w:pPr>
            <w:r>
              <w:rPr>
                <w:sz w:val="14"/>
                <w:szCs w:val="14"/>
              </w:rPr>
              <w:t>NA</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899E975" w14:textId="77777777" w:rsidR="000033E5" w:rsidRDefault="000033E5" w:rsidP="00776C46">
            <w:pPr>
              <w:jc w:val="center"/>
              <w:rPr>
                <w:sz w:val="14"/>
                <w:szCs w:val="14"/>
              </w:rPr>
            </w:pPr>
            <w:r>
              <w:rPr>
                <w:sz w:val="14"/>
                <w:szCs w:val="14"/>
              </w:rPr>
              <w:t>NA</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39DF2AA" w14:textId="77777777" w:rsidR="000033E5" w:rsidRDefault="000033E5" w:rsidP="00776C46">
            <w:pPr>
              <w:jc w:val="center"/>
              <w:rPr>
                <w:sz w:val="14"/>
                <w:szCs w:val="14"/>
              </w:rPr>
            </w:pPr>
            <w:r>
              <w:rPr>
                <w:sz w:val="14"/>
                <w:szCs w:val="14"/>
              </w:rPr>
              <w:t>NA</w:t>
            </w:r>
          </w:p>
        </w:tc>
        <w:tc>
          <w:tcPr>
            <w:tcW w:w="43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D733056" w14:textId="77777777" w:rsidR="000033E5" w:rsidRDefault="000033E5" w:rsidP="00776C46">
            <w:pPr>
              <w:jc w:val="center"/>
              <w:rPr>
                <w:sz w:val="14"/>
                <w:szCs w:val="14"/>
              </w:rPr>
            </w:pPr>
            <w:r>
              <w:rPr>
                <w:sz w:val="14"/>
                <w:szCs w:val="14"/>
              </w:rPr>
              <w:t>NA</w:t>
            </w:r>
          </w:p>
        </w:tc>
        <w:tc>
          <w:tcPr>
            <w:tcW w:w="43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7121F25"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D41A85A"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AE483B4"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B9D3F5E"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A94F514"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F8AEAE4" w14:textId="77777777" w:rsidR="000033E5" w:rsidRDefault="000033E5" w:rsidP="00776C46">
            <w:pPr>
              <w:jc w:val="center"/>
              <w:rPr>
                <w:sz w:val="14"/>
                <w:szCs w:val="14"/>
              </w:rPr>
            </w:pPr>
            <w:r>
              <w:rPr>
                <w:sz w:val="14"/>
                <w:szCs w:val="14"/>
              </w:rPr>
              <w:t>NA</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F61F283"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BA16295" w14:textId="77777777" w:rsidR="000033E5" w:rsidRDefault="000033E5" w:rsidP="00776C46">
            <w:pPr>
              <w:jc w:val="center"/>
              <w:rPr>
                <w:sz w:val="14"/>
                <w:szCs w:val="14"/>
              </w:rPr>
            </w:pPr>
            <w:r>
              <w:rPr>
                <w:sz w:val="14"/>
                <w:szCs w:val="14"/>
              </w:rPr>
              <w:t>NA</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94FC38C" w14:textId="77777777" w:rsidR="000033E5" w:rsidRDefault="000033E5" w:rsidP="00776C46">
            <w:pPr>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40DAE65" w14:textId="77777777" w:rsidR="000033E5" w:rsidRDefault="000033E5" w:rsidP="00776C46">
            <w:pPr>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BE83F0A" w14:textId="77777777" w:rsidR="000033E5" w:rsidRDefault="000033E5" w:rsidP="00776C46">
            <w:pPr>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7C7677C" w14:textId="77777777" w:rsidR="000033E5" w:rsidRDefault="000033E5" w:rsidP="00776C46">
            <w:pPr>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7D9B578" w14:textId="77777777" w:rsidR="000033E5" w:rsidRDefault="000033E5" w:rsidP="00776C46">
            <w:pPr>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613A9FD" w14:textId="77777777" w:rsidR="000033E5" w:rsidRDefault="000033E5" w:rsidP="00776C46">
            <w:pPr>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B6D303E" w14:textId="77777777" w:rsidR="000033E5" w:rsidRDefault="000033E5" w:rsidP="00776C46">
            <w:pPr>
              <w:jc w:val="center"/>
              <w:rPr>
                <w:sz w:val="14"/>
                <w:szCs w:val="14"/>
              </w:rPr>
            </w:pPr>
          </w:p>
        </w:tc>
        <w:tc>
          <w:tcPr>
            <w:tcW w:w="49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6E0927D" w14:textId="77777777" w:rsidR="000033E5" w:rsidRDefault="000033E5" w:rsidP="00776C46">
            <w:pPr>
              <w:jc w:val="center"/>
              <w:rPr>
                <w:sz w:val="14"/>
                <w:szCs w:val="14"/>
              </w:rPr>
            </w:pPr>
            <w:r>
              <w:rPr>
                <w:sz w:val="14"/>
                <w:szCs w:val="14"/>
              </w:rPr>
              <w:t>NA</w:t>
            </w:r>
          </w:p>
        </w:tc>
        <w:tc>
          <w:tcPr>
            <w:tcW w:w="49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060A8B0" w14:textId="77777777" w:rsidR="000033E5" w:rsidRDefault="000033E5" w:rsidP="00776C46">
            <w:pPr>
              <w:jc w:val="center"/>
              <w:rPr>
                <w:sz w:val="14"/>
                <w:szCs w:val="14"/>
              </w:rPr>
            </w:pPr>
          </w:p>
        </w:tc>
      </w:tr>
      <w:tr w:rsidR="000033E5" w14:paraId="41B125EE" w14:textId="77777777" w:rsidTr="002A6BB4">
        <w:trPr>
          <w:trHeight w:val="310"/>
        </w:trPr>
        <w:tc>
          <w:tcPr>
            <w:tcW w:w="3390" w:type="dxa"/>
            <w:tcBorders>
              <w:top w:val="single" w:sz="4" w:space="0" w:color="auto"/>
              <w:left w:val="single" w:sz="4" w:space="0" w:color="auto"/>
              <w:bottom w:val="single" w:sz="4" w:space="0" w:color="auto"/>
              <w:right w:val="single" w:sz="4" w:space="0" w:color="auto"/>
            </w:tcBorders>
            <w:hideMark/>
          </w:tcPr>
          <w:p w14:paraId="2EABF459" w14:textId="77777777" w:rsidR="000033E5" w:rsidRDefault="000033E5" w:rsidP="00776C46">
            <w:pPr>
              <w:spacing w:line="240" w:lineRule="auto"/>
              <w:rPr>
                <w:i/>
                <w:iCs/>
              </w:rPr>
            </w:pPr>
            <w:r>
              <w:rPr>
                <w:i/>
                <w:iCs/>
              </w:rPr>
              <w:t>Living arrangements</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5C9D17A"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A75F24F" w14:textId="77777777" w:rsidR="000033E5" w:rsidRDefault="000033E5" w:rsidP="00776C46">
            <w:pPr>
              <w:jc w:val="center"/>
              <w:rPr>
                <w:sz w:val="14"/>
                <w:szCs w:val="14"/>
              </w:rPr>
            </w:pPr>
            <w:r>
              <w:rPr>
                <w:sz w:val="14"/>
                <w:szCs w:val="14"/>
              </w:rPr>
              <w:t>NA</w:t>
            </w:r>
          </w:p>
        </w:tc>
        <w:tc>
          <w:tcPr>
            <w:tcW w:w="42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9DDBB5C"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A69793C" w14:textId="77777777" w:rsidR="000033E5" w:rsidRDefault="000033E5" w:rsidP="00776C46">
            <w:pPr>
              <w:jc w:val="center"/>
              <w:rPr>
                <w:sz w:val="14"/>
                <w:szCs w:val="14"/>
              </w:rPr>
            </w:pPr>
            <w:r>
              <w:rPr>
                <w:sz w:val="14"/>
                <w:szCs w:val="14"/>
              </w:rPr>
              <w:t>NA</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B5CD134" w14:textId="77777777" w:rsidR="000033E5" w:rsidRDefault="000033E5" w:rsidP="00776C46">
            <w:pPr>
              <w:jc w:val="center"/>
              <w:rPr>
                <w:sz w:val="14"/>
                <w:szCs w:val="14"/>
              </w:rPr>
            </w:pPr>
            <w:r>
              <w:rPr>
                <w:sz w:val="14"/>
                <w:szCs w:val="14"/>
              </w:rPr>
              <w:t>NA</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2D2B2FF" w14:textId="77777777" w:rsidR="000033E5" w:rsidRDefault="000033E5" w:rsidP="00776C46">
            <w:pPr>
              <w:jc w:val="center"/>
              <w:rPr>
                <w:sz w:val="14"/>
                <w:szCs w:val="14"/>
              </w:rPr>
            </w:pPr>
            <w:r>
              <w:rPr>
                <w:sz w:val="14"/>
                <w:szCs w:val="14"/>
              </w:rPr>
              <w:t>NA</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829CB42" w14:textId="77777777" w:rsidR="000033E5" w:rsidRDefault="000033E5" w:rsidP="00776C46">
            <w:pPr>
              <w:jc w:val="center"/>
              <w:rPr>
                <w:sz w:val="14"/>
                <w:szCs w:val="14"/>
              </w:rPr>
            </w:pPr>
            <w:r>
              <w:rPr>
                <w:sz w:val="14"/>
                <w:szCs w:val="14"/>
              </w:rPr>
              <w:t>NA</w:t>
            </w:r>
          </w:p>
        </w:tc>
        <w:tc>
          <w:tcPr>
            <w:tcW w:w="43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6678F07" w14:textId="77777777" w:rsidR="000033E5" w:rsidRDefault="000033E5" w:rsidP="00776C46">
            <w:pPr>
              <w:jc w:val="center"/>
              <w:rPr>
                <w:sz w:val="14"/>
                <w:szCs w:val="14"/>
              </w:rPr>
            </w:pPr>
            <w:r>
              <w:rPr>
                <w:sz w:val="14"/>
                <w:szCs w:val="14"/>
              </w:rPr>
              <w:t>NA</w:t>
            </w:r>
          </w:p>
        </w:tc>
        <w:tc>
          <w:tcPr>
            <w:tcW w:w="43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DE6B02C"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6015D68"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D6914F5"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355BAFE"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AF380C1"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A9F6E31" w14:textId="77777777" w:rsidR="000033E5" w:rsidRDefault="000033E5" w:rsidP="00776C46">
            <w:pPr>
              <w:jc w:val="center"/>
              <w:rPr>
                <w:sz w:val="14"/>
                <w:szCs w:val="14"/>
              </w:rPr>
            </w:pPr>
            <w:r>
              <w:rPr>
                <w:sz w:val="14"/>
                <w:szCs w:val="14"/>
              </w:rPr>
              <w:t>NA</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1530DDD" w14:textId="77777777" w:rsidR="000033E5" w:rsidRDefault="000033E5" w:rsidP="00776C46">
            <w:pPr>
              <w:jc w:val="center"/>
              <w:rPr>
                <w:sz w:val="14"/>
                <w:szCs w:val="14"/>
              </w:rPr>
            </w:pPr>
            <w:r>
              <w:rPr>
                <w:sz w:val="14"/>
                <w:szCs w:val="14"/>
              </w:rPr>
              <w:t>NA</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A47BCBE" w14:textId="77777777" w:rsidR="000033E5" w:rsidRDefault="000033E5" w:rsidP="00776C46">
            <w:pPr>
              <w:jc w:val="center"/>
              <w:rPr>
                <w:sz w:val="14"/>
                <w:szCs w:val="14"/>
              </w:rPr>
            </w:pPr>
            <w:r>
              <w:rPr>
                <w:sz w:val="14"/>
                <w:szCs w:val="14"/>
              </w:rPr>
              <w:t>NA</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D207667" w14:textId="77777777" w:rsidR="000033E5" w:rsidRDefault="000033E5" w:rsidP="00776C46">
            <w:pPr>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16B1BCA" w14:textId="77777777" w:rsidR="000033E5" w:rsidRDefault="000033E5" w:rsidP="00776C46">
            <w:pPr>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5161470" w14:textId="77777777" w:rsidR="000033E5" w:rsidRDefault="000033E5" w:rsidP="00776C46">
            <w:pPr>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B1AD080" w14:textId="77777777" w:rsidR="000033E5" w:rsidRDefault="000033E5" w:rsidP="00776C46">
            <w:pPr>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EBD80BD" w14:textId="77777777" w:rsidR="000033E5" w:rsidRDefault="000033E5" w:rsidP="00776C46">
            <w:pPr>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7009C05" w14:textId="77777777" w:rsidR="000033E5" w:rsidRDefault="000033E5" w:rsidP="00776C46">
            <w:pPr>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D6E18A0" w14:textId="77777777" w:rsidR="000033E5" w:rsidRDefault="000033E5" w:rsidP="00776C46">
            <w:pPr>
              <w:jc w:val="center"/>
              <w:rPr>
                <w:sz w:val="14"/>
                <w:szCs w:val="14"/>
              </w:rPr>
            </w:pPr>
          </w:p>
        </w:tc>
        <w:tc>
          <w:tcPr>
            <w:tcW w:w="49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3B37D6E" w14:textId="77777777" w:rsidR="000033E5" w:rsidRDefault="000033E5" w:rsidP="00776C46">
            <w:pPr>
              <w:jc w:val="center"/>
              <w:rPr>
                <w:sz w:val="14"/>
                <w:szCs w:val="14"/>
              </w:rPr>
            </w:pPr>
            <w:r>
              <w:rPr>
                <w:sz w:val="14"/>
                <w:szCs w:val="14"/>
              </w:rPr>
              <w:t>NA</w:t>
            </w:r>
          </w:p>
        </w:tc>
        <w:tc>
          <w:tcPr>
            <w:tcW w:w="49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7DFAD7E" w14:textId="77777777" w:rsidR="000033E5" w:rsidRDefault="000033E5" w:rsidP="00776C46">
            <w:pPr>
              <w:jc w:val="center"/>
              <w:rPr>
                <w:sz w:val="14"/>
                <w:szCs w:val="14"/>
              </w:rPr>
            </w:pPr>
          </w:p>
        </w:tc>
      </w:tr>
    </w:tbl>
    <w:p w14:paraId="33404DA5" w14:textId="360FA699" w:rsidR="002A6BB4" w:rsidRPr="002A6BB4" w:rsidRDefault="002A6BB4" w:rsidP="002A6BB4">
      <w:pPr>
        <w:ind w:left="-709"/>
        <w:sectPr w:rsidR="002A6BB4" w:rsidRPr="002A6BB4" w:rsidSect="00C93A32">
          <w:pgSz w:w="16838" w:h="11906" w:orient="landscape"/>
          <w:pgMar w:top="1440" w:right="1440" w:bottom="1440" w:left="1440" w:header="708" w:footer="708" w:gutter="0"/>
          <w:cols w:space="708"/>
          <w:docGrid w:linePitch="360"/>
        </w:sectPr>
      </w:pPr>
      <w:r w:rsidRPr="002A6BB4">
        <w:rPr>
          <w:i/>
          <w:iCs/>
        </w:rPr>
        <w:t>Note</w:t>
      </w:r>
      <w:r w:rsidRPr="002A6BB4">
        <w:t>: Not Applicable was available for all other items in all cohorts and waves.</w:t>
      </w:r>
    </w:p>
    <w:p w14:paraId="4AE19FAC" w14:textId="77777777" w:rsidR="0040441E" w:rsidRPr="00B21FF4" w:rsidRDefault="0040441E" w:rsidP="0040441E">
      <w:pPr>
        <w:rPr>
          <w:b/>
          <w:bCs/>
        </w:rPr>
      </w:pPr>
      <w:r w:rsidRPr="00B21FF4">
        <w:rPr>
          <w:b/>
          <w:bCs/>
        </w:rPr>
        <w:lastRenderedPageBreak/>
        <w:t>Derivation of Mean Stress score</w:t>
      </w:r>
    </w:p>
    <w:p w14:paraId="4CB774C8" w14:textId="08C72C0F" w:rsidR="0040441E" w:rsidRDefault="0040441E" w:rsidP="0040441E">
      <w:r>
        <w:t>The mean stress score is calculated from the responses to all the questions</w:t>
      </w:r>
      <w:r w:rsidR="000E6415">
        <w:t xml:space="preserve"> and is </w:t>
      </w:r>
      <w:r>
        <w:t xml:space="preserve">a mean average of the non-missing responses. The survey responses </w:t>
      </w:r>
      <w:r w:rsidR="000E6415">
        <w:t xml:space="preserve">that </w:t>
      </w:r>
      <w:r>
        <w:t xml:space="preserve">are initially valued as 1 to 6 </w:t>
      </w:r>
      <w:r w:rsidR="0007685B">
        <w:t xml:space="preserve">are </w:t>
      </w:r>
      <w:r>
        <w:t xml:space="preserve">recoded to 0 to 4 </w:t>
      </w:r>
      <w:r w:rsidR="0007685B">
        <w:t>(</w:t>
      </w:r>
      <w:r>
        <w:t>shown in</w:t>
      </w:r>
      <w:r w:rsidR="00672804">
        <w:t xml:space="preserve"> </w:t>
      </w:r>
      <w:r w:rsidR="00672804">
        <w:fldChar w:fldCharType="begin"/>
      </w:r>
      <w:r w:rsidR="00672804">
        <w:instrText xml:space="preserve"> REF _Ref111734504 \h </w:instrText>
      </w:r>
      <w:r w:rsidR="00672804">
        <w:fldChar w:fldCharType="separate"/>
      </w:r>
      <w:r w:rsidR="007D19D7">
        <w:t xml:space="preserve">Table </w:t>
      </w:r>
      <w:r w:rsidR="007D19D7">
        <w:rPr>
          <w:noProof/>
        </w:rPr>
        <w:t>7</w:t>
      </w:r>
      <w:r w:rsidR="007D19D7">
        <w:noBreakHyphen/>
      </w:r>
      <w:r w:rsidR="007D19D7">
        <w:rPr>
          <w:noProof/>
        </w:rPr>
        <w:t>2</w:t>
      </w:r>
      <w:r w:rsidR="00672804">
        <w:fldChar w:fldCharType="end"/>
      </w:r>
      <w:r w:rsidR="0007685B">
        <w:t>)</w:t>
      </w:r>
      <w:r>
        <w:t xml:space="preserve">. These values </w:t>
      </w:r>
      <w:r w:rsidR="0007685B">
        <w:t xml:space="preserve">are </w:t>
      </w:r>
      <w:r>
        <w:t xml:space="preserve">then added up and divided by the number of non-missing responses to produce the </w:t>
      </w:r>
      <w:r w:rsidR="0007685B">
        <w:t>m</w:t>
      </w:r>
      <w:r>
        <w:t xml:space="preserve">ean </w:t>
      </w:r>
      <w:r w:rsidR="0007685B">
        <w:t>s</w:t>
      </w:r>
      <w:r>
        <w:t xml:space="preserve">tress value. If there </w:t>
      </w:r>
      <w:r w:rsidR="0007685B">
        <w:t xml:space="preserve">are </w:t>
      </w:r>
      <w:r>
        <w:t xml:space="preserve">fewer than 5 non-missing values, then the mean stress value </w:t>
      </w:r>
      <w:r w:rsidR="0007685B">
        <w:t xml:space="preserve">is </w:t>
      </w:r>
      <w:r>
        <w:t xml:space="preserve">set to missing. </w:t>
      </w:r>
      <w:r w:rsidR="000E6415">
        <w:t xml:space="preserve">The mean stress score </w:t>
      </w:r>
      <w:r>
        <w:t xml:space="preserve">can possibly range from 0 (not stressed to all options) to 4 (extremely stressed to all options). </w:t>
      </w:r>
    </w:p>
    <w:p w14:paraId="3507FAB1" w14:textId="77777777" w:rsidR="0040441E" w:rsidRDefault="0040441E" w:rsidP="001A7C07">
      <w:pPr>
        <w:spacing w:before="0" w:after="0" w:line="240" w:lineRule="auto"/>
      </w:pPr>
    </w:p>
    <w:p w14:paraId="0E293092" w14:textId="6D944102" w:rsidR="0040441E" w:rsidRDefault="000E6415" w:rsidP="0000266C">
      <w:pPr>
        <w:pStyle w:val="Caption"/>
        <w:rPr>
          <w:sz w:val="22"/>
        </w:rPr>
      </w:pPr>
      <w:bookmarkStart w:id="1106" w:name="_Ref111734504"/>
      <w:r>
        <w:t xml:space="preserve">Table </w:t>
      </w:r>
      <w:fldSimple w:instr=" STYLEREF 1 \s ">
        <w:r w:rsidR="007D19D7">
          <w:rPr>
            <w:noProof/>
          </w:rPr>
          <w:t>7</w:t>
        </w:r>
      </w:fldSimple>
      <w:r w:rsidR="00327D59">
        <w:noBreakHyphen/>
      </w:r>
      <w:fldSimple w:instr=" SEQ Table \* ARABIC \s 1 ">
        <w:r w:rsidR="007D19D7">
          <w:rPr>
            <w:noProof/>
          </w:rPr>
          <w:t>2</w:t>
        </w:r>
      </w:fldSimple>
      <w:bookmarkEnd w:id="1106"/>
      <w:r w:rsidRPr="000E6415">
        <w:t xml:space="preserve"> </w:t>
      </w:r>
      <w:r w:rsidR="0040441E" w:rsidRPr="00672804">
        <w:t>Response categories and scoring of stress scale items</w:t>
      </w:r>
    </w:p>
    <w:tbl>
      <w:tblPr>
        <w:tblW w:w="0" w:type="auto"/>
        <w:tblLayout w:type="fixed"/>
        <w:tblLook w:val="04A0" w:firstRow="1" w:lastRow="0" w:firstColumn="1" w:lastColumn="0" w:noHBand="0" w:noVBand="1"/>
      </w:tblPr>
      <w:tblGrid>
        <w:gridCol w:w="817"/>
        <w:gridCol w:w="1521"/>
        <w:gridCol w:w="1238"/>
        <w:gridCol w:w="1237"/>
        <w:gridCol w:w="1391"/>
        <w:gridCol w:w="1084"/>
        <w:gridCol w:w="1238"/>
      </w:tblGrid>
      <w:tr w:rsidR="0040441E" w:rsidRPr="000E6415" w14:paraId="6AD346EB" w14:textId="77777777" w:rsidTr="001A7C07">
        <w:trPr>
          <w:trHeight w:val="340"/>
        </w:trPr>
        <w:tc>
          <w:tcPr>
            <w:tcW w:w="817" w:type="dxa"/>
            <w:tcBorders>
              <w:top w:val="single" w:sz="4" w:space="0" w:color="auto"/>
              <w:left w:val="nil"/>
              <w:bottom w:val="nil"/>
              <w:right w:val="nil"/>
            </w:tcBorders>
            <w:shd w:val="clear" w:color="auto" w:fill="E5DFEC" w:themeFill="accent4" w:themeFillTint="33"/>
          </w:tcPr>
          <w:p w14:paraId="5D390377" w14:textId="77777777" w:rsidR="0040441E" w:rsidRPr="000E6415" w:rsidRDefault="0040441E" w:rsidP="00B42641">
            <w:pPr>
              <w:rPr>
                <w:b/>
                <w:szCs w:val="20"/>
              </w:rPr>
            </w:pPr>
          </w:p>
        </w:tc>
        <w:tc>
          <w:tcPr>
            <w:tcW w:w="1521" w:type="dxa"/>
            <w:tcBorders>
              <w:top w:val="single" w:sz="4" w:space="0" w:color="auto"/>
              <w:left w:val="nil"/>
              <w:bottom w:val="nil"/>
              <w:right w:val="nil"/>
            </w:tcBorders>
            <w:shd w:val="clear" w:color="auto" w:fill="E5DFEC" w:themeFill="accent4" w:themeFillTint="33"/>
          </w:tcPr>
          <w:p w14:paraId="6F46CF6F" w14:textId="77777777" w:rsidR="0040441E" w:rsidRPr="000E6415" w:rsidRDefault="0040441E" w:rsidP="00B42641">
            <w:pPr>
              <w:rPr>
                <w:b/>
                <w:szCs w:val="20"/>
              </w:rPr>
            </w:pPr>
          </w:p>
        </w:tc>
        <w:tc>
          <w:tcPr>
            <w:tcW w:w="1238" w:type="dxa"/>
            <w:tcBorders>
              <w:top w:val="single" w:sz="4" w:space="0" w:color="auto"/>
              <w:left w:val="nil"/>
              <w:bottom w:val="nil"/>
              <w:right w:val="nil"/>
            </w:tcBorders>
            <w:shd w:val="clear" w:color="auto" w:fill="E5DFEC" w:themeFill="accent4" w:themeFillTint="33"/>
          </w:tcPr>
          <w:p w14:paraId="0A90C20C" w14:textId="77777777" w:rsidR="0040441E" w:rsidRPr="000E6415" w:rsidRDefault="0040441E" w:rsidP="00B42641">
            <w:pPr>
              <w:rPr>
                <w:b/>
                <w:szCs w:val="20"/>
              </w:rPr>
            </w:pPr>
          </w:p>
        </w:tc>
        <w:tc>
          <w:tcPr>
            <w:tcW w:w="2628" w:type="dxa"/>
            <w:gridSpan w:val="2"/>
            <w:tcBorders>
              <w:top w:val="single" w:sz="4" w:space="0" w:color="auto"/>
              <w:left w:val="nil"/>
              <w:bottom w:val="nil"/>
              <w:right w:val="nil"/>
            </w:tcBorders>
            <w:shd w:val="clear" w:color="auto" w:fill="E5DFEC" w:themeFill="accent4" w:themeFillTint="33"/>
            <w:vAlign w:val="center"/>
            <w:hideMark/>
          </w:tcPr>
          <w:p w14:paraId="6E710F69" w14:textId="77777777" w:rsidR="0040441E" w:rsidRPr="00672804" w:rsidRDefault="0040441E" w:rsidP="00B42641">
            <w:pPr>
              <w:pStyle w:val="Heading6"/>
              <w:numPr>
                <w:ilvl w:val="0"/>
                <w:numId w:val="0"/>
              </w:numPr>
              <w:jc w:val="center"/>
              <w:rPr>
                <w:sz w:val="20"/>
                <w:szCs w:val="20"/>
              </w:rPr>
            </w:pPr>
            <w:r w:rsidRPr="00672804">
              <w:rPr>
                <w:sz w:val="20"/>
                <w:szCs w:val="20"/>
              </w:rPr>
              <w:t>Response Category</w:t>
            </w:r>
          </w:p>
        </w:tc>
        <w:tc>
          <w:tcPr>
            <w:tcW w:w="1084" w:type="dxa"/>
            <w:tcBorders>
              <w:top w:val="single" w:sz="4" w:space="0" w:color="auto"/>
              <w:left w:val="nil"/>
              <w:bottom w:val="nil"/>
              <w:right w:val="nil"/>
            </w:tcBorders>
            <w:shd w:val="clear" w:color="auto" w:fill="E5DFEC" w:themeFill="accent4" w:themeFillTint="33"/>
          </w:tcPr>
          <w:p w14:paraId="0269332C" w14:textId="77777777" w:rsidR="0040441E" w:rsidRPr="000E6415" w:rsidRDefault="0040441E" w:rsidP="00B42641">
            <w:pPr>
              <w:rPr>
                <w:b/>
                <w:szCs w:val="20"/>
              </w:rPr>
            </w:pPr>
          </w:p>
        </w:tc>
        <w:tc>
          <w:tcPr>
            <w:tcW w:w="1238" w:type="dxa"/>
            <w:tcBorders>
              <w:top w:val="single" w:sz="4" w:space="0" w:color="auto"/>
              <w:left w:val="nil"/>
              <w:bottom w:val="nil"/>
              <w:right w:val="nil"/>
            </w:tcBorders>
            <w:shd w:val="clear" w:color="auto" w:fill="E5DFEC" w:themeFill="accent4" w:themeFillTint="33"/>
          </w:tcPr>
          <w:p w14:paraId="18DCD490" w14:textId="77777777" w:rsidR="0040441E" w:rsidRPr="000E6415" w:rsidRDefault="0040441E" w:rsidP="00B42641">
            <w:pPr>
              <w:rPr>
                <w:b/>
                <w:szCs w:val="20"/>
              </w:rPr>
            </w:pPr>
          </w:p>
        </w:tc>
      </w:tr>
      <w:tr w:rsidR="0040441E" w:rsidRPr="000E6415" w14:paraId="084FE500" w14:textId="77777777" w:rsidTr="001A7C07">
        <w:trPr>
          <w:trHeight w:val="340"/>
        </w:trPr>
        <w:tc>
          <w:tcPr>
            <w:tcW w:w="817" w:type="dxa"/>
            <w:tcBorders>
              <w:top w:val="nil"/>
              <w:left w:val="nil"/>
              <w:bottom w:val="single" w:sz="4" w:space="0" w:color="auto"/>
              <w:right w:val="nil"/>
            </w:tcBorders>
            <w:shd w:val="clear" w:color="auto" w:fill="E5DFEC" w:themeFill="accent4" w:themeFillTint="33"/>
          </w:tcPr>
          <w:p w14:paraId="46549577" w14:textId="77777777" w:rsidR="0040441E" w:rsidRPr="000E6415" w:rsidRDefault="0040441E" w:rsidP="00B42641">
            <w:pPr>
              <w:rPr>
                <w:b/>
                <w:szCs w:val="20"/>
              </w:rPr>
            </w:pPr>
          </w:p>
        </w:tc>
        <w:tc>
          <w:tcPr>
            <w:tcW w:w="1521" w:type="dxa"/>
            <w:tcBorders>
              <w:top w:val="single" w:sz="4" w:space="0" w:color="auto"/>
              <w:left w:val="nil"/>
              <w:bottom w:val="single" w:sz="4" w:space="0" w:color="auto"/>
              <w:right w:val="nil"/>
            </w:tcBorders>
            <w:shd w:val="clear" w:color="auto" w:fill="E5DFEC" w:themeFill="accent4" w:themeFillTint="33"/>
            <w:vAlign w:val="center"/>
            <w:hideMark/>
          </w:tcPr>
          <w:p w14:paraId="35F6C5E1" w14:textId="10E2A68C" w:rsidR="0040441E" w:rsidRPr="000E6415" w:rsidRDefault="00672804" w:rsidP="00672804">
            <w:pPr>
              <w:jc w:val="center"/>
              <w:rPr>
                <w:szCs w:val="20"/>
              </w:rPr>
            </w:pPr>
            <w:r>
              <w:rPr>
                <w:szCs w:val="20"/>
              </w:rPr>
              <w:t>N</w:t>
            </w:r>
            <w:r w:rsidR="0040441E" w:rsidRPr="000E6415">
              <w:rPr>
                <w:szCs w:val="20"/>
              </w:rPr>
              <w:t>ot applicable</w:t>
            </w:r>
          </w:p>
        </w:tc>
        <w:tc>
          <w:tcPr>
            <w:tcW w:w="1238" w:type="dxa"/>
            <w:tcBorders>
              <w:top w:val="single" w:sz="4" w:space="0" w:color="auto"/>
              <w:left w:val="nil"/>
              <w:bottom w:val="single" w:sz="4" w:space="0" w:color="auto"/>
              <w:right w:val="nil"/>
            </w:tcBorders>
            <w:shd w:val="clear" w:color="auto" w:fill="E5DFEC" w:themeFill="accent4" w:themeFillTint="33"/>
            <w:vAlign w:val="center"/>
            <w:hideMark/>
          </w:tcPr>
          <w:p w14:paraId="571225CC" w14:textId="621BF1FE" w:rsidR="0040441E" w:rsidRPr="000E6415" w:rsidRDefault="00672804" w:rsidP="00672804">
            <w:pPr>
              <w:jc w:val="center"/>
              <w:rPr>
                <w:szCs w:val="20"/>
              </w:rPr>
            </w:pPr>
            <w:r>
              <w:rPr>
                <w:szCs w:val="20"/>
              </w:rPr>
              <w:t>N</w:t>
            </w:r>
            <w:r w:rsidR="0040441E" w:rsidRPr="000E6415">
              <w:rPr>
                <w:szCs w:val="20"/>
              </w:rPr>
              <w:t>ot at all stressed</w:t>
            </w:r>
          </w:p>
        </w:tc>
        <w:tc>
          <w:tcPr>
            <w:tcW w:w="1237" w:type="dxa"/>
            <w:tcBorders>
              <w:top w:val="single" w:sz="4" w:space="0" w:color="auto"/>
              <w:left w:val="nil"/>
              <w:bottom w:val="single" w:sz="4" w:space="0" w:color="auto"/>
              <w:right w:val="nil"/>
            </w:tcBorders>
            <w:shd w:val="clear" w:color="auto" w:fill="E5DFEC" w:themeFill="accent4" w:themeFillTint="33"/>
            <w:vAlign w:val="center"/>
            <w:hideMark/>
          </w:tcPr>
          <w:p w14:paraId="6E40F3E0" w14:textId="651F92C2" w:rsidR="0040441E" w:rsidRPr="000E6415" w:rsidRDefault="00672804" w:rsidP="00672804">
            <w:pPr>
              <w:jc w:val="center"/>
              <w:rPr>
                <w:szCs w:val="20"/>
              </w:rPr>
            </w:pPr>
            <w:r>
              <w:rPr>
                <w:szCs w:val="20"/>
              </w:rPr>
              <w:t>S</w:t>
            </w:r>
            <w:r w:rsidR="0040441E" w:rsidRPr="000E6415">
              <w:rPr>
                <w:szCs w:val="20"/>
              </w:rPr>
              <w:t>omewhat stressed</w:t>
            </w:r>
          </w:p>
        </w:tc>
        <w:tc>
          <w:tcPr>
            <w:tcW w:w="1391" w:type="dxa"/>
            <w:tcBorders>
              <w:top w:val="single" w:sz="4" w:space="0" w:color="auto"/>
              <w:left w:val="nil"/>
              <w:bottom w:val="single" w:sz="4" w:space="0" w:color="auto"/>
              <w:right w:val="nil"/>
            </w:tcBorders>
            <w:shd w:val="clear" w:color="auto" w:fill="E5DFEC" w:themeFill="accent4" w:themeFillTint="33"/>
            <w:vAlign w:val="center"/>
            <w:hideMark/>
          </w:tcPr>
          <w:p w14:paraId="4CD8C060" w14:textId="074E157D" w:rsidR="0040441E" w:rsidRPr="000E6415" w:rsidRDefault="00672804" w:rsidP="00672804">
            <w:pPr>
              <w:jc w:val="center"/>
              <w:rPr>
                <w:szCs w:val="20"/>
              </w:rPr>
            </w:pPr>
            <w:r>
              <w:rPr>
                <w:szCs w:val="20"/>
              </w:rPr>
              <w:t>M</w:t>
            </w:r>
            <w:r w:rsidR="0040441E" w:rsidRPr="000E6415">
              <w:rPr>
                <w:szCs w:val="20"/>
              </w:rPr>
              <w:t>oderately stressed</w:t>
            </w:r>
          </w:p>
        </w:tc>
        <w:tc>
          <w:tcPr>
            <w:tcW w:w="1084" w:type="dxa"/>
            <w:tcBorders>
              <w:top w:val="single" w:sz="4" w:space="0" w:color="auto"/>
              <w:left w:val="nil"/>
              <w:bottom w:val="single" w:sz="4" w:space="0" w:color="auto"/>
              <w:right w:val="nil"/>
            </w:tcBorders>
            <w:shd w:val="clear" w:color="auto" w:fill="E5DFEC" w:themeFill="accent4" w:themeFillTint="33"/>
            <w:vAlign w:val="center"/>
            <w:hideMark/>
          </w:tcPr>
          <w:p w14:paraId="32590136" w14:textId="77777777" w:rsidR="0040441E" w:rsidRPr="000E6415" w:rsidRDefault="0040441E" w:rsidP="00672804">
            <w:pPr>
              <w:jc w:val="center"/>
              <w:rPr>
                <w:szCs w:val="20"/>
              </w:rPr>
            </w:pPr>
            <w:r w:rsidRPr="000E6415">
              <w:rPr>
                <w:szCs w:val="20"/>
              </w:rPr>
              <w:t>Very stressed</w:t>
            </w:r>
          </w:p>
        </w:tc>
        <w:tc>
          <w:tcPr>
            <w:tcW w:w="1238" w:type="dxa"/>
            <w:tcBorders>
              <w:top w:val="single" w:sz="4" w:space="0" w:color="auto"/>
              <w:left w:val="nil"/>
              <w:bottom w:val="single" w:sz="4" w:space="0" w:color="auto"/>
              <w:right w:val="nil"/>
            </w:tcBorders>
            <w:shd w:val="clear" w:color="auto" w:fill="E5DFEC" w:themeFill="accent4" w:themeFillTint="33"/>
            <w:vAlign w:val="center"/>
            <w:hideMark/>
          </w:tcPr>
          <w:p w14:paraId="1B904265" w14:textId="599B1D4C" w:rsidR="0040441E" w:rsidRPr="000E6415" w:rsidRDefault="00672804" w:rsidP="00672804">
            <w:pPr>
              <w:jc w:val="center"/>
              <w:rPr>
                <w:szCs w:val="20"/>
              </w:rPr>
            </w:pPr>
            <w:r>
              <w:rPr>
                <w:szCs w:val="20"/>
              </w:rPr>
              <w:t>E</w:t>
            </w:r>
            <w:r w:rsidR="0040441E" w:rsidRPr="000E6415">
              <w:rPr>
                <w:szCs w:val="20"/>
              </w:rPr>
              <w:t>xtremely stressed</w:t>
            </w:r>
          </w:p>
        </w:tc>
      </w:tr>
      <w:tr w:rsidR="0040441E" w:rsidRPr="000E6415" w14:paraId="511BC63F" w14:textId="77777777" w:rsidTr="00B42641">
        <w:trPr>
          <w:trHeight w:val="340"/>
        </w:trPr>
        <w:tc>
          <w:tcPr>
            <w:tcW w:w="817" w:type="dxa"/>
            <w:vAlign w:val="center"/>
            <w:hideMark/>
          </w:tcPr>
          <w:p w14:paraId="7C10EF56" w14:textId="77777777" w:rsidR="0040441E" w:rsidRPr="000E6415" w:rsidRDefault="0040441E" w:rsidP="00B42641">
            <w:pPr>
              <w:rPr>
                <w:szCs w:val="20"/>
              </w:rPr>
            </w:pPr>
            <w:r w:rsidRPr="000E6415">
              <w:rPr>
                <w:szCs w:val="20"/>
              </w:rPr>
              <w:t>Code</w:t>
            </w:r>
          </w:p>
        </w:tc>
        <w:tc>
          <w:tcPr>
            <w:tcW w:w="1521" w:type="dxa"/>
            <w:vAlign w:val="center"/>
            <w:hideMark/>
          </w:tcPr>
          <w:p w14:paraId="30BABB3E" w14:textId="77777777" w:rsidR="0040441E" w:rsidRPr="000E6415" w:rsidRDefault="0040441E" w:rsidP="00B42641">
            <w:pPr>
              <w:jc w:val="center"/>
              <w:rPr>
                <w:szCs w:val="20"/>
              </w:rPr>
            </w:pPr>
            <w:r w:rsidRPr="000E6415">
              <w:rPr>
                <w:szCs w:val="20"/>
              </w:rPr>
              <w:t>1</w:t>
            </w:r>
          </w:p>
        </w:tc>
        <w:tc>
          <w:tcPr>
            <w:tcW w:w="1238" w:type="dxa"/>
            <w:vAlign w:val="center"/>
            <w:hideMark/>
          </w:tcPr>
          <w:p w14:paraId="06ADFCE3" w14:textId="77777777" w:rsidR="0040441E" w:rsidRPr="000E6415" w:rsidRDefault="0040441E" w:rsidP="00B42641">
            <w:pPr>
              <w:jc w:val="center"/>
              <w:rPr>
                <w:szCs w:val="20"/>
              </w:rPr>
            </w:pPr>
            <w:r w:rsidRPr="000E6415">
              <w:rPr>
                <w:szCs w:val="20"/>
              </w:rPr>
              <w:t>2</w:t>
            </w:r>
          </w:p>
        </w:tc>
        <w:tc>
          <w:tcPr>
            <w:tcW w:w="1237" w:type="dxa"/>
            <w:vAlign w:val="center"/>
            <w:hideMark/>
          </w:tcPr>
          <w:p w14:paraId="5BCB4F41" w14:textId="77777777" w:rsidR="0040441E" w:rsidRPr="000E6415" w:rsidRDefault="0040441E" w:rsidP="00B42641">
            <w:pPr>
              <w:jc w:val="center"/>
              <w:rPr>
                <w:szCs w:val="20"/>
              </w:rPr>
            </w:pPr>
            <w:r w:rsidRPr="000E6415">
              <w:rPr>
                <w:szCs w:val="20"/>
              </w:rPr>
              <w:t>3</w:t>
            </w:r>
          </w:p>
        </w:tc>
        <w:tc>
          <w:tcPr>
            <w:tcW w:w="1391" w:type="dxa"/>
            <w:vAlign w:val="center"/>
            <w:hideMark/>
          </w:tcPr>
          <w:p w14:paraId="21AC52B2" w14:textId="77777777" w:rsidR="0040441E" w:rsidRPr="000E6415" w:rsidRDefault="0040441E" w:rsidP="00B42641">
            <w:pPr>
              <w:jc w:val="center"/>
              <w:rPr>
                <w:szCs w:val="20"/>
              </w:rPr>
            </w:pPr>
            <w:r w:rsidRPr="000E6415">
              <w:rPr>
                <w:szCs w:val="20"/>
              </w:rPr>
              <w:t>4</w:t>
            </w:r>
          </w:p>
        </w:tc>
        <w:tc>
          <w:tcPr>
            <w:tcW w:w="1084" w:type="dxa"/>
            <w:vAlign w:val="center"/>
            <w:hideMark/>
          </w:tcPr>
          <w:p w14:paraId="6AED4796" w14:textId="77777777" w:rsidR="0040441E" w:rsidRPr="000E6415" w:rsidRDefault="0040441E" w:rsidP="00B42641">
            <w:pPr>
              <w:jc w:val="center"/>
              <w:rPr>
                <w:szCs w:val="20"/>
              </w:rPr>
            </w:pPr>
            <w:r w:rsidRPr="000E6415">
              <w:rPr>
                <w:szCs w:val="20"/>
              </w:rPr>
              <w:t>5</w:t>
            </w:r>
          </w:p>
        </w:tc>
        <w:tc>
          <w:tcPr>
            <w:tcW w:w="1238" w:type="dxa"/>
            <w:vAlign w:val="center"/>
            <w:hideMark/>
          </w:tcPr>
          <w:p w14:paraId="2BE025ED" w14:textId="77777777" w:rsidR="0040441E" w:rsidRPr="000E6415" w:rsidRDefault="0040441E" w:rsidP="00B42641">
            <w:pPr>
              <w:jc w:val="center"/>
              <w:rPr>
                <w:szCs w:val="20"/>
              </w:rPr>
            </w:pPr>
            <w:r w:rsidRPr="000E6415">
              <w:rPr>
                <w:szCs w:val="20"/>
              </w:rPr>
              <w:t>6</w:t>
            </w:r>
          </w:p>
        </w:tc>
      </w:tr>
      <w:tr w:rsidR="0040441E" w:rsidRPr="000E6415" w14:paraId="61C69904" w14:textId="77777777" w:rsidTr="00B42641">
        <w:trPr>
          <w:trHeight w:val="340"/>
        </w:trPr>
        <w:tc>
          <w:tcPr>
            <w:tcW w:w="817" w:type="dxa"/>
            <w:tcBorders>
              <w:top w:val="nil"/>
              <w:left w:val="nil"/>
              <w:bottom w:val="single" w:sz="4" w:space="0" w:color="auto"/>
              <w:right w:val="nil"/>
            </w:tcBorders>
            <w:vAlign w:val="center"/>
            <w:hideMark/>
          </w:tcPr>
          <w:p w14:paraId="31912DDD" w14:textId="77777777" w:rsidR="0040441E" w:rsidRPr="000E6415" w:rsidRDefault="0040441E" w:rsidP="00B42641">
            <w:pPr>
              <w:rPr>
                <w:szCs w:val="20"/>
              </w:rPr>
            </w:pPr>
            <w:r w:rsidRPr="000E6415">
              <w:rPr>
                <w:szCs w:val="20"/>
              </w:rPr>
              <w:t>Score</w:t>
            </w:r>
          </w:p>
        </w:tc>
        <w:tc>
          <w:tcPr>
            <w:tcW w:w="1521" w:type="dxa"/>
            <w:tcBorders>
              <w:top w:val="nil"/>
              <w:left w:val="nil"/>
              <w:bottom w:val="single" w:sz="4" w:space="0" w:color="auto"/>
              <w:right w:val="nil"/>
            </w:tcBorders>
            <w:vAlign w:val="center"/>
            <w:hideMark/>
          </w:tcPr>
          <w:p w14:paraId="29993BFF" w14:textId="77777777" w:rsidR="0040441E" w:rsidRPr="000E6415" w:rsidRDefault="0040441E" w:rsidP="00B42641">
            <w:pPr>
              <w:jc w:val="center"/>
              <w:rPr>
                <w:szCs w:val="20"/>
              </w:rPr>
            </w:pPr>
            <w:r w:rsidRPr="000E6415">
              <w:rPr>
                <w:szCs w:val="20"/>
              </w:rPr>
              <w:t>0</w:t>
            </w:r>
          </w:p>
        </w:tc>
        <w:tc>
          <w:tcPr>
            <w:tcW w:w="1238" w:type="dxa"/>
            <w:tcBorders>
              <w:top w:val="nil"/>
              <w:left w:val="nil"/>
              <w:bottom w:val="single" w:sz="4" w:space="0" w:color="auto"/>
              <w:right w:val="nil"/>
            </w:tcBorders>
            <w:vAlign w:val="center"/>
            <w:hideMark/>
          </w:tcPr>
          <w:p w14:paraId="769F6EC4" w14:textId="77777777" w:rsidR="0040441E" w:rsidRPr="000E6415" w:rsidRDefault="0040441E" w:rsidP="00B42641">
            <w:pPr>
              <w:jc w:val="center"/>
              <w:rPr>
                <w:szCs w:val="20"/>
              </w:rPr>
            </w:pPr>
            <w:r w:rsidRPr="000E6415">
              <w:rPr>
                <w:szCs w:val="20"/>
              </w:rPr>
              <w:t>0</w:t>
            </w:r>
          </w:p>
        </w:tc>
        <w:tc>
          <w:tcPr>
            <w:tcW w:w="1237" w:type="dxa"/>
            <w:tcBorders>
              <w:top w:val="nil"/>
              <w:left w:val="nil"/>
              <w:bottom w:val="single" w:sz="4" w:space="0" w:color="auto"/>
              <w:right w:val="nil"/>
            </w:tcBorders>
            <w:vAlign w:val="center"/>
            <w:hideMark/>
          </w:tcPr>
          <w:p w14:paraId="5D6939D5" w14:textId="77777777" w:rsidR="0040441E" w:rsidRPr="000E6415" w:rsidRDefault="0040441E" w:rsidP="00B42641">
            <w:pPr>
              <w:jc w:val="center"/>
              <w:rPr>
                <w:szCs w:val="20"/>
              </w:rPr>
            </w:pPr>
            <w:r w:rsidRPr="000E6415">
              <w:rPr>
                <w:szCs w:val="20"/>
              </w:rPr>
              <w:t>1</w:t>
            </w:r>
          </w:p>
        </w:tc>
        <w:tc>
          <w:tcPr>
            <w:tcW w:w="1391" w:type="dxa"/>
            <w:tcBorders>
              <w:top w:val="nil"/>
              <w:left w:val="nil"/>
              <w:bottom w:val="single" w:sz="4" w:space="0" w:color="auto"/>
              <w:right w:val="nil"/>
            </w:tcBorders>
            <w:vAlign w:val="center"/>
            <w:hideMark/>
          </w:tcPr>
          <w:p w14:paraId="28DC781F" w14:textId="77777777" w:rsidR="0040441E" w:rsidRPr="000E6415" w:rsidRDefault="0040441E" w:rsidP="00B42641">
            <w:pPr>
              <w:jc w:val="center"/>
              <w:rPr>
                <w:szCs w:val="20"/>
              </w:rPr>
            </w:pPr>
            <w:r w:rsidRPr="000E6415">
              <w:rPr>
                <w:szCs w:val="20"/>
              </w:rPr>
              <w:t>2</w:t>
            </w:r>
          </w:p>
        </w:tc>
        <w:tc>
          <w:tcPr>
            <w:tcW w:w="1084" w:type="dxa"/>
            <w:tcBorders>
              <w:top w:val="nil"/>
              <w:left w:val="nil"/>
              <w:bottom w:val="single" w:sz="4" w:space="0" w:color="auto"/>
              <w:right w:val="nil"/>
            </w:tcBorders>
            <w:vAlign w:val="center"/>
            <w:hideMark/>
          </w:tcPr>
          <w:p w14:paraId="2CF90BA3" w14:textId="77777777" w:rsidR="0040441E" w:rsidRPr="000E6415" w:rsidRDefault="0040441E" w:rsidP="00B42641">
            <w:pPr>
              <w:jc w:val="center"/>
              <w:rPr>
                <w:szCs w:val="20"/>
              </w:rPr>
            </w:pPr>
            <w:r w:rsidRPr="000E6415">
              <w:rPr>
                <w:szCs w:val="20"/>
              </w:rPr>
              <w:t>3</w:t>
            </w:r>
          </w:p>
        </w:tc>
        <w:tc>
          <w:tcPr>
            <w:tcW w:w="1238" w:type="dxa"/>
            <w:tcBorders>
              <w:top w:val="nil"/>
              <w:left w:val="nil"/>
              <w:bottom w:val="single" w:sz="4" w:space="0" w:color="auto"/>
              <w:right w:val="nil"/>
            </w:tcBorders>
            <w:vAlign w:val="center"/>
            <w:hideMark/>
          </w:tcPr>
          <w:p w14:paraId="694045E7" w14:textId="77777777" w:rsidR="0040441E" w:rsidRPr="000E6415" w:rsidRDefault="0040441E" w:rsidP="00B42641">
            <w:pPr>
              <w:jc w:val="center"/>
              <w:rPr>
                <w:szCs w:val="20"/>
              </w:rPr>
            </w:pPr>
            <w:r w:rsidRPr="000E6415">
              <w:rPr>
                <w:szCs w:val="20"/>
              </w:rPr>
              <w:t>4</w:t>
            </w:r>
          </w:p>
        </w:tc>
      </w:tr>
    </w:tbl>
    <w:p w14:paraId="599850CA" w14:textId="77777777" w:rsidR="00672804" w:rsidRPr="00472D16" w:rsidRDefault="00672804" w:rsidP="001A7C07">
      <w:pPr>
        <w:spacing w:line="240" w:lineRule="auto"/>
        <w:rPr>
          <w:rFonts w:eastAsiaTheme="majorEastAsia"/>
        </w:rPr>
      </w:pPr>
    </w:p>
    <w:p w14:paraId="257298B7" w14:textId="3C7DADCB" w:rsidR="0040441E" w:rsidRPr="0040441E" w:rsidRDefault="0040441E" w:rsidP="00BA2373">
      <w:pPr>
        <w:pStyle w:val="Heading3"/>
        <w:numPr>
          <w:ilvl w:val="3"/>
          <w:numId w:val="52"/>
        </w:numPr>
      </w:pPr>
      <w:bookmarkStart w:id="1107" w:name="_Toc124762806"/>
      <w:r w:rsidRPr="0040441E">
        <w:t xml:space="preserve">The </w:t>
      </w:r>
      <w:r w:rsidR="00672804">
        <w:t>c</w:t>
      </w:r>
      <w:r w:rsidRPr="0040441E">
        <w:t>hange in 2021 / 2022</w:t>
      </w:r>
      <w:bookmarkEnd w:id="1107"/>
      <w:r w:rsidRPr="0040441E">
        <w:t xml:space="preserve"> </w:t>
      </w:r>
    </w:p>
    <w:p w14:paraId="385967B1" w14:textId="33027A65" w:rsidR="0040441E" w:rsidRDefault="0040441E" w:rsidP="009E6BD0">
      <w:pPr>
        <w:pStyle w:val="BodyText0"/>
      </w:pPr>
      <w:r>
        <w:t>In 2021</w:t>
      </w:r>
      <w:r w:rsidR="00672804">
        <w:t>,</w:t>
      </w:r>
      <w:r>
        <w:t xml:space="preserve"> ALSWH staff queried the recoding of </w:t>
      </w:r>
      <w:r w:rsidR="00672804">
        <w:t>‘</w:t>
      </w:r>
      <w:r>
        <w:t>No</w:t>
      </w:r>
      <w:r w:rsidR="00672804">
        <w:t>t Ap</w:t>
      </w:r>
      <w:r>
        <w:t>plicable</w:t>
      </w:r>
      <w:r w:rsidR="00672804">
        <w:t>’</w:t>
      </w:r>
      <w:r>
        <w:t xml:space="preserve"> to zero rather than missing. A ‘</w:t>
      </w:r>
      <w:r w:rsidR="00FF15C9">
        <w:t>N</w:t>
      </w:r>
      <w:r>
        <w:t xml:space="preserve">ot at all stressed’ response is a definitive statement of no stress while </w:t>
      </w:r>
      <w:r w:rsidR="00672804">
        <w:t>’No</w:t>
      </w:r>
      <w:r>
        <w:t xml:space="preserve">t </w:t>
      </w:r>
      <w:r w:rsidR="00672804">
        <w:t>A</w:t>
      </w:r>
      <w:r>
        <w:t>pplicable</w:t>
      </w:r>
      <w:r w:rsidR="00672804">
        <w:t>’</w:t>
      </w:r>
      <w:r>
        <w:t xml:space="preserve"> </w:t>
      </w:r>
      <w:r w:rsidR="00FF15C9">
        <w:t xml:space="preserve">may not be </w:t>
      </w:r>
      <w:r>
        <w:t>(e.g</w:t>
      </w:r>
      <w:r w:rsidR="00672804">
        <w:t>.</w:t>
      </w:r>
      <w:r>
        <w:t xml:space="preserve">, </w:t>
      </w:r>
      <w:r w:rsidR="00672804">
        <w:t xml:space="preserve">in response to questions about </w:t>
      </w:r>
      <w:r>
        <w:t>relationship with parents or children</w:t>
      </w:r>
      <w:r w:rsidR="00FF15C9">
        <w:t xml:space="preserve"> it </w:t>
      </w:r>
      <w:r>
        <w:t>may be simply because there are no parents or children in the participant’s life</w:t>
      </w:r>
      <w:r w:rsidR="00FF15C9">
        <w:t>)</w:t>
      </w:r>
      <w:r>
        <w:t xml:space="preserve">. The Data Management Group in late 2021 decided the </w:t>
      </w:r>
      <w:r w:rsidR="00FF15C9">
        <w:t>‘</w:t>
      </w:r>
      <w:r w:rsidR="00672804">
        <w:t>Not A</w:t>
      </w:r>
      <w:r>
        <w:t>pplicable</w:t>
      </w:r>
      <w:r w:rsidR="00FF15C9">
        <w:t xml:space="preserve">’ response is </w:t>
      </w:r>
      <w:r w:rsidR="00672804">
        <w:t>not considered equi</w:t>
      </w:r>
      <w:r w:rsidR="00391590">
        <w:t>v</w:t>
      </w:r>
      <w:r w:rsidR="00672804">
        <w:t xml:space="preserve">alent to </w:t>
      </w:r>
      <w:r w:rsidR="00FF15C9">
        <w:t>‘N</w:t>
      </w:r>
      <w:r w:rsidR="00672804">
        <w:t>ot at all stressed</w:t>
      </w:r>
      <w:r w:rsidR="00FF15C9">
        <w:t>’</w:t>
      </w:r>
      <w:r w:rsidR="00672804">
        <w:t xml:space="preserve">, and so should be set to </w:t>
      </w:r>
      <w:r>
        <w:t>missing</w:t>
      </w:r>
      <w:r w:rsidR="00FF15C9">
        <w:t xml:space="preserve"> (</w:t>
      </w:r>
      <w:r w:rsidR="00472D16">
        <w:fldChar w:fldCharType="begin"/>
      </w:r>
      <w:r w:rsidR="00472D16">
        <w:instrText xml:space="preserve"> REF _Ref111735071 \h </w:instrText>
      </w:r>
      <w:r w:rsidR="00472D16">
        <w:fldChar w:fldCharType="separate"/>
      </w:r>
      <w:r w:rsidR="007D19D7">
        <w:t xml:space="preserve">Table </w:t>
      </w:r>
      <w:r w:rsidR="007D19D7">
        <w:rPr>
          <w:noProof/>
        </w:rPr>
        <w:t>7</w:t>
      </w:r>
      <w:r w:rsidR="007D19D7">
        <w:noBreakHyphen/>
      </w:r>
      <w:r w:rsidR="007D19D7">
        <w:rPr>
          <w:noProof/>
        </w:rPr>
        <w:t>3</w:t>
      </w:r>
      <w:r w:rsidR="00472D16">
        <w:fldChar w:fldCharType="end"/>
      </w:r>
      <w:r w:rsidR="00FF15C9">
        <w:t xml:space="preserve">). It was </w:t>
      </w:r>
      <w:r>
        <w:t xml:space="preserve">decided to </w:t>
      </w:r>
      <w:r w:rsidR="00FF15C9">
        <w:t xml:space="preserve">update </w:t>
      </w:r>
      <w:r>
        <w:t xml:space="preserve">all the mean stress variables </w:t>
      </w:r>
      <w:r w:rsidR="00FF15C9">
        <w:t xml:space="preserve">using </w:t>
      </w:r>
      <w:r>
        <w:t xml:space="preserve">the new derivation method. </w:t>
      </w:r>
    </w:p>
    <w:p w14:paraId="1CFC2FFE" w14:textId="77777777" w:rsidR="005478B5" w:rsidRDefault="005478B5" w:rsidP="009E6BD0">
      <w:pPr>
        <w:pStyle w:val="BodyText0"/>
      </w:pPr>
    </w:p>
    <w:p w14:paraId="74B95C34" w14:textId="259C38AC" w:rsidR="0040441E" w:rsidRDefault="00FF15C9" w:rsidP="0000266C">
      <w:pPr>
        <w:pStyle w:val="Caption"/>
        <w:rPr>
          <w:sz w:val="22"/>
        </w:rPr>
      </w:pPr>
      <w:bookmarkStart w:id="1108" w:name="_Ref111735071"/>
      <w:r>
        <w:t xml:space="preserve">Table </w:t>
      </w:r>
      <w:fldSimple w:instr=" STYLEREF 1 \s ">
        <w:r w:rsidR="007D19D7">
          <w:rPr>
            <w:noProof/>
          </w:rPr>
          <w:t>7</w:t>
        </w:r>
      </w:fldSimple>
      <w:r w:rsidR="00327D59">
        <w:noBreakHyphen/>
      </w:r>
      <w:fldSimple w:instr=" SEQ Table \* ARABIC \s 1 ">
        <w:r w:rsidR="007D19D7">
          <w:rPr>
            <w:noProof/>
          </w:rPr>
          <w:t>3</w:t>
        </w:r>
      </w:fldSimple>
      <w:bookmarkEnd w:id="1108"/>
      <w:r w:rsidR="0040441E">
        <w:rPr>
          <w:sz w:val="22"/>
        </w:rPr>
        <w:t xml:space="preserve"> </w:t>
      </w:r>
      <w:r w:rsidR="0040441E" w:rsidRPr="00472D16">
        <w:t>New response categories and scoring of stress scale items</w:t>
      </w:r>
      <w:r w:rsidR="0040441E">
        <w:rPr>
          <w:sz w:val="22"/>
        </w:rPr>
        <w:t xml:space="preserve">  </w:t>
      </w:r>
    </w:p>
    <w:tbl>
      <w:tblPr>
        <w:tblW w:w="0" w:type="auto"/>
        <w:tblLayout w:type="fixed"/>
        <w:tblLook w:val="04A0" w:firstRow="1" w:lastRow="0" w:firstColumn="1" w:lastColumn="0" w:noHBand="0" w:noVBand="1"/>
      </w:tblPr>
      <w:tblGrid>
        <w:gridCol w:w="817"/>
        <w:gridCol w:w="1521"/>
        <w:gridCol w:w="1238"/>
        <w:gridCol w:w="1237"/>
        <w:gridCol w:w="1391"/>
        <w:gridCol w:w="1084"/>
        <w:gridCol w:w="1238"/>
      </w:tblGrid>
      <w:tr w:rsidR="0040441E" w:rsidRPr="00FF15C9" w14:paraId="68086043" w14:textId="77777777" w:rsidTr="001A7C07">
        <w:trPr>
          <w:trHeight w:val="340"/>
        </w:trPr>
        <w:tc>
          <w:tcPr>
            <w:tcW w:w="817" w:type="dxa"/>
            <w:tcBorders>
              <w:top w:val="single" w:sz="4" w:space="0" w:color="auto"/>
              <w:left w:val="nil"/>
              <w:bottom w:val="nil"/>
              <w:right w:val="nil"/>
            </w:tcBorders>
            <w:shd w:val="clear" w:color="auto" w:fill="E5DFEC" w:themeFill="accent4" w:themeFillTint="33"/>
          </w:tcPr>
          <w:p w14:paraId="06133141" w14:textId="77777777" w:rsidR="0040441E" w:rsidRPr="00FF15C9" w:rsidRDefault="0040441E" w:rsidP="00B42641">
            <w:pPr>
              <w:rPr>
                <w:b/>
                <w:szCs w:val="20"/>
              </w:rPr>
            </w:pPr>
          </w:p>
        </w:tc>
        <w:tc>
          <w:tcPr>
            <w:tcW w:w="1521" w:type="dxa"/>
            <w:tcBorders>
              <w:top w:val="single" w:sz="4" w:space="0" w:color="auto"/>
              <w:left w:val="nil"/>
              <w:bottom w:val="nil"/>
              <w:right w:val="nil"/>
            </w:tcBorders>
            <w:shd w:val="clear" w:color="auto" w:fill="E5DFEC" w:themeFill="accent4" w:themeFillTint="33"/>
          </w:tcPr>
          <w:p w14:paraId="29552F8E" w14:textId="77777777" w:rsidR="0040441E" w:rsidRPr="00FF15C9" w:rsidRDefault="0040441E" w:rsidP="00B42641">
            <w:pPr>
              <w:rPr>
                <w:b/>
                <w:szCs w:val="20"/>
              </w:rPr>
            </w:pPr>
          </w:p>
        </w:tc>
        <w:tc>
          <w:tcPr>
            <w:tcW w:w="1238" w:type="dxa"/>
            <w:tcBorders>
              <w:top w:val="single" w:sz="4" w:space="0" w:color="auto"/>
              <w:left w:val="nil"/>
              <w:bottom w:val="nil"/>
              <w:right w:val="nil"/>
            </w:tcBorders>
            <w:shd w:val="clear" w:color="auto" w:fill="E5DFEC" w:themeFill="accent4" w:themeFillTint="33"/>
          </w:tcPr>
          <w:p w14:paraId="440E231E" w14:textId="77777777" w:rsidR="0040441E" w:rsidRPr="00FF15C9" w:rsidRDefault="0040441E" w:rsidP="00B42641">
            <w:pPr>
              <w:rPr>
                <w:b/>
                <w:szCs w:val="20"/>
              </w:rPr>
            </w:pPr>
          </w:p>
        </w:tc>
        <w:tc>
          <w:tcPr>
            <w:tcW w:w="2628" w:type="dxa"/>
            <w:gridSpan w:val="2"/>
            <w:tcBorders>
              <w:top w:val="single" w:sz="4" w:space="0" w:color="auto"/>
              <w:left w:val="nil"/>
              <w:bottom w:val="nil"/>
              <w:right w:val="nil"/>
            </w:tcBorders>
            <w:shd w:val="clear" w:color="auto" w:fill="E5DFEC" w:themeFill="accent4" w:themeFillTint="33"/>
            <w:vAlign w:val="center"/>
            <w:hideMark/>
          </w:tcPr>
          <w:p w14:paraId="6D660924" w14:textId="77777777" w:rsidR="0040441E" w:rsidRPr="00FF15C9" w:rsidRDefault="0040441E" w:rsidP="00B42641">
            <w:pPr>
              <w:pStyle w:val="Heading6"/>
              <w:numPr>
                <w:ilvl w:val="0"/>
                <w:numId w:val="0"/>
              </w:numPr>
              <w:jc w:val="center"/>
              <w:rPr>
                <w:sz w:val="20"/>
                <w:szCs w:val="20"/>
              </w:rPr>
            </w:pPr>
            <w:r w:rsidRPr="00FF15C9">
              <w:rPr>
                <w:sz w:val="20"/>
                <w:szCs w:val="20"/>
              </w:rPr>
              <w:t>Response Category</w:t>
            </w:r>
          </w:p>
        </w:tc>
        <w:tc>
          <w:tcPr>
            <w:tcW w:w="1084" w:type="dxa"/>
            <w:tcBorders>
              <w:top w:val="single" w:sz="4" w:space="0" w:color="auto"/>
              <w:left w:val="nil"/>
              <w:bottom w:val="nil"/>
              <w:right w:val="nil"/>
            </w:tcBorders>
            <w:shd w:val="clear" w:color="auto" w:fill="E5DFEC" w:themeFill="accent4" w:themeFillTint="33"/>
          </w:tcPr>
          <w:p w14:paraId="7E79A2B6" w14:textId="77777777" w:rsidR="0040441E" w:rsidRPr="00FF15C9" w:rsidRDefault="0040441E" w:rsidP="00B42641">
            <w:pPr>
              <w:rPr>
                <w:b/>
                <w:szCs w:val="20"/>
              </w:rPr>
            </w:pPr>
          </w:p>
        </w:tc>
        <w:tc>
          <w:tcPr>
            <w:tcW w:w="1238" w:type="dxa"/>
            <w:tcBorders>
              <w:top w:val="single" w:sz="4" w:space="0" w:color="auto"/>
              <w:left w:val="nil"/>
              <w:bottom w:val="nil"/>
              <w:right w:val="nil"/>
            </w:tcBorders>
            <w:shd w:val="clear" w:color="auto" w:fill="E5DFEC" w:themeFill="accent4" w:themeFillTint="33"/>
          </w:tcPr>
          <w:p w14:paraId="1B640B0B" w14:textId="77777777" w:rsidR="0040441E" w:rsidRPr="00FF15C9" w:rsidRDefault="0040441E" w:rsidP="00B42641">
            <w:pPr>
              <w:rPr>
                <w:b/>
                <w:szCs w:val="20"/>
              </w:rPr>
            </w:pPr>
          </w:p>
        </w:tc>
      </w:tr>
      <w:tr w:rsidR="0040441E" w:rsidRPr="00FF15C9" w14:paraId="34BEDB7F" w14:textId="77777777" w:rsidTr="001A7C07">
        <w:trPr>
          <w:trHeight w:val="340"/>
        </w:trPr>
        <w:tc>
          <w:tcPr>
            <w:tcW w:w="817" w:type="dxa"/>
            <w:tcBorders>
              <w:top w:val="nil"/>
              <w:left w:val="nil"/>
              <w:bottom w:val="single" w:sz="4" w:space="0" w:color="auto"/>
              <w:right w:val="nil"/>
            </w:tcBorders>
            <w:shd w:val="clear" w:color="auto" w:fill="E5DFEC" w:themeFill="accent4" w:themeFillTint="33"/>
          </w:tcPr>
          <w:p w14:paraId="2461DE2E" w14:textId="77777777" w:rsidR="0040441E" w:rsidRPr="00FF15C9" w:rsidRDefault="0040441E" w:rsidP="00B42641">
            <w:pPr>
              <w:rPr>
                <w:b/>
                <w:szCs w:val="20"/>
              </w:rPr>
            </w:pPr>
          </w:p>
        </w:tc>
        <w:tc>
          <w:tcPr>
            <w:tcW w:w="1521" w:type="dxa"/>
            <w:tcBorders>
              <w:top w:val="single" w:sz="4" w:space="0" w:color="auto"/>
              <w:left w:val="nil"/>
              <w:bottom w:val="single" w:sz="4" w:space="0" w:color="auto"/>
              <w:right w:val="nil"/>
            </w:tcBorders>
            <w:shd w:val="clear" w:color="auto" w:fill="E5DFEC" w:themeFill="accent4" w:themeFillTint="33"/>
            <w:vAlign w:val="center"/>
            <w:hideMark/>
          </w:tcPr>
          <w:p w14:paraId="59955D81" w14:textId="314DBEE8" w:rsidR="0040441E" w:rsidRPr="00FF15C9" w:rsidRDefault="00FF15C9" w:rsidP="00FF15C9">
            <w:pPr>
              <w:jc w:val="center"/>
              <w:rPr>
                <w:szCs w:val="20"/>
              </w:rPr>
            </w:pPr>
            <w:r w:rsidRPr="00FF15C9">
              <w:rPr>
                <w:szCs w:val="20"/>
              </w:rPr>
              <w:t>N</w:t>
            </w:r>
            <w:r w:rsidR="0040441E" w:rsidRPr="00FF15C9">
              <w:rPr>
                <w:szCs w:val="20"/>
              </w:rPr>
              <w:t>ot applicable</w:t>
            </w:r>
          </w:p>
        </w:tc>
        <w:tc>
          <w:tcPr>
            <w:tcW w:w="1238" w:type="dxa"/>
            <w:tcBorders>
              <w:top w:val="single" w:sz="4" w:space="0" w:color="auto"/>
              <w:left w:val="nil"/>
              <w:bottom w:val="single" w:sz="4" w:space="0" w:color="auto"/>
              <w:right w:val="nil"/>
            </w:tcBorders>
            <w:shd w:val="clear" w:color="auto" w:fill="E5DFEC" w:themeFill="accent4" w:themeFillTint="33"/>
            <w:vAlign w:val="center"/>
            <w:hideMark/>
          </w:tcPr>
          <w:p w14:paraId="5231130D" w14:textId="0EA1881A" w:rsidR="0040441E" w:rsidRPr="00FF15C9" w:rsidRDefault="00FF15C9" w:rsidP="00FF15C9">
            <w:pPr>
              <w:jc w:val="center"/>
              <w:rPr>
                <w:szCs w:val="20"/>
              </w:rPr>
            </w:pPr>
            <w:r w:rsidRPr="00FF15C9">
              <w:rPr>
                <w:szCs w:val="20"/>
              </w:rPr>
              <w:t>N</w:t>
            </w:r>
            <w:r w:rsidR="0040441E" w:rsidRPr="00FF15C9">
              <w:rPr>
                <w:szCs w:val="20"/>
              </w:rPr>
              <w:t>ot at all stressed</w:t>
            </w:r>
          </w:p>
        </w:tc>
        <w:tc>
          <w:tcPr>
            <w:tcW w:w="1237" w:type="dxa"/>
            <w:tcBorders>
              <w:top w:val="single" w:sz="4" w:space="0" w:color="auto"/>
              <w:left w:val="nil"/>
              <w:bottom w:val="single" w:sz="4" w:space="0" w:color="auto"/>
              <w:right w:val="nil"/>
            </w:tcBorders>
            <w:shd w:val="clear" w:color="auto" w:fill="E5DFEC" w:themeFill="accent4" w:themeFillTint="33"/>
            <w:vAlign w:val="center"/>
            <w:hideMark/>
          </w:tcPr>
          <w:p w14:paraId="3FB4B6DC" w14:textId="65EEFB4D" w:rsidR="0040441E" w:rsidRPr="00FF15C9" w:rsidRDefault="00FF15C9" w:rsidP="00FF15C9">
            <w:pPr>
              <w:jc w:val="center"/>
              <w:rPr>
                <w:szCs w:val="20"/>
              </w:rPr>
            </w:pPr>
            <w:r w:rsidRPr="00FF15C9">
              <w:rPr>
                <w:szCs w:val="20"/>
              </w:rPr>
              <w:t>S</w:t>
            </w:r>
            <w:r w:rsidR="0040441E" w:rsidRPr="00FF15C9">
              <w:rPr>
                <w:szCs w:val="20"/>
              </w:rPr>
              <w:t>omewhat stressed</w:t>
            </w:r>
          </w:p>
        </w:tc>
        <w:tc>
          <w:tcPr>
            <w:tcW w:w="1391" w:type="dxa"/>
            <w:tcBorders>
              <w:top w:val="single" w:sz="4" w:space="0" w:color="auto"/>
              <w:left w:val="nil"/>
              <w:bottom w:val="single" w:sz="4" w:space="0" w:color="auto"/>
              <w:right w:val="nil"/>
            </w:tcBorders>
            <w:shd w:val="clear" w:color="auto" w:fill="E5DFEC" w:themeFill="accent4" w:themeFillTint="33"/>
            <w:vAlign w:val="center"/>
            <w:hideMark/>
          </w:tcPr>
          <w:p w14:paraId="12D7E74C" w14:textId="1C2B991C" w:rsidR="0040441E" w:rsidRPr="00FF15C9" w:rsidRDefault="00FF15C9" w:rsidP="00FF15C9">
            <w:pPr>
              <w:jc w:val="center"/>
              <w:rPr>
                <w:szCs w:val="20"/>
              </w:rPr>
            </w:pPr>
            <w:r w:rsidRPr="00FF15C9">
              <w:rPr>
                <w:szCs w:val="20"/>
              </w:rPr>
              <w:t>M</w:t>
            </w:r>
            <w:r w:rsidR="0040441E" w:rsidRPr="00FF15C9">
              <w:rPr>
                <w:szCs w:val="20"/>
              </w:rPr>
              <w:t>oderately stressed</w:t>
            </w:r>
          </w:p>
        </w:tc>
        <w:tc>
          <w:tcPr>
            <w:tcW w:w="1084" w:type="dxa"/>
            <w:tcBorders>
              <w:top w:val="single" w:sz="4" w:space="0" w:color="auto"/>
              <w:left w:val="nil"/>
              <w:bottom w:val="single" w:sz="4" w:space="0" w:color="auto"/>
              <w:right w:val="nil"/>
            </w:tcBorders>
            <w:shd w:val="clear" w:color="auto" w:fill="E5DFEC" w:themeFill="accent4" w:themeFillTint="33"/>
            <w:vAlign w:val="center"/>
            <w:hideMark/>
          </w:tcPr>
          <w:p w14:paraId="7FD10C1F" w14:textId="77777777" w:rsidR="0040441E" w:rsidRPr="00FF15C9" w:rsidRDefault="0040441E" w:rsidP="00FF15C9">
            <w:pPr>
              <w:jc w:val="center"/>
              <w:rPr>
                <w:szCs w:val="20"/>
              </w:rPr>
            </w:pPr>
            <w:r w:rsidRPr="00FF15C9">
              <w:rPr>
                <w:szCs w:val="20"/>
              </w:rPr>
              <w:t>Very stressed</w:t>
            </w:r>
          </w:p>
        </w:tc>
        <w:tc>
          <w:tcPr>
            <w:tcW w:w="1238" w:type="dxa"/>
            <w:tcBorders>
              <w:top w:val="single" w:sz="4" w:space="0" w:color="auto"/>
              <w:left w:val="nil"/>
              <w:bottom w:val="single" w:sz="4" w:space="0" w:color="auto"/>
              <w:right w:val="nil"/>
            </w:tcBorders>
            <w:shd w:val="clear" w:color="auto" w:fill="E5DFEC" w:themeFill="accent4" w:themeFillTint="33"/>
            <w:vAlign w:val="center"/>
            <w:hideMark/>
          </w:tcPr>
          <w:p w14:paraId="11CB0656" w14:textId="4F9D7C5F" w:rsidR="0040441E" w:rsidRPr="00FF15C9" w:rsidRDefault="00FF15C9" w:rsidP="00FF15C9">
            <w:pPr>
              <w:jc w:val="center"/>
              <w:rPr>
                <w:szCs w:val="20"/>
              </w:rPr>
            </w:pPr>
            <w:r w:rsidRPr="00FF15C9">
              <w:rPr>
                <w:szCs w:val="20"/>
              </w:rPr>
              <w:t>E</w:t>
            </w:r>
            <w:r w:rsidR="0040441E" w:rsidRPr="00FF15C9">
              <w:rPr>
                <w:szCs w:val="20"/>
              </w:rPr>
              <w:t>xtremely stressed</w:t>
            </w:r>
          </w:p>
        </w:tc>
      </w:tr>
      <w:tr w:rsidR="0040441E" w:rsidRPr="00FF15C9" w14:paraId="2DBB16FB" w14:textId="77777777" w:rsidTr="00B42641">
        <w:trPr>
          <w:trHeight w:val="340"/>
        </w:trPr>
        <w:tc>
          <w:tcPr>
            <w:tcW w:w="817" w:type="dxa"/>
            <w:vAlign w:val="center"/>
            <w:hideMark/>
          </w:tcPr>
          <w:p w14:paraId="18F77134" w14:textId="77777777" w:rsidR="0040441E" w:rsidRPr="00FF15C9" w:rsidRDefault="0040441E" w:rsidP="00B42641">
            <w:pPr>
              <w:rPr>
                <w:szCs w:val="20"/>
              </w:rPr>
            </w:pPr>
            <w:r w:rsidRPr="00FF15C9">
              <w:rPr>
                <w:szCs w:val="20"/>
              </w:rPr>
              <w:t>Code</w:t>
            </w:r>
          </w:p>
        </w:tc>
        <w:tc>
          <w:tcPr>
            <w:tcW w:w="1521" w:type="dxa"/>
            <w:vAlign w:val="center"/>
            <w:hideMark/>
          </w:tcPr>
          <w:p w14:paraId="67BE981A" w14:textId="77777777" w:rsidR="0040441E" w:rsidRPr="00FF15C9" w:rsidRDefault="0040441E" w:rsidP="00B42641">
            <w:pPr>
              <w:jc w:val="center"/>
              <w:rPr>
                <w:szCs w:val="20"/>
              </w:rPr>
            </w:pPr>
            <w:r w:rsidRPr="00FF15C9">
              <w:rPr>
                <w:szCs w:val="20"/>
              </w:rPr>
              <w:t>1</w:t>
            </w:r>
          </w:p>
        </w:tc>
        <w:tc>
          <w:tcPr>
            <w:tcW w:w="1238" w:type="dxa"/>
            <w:vAlign w:val="center"/>
            <w:hideMark/>
          </w:tcPr>
          <w:p w14:paraId="15DE10D6" w14:textId="77777777" w:rsidR="0040441E" w:rsidRPr="00FF15C9" w:rsidRDefault="0040441E" w:rsidP="00B42641">
            <w:pPr>
              <w:jc w:val="center"/>
              <w:rPr>
                <w:szCs w:val="20"/>
              </w:rPr>
            </w:pPr>
            <w:r w:rsidRPr="00FF15C9">
              <w:rPr>
                <w:szCs w:val="20"/>
              </w:rPr>
              <w:t>2</w:t>
            </w:r>
          </w:p>
        </w:tc>
        <w:tc>
          <w:tcPr>
            <w:tcW w:w="1237" w:type="dxa"/>
            <w:vAlign w:val="center"/>
            <w:hideMark/>
          </w:tcPr>
          <w:p w14:paraId="0338B118" w14:textId="77777777" w:rsidR="0040441E" w:rsidRPr="00FF15C9" w:rsidRDefault="0040441E" w:rsidP="00B42641">
            <w:pPr>
              <w:jc w:val="center"/>
              <w:rPr>
                <w:szCs w:val="20"/>
              </w:rPr>
            </w:pPr>
            <w:r w:rsidRPr="00FF15C9">
              <w:rPr>
                <w:szCs w:val="20"/>
              </w:rPr>
              <w:t>3</w:t>
            </w:r>
          </w:p>
        </w:tc>
        <w:tc>
          <w:tcPr>
            <w:tcW w:w="1391" w:type="dxa"/>
            <w:vAlign w:val="center"/>
            <w:hideMark/>
          </w:tcPr>
          <w:p w14:paraId="30EEA6E8" w14:textId="77777777" w:rsidR="0040441E" w:rsidRPr="00FF15C9" w:rsidRDefault="0040441E" w:rsidP="00B42641">
            <w:pPr>
              <w:jc w:val="center"/>
              <w:rPr>
                <w:szCs w:val="20"/>
              </w:rPr>
            </w:pPr>
            <w:r w:rsidRPr="00FF15C9">
              <w:rPr>
                <w:szCs w:val="20"/>
              </w:rPr>
              <w:t>4</w:t>
            </w:r>
          </w:p>
        </w:tc>
        <w:tc>
          <w:tcPr>
            <w:tcW w:w="1084" w:type="dxa"/>
            <w:vAlign w:val="center"/>
            <w:hideMark/>
          </w:tcPr>
          <w:p w14:paraId="4E85ED2C" w14:textId="77777777" w:rsidR="0040441E" w:rsidRPr="00FF15C9" w:rsidRDefault="0040441E" w:rsidP="00B42641">
            <w:pPr>
              <w:jc w:val="center"/>
              <w:rPr>
                <w:szCs w:val="20"/>
              </w:rPr>
            </w:pPr>
            <w:r w:rsidRPr="00FF15C9">
              <w:rPr>
                <w:szCs w:val="20"/>
              </w:rPr>
              <w:t>5</w:t>
            </w:r>
          </w:p>
        </w:tc>
        <w:tc>
          <w:tcPr>
            <w:tcW w:w="1238" w:type="dxa"/>
            <w:vAlign w:val="center"/>
            <w:hideMark/>
          </w:tcPr>
          <w:p w14:paraId="02E88821" w14:textId="77777777" w:rsidR="0040441E" w:rsidRPr="00FF15C9" w:rsidRDefault="0040441E" w:rsidP="00B42641">
            <w:pPr>
              <w:jc w:val="center"/>
              <w:rPr>
                <w:szCs w:val="20"/>
              </w:rPr>
            </w:pPr>
            <w:r w:rsidRPr="00FF15C9">
              <w:rPr>
                <w:szCs w:val="20"/>
              </w:rPr>
              <w:t>6</w:t>
            </w:r>
          </w:p>
        </w:tc>
      </w:tr>
      <w:tr w:rsidR="0040441E" w:rsidRPr="00FF15C9" w14:paraId="13C856FE" w14:textId="77777777" w:rsidTr="00B42641">
        <w:trPr>
          <w:trHeight w:val="340"/>
        </w:trPr>
        <w:tc>
          <w:tcPr>
            <w:tcW w:w="817" w:type="dxa"/>
            <w:tcBorders>
              <w:top w:val="nil"/>
              <w:left w:val="nil"/>
              <w:bottom w:val="single" w:sz="4" w:space="0" w:color="auto"/>
              <w:right w:val="nil"/>
            </w:tcBorders>
            <w:vAlign w:val="center"/>
            <w:hideMark/>
          </w:tcPr>
          <w:p w14:paraId="7D6D6F7A" w14:textId="77777777" w:rsidR="0040441E" w:rsidRPr="00FF15C9" w:rsidRDefault="0040441E" w:rsidP="00B42641">
            <w:pPr>
              <w:rPr>
                <w:szCs w:val="20"/>
              </w:rPr>
            </w:pPr>
            <w:r w:rsidRPr="00FF15C9">
              <w:rPr>
                <w:szCs w:val="20"/>
              </w:rPr>
              <w:t>Score</w:t>
            </w:r>
          </w:p>
        </w:tc>
        <w:tc>
          <w:tcPr>
            <w:tcW w:w="1521" w:type="dxa"/>
            <w:tcBorders>
              <w:top w:val="nil"/>
              <w:left w:val="nil"/>
              <w:bottom w:val="single" w:sz="4" w:space="0" w:color="auto"/>
              <w:right w:val="nil"/>
            </w:tcBorders>
            <w:vAlign w:val="center"/>
            <w:hideMark/>
          </w:tcPr>
          <w:p w14:paraId="6A5A996C" w14:textId="77777777" w:rsidR="0040441E" w:rsidRPr="00FF15C9" w:rsidRDefault="0040441E" w:rsidP="00B42641">
            <w:pPr>
              <w:jc w:val="center"/>
              <w:rPr>
                <w:szCs w:val="20"/>
              </w:rPr>
            </w:pPr>
            <w:r w:rsidRPr="00FF15C9">
              <w:rPr>
                <w:szCs w:val="20"/>
              </w:rPr>
              <w:t>.</w:t>
            </w:r>
          </w:p>
        </w:tc>
        <w:tc>
          <w:tcPr>
            <w:tcW w:w="1238" w:type="dxa"/>
            <w:tcBorders>
              <w:top w:val="nil"/>
              <w:left w:val="nil"/>
              <w:bottom w:val="single" w:sz="4" w:space="0" w:color="auto"/>
              <w:right w:val="nil"/>
            </w:tcBorders>
            <w:vAlign w:val="center"/>
            <w:hideMark/>
          </w:tcPr>
          <w:p w14:paraId="30BCB90D" w14:textId="77777777" w:rsidR="0040441E" w:rsidRPr="00FF15C9" w:rsidRDefault="0040441E" w:rsidP="00B42641">
            <w:pPr>
              <w:jc w:val="center"/>
              <w:rPr>
                <w:szCs w:val="20"/>
              </w:rPr>
            </w:pPr>
            <w:r w:rsidRPr="00FF15C9">
              <w:rPr>
                <w:szCs w:val="20"/>
              </w:rPr>
              <w:t>0</w:t>
            </w:r>
          </w:p>
        </w:tc>
        <w:tc>
          <w:tcPr>
            <w:tcW w:w="1237" w:type="dxa"/>
            <w:tcBorders>
              <w:top w:val="nil"/>
              <w:left w:val="nil"/>
              <w:bottom w:val="single" w:sz="4" w:space="0" w:color="auto"/>
              <w:right w:val="nil"/>
            </w:tcBorders>
            <w:vAlign w:val="center"/>
            <w:hideMark/>
          </w:tcPr>
          <w:p w14:paraId="5313E204" w14:textId="77777777" w:rsidR="0040441E" w:rsidRPr="00FF15C9" w:rsidRDefault="0040441E" w:rsidP="00B42641">
            <w:pPr>
              <w:jc w:val="center"/>
              <w:rPr>
                <w:szCs w:val="20"/>
              </w:rPr>
            </w:pPr>
            <w:r w:rsidRPr="00FF15C9">
              <w:rPr>
                <w:szCs w:val="20"/>
              </w:rPr>
              <w:t>1</w:t>
            </w:r>
          </w:p>
        </w:tc>
        <w:tc>
          <w:tcPr>
            <w:tcW w:w="1391" w:type="dxa"/>
            <w:tcBorders>
              <w:top w:val="nil"/>
              <w:left w:val="nil"/>
              <w:bottom w:val="single" w:sz="4" w:space="0" w:color="auto"/>
              <w:right w:val="nil"/>
            </w:tcBorders>
            <w:vAlign w:val="center"/>
            <w:hideMark/>
          </w:tcPr>
          <w:p w14:paraId="3CD2996E" w14:textId="77777777" w:rsidR="0040441E" w:rsidRPr="00FF15C9" w:rsidRDefault="0040441E" w:rsidP="00B42641">
            <w:pPr>
              <w:jc w:val="center"/>
              <w:rPr>
                <w:szCs w:val="20"/>
              </w:rPr>
            </w:pPr>
            <w:r w:rsidRPr="00FF15C9">
              <w:rPr>
                <w:szCs w:val="20"/>
              </w:rPr>
              <w:t>2</w:t>
            </w:r>
          </w:p>
        </w:tc>
        <w:tc>
          <w:tcPr>
            <w:tcW w:w="1084" w:type="dxa"/>
            <w:tcBorders>
              <w:top w:val="nil"/>
              <w:left w:val="nil"/>
              <w:bottom w:val="single" w:sz="4" w:space="0" w:color="auto"/>
              <w:right w:val="nil"/>
            </w:tcBorders>
            <w:vAlign w:val="center"/>
            <w:hideMark/>
          </w:tcPr>
          <w:p w14:paraId="7654F2F7" w14:textId="77777777" w:rsidR="0040441E" w:rsidRPr="00FF15C9" w:rsidRDefault="0040441E" w:rsidP="00B42641">
            <w:pPr>
              <w:jc w:val="center"/>
              <w:rPr>
                <w:szCs w:val="20"/>
              </w:rPr>
            </w:pPr>
            <w:r w:rsidRPr="00FF15C9">
              <w:rPr>
                <w:szCs w:val="20"/>
              </w:rPr>
              <w:t>3</w:t>
            </w:r>
          </w:p>
        </w:tc>
        <w:tc>
          <w:tcPr>
            <w:tcW w:w="1238" w:type="dxa"/>
            <w:tcBorders>
              <w:top w:val="nil"/>
              <w:left w:val="nil"/>
              <w:bottom w:val="single" w:sz="4" w:space="0" w:color="auto"/>
              <w:right w:val="nil"/>
            </w:tcBorders>
            <w:vAlign w:val="center"/>
            <w:hideMark/>
          </w:tcPr>
          <w:p w14:paraId="33F9DE0D" w14:textId="77777777" w:rsidR="0040441E" w:rsidRPr="00FF15C9" w:rsidRDefault="0040441E" w:rsidP="00B42641">
            <w:pPr>
              <w:jc w:val="center"/>
              <w:rPr>
                <w:szCs w:val="20"/>
              </w:rPr>
            </w:pPr>
            <w:r w:rsidRPr="00FF15C9">
              <w:rPr>
                <w:szCs w:val="20"/>
              </w:rPr>
              <w:t>4</w:t>
            </w:r>
          </w:p>
        </w:tc>
      </w:tr>
    </w:tbl>
    <w:p w14:paraId="07BDFF94" w14:textId="77777777" w:rsidR="0040441E" w:rsidRDefault="0040441E" w:rsidP="0040441E"/>
    <w:p w14:paraId="335BDA65" w14:textId="0662BF0E" w:rsidR="004257D5" w:rsidRDefault="0040441E" w:rsidP="009E6BD0">
      <w:pPr>
        <w:pStyle w:val="BodyText0"/>
      </w:pPr>
      <w:r>
        <w:lastRenderedPageBreak/>
        <w:t xml:space="preserve">This change affected the value of the mean stress variable in two ways. Firstly, some non-missing values were set to missing where there were now five or more missing values. Secondly, where there were some </w:t>
      </w:r>
      <w:r w:rsidR="00472D16">
        <w:t>‘Not</w:t>
      </w:r>
      <w:r w:rsidR="009E6BD0">
        <w:t xml:space="preserve"> </w:t>
      </w:r>
      <w:r w:rsidR="00472D16">
        <w:t>A</w:t>
      </w:r>
      <w:r>
        <w:t>pplicable</w:t>
      </w:r>
      <w:r w:rsidR="00472D16">
        <w:t>’</w:t>
      </w:r>
      <w:r>
        <w:t xml:space="preserve"> values set to missing</w:t>
      </w:r>
      <w:r w:rsidR="00472D16">
        <w:t>,</w:t>
      </w:r>
      <w:r>
        <w:t xml:space="preserve"> but still fewer than five missing in total the mean stress value </w:t>
      </w:r>
      <w:r w:rsidR="00472D16">
        <w:t>is</w:t>
      </w:r>
      <w:r>
        <w:t xml:space="preserve"> larger. This is because the numerator total </w:t>
      </w:r>
      <w:r w:rsidR="00472D16">
        <w:t>is</w:t>
      </w:r>
      <w:r>
        <w:t xml:space="preserve"> same, but the denominator number of non-missing values </w:t>
      </w:r>
      <w:r w:rsidR="00472D16">
        <w:t>is</w:t>
      </w:r>
      <w:r>
        <w:t xml:space="preserve"> smaller.</w:t>
      </w:r>
      <w:r w:rsidR="004257D5">
        <w:t xml:space="preserve"> </w:t>
      </w:r>
      <w:r w:rsidR="00472D16">
        <w:fldChar w:fldCharType="begin"/>
      </w:r>
      <w:r w:rsidR="00472D16">
        <w:instrText xml:space="preserve"> REF _Ref111735336 \h </w:instrText>
      </w:r>
      <w:r w:rsidR="00472D16">
        <w:fldChar w:fldCharType="separate"/>
      </w:r>
      <w:r w:rsidR="007D19D7">
        <w:t xml:space="preserve">Figure </w:t>
      </w:r>
      <w:r w:rsidR="007D19D7">
        <w:rPr>
          <w:noProof/>
        </w:rPr>
        <w:t>7</w:t>
      </w:r>
      <w:r w:rsidR="007D19D7">
        <w:noBreakHyphen/>
      </w:r>
      <w:r w:rsidR="007D19D7">
        <w:rPr>
          <w:noProof/>
        </w:rPr>
        <w:t>1</w:t>
      </w:r>
      <w:r w:rsidR="00472D16">
        <w:fldChar w:fldCharType="end"/>
      </w:r>
      <w:r w:rsidR="00472D16">
        <w:t xml:space="preserve"> </w:t>
      </w:r>
      <w:r>
        <w:t xml:space="preserve">below shows the means of the existing and new mean stress values in the 1973-78 (YNG) and 1946-51 (MID) cohorts. The 1973-78 cohort </w:t>
      </w:r>
      <w:r w:rsidR="00472D16">
        <w:t xml:space="preserve">is shown from </w:t>
      </w:r>
      <w:r>
        <w:t xml:space="preserve">ages 20 to 40 and the 1946-51 cohort </w:t>
      </w:r>
      <w:r w:rsidR="00472D16">
        <w:t xml:space="preserve">from </w:t>
      </w:r>
      <w:r>
        <w:t xml:space="preserve">ages 45 to 70. The new values are higher because the denominator is smaller.  </w:t>
      </w:r>
    </w:p>
    <w:p w14:paraId="4194ADCB" w14:textId="727FFEB8" w:rsidR="0040441E" w:rsidRDefault="0040441E" w:rsidP="009E6BD0">
      <w:pPr>
        <w:pStyle w:val="BodyText0"/>
      </w:pPr>
      <w:r>
        <w:t xml:space="preserve"> </w:t>
      </w:r>
    </w:p>
    <w:p w14:paraId="3CEF96BF" w14:textId="77777777" w:rsidR="0040441E" w:rsidRDefault="0040441E" w:rsidP="0040441E">
      <w:r>
        <w:rPr>
          <w:rFonts w:cs="Arial"/>
          <w:noProof/>
          <w:color w:val="000000"/>
        </w:rPr>
        <mc:AlternateContent>
          <mc:Choice Requires="wps">
            <w:drawing>
              <wp:anchor distT="0" distB="0" distL="114300" distR="114300" simplePos="0" relativeHeight="251660288" behindDoc="0" locked="0" layoutInCell="1" allowOverlap="1" wp14:anchorId="48C344C9" wp14:editId="06329C87">
                <wp:simplePos x="0" y="0"/>
                <wp:positionH relativeFrom="column">
                  <wp:posOffset>104775</wp:posOffset>
                </wp:positionH>
                <wp:positionV relativeFrom="paragraph">
                  <wp:posOffset>1462405</wp:posOffset>
                </wp:positionV>
                <wp:extent cx="247650" cy="1247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47650" cy="1247775"/>
                        </a:xfrm>
                        <a:prstGeom prst="rect">
                          <a:avLst/>
                        </a:prstGeom>
                        <a:solidFill>
                          <a:schemeClr val="lt1"/>
                        </a:solidFill>
                        <a:ln w="6350">
                          <a:noFill/>
                        </a:ln>
                      </wps:spPr>
                      <wps:txbx>
                        <w:txbxContent>
                          <w:p w14:paraId="1EC9BA51" w14:textId="77777777" w:rsidR="0040441E" w:rsidRDefault="0040441E" w:rsidP="0040441E">
                            <w:proofErr w:type="spellStart"/>
                            <w:r>
                              <w:t>mnstrs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344C9" id="_x0000_t202" coordsize="21600,21600" o:spt="202" path="m,l,21600r21600,l21600,xe">
                <v:stroke joinstyle="miter"/>
                <v:path gradientshapeok="t" o:connecttype="rect"/>
              </v:shapetype>
              <v:shape id="Text Box 3" o:spid="_x0000_s1026" type="#_x0000_t202" style="position:absolute;left:0;text-align:left;margin-left:8.25pt;margin-top:115.15pt;width:19.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" fillcolor="white [3201]" stroked="f" strokeweight=".5pt">
                <v:textbox>
                  <w:txbxContent>
                    <w:p w14:paraId="1EC9BA51" w14:textId="77777777" w:rsidR="0040441E" w:rsidRDefault="0040441E" w:rsidP="0040441E">
                      <w:r>
                        <w:t>mnstrs</w:t>
                      </w:r>
                    </w:p>
                  </w:txbxContent>
                </v:textbox>
              </v:shape>
            </w:pict>
          </mc:Fallback>
        </mc:AlternateContent>
      </w:r>
      <w:r>
        <w:rPr>
          <w:rFonts w:cs="Arial"/>
          <w:noProof/>
          <w:color w:val="000000"/>
        </w:rPr>
        <mc:AlternateContent>
          <mc:Choice Requires="wps">
            <w:drawing>
              <wp:anchor distT="0" distB="0" distL="114300" distR="114300" simplePos="0" relativeHeight="251659264" behindDoc="0" locked="0" layoutInCell="1" allowOverlap="1" wp14:anchorId="5EABA1C9" wp14:editId="796A8571">
                <wp:simplePos x="0" y="0"/>
                <wp:positionH relativeFrom="column">
                  <wp:posOffset>2771775</wp:posOffset>
                </wp:positionH>
                <wp:positionV relativeFrom="paragraph">
                  <wp:posOffset>3749040</wp:posOffset>
                </wp:positionV>
                <wp:extent cx="619125" cy="2667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619125" cy="266700"/>
                        </a:xfrm>
                        <a:prstGeom prst="rect">
                          <a:avLst/>
                        </a:prstGeom>
                        <a:solidFill>
                          <a:schemeClr val="lt1"/>
                        </a:solidFill>
                        <a:ln w="6350">
                          <a:noFill/>
                        </a:ln>
                        <a:effectLst/>
                      </wps:spPr>
                      <wps:txbx>
                        <w:txbxContent>
                          <w:p w14:paraId="04776E8A" w14:textId="77777777" w:rsidR="0040441E" w:rsidRDefault="0040441E" w:rsidP="0040441E">
                            <w:r>
                              <w: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ABA1C9" id="Text Box 33" o:spid="_x0000_s1027" type="#_x0000_t202" style="position:absolute;left:0;text-align:left;margin-left:218.25pt;margin-top:295.2pt;width:48.7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" fillcolor="white [3201]" stroked="f" strokeweight=".5pt">
                <v:textbox>
                  <w:txbxContent>
                    <w:p w14:paraId="04776E8A" w14:textId="77777777" w:rsidR="0040441E" w:rsidRDefault="0040441E" w:rsidP="0040441E">
                      <w:r>
                        <w:t>age</w:t>
                      </w:r>
                    </w:p>
                  </w:txbxContent>
                </v:textbox>
              </v:shape>
            </w:pict>
          </mc:Fallback>
        </mc:AlternateContent>
      </w:r>
      <w:r>
        <w:rPr>
          <w:rFonts w:cs="Arial"/>
          <w:noProof/>
          <w:color w:val="000000"/>
        </w:rPr>
        <w:drawing>
          <wp:inline distT="0" distB="0" distL="0" distR="0" wp14:anchorId="068E2FB3" wp14:editId="17C88C05">
            <wp:extent cx="5731510" cy="4293870"/>
            <wp:effectExtent l="0" t="0" r="2540" b="0"/>
            <wp:docPr id="34" name="Picture 34"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GPlot Procedur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31510" cy="4293870"/>
                    </a:xfrm>
                    <a:prstGeom prst="rect">
                      <a:avLst/>
                    </a:prstGeom>
                    <a:noFill/>
                    <a:ln>
                      <a:noFill/>
                    </a:ln>
                  </pic:spPr>
                </pic:pic>
              </a:graphicData>
            </a:graphic>
          </wp:inline>
        </w:drawing>
      </w:r>
      <w:r>
        <w:t xml:space="preserve"> </w:t>
      </w:r>
    </w:p>
    <w:p w14:paraId="4E76FF9E" w14:textId="2315AA4E" w:rsidR="0040441E" w:rsidRDefault="00472D16" w:rsidP="0000266C">
      <w:pPr>
        <w:pStyle w:val="Caption"/>
      </w:pPr>
      <w:bookmarkStart w:id="1109" w:name="_Ref111735336"/>
      <w:r>
        <w:t xml:space="preserve">Figure </w:t>
      </w:r>
      <w:fldSimple w:instr=" STYLEREF 1 \s ">
        <w:r w:rsidR="007D19D7">
          <w:rPr>
            <w:noProof/>
          </w:rPr>
          <w:t>7</w:t>
        </w:r>
      </w:fldSimple>
      <w:r w:rsidR="00621B2D">
        <w:noBreakHyphen/>
      </w:r>
      <w:fldSimple w:instr=" SEQ Figure \* ARABIC \s 1 ">
        <w:r w:rsidR="007D19D7">
          <w:rPr>
            <w:noProof/>
          </w:rPr>
          <w:t>1</w:t>
        </w:r>
      </w:fldSimple>
      <w:bookmarkEnd w:id="1109"/>
      <w:r w:rsidR="005478B5">
        <w:t xml:space="preserve">  Previous and re-calculated mean stress scores for the 1973-78 and 1946-51 cohorts.</w:t>
      </w:r>
    </w:p>
    <w:p w14:paraId="46392F42" w14:textId="77777777" w:rsidR="0040441E" w:rsidRDefault="0040441E" w:rsidP="001A7C07">
      <w:pPr>
        <w:spacing w:line="240" w:lineRule="auto"/>
      </w:pPr>
      <w:r>
        <w:t xml:space="preserve"> </w:t>
      </w:r>
    </w:p>
    <w:p w14:paraId="3DD67671" w14:textId="2DF66AD7" w:rsidR="0040441E" w:rsidRPr="007B5E73" w:rsidRDefault="0040441E" w:rsidP="00BA2373">
      <w:pPr>
        <w:pStyle w:val="Heading3"/>
        <w:numPr>
          <w:ilvl w:val="3"/>
          <w:numId w:val="52"/>
        </w:numPr>
      </w:pPr>
      <w:bookmarkStart w:id="1110" w:name="_Toc124762807"/>
      <w:r w:rsidRPr="007B5E73">
        <w:t>Implications</w:t>
      </w:r>
      <w:bookmarkEnd w:id="1110"/>
      <w:r w:rsidRPr="007B5E73">
        <w:t xml:space="preserve"> </w:t>
      </w:r>
    </w:p>
    <w:p w14:paraId="56D68454" w14:textId="1FE05A8B" w:rsidR="004257D5" w:rsidRDefault="0040441E" w:rsidP="009E6BD0">
      <w:pPr>
        <w:pStyle w:val="BodyText0"/>
      </w:pPr>
      <w:r>
        <w:t xml:space="preserve">The change was made in early 2022 to all relevant datasets at the same time. Anyone receiving ALSWH data from 2022 will receive the new </w:t>
      </w:r>
      <w:r w:rsidR="00472D16">
        <w:t>m</w:t>
      </w:r>
      <w:r>
        <w:t xml:space="preserve">ean </w:t>
      </w:r>
      <w:r w:rsidR="00472D16">
        <w:t>s</w:t>
      </w:r>
      <w:r>
        <w:t xml:space="preserve">tress values in all datasets. The values are used in comparison to other values at different </w:t>
      </w:r>
      <w:proofErr w:type="gramStart"/>
      <w:r>
        <w:t>waves</w:t>
      </w:r>
      <w:proofErr w:type="gramEnd"/>
      <w:r>
        <w:t xml:space="preserve"> so the absolute value does not have any intrinsic meaning. </w:t>
      </w:r>
      <w:r w:rsidR="005478B5">
        <w:t xml:space="preserve">Previous </w:t>
      </w:r>
      <w:r w:rsidR="004257D5">
        <w:t xml:space="preserve">ALSWH </w:t>
      </w:r>
      <w:r w:rsidR="005478B5">
        <w:t xml:space="preserve">advice regarding interpretation of mean stress </w:t>
      </w:r>
      <w:r w:rsidR="004257D5">
        <w:t xml:space="preserve">(0 to &lt;.25 not stressed; .25 to &lt;.50 somewhat stressed; .50 to &lt;1.0 moderately stressed; 1.0 to 4.0 very stressed) </w:t>
      </w:r>
      <w:r w:rsidR="005478B5">
        <w:t xml:space="preserve">may no longer be valid, as the values have changed. </w:t>
      </w:r>
      <w:r w:rsidR="004C521D">
        <w:t xml:space="preserve">Data users will be informed of </w:t>
      </w:r>
      <w:r w:rsidR="003E697C">
        <w:t xml:space="preserve">these </w:t>
      </w:r>
      <w:r w:rsidR="004C521D">
        <w:t>chang</w:t>
      </w:r>
      <w:r w:rsidR="003E697C">
        <w:t>es to calculation of the mean stress values</w:t>
      </w:r>
      <w:r w:rsidR="004C521D">
        <w:t xml:space="preserve"> in the next ALSWH data user newsletter.</w:t>
      </w:r>
      <w:r w:rsidR="005478B5">
        <w:t xml:space="preserve"> </w:t>
      </w:r>
    </w:p>
    <w:p w14:paraId="0FE779C1" w14:textId="572E40A3" w:rsidR="00167129" w:rsidRPr="00167129" w:rsidRDefault="00167129" w:rsidP="00A26D98">
      <w:pPr>
        <w:pStyle w:val="Heading2"/>
        <w:rPr>
          <w:rStyle w:val="Strong"/>
          <w:rFonts w:cs="Times New Roman"/>
          <w:b/>
          <w:bCs/>
          <w:sz w:val="20"/>
          <w:szCs w:val="24"/>
        </w:rPr>
      </w:pPr>
      <w:bookmarkStart w:id="1111" w:name="_Toc124762808"/>
      <w:r w:rsidRPr="00167129">
        <w:rPr>
          <w:rStyle w:val="Strong"/>
          <w:b/>
          <w:bCs/>
        </w:rPr>
        <w:lastRenderedPageBreak/>
        <w:t>Measuring sexual violence in ALSWH</w:t>
      </w:r>
      <w:r w:rsidR="003B09EF">
        <w:rPr>
          <w:rStyle w:val="Strong"/>
          <w:b/>
          <w:bCs/>
        </w:rPr>
        <w:t xml:space="preserve"> Surveys</w:t>
      </w:r>
      <w:bookmarkEnd w:id="1111"/>
    </w:p>
    <w:p w14:paraId="3E36AC1E" w14:textId="77777777" w:rsidR="00167129" w:rsidRPr="00C026A3" w:rsidRDefault="00167129" w:rsidP="00167129">
      <w:pPr>
        <w:spacing w:line="276" w:lineRule="auto"/>
        <w:rPr>
          <w:i/>
          <w:iCs/>
        </w:rPr>
      </w:pPr>
      <w:r>
        <w:rPr>
          <w:i/>
          <w:iCs/>
        </w:rPr>
        <w:t>Authors: Nicholas Egan, Peta Forder, Deborah Loxton</w:t>
      </w:r>
    </w:p>
    <w:p w14:paraId="5275CDEB" w14:textId="77777777" w:rsidR="00167129" w:rsidRDefault="00167129" w:rsidP="00A26D98">
      <w:pPr>
        <w:pStyle w:val="Heading3"/>
      </w:pPr>
      <w:bookmarkStart w:id="1112" w:name="_Toc124762809"/>
      <w:r>
        <w:t>Introduction</w:t>
      </w:r>
      <w:bookmarkEnd w:id="1112"/>
    </w:p>
    <w:p w14:paraId="0C69941B" w14:textId="33B73877" w:rsidR="00167129" w:rsidRDefault="00167129" w:rsidP="00A26D98">
      <w:pPr>
        <w:pStyle w:val="BodyText"/>
      </w:pPr>
      <w:r>
        <w:t>ALSWH</w:t>
      </w:r>
      <w:r w:rsidR="003B09EF">
        <w:t xml:space="preserve"> surveys</w:t>
      </w:r>
      <w:r>
        <w:t xml:space="preserve"> include measures of different types of sexual violence that a woman may experience in her lifetime. Sexual violence is a complex issue, and the survey instruments used to measure it are also complex. This </w:t>
      </w:r>
      <w:r w:rsidR="00A26D98">
        <w:t xml:space="preserve">section </w:t>
      </w:r>
      <w:r>
        <w:t xml:space="preserve">seeks to provide an overview of these measures, their subtleties, and practical advice on using these measures based on past research. </w:t>
      </w:r>
    </w:p>
    <w:p w14:paraId="49637A38" w14:textId="733330EA" w:rsidR="00167129" w:rsidRDefault="00167129" w:rsidP="00A26D98">
      <w:pPr>
        <w:pStyle w:val="BodyText"/>
      </w:pPr>
      <w:r>
        <w:t xml:space="preserve">Much of this work draws on the lessons learnt in writing an </w:t>
      </w:r>
      <w:hyperlink r:id="rId67" w:history="1">
        <w:r w:rsidRPr="00410DFF">
          <w:rPr>
            <w:rStyle w:val="Hyperlink"/>
          </w:rPr>
          <w:t>ALSWH report</w:t>
        </w:r>
      </w:hyperlink>
      <w:r>
        <w:t xml:space="preserve"> commissioned by the Australian National Research Organisation for Women’s Safety (ANROWS), which </w:t>
      </w:r>
      <w:r w:rsidR="00110EAC">
        <w:t>was</w:t>
      </w:r>
      <w:r>
        <w:t xml:space="preserve"> published in </w:t>
      </w:r>
      <w:r w:rsidR="00110EAC">
        <w:t xml:space="preserve">August </w:t>
      </w:r>
      <w:r>
        <w:t xml:space="preserve">2022. These ideas were developed in concert with the report’s team, which was led by Natalie Townsend and Deborah Loxton and included Peta Forder, Nicholas </w:t>
      </w:r>
      <w:proofErr w:type="gramStart"/>
      <w:r>
        <w:t>Egan</w:t>
      </w:r>
      <w:proofErr w:type="gramEnd"/>
      <w:r>
        <w:t xml:space="preserve"> and Isabelle Barnes.</w:t>
      </w:r>
    </w:p>
    <w:p w14:paraId="085488D8" w14:textId="77777777" w:rsidR="00167129" w:rsidRDefault="00167129" w:rsidP="00A26D98">
      <w:pPr>
        <w:pStyle w:val="Heading3"/>
      </w:pPr>
      <w:bookmarkStart w:id="1113" w:name="_Toc124762810"/>
      <w:r>
        <w:t>Measures of sexual violence in ALSWH</w:t>
      </w:r>
      <w:bookmarkEnd w:id="1113"/>
    </w:p>
    <w:p w14:paraId="2E12796C" w14:textId="177C1E4F" w:rsidR="00167129" w:rsidRDefault="00167129" w:rsidP="00A26D98">
      <w:pPr>
        <w:pStyle w:val="BodyText"/>
      </w:pPr>
      <w:r>
        <w:t>There are three main measures of sexual violence included in the ALSWH surveys. These included measures of (A) sexual violence during childhood, (B) sexual violence perpetrated by a partner, and (C) sexual violence perpetrated by an unspecified person. The availability of these measures is summarised in</w:t>
      </w:r>
      <w:r w:rsidR="004257D5">
        <w:t xml:space="preserve"> </w:t>
      </w:r>
      <w:r w:rsidR="004257D5">
        <w:rPr>
          <w:highlight w:val="yellow"/>
        </w:rPr>
        <w:fldChar w:fldCharType="begin"/>
      </w:r>
      <w:r w:rsidR="004257D5">
        <w:instrText xml:space="preserve"> REF _Ref96940882 \h </w:instrText>
      </w:r>
      <w:r w:rsidR="004257D5">
        <w:rPr>
          <w:highlight w:val="yellow"/>
        </w:rPr>
      </w:r>
      <w:r w:rsidR="004257D5">
        <w:rPr>
          <w:highlight w:val="yellow"/>
        </w:rPr>
        <w:fldChar w:fldCharType="separate"/>
      </w:r>
      <w:r w:rsidR="007D19D7">
        <w:t xml:space="preserve">Table </w:t>
      </w:r>
      <w:r w:rsidR="007D19D7">
        <w:rPr>
          <w:noProof/>
        </w:rPr>
        <w:t>7</w:t>
      </w:r>
      <w:r w:rsidR="007D19D7">
        <w:noBreakHyphen/>
      </w:r>
      <w:r w:rsidR="007D19D7">
        <w:rPr>
          <w:noProof/>
        </w:rPr>
        <w:t>4</w:t>
      </w:r>
      <w:r w:rsidR="004257D5">
        <w:rPr>
          <w:highlight w:val="yellow"/>
        </w:rPr>
        <w:fldChar w:fldCharType="end"/>
      </w:r>
      <w:r>
        <w:t>.</w:t>
      </w:r>
    </w:p>
    <w:p w14:paraId="15C8EB7E" w14:textId="1F12B6EC" w:rsidR="00167129" w:rsidRDefault="00167129" w:rsidP="0000266C">
      <w:pPr>
        <w:pStyle w:val="Caption"/>
      </w:pPr>
      <w:bookmarkStart w:id="1114" w:name="_Ref96940882"/>
      <w:r>
        <w:t xml:space="preserve">Table </w:t>
      </w:r>
      <w:fldSimple w:instr=" STYLEREF 1 \s ">
        <w:r w:rsidR="007D19D7">
          <w:rPr>
            <w:noProof/>
          </w:rPr>
          <w:t>7</w:t>
        </w:r>
      </w:fldSimple>
      <w:r w:rsidR="00327D59">
        <w:noBreakHyphen/>
      </w:r>
      <w:fldSimple w:instr=" SEQ Table \* ARABIC \s 1 ">
        <w:r w:rsidR="007D19D7">
          <w:rPr>
            <w:noProof/>
          </w:rPr>
          <w:t>4</w:t>
        </w:r>
      </w:fldSimple>
      <w:bookmarkEnd w:id="1114"/>
      <w:r>
        <w:t xml:space="preserve"> </w:t>
      </w:r>
      <w:r w:rsidRPr="00AA1914">
        <w:t>Summary of collection of sexual violence data across ALSWH cohorts and surveys</w:t>
      </w:r>
    </w:p>
    <w:tbl>
      <w:tblPr>
        <w:tblStyle w:val="TableGrid"/>
        <w:tblW w:w="9072" w:type="dxa"/>
        <w:tblInd w:w="-15" w:type="dxa"/>
        <w:tblLayout w:type="fixed"/>
        <w:tblCellMar>
          <w:top w:w="28" w:type="dxa"/>
          <w:left w:w="28" w:type="dxa"/>
          <w:bottom w:w="28" w:type="dxa"/>
          <w:right w:w="28" w:type="dxa"/>
        </w:tblCellMar>
        <w:tblLook w:val="04A0" w:firstRow="1" w:lastRow="0" w:firstColumn="1" w:lastColumn="0" w:noHBand="0" w:noVBand="1"/>
      </w:tblPr>
      <w:tblGrid>
        <w:gridCol w:w="2694"/>
        <w:gridCol w:w="236"/>
        <w:gridCol w:w="236"/>
        <w:gridCol w:w="236"/>
        <w:gridCol w:w="236"/>
        <w:gridCol w:w="236"/>
        <w:gridCol w:w="237"/>
        <w:gridCol w:w="212"/>
        <w:gridCol w:w="213"/>
        <w:gridCol w:w="212"/>
        <w:gridCol w:w="213"/>
        <w:gridCol w:w="213"/>
        <w:gridCol w:w="212"/>
        <w:gridCol w:w="213"/>
        <w:gridCol w:w="213"/>
        <w:gridCol w:w="220"/>
        <w:gridCol w:w="221"/>
        <w:gridCol w:w="220"/>
        <w:gridCol w:w="221"/>
        <w:gridCol w:w="220"/>
        <w:gridCol w:w="221"/>
        <w:gridCol w:w="220"/>
        <w:gridCol w:w="16"/>
        <w:gridCol w:w="142"/>
        <w:gridCol w:w="63"/>
        <w:gridCol w:w="221"/>
        <w:gridCol w:w="212"/>
        <w:gridCol w:w="71"/>
        <w:gridCol w:w="142"/>
        <w:gridCol w:w="142"/>
        <w:gridCol w:w="70"/>
        <w:gridCol w:w="213"/>
        <w:gridCol w:w="212"/>
        <w:gridCol w:w="213"/>
      </w:tblGrid>
      <w:tr w:rsidR="00167129" w14:paraId="02A821F3" w14:textId="77777777" w:rsidTr="004C382A">
        <w:tc>
          <w:tcPr>
            <w:tcW w:w="2694" w:type="dxa"/>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14:paraId="57FF10A5" w14:textId="77777777" w:rsidR="00167129" w:rsidRPr="002C45B6" w:rsidRDefault="00167129" w:rsidP="00B42641">
            <w:pPr>
              <w:spacing w:line="276" w:lineRule="auto"/>
              <w:jc w:val="right"/>
              <w:rPr>
                <w:b/>
              </w:rPr>
            </w:pPr>
          </w:p>
        </w:tc>
        <w:tc>
          <w:tcPr>
            <w:tcW w:w="1417" w:type="dxa"/>
            <w:gridSpan w:val="6"/>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14:paraId="6F2E7BE8" w14:textId="77777777" w:rsidR="00167129" w:rsidRPr="002C45B6" w:rsidRDefault="00167129" w:rsidP="00B42641">
            <w:pPr>
              <w:spacing w:line="276" w:lineRule="auto"/>
              <w:jc w:val="center"/>
              <w:rPr>
                <w:b/>
              </w:rPr>
            </w:pPr>
            <w:r>
              <w:rPr>
                <w:b/>
              </w:rPr>
              <w:t>1989-95</w:t>
            </w:r>
          </w:p>
        </w:tc>
        <w:tc>
          <w:tcPr>
            <w:tcW w:w="1701" w:type="dxa"/>
            <w:gridSpan w:val="8"/>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14:paraId="655457AF" w14:textId="77777777" w:rsidR="00167129" w:rsidRPr="002C45B6" w:rsidRDefault="00167129" w:rsidP="00B42641">
            <w:pPr>
              <w:spacing w:line="276" w:lineRule="auto"/>
              <w:jc w:val="center"/>
              <w:rPr>
                <w:b/>
              </w:rPr>
            </w:pPr>
            <w:r>
              <w:rPr>
                <w:b/>
              </w:rPr>
              <w:t>1973-78</w:t>
            </w:r>
          </w:p>
        </w:tc>
        <w:tc>
          <w:tcPr>
            <w:tcW w:w="1985" w:type="dxa"/>
            <w:gridSpan w:val="11"/>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14:paraId="6FB4BDB2" w14:textId="77777777" w:rsidR="00167129" w:rsidRPr="002C45B6" w:rsidRDefault="00167129" w:rsidP="00B42641">
            <w:pPr>
              <w:spacing w:line="276" w:lineRule="auto"/>
              <w:jc w:val="center"/>
              <w:rPr>
                <w:b/>
              </w:rPr>
            </w:pPr>
            <w:r>
              <w:rPr>
                <w:b/>
              </w:rPr>
              <w:t>1946-51</w:t>
            </w:r>
          </w:p>
        </w:tc>
        <w:tc>
          <w:tcPr>
            <w:tcW w:w="1275" w:type="dxa"/>
            <w:gridSpan w:val="8"/>
            <w:tcBorders>
              <w:top w:val="single" w:sz="12" w:space="0" w:color="auto"/>
              <w:left w:val="single" w:sz="12" w:space="0" w:color="auto"/>
              <w:bottom w:val="single" w:sz="12" w:space="0" w:color="auto"/>
              <w:right w:val="single" w:sz="12" w:space="0" w:color="auto"/>
            </w:tcBorders>
            <w:shd w:val="clear" w:color="auto" w:fill="F2DBDB" w:themeFill="accent2" w:themeFillTint="33"/>
          </w:tcPr>
          <w:p w14:paraId="03DE4FCD" w14:textId="77777777" w:rsidR="00167129" w:rsidRDefault="00167129" w:rsidP="00B42641">
            <w:pPr>
              <w:spacing w:line="276" w:lineRule="auto"/>
              <w:jc w:val="center"/>
              <w:rPr>
                <w:b/>
              </w:rPr>
            </w:pPr>
            <w:r>
              <w:rPr>
                <w:b/>
              </w:rPr>
              <w:t>1921-26</w:t>
            </w:r>
          </w:p>
        </w:tc>
      </w:tr>
      <w:tr w:rsidR="00F73446" w14:paraId="61DA4098" w14:textId="77777777" w:rsidTr="00F73446">
        <w:tc>
          <w:tcPr>
            <w:tcW w:w="2694" w:type="dxa"/>
            <w:tcBorders>
              <w:left w:val="single" w:sz="12" w:space="0" w:color="auto"/>
              <w:bottom w:val="single" w:sz="12" w:space="0" w:color="auto"/>
              <w:right w:val="single" w:sz="12" w:space="0" w:color="auto"/>
            </w:tcBorders>
            <w:shd w:val="clear" w:color="auto" w:fill="F2DBDB" w:themeFill="accent2" w:themeFillTint="33"/>
            <w:vAlign w:val="center"/>
          </w:tcPr>
          <w:p w14:paraId="072B1CC8" w14:textId="77777777" w:rsidR="00167129" w:rsidRPr="002C45B6" w:rsidRDefault="00167129" w:rsidP="00B42641">
            <w:pPr>
              <w:spacing w:line="276" w:lineRule="auto"/>
              <w:jc w:val="right"/>
              <w:rPr>
                <w:b/>
              </w:rPr>
            </w:pPr>
            <w:r w:rsidRPr="002C45B6">
              <w:rPr>
                <w:b/>
              </w:rPr>
              <w:t>Survey</w:t>
            </w:r>
          </w:p>
        </w:tc>
        <w:tc>
          <w:tcPr>
            <w:tcW w:w="236" w:type="dxa"/>
            <w:tcBorders>
              <w:left w:val="single" w:sz="12" w:space="0" w:color="auto"/>
              <w:bottom w:val="single" w:sz="12" w:space="0" w:color="auto"/>
            </w:tcBorders>
            <w:shd w:val="clear" w:color="auto" w:fill="F2DBDB" w:themeFill="accent2" w:themeFillTint="33"/>
            <w:vAlign w:val="center"/>
          </w:tcPr>
          <w:p w14:paraId="1BFBCC4C" w14:textId="77777777" w:rsidR="00167129" w:rsidRPr="002C45B6" w:rsidRDefault="00167129" w:rsidP="00B42641">
            <w:pPr>
              <w:spacing w:line="276" w:lineRule="auto"/>
              <w:jc w:val="center"/>
              <w:rPr>
                <w:b/>
              </w:rPr>
            </w:pPr>
            <w:r w:rsidRPr="002C45B6">
              <w:rPr>
                <w:b/>
              </w:rPr>
              <w:t>1</w:t>
            </w:r>
          </w:p>
        </w:tc>
        <w:tc>
          <w:tcPr>
            <w:tcW w:w="236" w:type="dxa"/>
            <w:tcBorders>
              <w:bottom w:val="single" w:sz="12" w:space="0" w:color="auto"/>
            </w:tcBorders>
            <w:shd w:val="clear" w:color="auto" w:fill="F2DBDB" w:themeFill="accent2" w:themeFillTint="33"/>
            <w:vAlign w:val="center"/>
          </w:tcPr>
          <w:p w14:paraId="25D94D74" w14:textId="77777777" w:rsidR="00167129" w:rsidRPr="002C45B6" w:rsidRDefault="00167129" w:rsidP="00B42641">
            <w:pPr>
              <w:spacing w:line="276" w:lineRule="auto"/>
              <w:jc w:val="center"/>
              <w:rPr>
                <w:b/>
              </w:rPr>
            </w:pPr>
            <w:r w:rsidRPr="002C45B6">
              <w:rPr>
                <w:b/>
              </w:rPr>
              <w:t>2</w:t>
            </w:r>
          </w:p>
        </w:tc>
        <w:tc>
          <w:tcPr>
            <w:tcW w:w="236" w:type="dxa"/>
            <w:tcBorders>
              <w:bottom w:val="single" w:sz="12" w:space="0" w:color="auto"/>
            </w:tcBorders>
            <w:shd w:val="clear" w:color="auto" w:fill="F2DBDB" w:themeFill="accent2" w:themeFillTint="33"/>
            <w:vAlign w:val="center"/>
          </w:tcPr>
          <w:p w14:paraId="1C7D1B2B" w14:textId="77777777" w:rsidR="00167129" w:rsidRPr="002C45B6" w:rsidRDefault="00167129" w:rsidP="00B42641">
            <w:pPr>
              <w:spacing w:line="276" w:lineRule="auto"/>
              <w:jc w:val="center"/>
              <w:rPr>
                <w:b/>
              </w:rPr>
            </w:pPr>
            <w:r w:rsidRPr="002C45B6">
              <w:rPr>
                <w:b/>
              </w:rPr>
              <w:t>3</w:t>
            </w:r>
          </w:p>
        </w:tc>
        <w:tc>
          <w:tcPr>
            <w:tcW w:w="236" w:type="dxa"/>
            <w:tcBorders>
              <w:bottom w:val="single" w:sz="12" w:space="0" w:color="auto"/>
            </w:tcBorders>
            <w:shd w:val="clear" w:color="auto" w:fill="F2DBDB" w:themeFill="accent2" w:themeFillTint="33"/>
            <w:vAlign w:val="center"/>
          </w:tcPr>
          <w:p w14:paraId="06880F69" w14:textId="77777777" w:rsidR="00167129" w:rsidRPr="002C45B6" w:rsidRDefault="00167129" w:rsidP="00B42641">
            <w:pPr>
              <w:spacing w:line="276" w:lineRule="auto"/>
              <w:jc w:val="center"/>
              <w:rPr>
                <w:b/>
              </w:rPr>
            </w:pPr>
            <w:r w:rsidRPr="002C45B6">
              <w:rPr>
                <w:b/>
              </w:rPr>
              <w:t>4</w:t>
            </w:r>
          </w:p>
        </w:tc>
        <w:tc>
          <w:tcPr>
            <w:tcW w:w="236" w:type="dxa"/>
            <w:tcBorders>
              <w:bottom w:val="single" w:sz="12" w:space="0" w:color="auto"/>
            </w:tcBorders>
            <w:shd w:val="clear" w:color="auto" w:fill="F2DBDB" w:themeFill="accent2" w:themeFillTint="33"/>
            <w:vAlign w:val="center"/>
          </w:tcPr>
          <w:p w14:paraId="2CC3F59E" w14:textId="77777777" w:rsidR="00167129" w:rsidRPr="002C45B6" w:rsidRDefault="00167129" w:rsidP="00B42641">
            <w:pPr>
              <w:spacing w:line="276" w:lineRule="auto"/>
              <w:jc w:val="center"/>
              <w:rPr>
                <w:b/>
              </w:rPr>
            </w:pPr>
            <w:r w:rsidRPr="002C45B6">
              <w:rPr>
                <w:b/>
              </w:rPr>
              <w:t>5</w:t>
            </w:r>
          </w:p>
        </w:tc>
        <w:tc>
          <w:tcPr>
            <w:tcW w:w="237" w:type="dxa"/>
            <w:tcBorders>
              <w:bottom w:val="single" w:sz="12" w:space="0" w:color="auto"/>
              <w:right w:val="single" w:sz="12" w:space="0" w:color="auto"/>
            </w:tcBorders>
            <w:shd w:val="clear" w:color="auto" w:fill="F2DBDB" w:themeFill="accent2" w:themeFillTint="33"/>
            <w:vAlign w:val="center"/>
          </w:tcPr>
          <w:p w14:paraId="74B26EA6" w14:textId="77777777" w:rsidR="00167129" w:rsidRPr="002C45B6" w:rsidRDefault="00167129" w:rsidP="00B42641">
            <w:pPr>
              <w:spacing w:line="276" w:lineRule="auto"/>
              <w:jc w:val="center"/>
              <w:rPr>
                <w:b/>
              </w:rPr>
            </w:pPr>
            <w:r w:rsidRPr="002C45B6">
              <w:rPr>
                <w:b/>
              </w:rPr>
              <w:t>6</w:t>
            </w:r>
          </w:p>
        </w:tc>
        <w:tc>
          <w:tcPr>
            <w:tcW w:w="212" w:type="dxa"/>
            <w:tcBorders>
              <w:left w:val="single" w:sz="12" w:space="0" w:color="auto"/>
              <w:bottom w:val="single" w:sz="12" w:space="0" w:color="auto"/>
            </w:tcBorders>
            <w:shd w:val="clear" w:color="auto" w:fill="F2DBDB" w:themeFill="accent2" w:themeFillTint="33"/>
            <w:vAlign w:val="center"/>
          </w:tcPr>
          <w:p w14:paraId="7C4BB9FE" w14:textId="77777777" w:rsidR="00167129" w:rsidRPr="002C45B6" w:rsidRDefault="00167129" w:rsidP="00B42641">
            <w:pPr>
              <w:spacing w:line="276" w:lineRule="auto"/>
              <w:jc w:val="center"/>
              <w:rPr>
                <w:b/>
              </w:rPr>
            </w:pPr>
            <w:r w:rsidRPr="002C45B6">
              <w:rPr>
                <w:b/>
              </w:rPr>
              <w:t>1</w:t>
            </w:r>
          </w:p>
        </w:tc>
        <w:tc>
          <w:tcPr>
            <w:tcW w:w="213" w:type="dxa"/>
            <w:tcBorders>
              <w:bottom w:val="single" w:sz="12" w:space="0" w:color="auto"/>
            </w:tcBorders>
            <w:shd w:val="clear" w:color="auto" w:fill="F2DBDB" w:themeFill="accent2" w:themeFillTint="33"/>
            <w:vAlign w:val="center"/>
          </w:tcPr>
          <w:p w14:paraId="002B4C39" w14:textId="77777777" w:rsidR="00167129" w:rsidRPr="002C45B6" w:rsidRDefault="00167129" w:rsidP="00B42641">
            <w:pPr>
              <w:spacing w:line="276" w:lineRule="auto"/>
              <w:jc w:val="center"/>
              <w:rPr>
                <w:b/>
              </w:rPr>
            </w:pPr>
            <w:r w:rsidRPr="002C45B6">
              <w:rPr>
                <w:b/>
              </w:rPr>
              <w:t>2</w:t>
            </w:r>
          </w:p>
        </w:tc>
        <w:tc>
          <w:tcPr>
            <w:tcW w:w="212" w:type="dxa"/>
            <w:tcBorders>
              <w:bottom w:val="single" w:sz="12" w:space="0" w:color="auto"/>
            </w:tcBorders>
            <w:shd w:val="clear" w:color="auto" w:fill="F2DBDB" w:themeFill="accent2" w:themeFillTint="33"/>
            <w:vAlign w:val="center"/>
          </w:tcPr>
          <w:p w14:paraId="1817DF6E" w14:textId="77777777" w:rsidR="00167129" w:rsidRPr="002C45B6" w:rsidRDefault="00167129" w:rsidP="00B42641">
            <w:pPr>
              <w:spacing w:line="276" w:lineRule="auto"/>
              <w:jc w:val="center"/>
              <w:rPr>
                <w:b/>
              </w:rPr>
            </w:pPr>
            <w:r w:rsidRPr="002C45B6">
              <w:rPr>
                <w:b/>
              </w:rPr>
              <w:t>3</w:t>
            </w:r>
          </w:p>
        </w:tc>
        <w:tc>
          <w:tcPr>
            <w:tcW w:w="213" w:type="dxa"/>
            <w:tcBorders>
              <w:bottom w:val="single" w:sz="12" w:space="0" w:color="auto"/>
            </w:tcBorders>
            <w:shd w:val="clear" w:color="auto" w:fill="F2DBDB" w:themeFill="accent2" w:themeFillTint="33"/>
            <w:vAlign w:val="center"/>
          </w:tcPr>
          <w:p w14:paraId="66E345B1" w14:textId="77777777" w:rsidR="00167129" w:rsidRPr="002C45B6" w:rsidRDefault="00167129" w:rsidP="00B42641">
            <w:pPr>
              <w:spacing w:line="276" w:lineRule="auto"/>
              <w:jc w:val="center"/>
              <w:rPr>
                <w:b/>
              </w:rPr>
            </w:pPr>
            <w:r w:rsidRPr="002C45B6">
              <w:rPr>
                <w:b/>
              </w:rPr>
              <w:t>4</w:t>
            </w:r>
          </w:p>
        </w:tc>
        <w:tc>
          <w:tcPr>
            <w:tcW w:w="213" w:type="dxa"/>
            <w:tcBorders>
              <w:bottom w:val="single" w:sz="12" w:space="0" w:color="auto"/>
            </w:tcBorders>
            <w:shd w:val="clear" w:color="auto" w:fill="F2DBDB" w:themeFill="accent2" w:themeFillTint="33"/>
            <w:vAlign w:val="center"/>
          </w:tcPr>
          <w:p w14:paraId="37F5917E" w14:textId="77777777" w:rsidR="00167129" w:rsidRPr="002C45B6" w:rsidRDefault="00167129" w:rsidP="00B42641">
            <w:pPr>
              <w:spacing w:line="276" w:lineRule="auto"/>
              <w:jc w:val="center"/>
              <w:rPr>
                <w:b/>
              </w:rPr>
            </w:pPr>
            <w:r w:rsidRPr="002C45B6">
              <w:rPr>
                <w:b/>
              </w:rPr>
              <w:t>5</w:t>
            </w:r>
          </w:p>
        </w:tc>
        <w:tc>
          <w:tcPr>
            <w:tcW w:w="212" w:type="dxa"/>
            <w:tcBorders>
              <w:bottom w:val="single" w:sz="12" w:space="0" w:color="auto"/>
            </w:tcBorders>
            <w:shd w:val="clear" w:color="auto" w:fill="F2DBDB" w:themeFill="accent2" w:themeFillTint="33"/>
            <w:vAlign w:val="center"/>
          </w:tcPr>
          <w:p w14:paraId="62DB53EE" w14:textId="77777777" w:rsidR="00167129" w:rsidRPr="002C45B6" w:rsidRDefault="00167129" w:rsidP="00B42641">
            <w:pPr>
              <w:spacing w:line="276" w:lineRule="auto"/>
              <w:jc w:val="center"/>
              <w:rPr>
                <w:b/>
              </w:rPr>
            </w:pPr>
            <w:r w:rsidRPr="002C45B6">
              <w:rPr>
                <w:b/>
              </w:rPr>
              <w:t>6</w:t>
            </w:r>
          </w:p>
        </w:tc>
        <w:tc>
          <w:tcPr>
            <w:tcW w:w="213" w:type="dxa"/>
            <w:tcBorders>
              <w:bottom w:val="single" w:sz="12" w:space="0" w:color="auto"/>
            </w:tcBorders>
            <w:shd w:val="clear" w:color="auto" w:fill="F2DBDB" w:themeFill="accent2" w:themeFillTint="33"/>
            <w:vAlign w:val="center"/>
          </w:tcPr>
          <w:p w14:paraId="132FC467" w14:textId="77777777" w:rsidR="00167129" w:rsidRPr="002C45B6" w:rsidRDefault="00167129" w:rsidP="00B42641">
            <w:pPr>
              <w:spacing w:line="276" w:lineRule="auto"/>
              <w:jc w:val="center"/>
              <w:rPr>
                <w:b/>
              </w:rPr>
            </w:pPr>
            <w:r w:rsidRPr="002C45B6">
              <w:rPr>
                <w:b/>
              </w:rPr>
              <w:t>7</w:t>
            </w:r>
          </w:p>
        </w:tc>
        <w:tc>
          <w:tcPr>
            <w:tcW w:w="213" w:type="dxa"/>
            <w:tcBorders>
              <w:bottom w:val="single" w:sz="12" w:space="0" w:color="auto"/>
              <w:right w:val="single" w:sz="12" w:space="0" w:color="auto"/>
            </w:tcBorders>
            <w:shd w:val="clear" w:color="auto" w:fill="F2DBDB" w:themeFill="accent2" w:themeFillTint="33"/>
            <w:vAlign w:val="center"/>
          </w:tcPr>
          <w:p w14:paraId="2A8E6F52" w14:textId="77777777" w:rsidR="00167129" w:rsidRPr="002C45B6" w:rsidRDefault="00167129" w:rsidP="00B42641">
            <w:pPr>
              <w:spacing w:line="276" w:lineRule="auto"/>
              <w:jc w:val="center"/>
              <w:rPr>
                <w:b/>
              </w:rPr>
            </w:pPr>
            <w:r w:rsidRPr="002C45B6">
              <w:rPr>
                <w:b/>
              </w:rPr>
              <w:t>8</w:t>
            </w:r>
          </w:p>
        </w:tc>
        <w:tc>
          <w:tcPr>
            <w:tcW w:w="220" w:type="dxa"/>
            <w:tcBorders>
              <w:top w:val="single" w:sz="12" w:space="0" w:color="auto"/>
              <w:left w:val="single" w:sz="12" w:space="0" w:color="auto"/>
              <w:bottom w:val="single" w:sz="12" w:space="0" w:color="auto"/>
              <w:right w:val="single" w:sz="4" w:space="0" w:color="auto"/>
            </w:tcBorders>
            <w:shd w:val="clear" w:color="auto" w:fill="F2DBDB" w:themeFill="accent2" w:themeFillTint="33"/>
            <w:vAlign w:val="center"/>
          </w:tcPr>
          <w:p w14:paraId="355176B4" w14:textId="77777777" w:rsidR="00167129" w:rsidRPr="002C45B6" w:rsidRDefault="00167129" w:rsidP="00B42641">
            <w:pPr>
              <w:spacing w:line="276" w:lineRule="auto"/>
              <w:jc w:val="center"/>
              <w:rPr>
                <w:b/>
              </w:rPr>
            </w:pPr>
            <w:r w:rsidRPr="002C45B6">
              <w:rPr>
                <w:b/>
              </w:rPr>
              <w:t>1</w:t>
            </w:r>
          </w:p>
        </w:tc>
        <w:tc>
          <w:tcPr>
            <w:tcW w:w="221" w:type="dxa"/>
            <w:tcBorders>
              <w:top w:val="single" w:sz="12" w:space="0" w:color="auto"/>
              <w:left w:val="single" w:sz="4" w:space="0" w:color="auto"/>
              <w:bottom w:val="single" w:sz="12" w:space="0" w:color="auto"/>
              <w:right w:val="single" w:sz="4" w:space="0" w:color="auto"/>
            </w:tcBorders>
            <w:shd w:val="clear" w:color="auto" w:fill="F2DBDB" w:themeFill="accent2" w:themeFillTint="33"/>
            <w:vAlign w:val="center"/>
          </w:tcPr>
          <w:p w14:paraId="1143B009" w14:textId="77777777" w:rsidR="00167129" w:rsidRPr="002C45B6" w:rsidRDefault="00167129" w:rsidP="00B42641">
            <w:pPr>
              <w:spacing w:line="276" w:lineRule="auto"/>
              <w:jc w:val="center"/>
              <w:rPr>
                <w:b/>
              </w:rPr>
            </w:pPr>
            <w:r w:rsidRPr="002C45B6">
              <w:rPr>
                <w:b/>
              </w:rPr>
              <w:t>2</w:t>
            </w:r>
          </w:p>
        </w:tc>
        <w:tc>
          <w:tcPr>
            <w:tcW w:w="220" w:type="dxa"/>
            <w:tcBorders>
              <w:top w:val="single" w:sz="12" w:space="0" w:color="auto"/>
              <w:left w:val="single" w:sz="4" w:space="0" w:color="auto"/>
              <w:bottom w:val="single" w:sz="12" w:space="0" w:color="auto"/>
              <w:right w:val="single" w:sz="4" w:space="0" w:color="auto"/>
            </w:tcBorders>
            <w:shd w:val="clear" w:color="auto" w:fill="F2DBDB" w:themeFill="accent2" w:themeFillTint="33"/>
            <w:vAlign w:val="center"/>
          </w:tcPr>
          <w:p w14:paraId="6CC4F82C" w14:textId="77777777" w:rsidR="00167129" w:rsidRPr="002C45B6" w:rsidRDefault="00167129" w:rsidP="00B42641">
            <w:pPr>
              <w:spacing w:line="276" w:lineRule="auto"/>
              <w:jc w:val="center"/>
              <w:rPr>
                <w:b/>
              </w:rPr>
            </w:pPr>
            <w:r w:rsidRPr="002C45B6">
              <w:rPr>
                <w:b/>
              </w:rPr>
              <w:t>3</w:t>
            </w:r>
          </w:p>
        </w:tc>
        <w:tc>
          <w:tcPr>
            <w:tcW w:w="221" w:type="dxa"/>
            <w:tcBorders>
              <w:top w:val="single" w:sz="12" w:space="0" w:color="auto"/>
              <w:left w:val="single" w:sz="4" w:space="0" w:color="auto"/>
              <w:bottom w:val="single" w:sz="12" w:space="0" w:color="auto"/>
              <w:right w:val="single" w:sz="4" w:space="0" w:color="auto"/>
            </w:tcBorders>
            <w:shd w:val="clear" w:color="auto" w:fill="F2DBDB" w:themeFill="accent2" w:themeFillTint="33"/>
            <w:vAlign w:val="center"/>
          </w:tcPr>
          <w:p w14:paraId="5B71A4F2" w14:textId="77777777" w:rsidR="00167129" w:rsidRPr="002C45B6" w:rsidRDefault="00167129" w:rsidP="00B42641">
            <w:pPr>
              <w:spacing w:line="276" w:lineRule="auto"/>
              <w:jc w:val="center"/>
              <w:rPr>
                <w:b/>
              </w:rPr>
            </w:pPr>
            <w:r w:rsidRPr="002C45B6">
              <w:rPr>
                <w:b/>
              </w:rPr>
              <w:t>4</w:t>
            </w:r>
          </w:p>
        </w:tc>
        <w:tc>
          <w:tcPr>
            <w:tcW w:w="220" w:type="dxa"/>
            <w:tcBorders>
              <w:top w:val="single" w:sz="12" w:space="0" w:color="auto"/>
              <w:left w:val="single" w:sz="4" w:space="0" w:color="auto"/>
              <w:bottom w:val="single" w:sz="12" w:space="0" w:color="auto"/>
              <w:right w:val="single" w:sz="4" w:space="0" w:color="auto"/>
            </w:tcBorders>
            <w:shd w:val="clear" w:color="auto" w:fill="F2DBDB" w:themeFill="accent2" w:themeFillTint="33"/>
            <w:vAlign w:val="center"/>
          </w:tcPr>
          <w:p w14:paraId="31D1C696" w14:textId="77777777" w:rsidR="00167129" w:rsidRPr="002C45B6" w:rsidRDefault="00167129" w:rsidP="00B42641">
            <w:pPr>
              <w:spacing w:line="276" w:lineRule="auto"/>
              <w:jc w:val="center"/>
              <w:rPr>
                <w:b/>
              </w:rPr>
            </w:pPr>
            <w:r w:rsidRPr="002C45B6">
              <w:rPr>
                <w:b/>
              </w:rPr>
              <w:t>5</w:t>
            </w:r>
          </w:p>
        </w:tc>
        <w:tc>
          <w:tcPr>
            <w:tcW w:w="221" w:type="dxa"/>
            <w:tcBorders>
              <w:top w:val="single" w:sz="12" w:space="0" w:color="auto"/>
              <w:left w:val="single" w:sz="4" w:space="0" w:color="auto"/>
              <w:bottom w:val="single" w:sz="12" w:space="0" w:color="auto"/>
              <w:right w:val="single" w:sz="4" w:space="0" w:color="auto"/>
            </w:tcBorders>
            <w:shd w:val="clear" w:color="auto" w:fill="F2DBDB" w:themeFill="accent2" w:themeFillTint="33"/>
            <w:vAlign w:val="center"/>
          </w:tcPr>
          <w:p w14:paraId="57BC26D5" w14:textId="77777777" w:rsidR="00167129" w:rsidRPr="002C45B6" w:rsidRDefault="00167129" w:rsidP="00B42641">
            <w:pPr>
              <w:spacing w:line="276" w:lineRule="auto"/>
              <w:jc w:val="center"/>
              <w:rPr>
                <w:b/>
              </w:rPr>
            </w:pPr>
            <w:r w:rsidRPr="002C45B6">
              <w:rPr>
                <w:b/>
              </w:rPr>
              <w:t>6</w:t>
            </w:r>
          </w:p>
        </w:tc>
        <w:tc>
          <w:tcPr>
            <w:tcW w:w="220" w:type="dxa"/>
            <w:tcBorders>
              <w:top w:val="single" w:sz="12" w:space="0" w:color="auto"/>
              <w:left w:val="single" w:sz="4" w:space="0" w:color="auto"/>
              <w:bottom w:val="single" w:sz="12" w:space="0" w:color="auto"/>
              <w:right w:val="single" w:sz="4" w:space="0" w:color="auto"/>
            </w:tcBorders>
            <w:shd w:val="clear" w:color="auto" w:fill="F2DBDB" w:themeFill="accent2" w:themeFillTint="33"/>
            <w:vAlign w:val="center"/>
          </w:tcPr>
          <w:p w14:paraId="682A9803" w14:textId="77777777" w:rsidR="00167129" w:rsidRPr="002C45B6" w:rsidRDefault="00167129" w:rsidP="00B42641">
            <w:pPr>
              <w:spacing w:line="276" w:lineRule="auto"/>
              <w:jc w:val="center"/>
              <w:rPr>
                <w:b/>
              </w:rPr>
            </w:pPr>
            <w:r w:rsidRPr="002C45B6">
              <w:rPr>
                <w:b/>
              </w:rPr>
              <w:t>7</w:t>
            </w:r>
          </w:p>
        </w:tc>
        <w:tc>
          <w:tcPr>
            <w:tcW w:w="221" w:type="dxa"/>
            <w:gridSpan w:val="3"/>
            <w:tcBorders>
              <w:top w:val="single" w:sz="12" w:space="0" w:color="auto"/>
              <w:left w:val="single" w:sz="4" w:space="0" w:color="auto"/>
              <w:bottom w:val="single" w:sz="12" w:space="0" w:color="auto"/>
              <w:right w:val="single" w:sz="4" w:space="0" w:color="auto"/>
            </w:tcBorders>
            <w:shd w:val="clear" w:color="auto" w:fill="F2DBDB" w:themeFill="accent2" w:themeFillTint="33"/>
            <w:vAlign w:val="center"/>
          </w:tcPr>
          <w:p w14:paraId="451694BD" w14:textId="77777777" w:rsidR="00167129" w:rsidRPr="002C45B6" w:rsidRDefault="00167129" w:rsidP="00B42641">
            <w:pPr>
              <w:spacing w:line="276" w:lineRule="auto"/>
              <w:jc w:val="center"/>
              <w:rPr>
                <w:b/>
              </w:rPr>
            </w:pPr>
            <w:r w:rsidRPr="002C45B6">
              <w:rPr>
                <w:b/>
              </w:rPr>
              <w:t>8</w:t>
            </w:r>
          </w:p>
        </w:tc>
        <w:tc>
          <w:tcPr>
            <w:tcW w:w="221" w:type="dxa"/>
            <w:tcBorders>
              <w:top w:val="single" w:sz="12" w:space="0" w:color="auto"/>
              <w:left w:val="single" w:sz="4" w:space="0" w:color="auto"/>
              <w:bottom w:val="single" w:sz="12" w:space="0" w:color="auto"/>
              <w:right w:val="single" w:sz="12" w:space="0" w:color="auto"/>
            </w:tcBorders>
            <w:shd w:val="clear" w:color="auto" w:fill="F2DBDB" w:themeFill="accent2" w:themeFillTint="33"/>
            <w:vAlign w:val="center"/>
          </w:tcPr>
          <w:p w14:paraId="0E54F4D9" w14:textId="77777777" w:rsidR="00167129" w:rsidRPr="002C45B6" w:rsidRDefault="00167129" w:rsidP="00B42641">
            <w:pPr>
              <w:spacing w:line="276" w:lineRule="auto"/>
              <w:jc w:val="center"/>
              <w:rPr>
                <w:b/>
              </w:rPr>
            </w:pPr>
            <w:r w:rsidRPr="002C45B6">
              <w:rPr>
                <w:b/>
              </w:rPr>
              <w:t>9</w:t>
            </w:r>
          </w:p>
        </w:tc>
        <w:tc>
          <w:tcPr>
            <w:tcW w:w="212" w:type="dxa"/>
            <w:tcBorders>
              <w:top w:val="single" w:sz="12" w:space="0" w:color="auto"/>
              <w:left w:val="single" w:sz="12" w:space="0" w:color="auto"/>
              <w:bottom w:val="single" w:sz="12" w:space="0" w:color="auto"/>
              <w:right w:val="single" w:sz="4" w:space="0" w:color="auto"/>
            </w:tcBorders>
            <w:shd w:val="clear" w:color="auto" w:fill="F2DBDB" w:themeFill="accent2" w:themeFillTint="33"/>
          </w:tcPr>
          <w:p w14:paraId="6C41E8AB" w14:textId="77777777" w:rsidR="00167129" w:rsidRPr="002C45B6" w:rsidRDefault="00167129" w:rsidP="00B42641">
            <w:pPr>
              <w:spacing w:line="276" w:lineRule="auto"/>
              <w:jc w:val="center"/>
              <w:rPr>
                <w:b/>
              </w:rPr>
            </w:pPr>
            <w:r>
              <w:rPr>
                <w:b/>
              </w:rPr>
              <w:t>1</w:t>
            </w:r>
          </w:p>
        </w:tc>
        <w:tc>
          <w:tcPr>
            <w:tcW w:w="213" w:type="dxa"/>
            <w:gridSpan w:val="2"/>
            <w:tcBorders>
              <w:top w:val="single" w:sz="12" w:space="0" w:color="auto"/>
              <w:left w:val="single" w:sz="4" w:space="0" w:color="auto"/>
              <w:bottom w:val="single" w:sz="12" w:space="0" w:color="auto"/>
              <w:right w:val="single" w:sz="4" w:space="0" w:color="auto"/>
            </w:tcBorders>
            <w:shd w:val="clear" w:color="auto" w:fill="F2DBDB" w:themeFill="accent2" w:themeFillTint="33"/>
          </w:tcPr>
          <w:p w14:paraId="3787DF08" w14:textId="77777777" w:rsidR="00167129" w:rsidRPr="002C45B6" w:rsidRDefault="00167129" w:rsidP="00B42641">
            <w:pPr>
              <w:spacing w:line="276" w:lineRule="auto"/>
              <w:jc w:val="center"/>
              <w:rPr>
                <w:b/>
              </w:rPr>
            </w:pPr>
            <w:r>
              <w:rPr>
                <w:b/>
              </w:rPr>
              <w:t>2</w:t>
            </w:r>
          </w:p>
        </w:tc>
        <w:tc>
          <w:tcPr>
            <w:tcW w:w="212" w:type="dxa"/>
            <w:gridSpan w:val="2"/>
            <w:tcBorders>
              <w:top w:val="single" w:sz="12" w:space="0" w:color="auto"/>
              <w:left w:val="single" w:sz="4" w:space="0" w:color="auto"/>
              <w:bottom w:val="single" w:sz="12" w:space="0" w:color="auto"/>
              <w:right w:val="single" w:sz="4" w:space="0" w:color="auto"/>
            </w:tcBorders>
            <w:shd w:val="clear" w:color="auto" w:fill="F2DBDB" w:themeFill="accent2" w:themeFillTint="33"/>
          </w:tcPr>
          <w:p w14:paraId="728419EF" w14:textId="77777777" w:rsidR="00167129" w:rsidRPr="002C45B6" w:rsidRDefault="00167129" w:rsidP="00B42641">
            <w:pPr>
              <w:spacing w:line="276" w:lineRule="auto"/>
              <w:jc w:val="center"/>
              <w:rPr>
                <w:b/>
              </w:rPr>
            </w:pPr>
            <w:r>
              <w:rPr>
                <w:b/>
              </w:rPr>
              <w:t>3</w:t>
            </w:r>
          </w:p>
        </w:tc>
        <w:tc>
          <w:tcPr>
            <w:tcW w:w="213" w:type="dxa"/>
            <w:tcBorders>
              <w:top w:val="single" w:sz="12" w:space="0" w:color="auto"/>
              <w:left w:val="single" w:sz="4" w:space="0" w:color="auto"/>
              <w:bottom w:val="single" w:sz="12" w:space="0" w:color="auto"/>
              <w:right w:val="single" w:sz="4" w:space="0" w:color="auto"/>
            </w:tcBorders>
            <w:shd w:val="clear" w:color="auto" w:fill="F2DBDB" w:themeFill="accent2" w:themeFillTint="33"/>
          </w:tcPr>
          <w:p w14:paraId="50E3D278" w14:textId="77777777" w:rsidR="00167129" w:rsidRPr="002C45B6" w:rsidRDefault="00167129" w:rsidP="00B42641">
            <w:pPr>
              <w:spacing w:line="276" w:lineRule="auto"/>
              <w:jc w:val="center"/>
              <w:rPr>
                <w:b/>
              </w:rPr>
            </w:pPr>
            <w:r>
              <w:rPr>
                <w:b/>
              </w:rPr>
              <w:t>4</w:t>
            </w:r>
          </w:p>
        </w:tc>
        <w:tc>
          <w:tcPr>
            <w:tcW w:w="212" w:type="dxa"/>
            <w:tcBorders>
              <w:top w:val="single" w:sz="12" w:space="0" w:color="auto"/>
              <w:left w:val="single" w:sz="4" w:space="0" w:color="auto"/>
              <w:bottom w:val="single" w:sz="12" w:space="0" w:color="auto"/>
              <w:right w:val="single" w:sz="4" w:space="0" w:color="auto"/>
            </w:tcBorders>
            <w:shd w:val="clear" w:color="auto" w:fill="F2DBDB" w:themeFill="accent2" w:themeFillTint="33"/>
          </w:tcPr>
          <w:p w14:paraId="4F0E2E1E" w14:textId="77777777" w:rsidR="00167129" w:rsidRPr="002C45B6" w:rsidRDefault="00167129" w:rsidP="00B42641">
            <w:pPr>
              <w:spacing w:line="276" w:lineRule="auto"/>
              <w:jc w:val="center"/>
              <w:rPr>
                <w:b/>
              </w:rPr>
            </w:pPr>
            <w:r>
              <w:rPr>
                <w:b/>
              </w:rPr>
              <w:t>5</w:t>
            </w:r>
          </w:p>
        </w:tc>
        <w:tc>
          <w:tcPr>
            <w:tcW w:w="213" w:type="dxa"/>
            <w:tcBorders>
              <w:top w:val="single" w:sz="12" w:space="0" w:color="auto"/>
              <w:left w:val="single" w:sz="4" w:space="0" w:color="auto"/>
              <w:bottom w:val="single" w:sz="12" w:space="0" w:color="auto"/>
              <w:right w:val="single" w:sz="12" w:space="0" w:color="auto"/>
            </w:tcBorders>
            <w:shd w:val="clear" w:color="auto" w:fill="F2DBDB" w:themeFill="accent2" w:themeFillTint="33"/>
          </w:tcPr>
          <w:p w14:paraId="6E0C1DA5" w14:textId="77777777" w:rsidR="00167129" w:rsidRPr="002C45B6" w:rsidRDefault="00167129" w:rsidP="00B42641">
            <w:pPr>
              <w:spacing w:line="276" w:lineRule="auto"/>
              <w:jc w:val="center"/>
              <w:rPr>
                <w:b/>
              </w:rPr>
            </w:pPr>
            <w:r>
              <w:rPr>
                <w:b/>
              </w:rPr>
              <w:t>6</w:t>
            </w:r>
          </w:p>
        </w:tc>
      </w:tr>
      <w:tr w:rsidR="00F73446" w14:paraId="653406B9" w14:textId="77777777" w:rsidTr="004C382A">
        <w:tc>
          <w:tcPr>
            <w:tcW w:w="2694" w:type="dxa"/>
            <w:tcBorders>
              <w:top w:val="single" w:sz="12" w:space="0" w:color="auto"/>
              <w:left w:val="single" w:sz="12" w:space="0" w:color="auto"/>
              <w:bottom w:val="single" w:sz="4" w:space="0" w:color="auto"/>
              <w:right w:val="single" w:sz="12" w:space="0" w:color="auto"/>
            </w:tcBorders>
            <w:vAlign w:val="center"/>
          </w:tcPr>
          <w:p w14:paraId="0CECF897" w14:textId="77777777" w:rsidR="00167129" w:rsidRPr="002C45B6" w:rsidRDefault="00167129" w:rsidP="00B42641">
            <w:pPr>
              <w:spacing w:line="276" w:lineRule="auto"/>
              <w:rPr>
                <w:b/>
              </w:rPr>
            </w:pPr>
            <w:r w:rsidRPr="002C45B6">
              <w:rPr>
                <w:b/>
              </w:rPr>
              <w:t xml:space="preserve">Sexual violence </w:t>
            </w:r>
          </w:p>
        </w:tc>
        <w:tc>
          <w:tcPr>
            <w:tcW w:w="236" w:type="dxa"/>
            <w:tcBorders>
              <w:top w:val="single" w:sz="12" w:space="0" w:color="auto"/>
              <w:left w:val="single" w:sz="12" w:space="0" w:color="auto"/>
              <w:bottom w:val="single" w:sz="4" w:space="0" w:color="auto"/>
              <w:right w:val="single" w:sz="4" w:space="0" w:color="auto"/>
            </w:tcBorders>
            <w:shd w:val="clear" w:color="auto" w:fill="auto"/>
            <w:vAlign w:val="center"/>
          </w:tcPr>
          <w:p w14:paraId="7A096582" w14:textId="77777777" w:rsidR="00167129" w:rsidRDefault="00167129" w:rsidP="00B42641">
            <w:pPr>
              <w:spacing w:line="276" w:lineRule="auto"/>
              <w:jc w:val="center"/>
            </w:pPr>
          </w:p>
        </w:tc>
        <w:tc>
          <w:tcPr>
            <w:tcW w:w="236" w:type="dxa"/>
            <w:tcBorders>
              <w:top w:val="single" w:sz="12" w:space="0" w:color="auto"/>
              <w:left w:val="single" w:sz="4" w:space="0" w:color="auto"/>
              <w:bottom w:val="single" w:sz="4" w:space="0" w:color="auto"/>
              <w:right w:val="single" w:sz="4" w:space="0" w:color="auto"/>
            </w:tcBorders>
            <w:shd w:val="clear" w:color="auto" w:fill="auto"/>
            <w:vAlign w:val="center"/>
          </w:tcPr>
          <w:p w14:paraId="55883652" w14:textId="77777777" w:rsidR="00167129" w:rsidRDefault="00167129" w:rsidP="00B42641">
            <w:pPr>
              <w:spacing w:line="276" w:lineRule="auto"/>
              <w:jc w:val="center"/>
            </w:pPr>
          </w:p>
        </w:tc>
        <w:tc>
          <w:tcPr>
            <w:tcW w:w="236" w:type="dxa"/>
            <w:tcBorders>
              <w:top w:val="single" w:sz="12" w:space="0" w:color="auto"/>
              <w:left w:val="single" w:sz="4" w:space="0" w:color="auto"/>
              <w:bottom w:val="single" w:sz="4" w:space="0" w:color="auto"/>
              <w:right w:val="single" w:sz="4" w:space="0" w:color="auto"/>
            </w:tcBorders>
            <w:shd w:val="clear" w:color="auto" w:fill="auto"/>
            <w:vAlign w:val="center"/>
          </w:tcPr>
          <w:p w14:paraId="6598B8A2" w14:textId="77777777" w:rsidR="00167129" w:rsidRDefault="00167129" w:rsidP="00B42641">
            <w:pPr>
              <w:spacing w:line="276" w:lineRule="auto"/>
              <w:jc w:val="center"/>
            </w:pPr>
          </w:p>
        </w:tc>
        <w:tc>
          <w:tcPr>
            <w:tcW w:w="236" w:type="dxa"/>
            <w:tcBorders>
              <w:top w:val="single" w:sz="12" w:space="0" w:color="auto"/>
              <w:left w:val="single" w:sz="4" w:space="0" w:color="auto"/>
              <w:bottom w:val="single" w:sz="4" w:space="0" w:color="auto"/>
              <w:right w:val="single" w:sz="4" w:space="0" w:color="auto"/>
            </w:tcBorders>
            <w:shd w:val="clear" w:color="auto" w:fill="auto"/>
            <w:vAlign w:val="center"/>
          </w:tcPr>
          <w:p w14:paraId="2EF01EAE" w14:textId="77777777" w:rsidR="00167129" w:rsidRDefault="00167129" w:rsidP="00B42641">
            <w:pPr>
              <w:spacing w:line="276" w:lineRule="auto"/>
              <w:jc w:val="center"/>
            </w:pPr>
          </w:p>
        </w:tc>
        <w:tc>
          <w:tcPr>
            <w:tcW w:w="236" w:type="dxa"/>
            <w:tcBorders>
              <w:top w:val="single" w:sz="12" w:space="0" w:color="auto"/>
              <w:left w:val="single" w:sz="4" w:space="0" w:color="auto"/>
              <w:bottom w:val="single" w:sz="4" w:space="0" w:color="auto"/>
              <w:right w:val="single" w:sz="4" w:space="0" w:color="auto"/>
            </w:tcBorders>
            <w:shd w:val="clear" w:color="auto" w:fill="auto"/>
            <w:vAlign w:val="center"/>
          </w:tcPr>
          <w:p w14:paraId="4CD5CE67" w14:textId="77777777" w:rsidR="00167129" w:rsidRDefault="00167129" w:rsidP="00B42641">
            <w:pPr>
              <w:spacing w:line="276" w:lineRule="auto"/>
              <w:jc w:val="center"/>
            </w:pPr>
          </w:p>
        </w:tc>
        <w:tc>
          <w:tcPr>
            <w:tcW w:w="237" w:type="dxa"/>
            <w:tcBorders>
              <w:top w:val="single" w:sz="12" w:space="0" w:color="auto"/>
              <w:left w:val="single" w:sz="4" w:space="0" w:color="auto"/>
              <w:bottom w:val="single" w:sz="4" w:space="0" w:color="auto"/>
              <w:right w:val="single" w:sz="12" w:space="0" w:color="auto"/>
            </w:tcBorders>
            <w:shd w:val="clear" w:color="auto" w:fill="auto"/>
            <w:vAlign w:val="center"/>
          </w:tcPr>
          <w:p w14:paraId="415C336A" w14:textId="77777777" w:rsidR="00167129" w:rsidRDefault="00167129" w:rsidP="00B42641">
            <w:pPr>
              <w:spacing w:line="276" w:lineRule="auto"/>
              <w:jc w:val="center"/>
            </w:pPr>
          </w:p>
        </w:tc>
        <w:tc>
          <w:tcPr>
            <w:tcW w:w="212" w:type="dxa"/>
            <w:tcBorders>
              <w:top w:val="single" w:sz="12" w:space="0" w:color="auto"/>
              <w:left w:val="single" w:sz="12" w:space="0" w:color="auto"/>
              <w:bottom w:val="single" w:sz="4" w:space="0" w:color="auto"/>
              <w:right w:val="single" w:sz="4" w:space="0" w:color="auto"/>
            </w:tcBorders>
            <w:shd w:val="clear" w:color="auto" w:fill="auto"/>
            <w:vAlign w:val="center"/>
          </w:tcPr>
          <w:p w14:paraId="092D35DD" w14:textId="77777777" w:rsidR="00167129" w:rsidRDefault="00167129" w:rsidP="00B42641">
            <w:pPr>
              <w:spacing w:line="276" w:lineRule="auto"/>
              <w:jc w:val="center"/>
            </w:pPr>
          </w:p>
        </w:tc>
        <w:tc>
          <w:tcPr>
            <w:tcW w:w="213" w:type="dxa"/>
            <w:tcBorders>
              <w:top w:val="single" w:sz="12" w:space="0" w:color="auto"/>
              <w:left w:val="single" w:sz="4" w:space="0" w:color="auto"/>
              <w:bottom w:val="single" w:sz="4" w:space="0" w:color="auto"/>
              <w:right w:val="single" w:sz="4" w:space="0" w:color="auto"/>
            </w:tcBorders>
            <w:shd w:val="clear" w:color="auto" w:fill="auto"/>
            <w:vAlign w:val="center"/>
          </w:tcPr>
          <w:p w14:paraId="26781649" w14:textId="77777777" w:rsidR="00167129" w:rsidRDefault="00167129" w:rsidP="00B42641">
            <w:pPr>
              <w:spacing w:line="276" w:lineRule="auto"/>
              <w:jc w:val="center"/>
            </w:pPr>
          </w:p>
        </w:tc>
        <w:tc>
          <w:tcPr>
            <w:tcW w:w="212" w:type="dxa"/>
            <w:tcBorders>
              <w:top w:val="single" w:sz="12" w:space="0" w:color="auto"/>
              <w:left w:val="single" w:sz="4" w:space="0" w:color="auto"/>
              <w:bottom w:val="single" w:sz="4" w:space="0" w:color="auto"/>
              <w:right w:val="single" w:sz="4" w:space="0" w:color="auto"/>
            </w:tcBorders>
            <w:shd w:val="clear" w:color="auto" w:fill="auto"/>
            <w:vAlign w:val="center"/>
          </w:tcPr>
          <w:p w14:paraId="67FBAE6E" w14:textId="77777777" w:rsidR="00167129" w:rsidRDefault="00167129" w:rsidP="00B42641">
            <w:pPr>
              <w:spacing w:line="276" w:lineRule="auto"/>
              <w:jc w:val="center"/>
            </w:pPr>
          </w:p>
        </w:tc>
        <w:tc>
          <w:tcPr>
            <w:tcW w:w="213" w:type="dxa"/>
            <w:tcBorders>
              <w:top w:val="single" w:sz="12" w:space="0" w:color="auto"/>
              <w:left w:val="single" w:sz="4" w:space="0" w:color="auto"/>
              <w:bottom w:val="single" w:sz="4" w:space="0" w:color="auto"/>
              <w:right w:val="single" w:sz="4" w:space="0" w:color="auto"/>
            </w:tcBorders>
            <w:shd w:val="clear" w:color="auto" w:fill="auto"/>
            <w:vAlign w:val="center"/>
          </w:tcPr>
          <w:p w14:paraId="3D5FAFD7" w14:textId="77777777" w:rsidR="00167129" w:rsidRDefault="00167129" w:rsidP="00B42641">
            <w:pPr>
              <w:spacing w:line="276" w:lineRule="auto"/>
              <w:jc w:val="center"/>
            </w:pPr>
          </w:p>
        </w:tc>
        <w:tc>
          <w:tcPr>
            <w:tcW w:w="213" w:type="dxa"/>
            <w:tcBorders>
              <w:top w:val="single" w:sz="12" w:space="0" w:color="auto"/>
              <w:left w:val="single" w:sz="4" w:space="0" w:color="auto"/>
              <w:bottom w:val="single" w:sz="4" w:space="0" w:color="auto"/>
              <w:right w:val="single" w:sz="4" w:space="0" w:color="auto"/>
            </w:tcBorders>
            <w:shd w:val="clear" w:color="auto" w:fill="auto"/>
            <w:vAlign w:val="center"/>
          </w:tcPr>
          <w:p w14:paraId="1AE9AAF1" w14:textId="77777777" w:rsidR="00167129" w:rsidRDefault="00167129" w:rsidP="00B42641">
            <w:pPr>
              <w:spacing w:line="276" w:lineRule="auto"/>
              <w:jc w:val="center"/>
            </w:pPr>
          </w:p>
        </w:tc>
        <w:tc>
          <w:tcPr>
            <w:tcW w:w="212" w:type="dxa"/>
            <w:tcBorders>
              <w:top w:val="single" w:sz="12" w:space="0" w:color="auto"/>
              <w:left w:val="single" w:sz="4" w:space="0" w:color="auto"/>
              <w:bottom w:val="single" w:sz="4" w:space="0" w:color="auto"/>
              <w:right w:val="single" w:sz="4" w:space="0" w:color="auto"/>
            </w:tcBorders>
            <w:shd w:val="clear" w:color="auto" w:fill="auto"/>
            <w:vAlign w:val="center"/>
          </w:tcPr>
          <w:p w14:paraId="114F9F3E" w14:textId="77777777" w:rsidR="00167129" w:rsidRDefault="00167129" w:rsidP="00B42641">
            <w:pPr>
              <w:spacing w:line="276" w:lineRule="auto"/>
              <w:jc w:val="center"/>
            </w:pPr>
          </w:p>
        </w:tc>
        <w:tc>
          <w:tcPr>
            <w:tcW w:w="213" w:type="dxa"/>
            <w:tcBorders>
              <w:top w:val="single" w:sz="12" w:space="0" w:color="auto"/>
              <w:left w:val="single" w:sz="4" w:space="0" w:color="auto"/>
              <w:bottom w:val="single" w:sz="4" w:space="0" w:color="auto"/>
              <w:right w:val="single" w:sz="4" w:space="0" w:color="auto"/>
            </w:tcBorders>
            <w:shd w:val="clear" w:color="auto" w:fill="auto"/>
            <w:vAlign w:val="center"/>
          </w:tcPr>
          <w:p w14:paraId="369CD023" w14:textId="77777777" w:rsidR="00167129" w:rsidRDefault="00167129" w:rsidP="00B42641">
            <w:pPr>
              <w:spacing w:line="276" w:lineRule="auto"/>
              <w:jc w:val="center"/>
            </w:pPr>
          </w:p>
        </w:tc>
        <w:tc>
          <w:tcPr>
            <w:tcW w:w="213" w:type="dxa"/>
            <w:tcBorders>
              <w:top w:val="single" w:sz="12" w:space="0" w:color="auto"/>
              <w:left w:val="single" w:sz="4" w:space="0" w:color="auto"/>
              <w:bottom w:val="single" w:sz="4" w:space="0" w:color="auto"/>
              <w:right w:val="single" w:sz="12" w:space="0" w:color="auto"/>
            </w:tcBorders>
            <w:vAlign w:val="center"/>
          </w:tcPr>
          <w:p w14:paraId="38E9948C" w14:textId="77777777" w:rsidR="00167129" w:rsidRDefault="00167129" w:rsidP="00B42641">
            <w:pPr>
              <w:spacing w:line="276" w:lineRule="auto"/>
              <w:jc w:val="center"/>
            </w:pPr>
          </w:p>
        </w:tc>
        <w:tc>
          <w:tcPr>
            <w:tcW w:w="220" w:type="dxa"/>
            <w:tcBorders>
              <w:top w:val="single" w:sz="12" w:space="0" w:color="auto"/>
              <w:left w:val="single" w:sz="12" w:space="0" w:color="auto"/>
              <w:bottom w:val="single" w:sz="4" w:space="0" w:color="auto"/>
              <w:right w:val="single" w:sz="4" w:space="0" w:color="auto"/>
            </w:tcBorders>
            <w:shd w:val="clear" w:color="auto" w:fill="auto"/>
            <w:vAlign w:val="center"/>
          </w:tcPr>
          <w:p w14:paraId="73F4A3C9" w14:textId="77777777" w:rsidR="00167129" w:rsidRDefault="00167129" w:rsidP="00B42641">
            <w:pPr>
              <w:spacing w:line="276" w:lineRule="auto"/>
              <w:jc w:val="center"/>
            </w:pPr>
          </w:p>
        </w:tc>
        <w:tc>
          <w:tcPr>
            <w:tcW w:w="221" w:type="dxa"/>
            <w:tcBorders>
              <w:top w:val="single" w:sz="12" w:space="0" w:color="auto"/>
              <w:left w:val="single" w:sz="4" w:space="0" w:color="auto"/>
              <w:bottom w:val="single" w:sz="4" w:space="0" w:color="auto"/>
              <w:right w:val="single" w:sz="4" w:space="0" w:color="auto"/>
            </w:tcBorders>
            <w:shd w:val="clear" w:color="auto" w:fill="auto"/>
            <w:vAlign w:val="center"/>
          </w:tcPr>
          <w:p w14:paraId="0B3C4990" w14:textId="77777777" w:rsidR="00167129" w:rsidRDefault="00167129" w:rsidP="00B42641">
            <w:pPr>
              <w:spacing w:line="276" w:lineRule="auto"/>
              <w:jc w:val="center"/>
            </w:pPr>
          </w:p>
        </w:tc>
        <w:tc>
          <w:tcPr>
            <w:tcW w:w="220" w:type="dxa"/>
            <w:tcBorders>
              <w:top w:val="single" w:sz="12" w:space="0" w:color="auto"/>
              <w:left w:val="single" w:sz="4" w:space="0" w:color="auto"/>
              <w:bottom w:val="single" w:sz="4" w:space="0" w:color="auto"/>
              <w:right w:val="single" w:sz="4" w:space="0" w:color="auto"/>
            </w:tcBorders>
            <w:shd w:val="clear" w:color="auto" w:fill="auto"/>
            <w:vAlign w:val="center"/>
          </w:tcPr>
          <w:p w14:paraId="22DED063" w14:textId="77777777" w:rsidR="00167129" w:rsidRDefault="00167129" w:rsidP="00B42641">
            <w:pPr>
              <w:spacing w:line="276" w:lineRule="auto"/>
              <w:jc w:val="center"/>
            </w:pPr>
          </w:p>
        </w:tc>
        <w:tc>
          <w:tcPr>
            <w:tcW w:w="221" w:type="dxa"/>
            <w:tcBorders>
              <w:top w:val="single" w:sz="12" w:space="0" w:color="auto"/>
              <w:left w:val="single" w:sz="4" w:space="0" w:color="auto"/>
              <w:bottom w:val="single" w:sz="4" w:space="0" w:color="auto"/>
              <w:right w:val="single" w:sz="4" w:space="0" w:color="auto"/>
            </w:tcBorders>
            <w:shd w:val="clear" w:color="auto" w:fill="auto"/>
            <w:vAlign w:val="center"/>
          </w:tcPr>
          <w:p w14:paraId="58ED2CD9" w14:textId="77777777" w:rsidR="00167129" w:rsidRDefault="00167129" w:rsidP="00B42641">
            <w:pPr>
              <w:spacing w:line="276" w:lineRule="auto"/>
              <w:jc w:val="center"/>
            </w:pPr>
          </w:p>
        </w:tc>
        <w:tc>
          <w:tcPr>
            <w:tcW w:w="220" w:type="dxa"/>
            <w:tcBorders>
              <w:top w:val="single" w:sz="12" w:space="0" w:color="auto"/>
              <w:left w:val="single" w:sz="4" w:space="0" w:color="auto"/>
              <w:bottom w:val="single" w:sz="4" w:space="0" w:color="auto"/>
              <w:right w:val="single" w:sz="4" w:space="0" w:color="auto"/>
            </w:tcBorders>
            <w:shd w:val="clear" w:color="auto" w:fill="auto"/>
            <w:vAlign w:val="center"/>
          </w:tcPr>
          <w:p w14:paraId="1DDE543B" w14:textId="77777777" w:rsidR="00167129" w:rsidRDefault="00167129" w:rsidP="00B42641">
            <w:pPr>
              <w:spacing w:line="276" w:lineRule="auto"/>
              <w:jc w:val="center"/>
            </w:pPr>
          </w:p>
        </w:tc>
        <w:tc>
          <w:tcPr>
            <w:tcW w:w="221" w:type="dxa"/>
            <w:tcBorders>
              <w:top w:val="single" w:sz="12" w:space="0" w:color="auto"/>
              <w:left w:val="single" w:sz="4" w:space="0" w:color="auto"/>
              <w:bottom w:val="single" w:sz="4" w:space="0" w:color="auto"/>
              <w:right w:val="single" w:sz="4" w:space="0" w:color="auto"/>
            </w:tcBorders>
            <w:shd w:val="clear" w:color="auto" w:fill="auto"/>
            <w:vAlign w:val="center"/>
          </w:tcPr>
          <w:p w14:paraId="75521546" w14:textId="77777777" w:rsidR="00167129" w:rsidRDefault="00167129" w:rsidP="00B42641">
            <w:pPr>
              <w:spacing w:line="276" w:lineRule="auto"/>
              <w:jc w:val="center"/>
            </w:pPr>
          </w:p>
        </w:tc>
        <w:tc>
          <w:tcPr>
            <w:tcW w:w="220" w:type="dxa"/>
            <w:tcBorders>
              <w:top w:val="single" w:sz="12" w:space="0" w:color="auto"/>
              <w:left w:val="single" w:sz="4" w:space="0" w:color="auto"/>
              <w:bottom w:val="single" w:sz="4" w:space="0" w:color="auto"/>
              <w:right w:val="single" w:sz="4" w:space="0" w:color="auto"/>
            </w:tcBorders>
            <w:shd w:val="clear" w:color="auto" w:fill="auto"/>
            <w:vAlign w:val="center"/>
          </w:tcPr>
          <w:p w14:paraId="69072752" w14:textId="77777777" w:rsidR="00167129" w:rsidRDefault="00167129" w:rsidP="00B42641">
            <w:pPr>
              <w:spacing w:line="276" w:lineRule="auto"/>
              <w:jc w:val="center"/>
            </w:pPr>
          </w:p>
        </w:tc>
        <w:tc>
          <w:tcPr>
            <w:tcW w:w="221"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27C6F99" w14:textId="77777777" w:rsidR="00167129" w:rsidRDefault="00167129" w:rsidP="00B42641">
            <w:pPr>
              <w:spacing w:line="276" w:lineRule="auto"/>
              <w:jc w:val="center"/>
            </w:pPr>
          </w:p>
        </w:tc>
        <w:tc>
          <w:tcPr>
            <w:tcW w:w="221" w:type="dxa"/>
            <w:tcBorders>
              <w:top w:val="single" w:sz="12" w:space="0" w:color="auto"/>
              <w:left w:val="single" w:sz="4" w:space="0" w:color="auto"/>
              <w:bottom w:val="single" w:sz="4" w:space="0" w:color="auto"/>
              <w:right w:val="single" w:sz="12" w:space="0" w:color="auto"/>
            </w:tcBorders>
            <w:vAlign w:val="center"/>
          </w:tcPr>
          <w:p w14:paraId="0AD20F43" w14:textId="77777777" w:rsidR="00167129" w:rsidRDefault="00167129" w:rsidP="00B42641">
            <w:pPr>
              <w:spacing w:line="276" w:lineRule="auto"/>
              <w:jc w:val="center"/>
            </w:pPr>
          </w:p>
        </w:tc>
        <w:tc>
          <w:tcPr>
            <w:tcW w:w="212" w:type="dxa"/>
            <w:tcBorders>
              <w:top w:val="single" w:sz="12" w:space="0" w:color="auto"/>
              <w:left w:val="single" w:sz="12" w:space="0" w:color="auto"/>
              <w:bottom w:val="single" w:sz="4" w:space="0" w:color="auto"/>
              <w:right w:val="single" w:sz="4" w:space="0" w:color="auto"/>
            </w:tcBorders>
          </w:tcPr>
          <w:p w14:paraId="37A0262D" w14:textId="77777777" w:rsidR="00167129" w:rsidRDefault="00167129" w:rsidP="00B42641">
            <w:pPr>
              <w:spacing w:line="276" w:lineRule="auto"/>
              <w:jc w:val="center"/>
            </w:pPr>
          </w:p>
        </w:tc>
        <w:tc>
          <w:tcPr>
            <w:tcW w:w="213" w:type="dxa"/>
            <w:gridSpan w:val="2"/>
            <w:tcBorders>
              <w:top w:val="single" w:sz="12" w:space="0" w:color="auto"/>
              <w:left w:val="single" w:sz="4" w:space="0" w:color="auto"/>
              <w:bottom w:val="single" w:sz="4" w:space="0" w:color="auto"/>
              <w:right w:val="single" w:sz="4" w:space="0" w:color="auto"/>
            </w:tcBorders>
          </w:tcPr>
          <w:p w14:paraId="15E565F7" w14:textId="77777777" w:rsidR="00167129" w:rsidRDefault="00167129" w:rsidP="00B42641">
            <w:pPr>
              <w:spacing w:line="276" w:lineRule="auto"/>
              <w:jc w:val="center"/>
            </w:pPr>
          </w:p>
        </w:tc>
        <w:tc>
          <w:tcPr>
            <w:tcW w:w="212" w:type="dxa"/>
            <w:gridSpan w:val="2"/>
            <w:tcBorders>
              <w:top w:val="single" w:sz="12" w:space="0" w:color="auto"/>
              <w:left w:val="single" w:sz="4" w:space="0" w:color="auto"/>
              <w:bottom w:val="single" w:sz="4" w:space="0" w:color="auto"/>
              <w:right w:val="single" w:sz="4" w:space="0" w:color="auto"/>
            </w:tcBorders>
          </w:tcPr>
          <w:p w14:paraId="1C857180" w14:textId="77777777" w:rsidR="00167129" w:rsidRDefault="00167129" w:rsidP="00B42641">
            <w:pPr>
              <w:spacing w:line="276" w:lineRule="auto"/>
              <w:jc w:val="center"/>
            </w:pPr>
          </w:p>
        </w:tc>
        <w:tc>
          <w:tcPr>
            <w:tcW w:w="213" w:type="dxa"/>
            <w:tcBorders>
              <w:top w:val="single" w:sz="12" w:space="0" w:color="auto"/>
              <w:left w:val="single" w:sz="4" w:space="0" w:color="auto"/>
              <w:bottom w:val="single" w:sz="4" w:space="0" w:color="auto"/>
              <w:right w:val="single" w:sz="4" w:space="0" w:color="auto"/>
            </w:tcBorders>
          </w:tcPr>
          <w:p w14:paraId="465FFAE4" w14:textId="77777777" w:rsidR="00167129" w:rsidRDefault="00167129" w:rsidP="00B42641">
            <w:pPr>
              <w:spacing w:line="276" w:lineRule="auto"/>
              <w:jc w:val="center"/>
            </w:pPr>
          </w:p>
        </w:tc>
        <w:tc>
          <w:tcPr>
            <w:tcW w:w="212" w:type="dxa"/>
            <w:tcBorders>
              <w:top w:val="single" w:sz="12" w:space="0" w:color="auto"/>
              <w:left w:val="single" w:sz="4" w:space="0" w:color="auto"/>
              <w:bottom w:val="single" w:sz="4" w:space="0" w:color="auto"/>
              <w:right w:val="single" w:sz="4" w:space="0" w:color="auto"/>
            </w:tcBorders>
          </w:tcPr>
          <w:p w14:paraId="6B28C9ED" w14:textId="77777777" w:rsidR="00167129" w:rsidRDefault="00167129" w:rsidP="00B42641">
            <w:pPr>
              <w:spacing w:line="276" w:lineRule="auto"/>
              <w:jc w:val="center"/>
            </w:pPr>
          </w:p>
        </w:tc>
        <w:tc>
          <w:tcPr>
            <w:tcW w:w="213" w:type="dxa"/>
            <w:tcBorders>
              <w:top w:val="single" w:sz="12" w:space="0" w:color="auto"/>
              <w:left w:val="single" w:sz="4" w:space="0" w:color="auto"/>
              <w:bottom w:val="single" w:sz="4" w:space="0" w:color="auto"/>
              <w:right w:val="single" w:sz="12" w:space="0" w:color="auto"/>
            </w:tcBorders>
          </w:tcPr>
          <w:p w14:paraId="16D785C8" w14:textId="77777777" w:rsidR="00167129" w:rsidRDefault="00167129" w:rsidP="00B42641">
            <w:pPr>
              <w:spacing w:line="276" w:lineRule="auto"/>
              <w:jc w:val="center"/>
            </w:pPr>
          </w:p>
        </w:tc>
      </w:tr>
      <w:tr w:rsidR="00F73446" w14:paraId="3FA3336A" w14:textId="77777777" w:rsidTr="004C382A">
        <w:tc>
          <w:tcPr>
            <w:tcW w:w="2694" w:type="dxa"/>
            <w:tcBorders>
              <w:top w:val="single" w:sz="4" w:space="0" w:color="auto"/>
              <w:left w:val="single" w:sz="12" w:space="0" w:color="auto"/>
              <w:bottom w:val="single" w:sz="4" w:space="0" w:color="auto"/>
              <w:right w:val="single" w:sz="12" w:space="0" w:color="auto"/>
            </w:tcBorders>
            <w:vAlign w:val="center"/>
          </w:tcPr>
          <w:p w14:paraId="17F2C279" w14:textId="77777777" w:rsidR="00167129" w:rsidRDefault="00167129" w:rsidP="00B42641">
            <w:pPr>
              <w:spacing w:line="276" w:lineRule="auto"/>
              <w:jc w:val="right"/>
            </w:pPr>
            <w:r>
              <w:t>During childhood</w:t>
            </w:r>
          </w:p>
        </w:tc>
        <w:tc>
          <w:tcPr>
            <w:tcW w:w="236" w:type="dxa"/>
            <w:tcBorders>
              <w:top w:val="single" w:sz="4" w:space="0" w:color="auto"/>
              <w:left w:val="single" w:sz="12" w:space="0" w:color="auto"/>
              <w:bottom w:val="single" w:sz="4" w:space="0" w:color="auto"/>
              <w:right w:val="single" w:sz="4" w:space="0" w:color="auto"/>
            </w:tcBorders>
            <w:shd w:val="clear" w:color="auto" w:fill="auto"/>
            <w:vAlign w:val="center"/>
          </w:tcPr>
          <w:p w14:paraId="571B5893" w14:textId="77777777" w:rsidR="00167129" w:rsidRDefault="00167129" w:rsidP="00B42641">
            <w:pPr>
              <w:spacing w:line="276" w:lineRule="auto"/>
              <w:jc w:val="cente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F21D738" w14:textId="77777777" w:rsidR="00167129" w:rsidRDefault="00167129" w:rsidP="00B42641">
            <w:pPr>
              <w:spacing w:line="276" w:lineRule="auto"/>
              <w:jc w:val="center"/>
            </w:pPr>
          </w:p>
        </w:tc>
        <w:tc>
          <w:tcPr>
            <w:tcW w:w="2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04A54AF" w14:textId="77777777" w:rsidR="00167129" w:rsidRDefault="00167129" w:rsidP="00B42641">
            <w:pPr>
              <w:spacing w:line="276" w:lineRule="auto"/>
              <w:jc w:val="cente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E9FB982" w14:textId="77777777" w:rsidR="00167129" w:rsidRDefault="00167129" w:rsidP="00B42641">
            <w:pPr>
              <w:spacing w:line="276" w:lineRule="auto"/>
              <w:jc w:val="center"/>
            </w:pPr>
          </w:p>
        </w:tc>
        <w:tc>
          <w:tcPr>
            <w:tcW w:w="2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09C7455" w14:textId="77777777" w:rsidR="00167129" w:rsidRDefault="00167129" w:rsidP="00B42641">
            <w:pPr>
              <w:spacing w:line="276" w:lineRule="auto"/>
              <w:jc w:val="center"/>
            </w:pPr>
            <w:r>
              <w:t>*</w:t>
            </w:r>
          </w:p>
        </w:tc>
        <w:tc>
          <w:tcPr>
            <w:tcW w:w="237" w:type="dxa"/>
            <w:tcBorders>
              <w:top w:val="single" w:sz="4" w:space="0" w:color="auto"/>
              <w:left w:val="single" w:sz="4" w:space="0" w:color="auto"/>
              <w:bottom w:val="single" w:sz="4" w:space="0" w:color="auto"/>
              <w:right w:val="single" w:sz="12" w:space="0" w:color="auto"/>
            </w:tcBorders>
            <w:shd w:val="clear" w:color="auto" w:fill="F2DBDB" w:themeFill="accent2" w:themeFillTint="33"/>
            <w:vAlign w:val="center"/>
          </w:tcPr>
          <w:p w14:paraId="3D27E55A" w14:textId="77777777" w:rsidR="00167129" w:rsidRDefault="00167129" w:rsidP="00B42641">
            <w:pPr>
              <w:spacing w:line="276" w:lineRule="auto"/>
              <w:jc w:val="center"/>
            </w:pPr>
            <w:r>
              <w:t>*</w:t>
            </w:r>
          </w:p>
        </w:tc>
        <w:tc>
          <w:tcPr>
            <w:tcW w:w="212" w:type="dxa"/>
            <w:tcBorders>
              <w:top w:val="single" w:sz="4" w:space="0" w:color="auto"/>
              <w:left w:val="single" w:sz="12" w:space="0" w:color="auto"/>
              <w:bottom w:val="single" w:sz="4" w:space="0" w:color="auto"/>
              <w:right w:val="single" w:sz="4" w:space="0" w:color="auto"/>
            </w:tcBorders>
            <w:shd w:val="clear" w:color="auto" w:fill="auto"/>
            <w:vAlign w:val="center"/>
          </w:tcPr>
          <w:p w14:paraId="3E968CEE" w14:textId="77777777" w:rsidR="00167129" w:rsidRDefault="00167129" w:rsidP="00B42641">
            <w:pPr>
              <w:spacing w:line="276" w:lineRule="auto"/>
              <w:jc w:val="center"/>
            </w:pPr>
          </w:p>
        </w:tc>
        <w:tc>
          <w:tcPr>
            <w:tcW w:w="213" w:type="dxa"/>
            <w:tcBorders>
              <w:top w:val="single" w:sz="4" w:space="0" w:color="auto"/>
              <w:left w:val="single" w:sz="4" w:space="0" w:color="auto"/>
              <w:bottom w:val="single" w:sz="4" w:space="0" w:color="auto"/>
              <w:right w:val="single" w:sz="4" w:space="0" w:color="auto"/>
            </w:tcBorders>
            <w:shd w:val="clear" w:color="auto" w:fill="auto"/>
            <w:vAlign w:val="center"/>
          </w:tcPr>
          <w:p w14:paraId="30A95B22" w14:textId="77777777" w:rsidR="00167129" w:rsidRDefault="00167129" w:rsidP="00B42641">
            <w:pPr>
              <w:spacing w:line="276" w:lineRule="auto"/>
              <w:jc w:val="center"/>
            </w:pPr>
          </w:p>
        </w:tc>
        <w:tc>
          <w:tcPr>
            <w:tcW w:w="212" w:type="dxa"/>
            <w:tcBorders>
              <w:top w:val="single" w:sz="4" w:space="0" w:color="auto"/>
              <w:left w:val="single" w:sz="4" w:space="0" w:color="auto"/>
              <w:bottom w:val="single" w:sz="4" w:space="0" w:color="auto"/>
              <w:right w:val="single" w:sz="4" w:space="0" w:color="auto"/>
            </w:tcBorders>
            <w:shd w:val="clear" w:color="auto" w:fill="auto"/>
            <w:vAlign w:val="center"/>
          </w:tcPr>
          <w:p w14:paraId="6C19E491" w14:textId="77777777" w:rsidR="00167129" w:rsidRDefault="00167129" w:rsidP="00B42641">
            <w:pPr>
              <w:spacing w:line="276" w:lineRule="auto"/>
              <w:jc w:val="center"/>
            </w:pPr>
          </w:p>
        </w:tc>
        <w:tc>
          <w:tcPr>
            <w:tcW w:w="213" w:type="dxa"/>
            <w:tcBorders>
              <w:top w:val="single" w:sz="4" w:space="0" w:color="auto"/>
              <w:left w:val="single" w:sz="4" w:space="0" w:color="auto"/>
              <w:bottom w:val="single" w:sz="4" w:space="0" w:color="auto"/>
              <w:right w:val="single" w:sz="4" w:space="0" w:color="auto"/>
            </w:tcBorders>
            <w:shd w:val="clear" w:color="auto" w:fill="auto"/>
            <w:vAlign w:val="center"/>
          </w:tcPr>
          <w:p w14:paraId="386277E0" w14:textId="77777777" w:rsidR="00167129" w:rsidRDefault="00167129" w:rsidP="00B42641">
            <w:pPr>
              <w:spacing w:line="276" w:lineRule="auto"/>
              <w:jc w:val="center"/>
            </w:pPr>
          </w:p>
        </w:tc>
        <w:tc>
          <w:tcPr>
            <w:tcW w:w="213" w:type="dxa"/>
            <w:tcBorders>
              <w:top w:val="single" w:sz="4" w:space="0" w:color="auto"/>
              <w:left w:val="single" w:sz="4" w:space="0" w:color="auto"/>
              <w:bottom w:val="single" w:sz="4" w:space="0" w:color="auto"/>
              <w:right w:val="single" w:sz="4" w:space="0" w:color="auto"/>
            </w:tcBorders>
            <w:shd w:val="clear" w:color="auto" w:fill="auto"/>
            <w:vAlign w:val="center"/>
          </w:tcPr>
          <w:p w14:paraId="349DA71D" w14:textId="77777777" w:rsidR="00167129" w:rsidRDefault="00167129" w:rsidP="00B42641">
            <w:pPr>
              <w:spacing w:line="276" w:lineRule="auto"/>
              <w:jc w:val="center"/>
            </w:pPr>
          </w:p>
        </w:tc>
        <w:tc>
          <w:tcPr>
            <w:tcW w:w="212" w:type="dxa"/>
            <w:tcBorders>
              <w:top w:val="single" w:sz="4" w:space="0" w:color="auto"/>
              <w:left w:val="single" w:sz="4" w:space="0" w:color="auto"/>
              <w:bottom w:val="single" w:sz="4" w:space="0" w:color="auto"/>
              <w:right w:val="single" w:sz="4" w:space="0" w:color="auto"/>
            </w:tcBorders>
            <w:shd w:val="clear" w:color="auto" w:fill="auto"/>
            <w:vAlign w:val="center"/>
          </w:tcPr>
          <w:p w14:paraId="1F20DC1A" w14:textId="77777777" w:rsidR="00167129" w:rsidRDefault="00167129" w:rsidP="00B42641">
            <w:pPr>
              <w:spacing w:line="276" w:lineRule="auto"/>
              <w:jc w:val="center"/>
            </w:pPr>
          </w:p>
        </w:tc>
        <w:tc>
          <w:tcPr>
            <w:tcW w:w="21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AA89FBF" w14:textId="77777777" w:rsidR="00167129" w:rsidRDefault="00167129" w:rsidP="00B42641">
            <w:pPr>
              <w:spacing w:line="276" w:lineRule="auto"/>
              <w:jc w:val="center"/>
            </w:pPr>
          </w:p>
        </w:tc>
        <w:tc>
          <w:tcPr>
            <w:tcW w:w="213" w:type="dxa"/>
            <w:tcBorders>
              <w:top w:val="single" w:sz="4" w:space="0" w:color="auto"/>
              <w:left w:val="single" w:sz="4" w:space="0" w:color="auto"/>
              <w:bottom w:val="single" w:sz="4" w:space="0" w:color="auto"/>
              <w:right w:val="single" w:sz="12" w:space="0" w:color="auto"/>
            </w:tcBorders>
            <w:vAlign w:val="center"/>
          </w:tcPr>
          <w:p w14:paraId="4205351C" w14:textId="77777777" w:rsidR="00167129" w:rsidRDefault="00167129" w:rsidP="00B42641">
            <w:pPr>
              <w:spacing w:line="276" w:lineRule="auto"/>
              <w:jc w:val="center"/>
            </w:pPr>
          </w:p>
        </w:tc>
        <w:tc>
          <w:tcPr>
            <w:tcW w:w="220" w:type="dxa"/>
            <w:tcBorders>
              <w:top w:val="single" w:sz="4" w:space="0" w:color="auto"/>
              <w:left w:val="single" w:sz="12" w:space="0" w:color="auto"/>
              <w:bottom w:val="single" w:sz="4" w:space="0" w:color="auto"/>
              <w:right w:val="single" w:sz="4" w:space="0" w:color="auto"/>
            </w:tcBorders>
            <w:shd w:val="clear" w:color="auto" w:fill="auto"/>
            <w:vAlign w:val="center"/>
          </w:tcPr>
          <w:p w14:paraId="5CD33B07" w14:textId="77777777" w:rsidR="00167129" w:rsidRDefault="00167129" w:rsidP="00B42641">
            <w:pPr>
              <w:spacing w:line="276" w:lineRule="auto"/>
              <w:jc w:val="center"/>
            </w:pPr>
          </w:p>
        </w:tc>
        <w:tc>
          <w:tcPr>
            <w:tcW w:w="221" w:type="dxa"/>
            <w:tcBorders>
              <w:top w:val="single" w:sz="4" w:space="0" w:color="auto"/>
              <w:left w:val="single" w:sz="4" w:space="0" w:color="auto"/>
              <w:bottom w:val="single" w:sz="4" w:space="0" w:color="auto"/>
              <w:right w:val="single" w:sz="4" w:space="0" w:color="auto"/>
            </w:tcBorders>
            <w:shd w:val="clear" w:color="auto" w:fill="auto"/>
            <w:vAlign w:val="center"/>
          </w:tcPr>
          <w:p w14:paraId="2E8C5CCD" w14:textId="77777777" w:rsidR="00167129" w:rsidRDefault="00167129" w:rsidP="00B42641">
            <w:pPr>
              <w:spacing w:line="276" w:lineRule="auto"/>
              <w:jc w:val="center"/>
            </w:pPr>
          </w:p>
        </w:tc>
        <w:tc>
          <w:tcPr>
            <w:tcW w:w="220" w:type="dxa"/>
            <w:tcBorders>
              <w:top w:val="single" w:sz="4" w:space="0" w:color="auto"/>
              <w:left w:val="single" w:sz="4" w:space="0" w:color="auto"/>
              <w:bottom w:val="single" w:sz="4" w:space="0" w:color="auto"/>
              <w:right w:val="single" w:sz="4" w:space="0" w:color="auto"/>
            </w:tcBorders>
            <w:shd w:val="clear" w:color="auto" w:fill="auto"/>
            <w:vAlign w:val="center"/>
          </w:tcPr>
          <w:p w14:paraId="59D0F578" w14:textId="77777777" w:rsidR="00167129" w:rsidRDefault="00167129" w:rsidP="00B42641">
            <w:pPr>
              <w:spacing w:line="276" w:lineRule="auto"/>
              <w:jc w:val="center"/>
            </w:pPr>
          </w:p>
        </w:tc>
        <w:tc>
          <w:tcPr>
            <w:tcW w:w="221" w:type="dxa"/>
            <w:tcBorders>
              <w:top w:val="single" w:sz="4" w:space="0" w:color="auto"/>
              <w:left w:val="single" w:sz="4" w:space="0" w:color="auto"/>
              <w:bottom w:val="single" w:sz="4" w:space="0" w:color="auto"/>
              <w:right w:val="single" w:sz="4" w:space="0" w:color="auto"/>
            </w:tcBorders>
            <w:shd w:val="clear" w:color="auto" w:fill="auto"/>
            <w:vAlign w:val="center"/>
          </w:tcPr>
          <w:p w14:paraId="4065E3FF" w14:textId="77777777" w:rsidR="00167129" w:rsidRDefault="00167129" w:rsidP="00B42641">
            <w:pPr>
              <w:spacing w:line="276" w:lineRule="auto"/>
              <w:jc w:val="center"/>
            </w:pPr>
          </w:p>
        </w:tc>
        <w:tc>
          <w:tcPr>
            <w:tcW w:w="220" w:type="dxa"/>
            <w:tcBorders>
              <w:top w:val="single" w:sz="4" w:space="0" w:color="auto"/>
              <w:left w:val="single" w:sz="4" w:space="0" w:color="auto"/>
              <w:bottom w:val="single" w:sz="4" w:space="0" w:color="auto"/>
              <w:right w:val="single" w:sz="4" w:space="0" w:color="auto"/>
            </w:tcBorders>
            <w:shd w:val="clear" w:color="auto" w:fill="auto"/>
            <w:vAlign w:val="center"/>
          </w:tcPr>
          <w:p w14:paraId="1FE87A97" w14:textId="77777777" w:rsidR="00167129" w:rsidRDefault="00167129" w:rsidP="00B42641">
            <w:pPr>
              <w:spacing w:line="276" w:lineRule="auto"/>
              <w:jc w:val="center"/>
            </w:pPr>
          </w:p>
        </w:tc>
        <w:tc>
          <w:tcPr>
            <w:tcW w:w="221" w:type="dxa"/>
            <w:tcBorders>
              <w:top w:val="single" w:sz="4" w:space="0" w:color="auto"/>
              <w:left w:val="single" w:sz="4" w:space="0" w:color="auto"/>
              <w:bottom w:val="single" w:sz="4" w:space="0" w:color="auto"/>
              <w:right w:val="single" w:sz="4" w:space="0" w:color="auto"/>
            </w:tcBorders>
            <w:shd w:val="clear" w:color="auto" w:fill="auto"/>
            <w:vAlign w:val="center"/>
          </w:tcPr>
          <w:p w14:paraId="34B3BB3D" w14:textId="77777777" w:rsidR="00167129" w:rsidRDefault="00167129" w:rsidP="00B42641">
            <w:pPr>
              <w:spacing w:line="276" w:lineRule="auto"/>
              <w:jc w:val="center"/>
            </w:pPr>
          </w:p>
        </w:tc>
        <w:tc>
          <w:tcPr>
            <w:tcW w:w="220" w:type="dxa"/>
            <w:tcBorders>
              <w:top w:val="single" w:sz="4" w:space="0" w:color="auto"/>
              <w:left w:val="single" w:sz="4" w:space="0" w:color="auto"/>
              <w:bottom w:val="single" w:sz="4" w:space="0" w:color="auto"/>
              <w:right w:val="single" w:sz="4" w:space="0" w:color="auto"/>
            </w:tcBorders>
            <w:shd w:val="clear" w:color="auto" w:fill="auto"/>
            <w:vAlign w:val="center"/>
          </w:tcPr>
          <w:p w14:paraId="6E22D877" w14:textId="77777777" w:rsidR="00167129" w:rsidRDefault="00167129" w:rsidP="00B42641">
            <w:pPr>
              <w:spacing w:line="276" w:lineRule="auto"/>
              <w:jc w:val="center"/>
            </w:pPr>
          </w:p>
        </w:tc>
        <w:tc>
          <w:tcPr>
            <w:tcW w:w="22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9D74E1B" w14:textId="77777777" w:rsidR="00167129" w:rsidRDefault="00167129" w:rsidP="00B42641">
            <w:pPr>
              <w:spacing w:line="276" w:lineRule="auto"/>
              <w:jc w:val="center"/>
            </w:pPr>
          </w:p>
        </w:tc>
        <w:tc>
          <w:tcPr>
            <w:tcW w:w="221" w:type="dxa"/>
            <w:tcBorders>
              <w:top w:val="single" w:sz="4" w:space="0" w:color="auto"/>
              <w:left w:val="single" w:sz="4" w:space="0" w:color="auto"/>
              <w:bottom w:val="single" w:sz="4" w:space="0" w:color="auto"/>
              <w:right w:val="single" w:sz="12" w:space="0" w:color="auto"/>
            </w:tcBorders>
            <w:vAlign w:val="center"/>
          </w:tcPr>
          <w:p w14:paraId="63DC4BD5" w14:textId="77777777" w:rsidR="00167129" w:rsidRDefault="00167129" w:rsidP="00B42641">
            <w:pPr>
              <w:spacing w:line="276" w:lineRule="auto"/>
              <w:jc w:val="center"/>
            </w:pPr>
          </w:p>
        </w:tc>
        <w:tc>
          <w:tcPr>
            <w:tcW w:w="212" w:type="dxa"/>
            <w:tcBorders>
              <w:top w:val="single" w:sz="4" w:space="0" w:color="auto"/>
              <w:left w:val="single" w:sz="12" w:space="0" w:color="auto"/>
              <w:bottom w:val="single" w:sz="4" w:space="0" w:color="auto"/>
              <w:right w:val="single" w:sz="4" w:space="0" w:color="auto"/>
            </w:tcBorders>
          </w:tcPr>
          <w:p w14:paraId="1556050C" w14:textId="77777777" w:rsidR="00167129" w:rsidRDefault="00167129" w:rsidP="00B42641">
            <w:pPr>
              <w:spacing w:line="276" w:lineRule="auto"/>
              <w:jc w:val="center"/>
            </w:pPr>
          </w:p>
        </w:tc>
        <w:tc>
          <w:tcPr>
            <w:tcW w:w="213" w:type="dxa"/>
            <w:gridSpan w:val="2"/>
            <w:tcBorders>
              <w:top w:val="single" w:sz="4" w:space="0" w:color="auto"/>
              <w:left w:val="single" w:sz="4" w:space="0" w:color="auto"/>
              <w:bottom w:val="single" w:sz="4" w:space="0" w:color="auto"/>
              <w:right w:val="single" w:sz="4" w:space="0" w:color="auto"/>
            </w:tcBorders>
          </w:tcPr>
          <w:p w14:paraId="200C4898" w14:textId="77777777" w:rsidR="00167129" w:rsidRDefault="00167129" w:rsidP="00B42641">
            <w:pPr>
              <w:spacing w:line="276" w:lineRule="auto"/>
              <w:jc w:val="center"/>
            </w:pPr>
          </w:p>
        </w:tc>
        <w:tc>
          <w:tcPr>
            <w:tcW w:w="212" w:type="dxa"/>
            <w:gridSpan w:val="2"/>
            <w:tcBorders>
              <w:top w:val="single" w:sz="4" w:space="0" w:color="auto"/>
              <w:left w:val="single" w:sz="4" w:space="0" w:color="auto"/>
              <w:bottom w:val="single" w:sz="4" w:space="0" w:color="auto"/>
              <w:right w:val="single" w:sz="4" w:space="0" w:color="auto"/>
            </w:tcBorders>
          </w:tcPr>
          <w:p w14:paraId="1249C1A5" w14:textId="77777777" w:rsidR="00167129" w:rsidRDefault="00167129" w:rsidP="00B42641">
            <w:pPr>
              <w:spacing w:line="276" w:lineRule="auto"/>
              <w:jc w:val="center"/>
            </w:pPr>
          </w:p>
        </w:tc>
        <w:tc>
          <w:tcPr>
            <w:tcW w:w="213" w:type="dxa"/>
            <w:tcBorders>
              <w:top w:val="single" w:sz="4" w:space="0" w:color="auto"/>
              <w:left w:val="single" w:sz="4" w:space="0" w:color="auto"/>
              <w:bottom w:val="single" w:sz="4" w:space="0" w:color="auto"/>
              <w:right w:val="single" w:sz="4" w:space="0" w:color="auto"/>
            </w:tcBorders>
          </w:tcPr>
          <w:p w14:paraId="329682ED" w14:textId="77777777" w:rsidR="00167129" w:rsidRDefault="00167129" w:rsidP="00B42641">
            <w:pPr>
              <w:spacing w:line="276" w:lineRule="auto"/>
              <w:jc w:val="center"/>
            </w:pPr>
          </w:p>
        </w:tc>
        <w:tc>
          <w:tcPr>
            <w:tcW w:w="212" w:type="dxa"/>
            <w:tcBorders>
              <w:top w:val="single" w:sz="4" w:space="0" w:color="auto"/>
              <w:left w:val="single" w:sz="4" w:space="0" w:color="auto"/>
              <w:bottom w:val="single" w:sz="4" w:space="0" w:color="auto"/>
              <w:right w:val="single" w:sz="4" w:space="0" w:color="auto"/>
            </w:tcBorders>
          </w:tcPr>
          <w:p w14:paraId="5329897A" w14:textId="77777777" w:rsidR="00167129" w:rsidRDefault="00167129" w:rsidP="00B42641">
            <w:pPr>
              <w:spacing w:line="276" w:lineRule="auto"/>
              <w:jc w:val="center"/>
            </w:pPr>
          </w:p>
        </w:tc>
        <w:tc>
          <w:tcPr>
            <w:tcW w:w="213" w:type="dxa"/>
            <w:tcBorders>
              <w:top w:val="single" w:sz="4" w:space="0" w:color="auto"/>
              <w:left w:val="single" w:sz="4" w:space="0" w:color="auto"/>
              <w:bottom w:val="single" w:sz="4" w:space="0" w:color="auto"/>
              <w:right w:val="single" w:sz="12" w:space="0" w:color="auto"/>
            </w:tcBorders>
          </w:tcPr>
          <w:p w14:paraId="7B8BDCD1" w14:textId="77777777" w:rsidR="00167129" w:rsidRDefault="00167129" w:rsidP="00B42641">
            <w:pPr>
              <w:spacing w:line="276" w:lineRule="auto"/>
              <w:jc w:val="center"/>
            </w:pPr>
          </w:p>
        </w:tc>
      </w:tr>
      <w:tr w:rsidR="00F73446" w14:paraId="36EE8C71" w14:textId="77777777" w:rsidTr="004C382A">
        <w:tc>
          <w:tcPr>
            <w:tcW w:w="2694" w:type="dxa"/>
            <w:tcBorders>
              <w:top w:val="single" w:sz="4" w:space="0" w:color="auto"/>
              <w:left w:val="single" w:sz="12" w:space="0" w:color="auto"/>
              <w:bottom w:val="single" w:sz="4" w:space="0" w:color="auto"/>
              <w:right w:val="single" w:sz="12" w:space="0" w:color="auto"/>
            </w:tcBorders>
            <w:vAlign w:val="center"/>
          </w:tcPr>
          <w:p w14:paraId="72F83C27" w14:textId="77777777" w:rsidR="00167129" w:rsidRDefault="00167129" w:rsidP="00B42641">
            <w:pPr>
              <w:spacing w:line="276" w:lineRule="auto"/>
              <w:jc w:val="right"/>
            </w:pPr>
            <w:r>
              <w:t>By partner</w:t>
            </w:r>
          </w:p>
        </w:tc>
        <w:tc>
          <w:tcPr>
            <w:tcW w:w="236" w:type="dxa"/>
            <w:tcBorders>
              <w:top w:val="single" w:sz="4" w:space="0" w:color="auto"/>
              <w:left w:val="single" w:sz="12" w:space="0" w:color="auto"/>
              <w:bottom w:val="single" w:sz="4" w:space="0" w:color="auto"/>
              <w:right w:val="single" w:sz="4" w:space="0" w:color="auto"/>
            </w:tcBorders>
            <w:shd w:val="clear" w:color="auto" w:fill="auto"/>
            <w:vAlign w:val="center"/>
          </w:tcPr>
          <w:p w14:paraId="38288B6C" w14:textId="77777777" w:rsidR="00167129" w:rsidRDefault="00167129" w:rsidP="00B42641">
            <w:pPr>
              <w:spacing w:line="276" w:lineRule="auto"/>
              <w:jc w:val="center"/>
            </w:pPr>
          </w:p>
        </w:tc>
        <w:tc>
          <w:tcPr>
            <w:tcW w:w="2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796D67" w14:textId="77777777" w:rsidR="00167129" w:rsidRDefault="00167129" w:rsidP="00B42641">
            <w:pPr>
              <w:spacing w:line="276" w:lineRule="auto"/>
              <w:jc w:val="center"/>
            </w:pPr>
          </w:p>
        </w:tc>
        <w:tc>
          <w:tcPr>
            <w:tcW w:w="2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66C09C" w14:textId="77777777" w:rsidR="00167129" w:rsidRDefault="00167129" w:rsidP="00B42641">
            <w:pPr>
              <w:spacing w:line="276" w:lineRule="auto"/>
              <w:jc w:val="center"/>
            </w:pPr>
          </w:p>
        </w:tc>
        <w:tc>
          <w:tcPr>
            <w:tcW w:w="2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FF829B8" w14:textId="77777777" w:rsidR="00167129" w:rsidRDefault="00167129" w:rsidP="00B42641">
            <w:pPr>
              <w:spacing w:line="276" w:lineRule="auto"/>
              <w:jc w:val="center"/>
            </w:pPr>
          </w:p>
        </w:tc>
        <w:tc>
          <w:tcPr>
            <w:tcW w:w="2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E6533DC" w14:textId="77777777" w:rsidR="00167129" w:rsidRDefault="00167129" w:rsidP="00B42641">
            <w:pPr>
              <w:spacing w:line="276" w:lineRule="auto"/>
              <w:jc w:val="center"/>
            </w:pPr>
          </w:p>
        </w:tc>
        <w:tc>
          <w:tcPr>
            <w:tcW w:w="237" w:type="dxa"/>
            <w:tcBorders>
              <w:top w:val="single" w:sz="4" w:space="0" w:color="auto"/>
              <w:left w:val="single" w:sz="4" w:space="0" w:color="auto"/>
              <w:bottom w:val="single" w:sz="4" w:space="0" w:color="auto"/>
              <w:right w:val="single" w:sz="12" w:space="0" w:color="auto"/>
            </w:tcBorders>
            <w:shd w:val="clear" w:color="auto" w:fill="F2DBDB" w:themeFill="accent2" w:themeFillTint="33"/>
            <w:vAlign w:val="center"/>
          </w:tcPr>
          <w:p w14:paraId="6B836BB7" w14:textId="77777777" w:rsidR="00167129" w:rsidRDefault="00167129" w:rsidP="00B42641">
            <w:pPr>
              <w:spacing w:line="276" w:lineRule="auto"/>
              <w:jc w:val="center"/>
            </w:pPr>
          </w:p>
        </w:tc>
        <w:tc>
          <w:tcPr>
            <w:tcW w:w="212" w:type="dxa"/>
            <w:tcBorders>
              <w:top w:val="single" w:sz="4" w:space="0" w:color="auto"/>
              <w:left w:val="single" w:sz="12" w:space="0" w:color="auto"/>
              <w:bottom w:val="single" w:sz="4" w:space="0" w:color="auto"/>
              <w:right w:val="single" w:sz="4" w:space="0" w:color="auto"/>
            </w:tcBorders>
            <w:shd w:val="clear" w:color="auto" w:fill="auto"/>
            <w:vAlign w:val="center"/>
          </w:tcPr>
          <w:p w14:paraId="2BC841CB" w14:textId="77777777" w:rsidR="00167129" w:rsidRDefault="00167129" w:rsidP="00B42641">
            <w:pPr>
              <w:spacing w:line="276" w:lineRule="auto"/>
              <w:jc w:val="center"/>
            </w:pPr>
          </w:p>
        </w:tc>
        <w:tc>
          <w:tcPr>
            <w:tcW w:w="213" w:type="dxa"/>
            <w:tcBorders>
              <w:top w:val="single" w:sz="4" w:space="0" w:color="auto"/>
              <w:left w:val="single" w:sz="4" w:space="0" w:color="auto"/>
              <w:bottom w:val="single" w:sz="4" w:space="0" w:color="auto"/>
              <w:right w:val="single" w:sz="4" w:space="0" w:color="auto"/>
            </w:tcBorders>
            <w:shd w:val="clear" w:color="auto" w:fill="auto"/>
            <w:vAlign w:val="center"/>
          </w:tcPr>
          <w:p w14:paraId="3C90DB64" w14:textId="77777777" w:rsidR="00167129" w:rsidRDefault="00167129" w:rsidP="00B42641">
            <w:pPr>
              <w:spacing w:line="276" w:lineRule="auto"/>
              <w:jc w:val="center"/>
            </w:pPr>
          </w:p>
        </w:tc>
        <w:tc>
          <w:tcPr>
            <w:tcW w:w="212" w:type="dxa"/>
            <w:tcBorders>
              <w:top w:val="single" w:sz="4" w:space="0" w:color="auto"/>
              <w:left w:val="single" w:sz="4" w:space="0" w:color="auto"/>
              <w:bottom w:val="single" w:sz="4" w:space="0" w:color="auto"/>
              <w:right w:val="single" w:sz="4" w:space="0" w:color="auto"/>
            </w:tcBorders>
            <w:shd w:val="clear" w:color="auto" w:fill="auto"/>
            <w:vAlign w:val="center"/>
          </w:tcPr>
          <w:p w14:paraId="1C3D7295" w14:textId="77777777" w:rsidR="00167129" w:rsidRDefault="00167129" w:rsidP="00B42641">
            <w:pPr>
              <w:spacing w:line="276" w:lineRule="auto"/>
              <w:jc w:val="center"/>
            </w:pPr>
          </w:p>
        </w:tc>
        <w:tc>
          <w:tcPr>
            <w:tcW w:w="213" w:type="dxa"/>
            <w:tcBorders>
              <w:top w:val="single" w:sz="4" w:space="0" w:color="auto"/>
              <w:left w:val="single" w:sz="4" w:space="0" w:color="auto"/>
              <w:bottom w:val="single" w:sz="4" w:space="0" w:color="auto"/>
              <w:right w:val="single" w:sz="4" w:space="0" w:color="auto"/>
            </w:tcBorders>
            <w:shd w:val="clear" w:color="auto" w:fill="auto"/>
            <w:vAlign w:val="center"/>
          </w:tcPr>
          <w:p w14:paraId="7C617D24" w14:textId="77777777" w:rsidR="00167129" w:rsidRDefault="00167129" w:rsidP="00B42641">
            <w:pPr>
              <w:spacing w:line="276" w:lineRule="auto"/>
              <w:jc w:val="center"/>
            </w:pPr>
          </w:p>
        </w:tc>
        <w:tc>
          <w:tcPr>
            <w:tcW w:w="21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30AC510" w14:textId="77777777" w:rsidR="00167129" w:rsidRDefault="00167129" w:rsidP="00B42641">
            <w:pPr>
              <w:spacing w:line="276" w:lineRule="auto"/>
              <w:jc w:val="center"/>
            </w:pPr>
          </w:p>
        </w:tc>
        <w:tc>
          <w:tcPr>
            <w:tcW w:w="21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F36E1BD" w14:textId="77777777" w:rsidR="00167129" w:rsidRDefault="00167129" w:rsidP="00B42641">
            <w:pPr>
              <w:spacing w:line="276" w:lineRule="auto"/>
              <w:jc w:val="center"/>
            </w:pPr>
          </w:p>
        </w:tc>
        <w:tc>
          <w:tcPr>
            <w:tcW w:w="21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7ECADA" w14:textId="77777777" w:rsidR="00167129" w:rsidRDefault="00167129" w:rsidP="00B42641">
            <w:pPr>
              <w:spacing w:line="276" w:lineRule="auto"/>
              <w:jc w:val="center"/>
            </w:pPr>
          </w:p>
        </w:tc>
        <w:tc>
          <w:tcPr>
            <w:tcW w:w="213" w:type="dxa"/>
            <w:tcBorders>
              <w:top w:val="single" w:sz="4" w:space="0" w:color="auto"/>
              <w:left w:val="single" w:sz="4" w:space="0" w:color="auto"/>
              <w:bottom w:val="single" w:sz="4" w:space="0" w:color="auto"/>
              <w:right w:val="single" w:sz="12" w:space="0" w:color="auto"/>
            </w:tcBorders>
            <w:shd w:val="clear" w:color="auto" w:fill="F2DBDB" w:themeFill="accent2" w:themeFillTint="33"/>
            <w:vAlign w:val="center"/>
          </w:tcPr>
          <w:p w14:paraId="6638FA10" w14:textId="77777777" w:rsidR="00167129" w:rsidRDefault="00167129" w:rsidP="00B42641">
            <w:pPr>
              <w:spacing w:line="276" w:lineRule="auto"/>
              <w:jc w:val="center"/>
            </w:pPr>
          </w:p>
        </w:tc>
        <w:tc>
          <w:tcPr>
            <w:tcW w:w="220" w:type="dxa"/>
            <w:tcBorders>
              <w:top w:val="single" w:sz="4" w:space="0" w:color="auto"/>
              <w:left w:val="single" w:sz="12" w:space="0" w:color="auto"/>
              <w:bottom w:val="single" w:sz="4" w:space="0" w:color="auto"/>
              <w:right w:val="single" w:sz="4" w:space="0" w:color="auto"/>
            </w:tcBorders>
            <w:shd w:val="clear" w:color="auto" w:fill="auto"/>
            <w:vAlign w:val="center"/>
          </w:tcPr>
          <w:p w14:paraId="32DE3518" w14:textId="77777777" w:rsidR="00167129" w:rsidRDefault="00167129" w:rsidP="00B42641">
            <w:pPr>
              <w:spacing w:line="276" w:lineRule="auto"/>
              <w:jc w:val="center"/>
            </w:pPr>
          </w:p>
        </w:tc>
        <w:tc>
          <w:tcPr>
            <w:tcW w:w="221" w:type="dxa"/>
            <w:tcBorders>
              <w:top w:val="single" w:sz="4" w:space="0" w:color="auto"/>
              <w:left w:val="single" w:sz="4" w:space="0" w:color="auto"/>
              <w:bottom w:val="single" w:sz="4" w:space="0" w:color="auto"/>
              <w:right w:val="single" w:sz="4" w:space="0" w:color="auto"/>
            </w:tcBorders>
            <w:shd w:val="clear" w:color="auto" w:fill="auto"/>
            <w:vAlign w:val="center"/>
          </w:tcPr>
          <w:p w14:paraId="11A7A82C" w14:textId="77777777" w:rsidR="00167129" w:rsidRDefault="00167129" w:rsidP="00B42641">
            <w:pPr>
              <w:spacing w:line="276" w:lineRule="auto"/>
              <w:jc w:val="center"/>
            </w:pPr>
          </w:p>
        </w:tc>
        <w:tc>
          <w:tcPr>
            <w:tcW w:w="220" w:type="dxa"/>
            <w:tcBorders>
              <w:top w:val="single" w:sz="4" w:space="0" w:color="auto"/>
              <w:left w:val="single" w:sz="4" w:space="0" w:color="auto"/>
              <w:bottom w:val="single" w:sz="4" w:space="0" w:color="auto"/>
              <w:right w:val="single" w:sz="4" w:space="0" w:color="auto"/>
            </w:tcBorders>
            <w:shd w:val="clear" w:color="auto" w:fill="auto"/>
            <w:vAlign w:val="center"/>
          </w:tcPr>
          <w:p w14:paraId="67EB5A47" w14:textId="77777777" w:rsidR="00167129" w:rsidRDefault="00167129" w:rsidP="00B42641">
            <w:pPr>
              <w:spacing w:line="276" w:lineRule="auto"/>
              <w:jc w:val="center"/>
            </w:pPr>
          </w:p>
        </w:tc>
        <w:tc>
          <w:tcPr>
            <w:tcW w:w="221" w:type="dxa"/>
            <w:tcBorders>
              <w:top w:val="single" w:sz="4" w:space="0" w:color="auto"/>
              <w:left w:val="single" w:sz="4" w:space="0" w:color="auto"/>
              <w:bottom w:val="single" w:sz="4" w:space="0" w:color="auto"/>
              <w:right w:val="single" w:sz="4" w:space="0" w:color="auto"/>
            </w:tcBorders>
            <w:shd w:val="clear" w:color="auto" w:fill="auto"/>
            <w:vAlign w:val="center"/>
          </w:tcPr>
          <w:p w14:paraId="4AF33BC5" w14:textId="77777777" w:rsidR="00167129" w:rsidRDefault="00167129" w:rsidP="00B42641">
            <w:pPr>
              <w:spacing w:line="276" w:lineRule="auto"/>
              <w:jc w:val="center"/>
            </w:pPr>
          </w:p>
        </w:tc>
        <w:tc>
          <w:tcPr>
            <w:tcW w:w="220" w:type="dxa"/>
            <w:tcBorders>
              <w:top w:val="single" w:sz="4" w:space="0" w:color="auto"/>
              <w:left w:val="single" w:sz="4" w:space="0" w:color="auto"/>
              <w:bottom w:val="single" w:sz="4" w:space="0" w:color="auto"/>
              <w:right w:val="single" w:sz="4" w:space="0" w:color="auto"/>
            </w:tcBorders>
            <w:shd w:val="clear" w:color="auto" w:fill="auto"/>
            <w:vAlign w:val="center"/>
          </w:tcPr>
          <w:p w14:paraId="7048D692" w14:textId="77777777" w:rsidR="00167129" w:rsidRDefault="00167129" w:rsidP="00B42641">
            <w:pPr>
              <w:spacing w:line="276" w:lineRule="auto"/>
              <w:jc w:val="center"/>
            </w:pPr>
          </w:p>
        </w:tc>
        <w:tc>
          <w:tcPr>
            <w:tcW w:w="221" w:type="dxa"/>
            <w:tcBorders>
              <w:top w:val="single" w:sz="4" w:space="0" w:color="auto"/>
              <w:left w:val="single" w:sz="4" w:space="0" w:color="auto"/>
              <w:bottom w:val="single" w:sz="4" w:space="0" w:color="auto"/>
              <w:right w:val="single" w:sz="4" w:space="0" w:color="auto"/>
            </w:tcBorders>
            <w:shd w:val="clear" w:color="auto" w:fill="auto"/>
            <w:vAlign w:val="center"/>
          </w:tcPr>
          <w:p w14:paraId="355C8F5C" w14:textId="77777777" w:rsidR="00167129" w:rsidRDefault="00167129" w:rsidP="00B42641">
            <w:pPr>
              <w:spacing w:line="276" w:lineRule="auto"/>
              <w:jc w:val="center"/>
            </w:pPr>
          </w:p>
        </w:tc>
        <w:tc>
          <w:tcPr>
            <w:tcW w:w="220" w:type="dxa"/>
            <w:tcBorders>
              <w:top w:val="single" w:sz="4" w:space="0" w:color="auto"/>
              <w:left w:val="single" w:sz="4" w:space="0" w:color="auto"/>
              <w:bottom w:val="single" w:sz="4" w:space="0" w:color="auto"/>
              <w:right w:val="single" w:sz="4" w:space="0" w:color="auto"/>
            </w:tcBorders>
            <w:shd w:val="clear" w:color="auto" w:fill="auto"/>
            <w:vAlign w:val="center"/>
          </w:tcPr>
          <w:p w14:paraId="3AF47AB0" w14:textId="77777777" w:rsidR="00167129" w:rsidRDefault="00167129" w:rsidP="00B42641">
            <w:pPr>
              <w:spacing w:line="276" w:lineRule="auto"/>
              <w:jc w:val="center"/>
            </w:pPr>
          </w:p>
        </w:tc>
        <w:tc>
          <w:tcPr>
            <w:tcW w:w="2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3899A" w14:textId="77777777" w:rsidR="00167129" w:rsidRDefault="00167129" w:rsidP="00B42641">
            <w:pPr>
              <w:spacing w:line="276" w:lineRule="auto"/>
              <w:jc w:val="center"/>
            </w:pPr>
          </w:p>
        </w:tc>
        <w:tc>
          <w:tcPr>
            <w:tcW w:w="221" w:type="dxa"/>
            <w:tcBorders>
              <w:top w:val="single" w:sz="4" w:space="0" w:color="auto"/>
              <w:left w:val="single" w:sz="4" w:space="0" w:color="auto"/>
              <w:bottom w:val="single" w:sz="4" w:space="0" w:color="auto"/>
              <w:right w:val="single" w:sz="12" w:space="0" w:color="auto"/>
            </w:tcBorders>
            <w:shd w:val="clear" w:color="auto" w:fill="auto"/>
            <w:vAlign w:val="center"/>
          </w:tcPr>
          <w:p w14:paraId="1892C6B8" w14:textId="77777777" w:rsidR="00167129" w:rsidRDefault="00167129" w:rsidP="00B42641">
            <w:pPr>
              <w:spacing w:line="276" w:lineRule="auto"/>
              <w:jc w:val="center"/>
            </w:pPr>
          </w:p>
        </w:tc>
        <w:tc>
          <w:tcPr>
            <w:tcW w:w="212" w:type="dxa"/>
            <w:tcBorders>
              <w:top w:val="single" w:sz="4" w:space="0" w:color="auto"/>
              <w:left w:val="single" w:sz="12" w:space="0" w:color="auto"/>
              <w:bottom w:val="single" w:sz="4" w:space="0" w:color="auto"/>
              <w:right w:val="single" w:sz="4" w:space="0" w:color="auto"/>
            </w:tcBorders>
          </w:tcPr>
          <w:p w14:paraId="51DE384A" w14:textId="77777777" w:rsidR="00167129" w:rsidRDefault="00167129" w:rsidP="00B42641">
            <w:pPr>
              <w:spacing w:line="276" w:lineRule="auto"/>
              <w:jc w:val="center"/>
            </w:pPr>
          </w:p>
        </w:tc>
        <w:tc>
          <w:tcPr>
            <w:tcW w:w="213" w:type="dxa"/>
            <w:gridSpan w:val="2"/>
            <w:tcBorders>
              <w:top w:val="single" w:sz="4" w:space="0" w:color="auto"/>
              <w:left w:val="single" w:sz="4" w:space="0" w:color="auto"/>
              <w:bottom w:val="single" w:sz="4" w:space="0" w:color="auto"/>
              <w:right w:val="single" w:sz="4" w:space="0" w:color="auto"/>
            </w:tcBorders>
          </w:tcPr>
          <w:p w14:paraId="5522589B" w14:textId="77777777" w:rsidR="00167129" w:rsidRDefault="00167129" w:rsidP="00B42641">
            <w:pPr>
              <w:spacing w:line="276" w:lineRule="auto"/>
              <w:jc w:val="center"/>
            </w:pPr>
          </w:p>
        </w:tc>
        <w:tc>
          <w:tcPr>
            <w:tcW w:w="212" w:type="dxa"/>
            <w:gridSpan w:val="2"/>
            <w:tcBorders>
              <w:top w:val="single" w:sz="4" w:space="0" w:color="auto"/>
              <w:left w:val="single" w:sz="4" w:space="0" w:color="auto"/>
              <w:bottom w:val="single" w:sz="4" w:space="0" w:color="auto"/>
              <w:right w:val="single" w:sz="4" w:space="0" w:color="auto"/>
            </w:tcBorders>
          </w:tcPr>
          <w:p w14:paraId="21AE1777" w14:textId="77777777" w:rsidR="00167129" w:rsidRDefault="00167129" w:rsidP="00B42641">
            <w:pPr>
              <w:spacing w:line="276" w:lineRule="auto"/>
              <w:jc w:val="center"/>
            </w:pPr>
          </w:p>
        </w:tc>
        <w:tc>
          <w:tcPr>
            <w:tcW w:w="213" w:type="dxa"/>
            <w:tcBorders>
              <w:top w:val="single" w:sz="4" w:space="0" w:color="auto"/>
              <w:left w:val="single" w:sz="4" w:space="0" w:color="auto"/>
              <w:bottom w:val="single" w:sz="4" w:space="0" w:color="auto"/>
              <w:right w:val="single" w:sz="4" w:space="0" w:color="auto"/>
            </w:tcBorders>
          </w:tcPr>
          <w:p w14:paraId="2EC6EBF3" w14:textId="77777777" w:rsidR="00167129" w:rsidRDefault="00167129" w:rsidP="00B42641">
            <w:pPr>
              <w:spacing w:line="276" w:lineRule="auto"/>
              <w:jc w:val="center"/>
            </w:pPr>
          </w:p>
        </w:tc>
        <w:tc>
          <w:tcPr>
            <w:tcW w:w="212" w:type="dxa"/>
            <w:tcBorders>
              <w:top w:val="single" w:sz="4" w:space="0" w:color="auto"/>
              <w:left w:val="single" w:sz="4" w:space="0" w:color="auto"/>
              <w:bottom w:val="single" w:sz="4" w:space="0" w:color="auto"/>
              <w:right w:val="single" w:sz="4" w:space="0" w:color="auto"/>
            </w:tcBorders>
          </w:tcPr>
          <w:p w14:paraId="20569A34" w14:textId="77777777" w:rsidR="00167129" w:rsidRDefault="00167129" w:rsidP="00B42641">
            <w:pPr>
              <w:spacing w:line="276" w:lineRule="auto"/>
              <w:jc w:val="center"/>
            </w:pPr>
          </w:p>
        </w:tc>
        <w:tc>
          <w:tcPr>
            <w:tcW w:w="213" w:type="dxa"/>
            <w:tcBorders>
              <w:top w:val="single" w:sz="4" w:space="0" w:color="auto"/>
              <w:left w:val="single" w:sz="4" w:space="0" w:color="auto"/>
              <w:bottom w:val="single" w:sz="4" w:space="0" w:color="auto"/>
              <w:right w:val="single" w:sz="12" w:space="0" w:color="auto"/>
            </w:tcBorders>
          </w:tcPr>
          <w:p w14:paraId="356676F6" w14:textId="77777777" w:rsidR="00167129" w:rsidRDefault="00167129" w:rsidP="00B42641">
            <w:pPr>
              <w:spacing w:line="276" w:lineRule="auto"/>
              <w:jc w:val="center"/>
            </w:pPr>
          </w:p>
        </w:tc>
      </w:tr>
      <w:tr w:rsidR="00F73446" w14:paraId="59D83C43" w14:textId="77777777" w:rsidTr="004C382A">
        <w:tc>
          <w:tcPr>
            <w:tcW w:w="2694" w:type="dxa"/>
            <w:tcBorders>
              <w:top w:val="single" w:sz="4" w:space="0" w:color="auto"/>
              <w:left w:val="single" w:sz="12" w:space="0" w:color="auto"/>
              <w:bottom w:val="single" w:sz="12" w:space="0" w:color="auto"/>
              <w:right w:val="single" w:sz="12" w:space="0" w:color="auto"/>
            </w:tcBorders>
            <w:vAlign w:val="center"/>
          </w:tcPr>
          <w:p w14:paraId="788E930E" w14:textId="77777777" w:rsidR="00167129" w:rsidRDefault="00167129" w:rsidP="00B42641">
            <w:pPr>
              <w:spacing w:line="276" w:lineRule="auto"/>
              <w:jc w:val="right"/>
            </w:pPr>
            <w:r>
              <w:t>By unspecified person</w:t>
            </w:r>
          </w:p>
        </w:tc>
        <w:tc>
          <w:tcPr>
            <w:tcW w:w="236" w:type="dxa"/>
            <w:tcBorders>
              <w:top w:val="single" w:sz="4" w:space="0" w:color="auto"/>
              <w:left w:val="single" w:sz="12" w:space="0" w:color="auto"/>
              <w:bottom w:val="single" w:sz="12" w:space="0" w:color="auto"/>
              <w:right w:val="single" w:sz="4" w:space="0" w:color="auto"/>
            </w:tcBorders>
            <w:shd w:val="clear" w:color="auto" w:fill="F2DBDB" w:themeFill="accent2" w:themeFillTint="33"/>
            <w:vAlign w:val="center"/>
          </w:tcPr>
          <w:p w14:paraId="10AC6F48" w14:textId="77777777" w:rsidR="00167129" w:rsidRDefault="00167129" w:rsidP="00B42641">
            <w:pPr>
              <w:spacing w:line="276" w:lineRule="auto"/>
              <w:jc w:val="center"/>
            </w:pPr>
          </w:p>
        </w:tc>
        <w:tc>
          <w:tcPr>
            <w:tcW w:w="236" w:type="dxa"/>
            <w:tcBorders>
              <w:top w:val="single" w:sz="4" w:space="0" w:color="auto"/>
              <w:left w:val="single" w:sz="4" w:space="0" w:color="auto"/>
              <w:bottom w:val="single" w:sz="12" w:space="0" w:color="auto"/>
              <w:right w:val="single" w:sz="4" w:space="0" w:color="auto"/>
            </w:tcBorders>
            <w:shd w:val="clear" w:color="auto" w:fill="F2DBDB" w:themeFill="accent2" w:themeFillTint="33"/>
            <w:vAlign w:val="center"/>
          </w:tcPr>
          <w:p w14:paraId="4235E5E9" w14:textId="77777777" w:rsidR="00167129" w:rsidRDefault="00167129" w:rsidP="00B42641">
            <w:pPr>
              <w:spacing w:line="276" w:lineRule="auto"/>
              <w:jc w:val="center"/>
            </w:pPr>
          </w:p>
        </w:tc>
        <w:tc>
          <w:tcPr>
            <w:tcW w:w="236" w:type="dxa"/>
            <w:tcBorders>
              <w:top w:val="single" w:sz="4" w:space="0" w:color="auto"/>
              <w:left w:val="single" w:sz="4" w:space="0" w:color="auto"/>
              <w:bottom w:val="single" w:sz="12" w:space="0" w:color="auto"/>
              <w:right w:val="single" w:sz="4" w:space="0" w:color="auto"/>
            </w:tcBorders>
            <w:shd w:val="clear" w:color="auto" w:fill="auto"/>
            <w:vAlign w:val="center"/>
          </w:tcPr>
          <w:p w14:paraId="28C203CC" w14:textId="77777777" w:rsidR="00167129" w:rsidRDefault="00167129" w:rsidP="00B42641">
            <w:pPr>
              <w:spacing w:line="276" w:lineRule="auto"/>
              <w:jc w:val="center"/>
            </w:pPr>
          </w:p>
        </w:tc>
        <w:tc>
          <w:tcPr>
            <w:tcW w:w="236" w:type="dxa"/>
            <w:tcBorders>
              <w:top w:val="single" w:sz="4" w:space="0" w:color="auto"/>
              <w:left w:val="single" w:sz="4" w:space="0" w:color="auto"/>
              <w:bottom w:val="single" w:sz="12" w:space="0" w:color="auto"/>
              <w:right w:val="single" w:sz="4" w:space="0" w:color="auto"/>
            </w:tcBorders>
            <w:shd w:val="clear" w:color="auto" w:fill="auto"/>
            <w:vAlign w:val="center"/>
          </w:tcPr>
          <w:p w14:paraId="36186F05" w14:textId="77777777" w:rsidR="00167129" w:rsidRDefault="00167129" w:rsidP="00B42641">
            <w:pPr>
              <w:spacing w:line="276" w:lineRule="auto"/>
              <w:jc w:val="center"/>
            </w:pPr>
          </w:p>
        </w:tc>
        <w:tc>
          <w:tcPr>
            <w:tcW w:w="236" w:type="dxa"/>
            <w:tcBorders>
              <w:top w:val="single" w:sz="4" w:space="0" w:color="auto"/>
              <w:left w:val="single" w:sz="4" w:space="0" w:color="auto"/>
              <w:bottom w:val="single" w:sz="12" w:space="0" w:color="auto"/>
              <w:right w:val="single" w:sz="4" w:space="0" w:color="auto"/>
            </w:tcBorders>
            <w:shd w:val="clear" w:color="auto" w:fill="F2DBDB" w:themeFill="accent2" w:themeFillTint="33"/>
            <w:vAlign w:val="center"/>
          </w:tcPr>
          <w:p w14:paraId="6267D859" w14:textId="77777777" w:rsidR="00167129" w:rsidRDefault="00167129" w:rsidP="00B42641">
            <w:pPr>
              <w:spacing w:line="276" w:lineRule="auto"/>
              <w:jc w:val="center"/>
            </w:pPr>
          </w:p>
        </w:tc>
        <w:tc>
          <w:tcPr>
            <w:tcW w:w="237" w:type="dxa"/>
            <w:tcBorders>
              <w:top w:val="single" w:sz="4" w:space="0" w:color="auto"/>
              <w:left w:val="single" w:sz="4" w:space="0" w:color="auto"/>
              <w:bottom w:val="single" w:sz="12" w:space="0" w:color="auto"/>
              <w:right w:val="single" w:sz="12" w:space="0" w:color="auto"/>
            </w:tcBorders>
            <w:shd w:val="clear" w:color="auto" w:fill="F2DBDB" w:themeFill="accent2" w:themeFillTint="33"/>
            <w:vAlign w:val="center"/>
          </w:tcPr>
          <w:p w14:paraId="44E3BDC0" w14:textId="77777777" w:rsidR="00167129" w:rsidRDefault="00167129" w:rsidP="00B42641">
            <w:pPr>
              <w:spacing w:line="276" w:lineRule="auto"/>
              <w:jc w:val="center"/>
            </w:pPr>
          </w:p>
        </w:tc>
        <w:tc>
          <w:tcPr>
            <w:tcW w:w="212" w:type="dxa"/>
            <w:tcBorders>
              <w:top w:val="single" w:sz="4" w:space="0" w:color="auto"/>
              <w:left w:val="single" w:sz="12" w:space="0" w:color="auto"/>
              <w:bottom w:val="single" w:sz="12" w:space="0" w:color="auto"/>
              <w:right w:val="single" w:sz="4" w:space="0" w:color="auto"/>
            </w:tcBorders>
            <w:shd w:val="clear" w:color="auto" w:fill="auto"/>
            <w:vAlign w:val="center"/>
          </w:tcPr>
          <w:p w14:paraId="6FF34C68" w14:textId="77777777" w:rsidR="00167129" w:rsidRDefault="00167129" w:rsidP="00B42641">
            <w:pPr>
              <w:spacing w:line="276" w:lineRule="auto"/>
              <w:jc w:val="center"/>
            </w:pPr>
          </w:p>
        </w:tc>
        <w:tc>
          <w:tcPr>
            <w:tcW w:w="213" w:type="dxa"/>
            <w:tcBorders>
              <w:top w:val="single" w:sz="4" w:space="0" w:color="auto"/>
              <w:left w:val="single" w:sz="4" w:space="0" w:color="auto"/>
              <w:bottom w:val="single" w:sz="12" w:space="0" w:color="auto"/>
              <w:right w:val="single" w:sz="4" w:space="0" w:color="auto"/>
            </w:tcBorders>
            <w:shd w:val="clear" w:color="auto" w:fill="FFE9DB"/>
            <w:vAlign w:val="center"/>
          </w:tcPr>
          <w:p w14:paraId="63C733EE" w14:textId="77777777" w:rsidR="00167129" w:rsidRDefault="00167129" w:rsidP="00B42641">
            <w:pPr>
              <w:spacing w:line="276" w:lineRule="auto"/>
              <w:jc w:val="center"/>
            </w:pPr>
          </w:p>
        </w:tc>
        <w:tc>
          <w:tcPr>
            <w:tcW w:w="212" w:type="dxa"/>
            <w:tcBorders>
              <w:top w:val="single" w:sz="4" w:space="0" w:color="auto"/>
              <w:left w:val="single" w:sz="4" w:space="0" w:color="auto"/>
              <w:bottom w:val="single" w:sz="12" w:space="0" w:color="auto"/>
              <w:right w:val="single" w:sz="4" w:space="0" w:color="auto"/>
            </w:tcBorders>
            <w:shd w:val="clear" w:color="auto" w:fill="FFE9DB"/>
            <w:vAlign w:val="center"/>
          </w:tcPr>
          <w:p w14:paraId="6C201EEE" w14:textId="77777777" w:rsidR="00167129" w:rsidRDefault="00167129" w:rsidP="00B42641">
            <w:pPr>
              <w:spacing w:line="276" w:lineRule="auto"/>
              <w:jc w:val="center"/>
            </w:pPr>
          </w:p>
        </w:tc>
        <w:tc>
          <w:tcPr>
            <w:tcW w:w="213" w:type="dxa"/>
            <w:tcBorders>
              <w:top w:val="single" w:sz="4" w:space="0" w:color="auto"/>
              <w:left w:val="single" w:sz="4" w:space="0" w:color="auto"/>
              <w:bottom w:val="single" w:sz="12" w:space="0" w:color="auto"/>
              <w:right w:val="single" w:sz="4" w:space="0" w:color="auto"/>
            </w:tcBorders>
            <w:shd w:val="clear" w:color="auto" w:fill="FFE9DB"/>
            <w:vAlign w:val="center"/>
          </w:tcPr>
          <w:p w14:paraId="274F78C3" w14:textId="77777777" w:rsidR="00167129" w:rsidRDefault="00167129" w:rsidP="00B42641">
            <w:pPr>
              <w:spacing w:line="276" w:lineRule="auto"/>
              <w:jc w:val="center"/>
            </w:pPr>
          </w:p>
        </w:tc>
        <w:tc>
          <w:tcPr>
            <w:tcW w:w="213" w:type="dxa"/>
            <w:tcBorders>
              <w:top w:val="single" w:sz="4" w:space="0" w:color="auto"/>
              <w:left w:val="single" w:sz="4" w:space="0" w:color="auto"/>
              <w:bottom w:val="single" w:sz="12" w:space="0" w:color="auto"/>
              <w:right w:val="single" w:sz="4" w:space="0" w:color="auto"/>
            </w:tcBorders>
            <w:shd w:val="clear" w:color="auto" w:fill="FFE9DB"/>
            <w:vAlign w:val="center"/>
          </w:tcPr>
          <w:p w14:paraId="2ED8A4B0" w14:textId="77777777" w:rsidR="00167129" w:rsidRDefault="00167129" w:rsidP="00B42641">
            <w:pPr>
              <w:spacing w:line="276" w:lineRule="auto"/>
              <w:jc w:val="center"/>
            </w:pPr>
          </w:p>
        </w:tc>
        <w:tc>
          <w:tcPr>
            <w:tcW w:w="212" w:type="dxa"/>
            <w:tcBorders>
              <w:top w:val="single" w:sz="4" w:space="0" w:color="auto"/>
              <w:left w:val="single" w:sz="4" w:space="0" w:color="auto"/>
              <w:bottom w:val="single" w:sz="12" w:space="0" w:color="auto"/>
              <w:right w:val="single" w:sz="4" w:space="0" w:color="auto"/>
            </w:tcBorders>
            <w:shd w:val="clear" w:color="auto" w:fill="FFE9DB"/>
            <w:vAlign w:val="center"/>
          </w:tcPr>
          <w:p w14:paraId="4832B13B" w14:textId="77777777" w:rsidR="00167129" w:rsidRDefault="00167129" w:rsidP="00B42641">
            <w:pPr>
              <w:spacing w:line="276" w:lineRule="auto"/>
              <w:jc w:val="center"/>
            </w:pPr>
          </w:p>
        </w:tc>
        <w:tc>
          <w:tcPr>
            <w:tcW w:w="213" w:type="dxa"/>
            <w:tcBorders>
              <w:top w:val="single" w:sz="4" w:space="0" w:color="auto"/>
              <w:left w:val="single" w:sz="4" w:space="0" w:color="auto"/>
              <w:bottom w:val="single" w:sz="12" w:space="0" w:color="auto"/>
              <w:right w:val="single" w:sz="4" w:space="0" w:color="auto"/>
            </w:tcBorders>
            <w:shd w:val="clear" w:color="auto" w:fill="FFE9DB"/>
            <w:vAlign w:val="center"/>
          </w:tcPr>
          <w:p w14:paraId="5BC5EE3D" w14:textId="77777777" w:rsidR="00167129" w:rsidRDefault="00167129" w:rsidP="00B42641">
            <w:pPr>
              <w:spacing w:line="276" w:lineRule="auto"/>
              <w:jc w:val="center"/>
            </w:pPr>
          </w:p>
        </w:tc>
        <w:tc>
          <w:tcPr>
            <w:tcW w:w="213" w:type="dxa"/>
            <w:tcBorders>
              <w:top w:val="single" w:sz="4" w:space="0" w:color="auto"/>
              <w:left w:val="single" w:sz="4" w:space="0" w:color="auto"/>
              <w:bottom w:val="single" w:sz="12" w:space="0" w:color="auto"/>
              <w:right w:val="single" w:sz="12" w:space="0" w:color="auto"/>
            </w:tcBorders>
            <w:shd w:val="clear" w:color="auto" w:fill="FFE9DB"/>
            <w:vAlign w:val="center"/>
          </w:tcPr>
          <w:p w14:paraId="535170C7" w14:textId="77777777" w:rsidR="00167129" w:rsidRDefault="00167129" w:rsidP="00B42641">
            <w:pPr>
              <w:spacing w:line="276" w:lineRule="auto"/>
              <w:jc w:val="center"/>
            </w:pPr>
          </w:p>
        </w:tc>
        <w:tc>
          <w:tcPr>
            <w:tcW w:w="220" w:type="dxa"/>
            <w:tcBorders>
              <w:top w:val="single" w:sz="4" w:space="0" w:color="auto"/>
              <w:left w:val="single" w:sz="12" w:space="0" w:color="auto"/>
              <w:bottom w:val="single" w:sz="12" w:space="0" w:color="auto"/>
              <w:right w:val="single" w:sz="4" w:space="0" w:color="auto"/>
            </w:tcBorders>
            <w:shd w:val="clear" w:color="auto" w:fill="auto"/>
            <w:vAlign w:val="center"/>
          </w:tcPr>
          <w:p w14:paraId="76605B3B" w14:textId="77777777" w:rsidR="00167129" w:rsidRDefault="00167129" w:rsidP="00B42641">
            <w:pPr>
              <w:spacing w:line="276" w:lineRule="auto"/>
              <w:jc w:val="center"/>
            </w:pPr>
          </w:p>
        </w:tc>
        <w:tc>
          <w:tcPr>
            <w:tcW w:w="221" w:type="dxa"/>
            <w:tcBorders>
              <w:top w:val="single" w:sz="4" w:space="0" w:color="auto"/>
              <w:left w:val="single" w:sz="4" w:space="0" w:color="auto"/>
              <w:bottom w:val="single" w:sz="12" w:space="0" w:color="auto"/>
              <w:right w:val="single" w:sz="4" w:space="0" w:color="auto"/>
            </w:tcBorders>
            <w:shd w:val="clear" w:color="auto" w:fill="F2DBDB" w:themeFill="accent2" w:themeFillTint="33"/>
            <w:vAlign w:val="center"/>
          </w:tcPr>
          <w:p w14:paraId="6998D793" w14:textId="77777777" w:rsidR="00167129" w:rsidRDefault="00167129" w:rsidP="00B42641">
            <w:pPr>
              <w:spacing w:line="276" w:lineRule="auto"/>
              <w:jc w:val="center"/>
            </w:pPr>
          </w:p>
        </w:tc>
        <w:tc>
          <w:tcPr>
            <w:tcW w:w="220" w:type="dxa"/>
            <w:tcBorders>
              <w:top w:val="single" w:sz="4" w:space="0" w:color="auto"/>
              <w:left w:val="single" w:sz="4" w:space="0" w:color="auto"/>
              <w:bottom w:val="single" w:sz="12" w:space="0" w:color="auto"/>
              <w:right w:val="single" w:sz="4" w:space="0" w:color="auto"/>
            </w:tcBorders>
            <w:shd w:val="clear" w:color="auto" w:fill="F2DBDB" w:themeFill="accent2" w:themeFillTint="33"/>
            <w:vAlign w:val="center"/>
          </w:tcPr>
          <w:p w14:paraId="27930708" w14:textId="77777777" w:rsidR="00167129" w:rsidRDefault="00167129" w:rsidP="00B42641">
            <w:pPr>
              <w:spacing w:line="276" w:lineRule="auto"/>
              <w:jc w:val="center"/>
            </w:pPr>
          </w:p>
        </w:tc>
        <w:tc>
          <w:tcPr>
            <w:tcW w:w="221" w:type="dxa"/>
            <w:tcBorders>
              <w:top w:val="single" w:sz="4" w:space="0" w:color="auto"/>
              <w:left w:val="single" w:sz="4" w:space="0" w:color="auto"/>
              <w:bottom w:val="single" w:sz="12" w:space="0" w:color="auto"/>
              <w:right w:val="single" w:sz="4" w:space="0" w:color="auto"/>
            </w:tcBorders>
            <w:shd w:val="clear" w:color="auto" w:fill="F2DBDB" w:themeFill="accent2" w:themeFillTint="33"/>
            <w:vAlign w:val="center"/>
          </w:tcPr>
          <w:p w14:paraId="4E819592" w14:textId="77777777" w:rsidR="00167129" w:rsidRDefault="00167129" w:rsidP="00B42641">
            <w:pPr>
              <w:spacing w:line="276" w:lineRule="auto"/>
              <w:jc w:val="center"/>
            </w:pPr>
          </w:p>
        </w:tc>
        <w:tc>
          <w:tcPr>
            <w:tcW w:w="220" w:type="dxa"/>
            <w:tcBorders>
              <w:top w:val="single" w:sz="4" w:space="0" w:color="auto"/>
              <w:left w:val="single" w:sz="4" w:space="0" w:color="auto"/>
              <w:bottom w:val="single" w:sz="12" w:space="0" w:color="auto"/>
              <w:right w:val="single" w:sz="4" w:space="0" w:color="auto"/>
            </w:tcBorders>
            <w:shd w:val="clear" w:color="auto" w:fill="F2DBDB" w:themeFill="accent2" w:themeFillTint="33"/>
            <w:vAlign w:val="center"/>
          </w:tcPr>
          <w:p w14:paraId="5C53EFCF" w14:textId="77777777" w:rsidR="00167129" w:rsidRDefault="00167129" w:rsidP="00B42641">
            <w:pPr>
              <w:spacing w:line="276" w:lineRule="auto"/>
              <w:jc w:val="center"/>
            </w:pPr>
          </w:p>
        </w:tc>
        <w:tc>
          <w:tcPr>
            <w:tcW w:w="221" w:type="dxa"/>
            <w:tcBorders>
              <w:top w:val="single" w:sz="4" w:space="0" w:color="auto"/>
              <w:left w:val="single" w:sz="4" w:space="0" w:color="auto"/>
              <w:bottom w:val="single" w:sz="12" w:space="0" w:color="auto"/>
              <w:right w:val="single" w:sz="4" w:space="0" w:color="auto"/>
            </w:tcBorders>
            <w:shd w:val="clear" w:color="auto" w:fill="F2DBDB" w:themeFill="accent2" w:themeFillTint="33"/>
            <w:vAlign w:val="center"/>
          </w:tcPr>
          <w:p w14:paraId="1B23B603" w14:textId="77777777" w:rsidR="00167129" w:rsidRDefault="00167129" w:rsidP="00B42641">
            <w:pPr>
              <w:spacing w:line="276" w:lineRule="auto"/>
              <w:jc w:val="center"/>
            </w:pPr>
          </w:p>
        </w:tc>
        <w:tc>
          <w:tcPr>
            <w:tcW w:w="220" w:type="dxa"/>
            <w:tcBorders>
              <w:top w:val="single" w:sz="4" w:space="0" w:color="auto"/>
              <w:left w:val="single" w:sz="4" w:space="0" w:color="auto"/>
              <w:bottom w:val="single" w:sz="12" w:space="0" w:color="auto"/>
              <w:right w:val="single" w:sz="4" w:space="0" w:color="auto"/>
            </w:tcBorders>
            <w:shd w:val="clear" w:color="auto" w:fill="F2DBDB" w:themeFill="accent2" w:themeFillTint="33"/>
            <w:vAlign w:val="center"/>
          </w:tcPr>
          <w:p w14:paraId="440A5473" w14:textId="77777777" w:rsidR="00167129" w:rsidRDefault="00167129" w:rsidP="00B42641">
            <w:pPr>
              <w:spacing w:line="276" w:lineRule="auto"/>
              <w:jc w:val="center"/>
            </w:pPr>
          </w:p>
        </w:tc>
        <w:tc>
          <w:tcPr>
            <w:tcW w:w="221" w:type="dxa"/>
            <w:gridSpan w:val="3"/>
            <w:tcBorders>
              <w:top w:val="single" w:sz="4" w:space="0" w:color="auto"/>
              <w:left w:val="single" w:sz="4" w:space="0" w:color="auto"/>
              <w:bottom w:val="single" w:sz="12" w:space="0" w:color="auto"/>
              <w:right w:val="single" w:sz="4" w:space="0" w:color="auto"/>
            </w:tcBorders>
            <w:shd w:val="clear" w:color="auto" w:fill="F2DBDB" w:themeFill="accent2" w:themeFillTint="33"/>
            <w:vAlign w:val="center"/>
          </w:tcPr>
          <w:p w14:paraId="5B56A4EE" w14:textId="77777777" w:rsidR="00167129" w:rsidRDefault="00167129" w:rsidP="00B42641">
            <w:pPr>
              <w:spacing w:line="276" w:lineRule="auto"/>
              <w:jc w:val="center"/>
            </w:pPr>
          </w:p>
        </w:tc>
        <w:tc>
          <w:tcPr>
            <w:tcW w:w="221" w:type="dxa"/>
            <w:tcBorders>
              <w:top w:val="single" w:sz="4" w:space="0" w:color="auto"/>
              <w:left w:val="single" w:sz="4" w:space="0" w:color="auto"/>
              <w:bottom w:val="single" w:sz="12" w:space="0" w:color="auto"/>
              <w:right w:val="single" w:sz="12" w:space="0" w:color="auto"/>
            </w:tcBorders>
            <w:shd w:val="clear" w:color="auto" w:fill="F2DBDB" w:themeFill="accent2" w:themeFillTint="33"/>
            <w:vAlign w:val="center"/>
          </w:tcPr>
          <w:p w14:paraId="2602208B" w14:textId="77777777" w:rsidR="00167129" w:rsidRDefault="00167129" w:rsidP="00B42641">
            <w:pPr>
              <w:spacing w:line="276" w:lineRule="auto"/>
              <w:jc w:val="center"/>
            </w:pPr>
          </w:p>
        </w:tc>
        <w:tc>
          <w:tcPr>
            <w:tcW w:w="212" w:type="dxa"/>
            <w:tcBorders>
              <w:top w:val="single" w:sz="4" w:space="0" w:color="auto"/>
              <w:left w:val="single" w:sz="12" w:space="0" w:color="auto"/>
              <w:bottom w:val="single" w:sz="12" w:space="0" w:color="auto"/>
              <w:right w:val="single" w:sz="4" w:space="0" w:color="auto"/>
            </w:tcBorders>
            <w:shd w:val="clear" w:color="auto" w:fill="F2DBDB" w:themeFill="accent2" w:themeFillTint="33"/>
          </w:tcPr>
          <w:p w14:paraId="3AA7456B" w14:textId="77777777" w:rsidR="00167129" w:rsidRDefault="00167129" w:rsidP="00B42641">
            <w:pPr>
              <w:spacing w:line="276" w:lineRule="auto"/>
              <w:jc w:val="center"/>
            </w:pPr>
          </w:p>
        </w:tc>
        <w:tc>
          <w:tcPr>
            <w:tcW w:w="213" w:type="dxa"/>
            <w:gridSpan w:val="2"/>
            <w:tcBorders>
              <w:top w:val="single" w:sz="4" w:space="0" w:color="auto"/>
              <w:left w:val="single" w:sz="4" w:space="0" w:color="auto"/>
              <w:bottom w:val="single" w:sz="12" w:space="0" w:color="auto"/>
              <w:right w:val="single" w:sz="4" w:space="0" w:color="auto"/>
            </w:tcBorders>
            <w:shd w:val="clear" w:color="auto" w:fill="F2DBDB" w:themeFill="accent2" w:themeFillTint="33"/>
          </w:tcPr>
          <w:p w14:paraId="3E1EFA4E" w14:textId="77777777" w:rsidR="00167129" w:rsidRDefault="00167129" w:rsidP="00B42641">
            <w:pPr>
              <w:spacing w:line="276" w:lineRule="auto"/>
              <w:jc w:val="center"/>
            </w:pPr>
          </w:p>
        </w:tc>
        <w:tc>
          <w:tcPr>
            <w:tcW w:w="212" w:type="dxa"/>
            <w:gridSpan w:val="2"/>
            <w:tcBorders>
              <w:top w:val="single" w:sz="4" w:space="0" w:color="auto"/>
              <w:left w:val="single" w:sz="4" w:space="0" w:color="auto"/>
              <w:bottom w:val="single" w:sz="12" w:space="0" w:color="auto"/>
              <w:right w:val="single" w:sz="4" w:space="0" w:color="auto"/>
            </w:tcBorders>
            <w:shd w:val="clear" w:color="auto" w:fill="auto"/>
          </w:tcPr>
          <w:p w14:paraId="45755369" w14:textId="77777777" w:rsidR="00167129" w:rsidRDefault="00167129" w:rsidP="00B42641">
            <w:pPr>
              <w:spacing w:line="276" w:lineRule="auto"/>
              <w:jc w:val="center"/>
            </w:pPr>
          </w:p>
        </w:tc>
        <w:tc>
          <w:tcPr>
            <w:tcW w:w="213" w:type="dxa"/>
            <w:tcBorders>
              <w:top w:val="single" w:sz="4" w:space="0" w:color="auto"/>
              <w:left w:val="single" w:sz="4" w:space="0" w:color="auto"/>
              <w:bottom w:val="single" w:sz="12" w:space="0" w:color="auto"/>
              <w:right w:val="single" w:sz="4" w:space="0" w:color="auto"/>
            </w:tcBorders>
            <w:shd w:val="clear" w:color="auto" w:fill="auto"/>
          </w:tcPr>
          <w:p w14:paraId="410DAB27" w14:textId="77777777" w:rsidR="00167129" w:rsidRDefault="00167129" w:rsidP="00B42641">
            <w:pPr>
              <w:spacing w:line="276" w:lineRule="auto"/>
              <w:jc w:val="center"/>
            </w:pPr>
          </w:p>
        </w:tc>
        <w:tc>
          <w:tcPr>
            <w:tcW w:w="212" w:type="dxa"/>
            <w:tcBorders>
              <w:top w:val="single" w:sz="4" w:space="0" w:color="auto"/>
              <w:left w:val="single" w:sz="4" w:space="0" w:color="auto"/>
              <w:bottom w:val="single" w:sz="12" w:space="0" w:color="auto"/>
              <w:right w:val="single" w:sz="4" w:space="0" w:color="auto"/>
            </w:tcBorders>
            <w:shd w:val="clear" w:color="auto" w:fill="auto"/>
          </w:tcPr>
          <w:p w14:paraId="446BC000" w14:textId="77777777" w:rsidR="00167129" w:rsidRDefault="00167129" w:rsidP="00B42641">
            <w:pPr>
              <w:spacing w:line="276" w:lineRule="auto"/>
              <w:jc w:val="center"/>
            </w:pPr>
          </w:p>
        </w:tc>
        <w:tc>
          <w:tcPr>
            <w:tcW w:w="213" w:type="dxa"/>
            <w:tcBorders>
              <w:top w:val="single" w:sz="4" w:space="0" w:color="auto"/>
              <w:left w:val="single" w:sz="4" w:space="0" w:color="auto"/>
              <w:bottom w:val="single" w:sz="12" w:space="0" w:color="auto"/>
              <w:right w:val="single" w:sz="12" w:space="0" w:color="auto"/>
            </w:tcBorders>
            <w:shd w:val="clear" w:color="auto" w:fill="auto"/>
          </w:tcPr>
          <w:p w14:paraId="74B188C1" w14:textId="77777777" w:rsidR="00167129" w:rsidRDefault="00167129" w:rsidP="00B42641">
            <w:pPr>
              <w:spacing w:line="276" w:lineRule="auto"/>
              <w:jc w:val="center"/>
            </w:pPr>
          </w:p>
        </w:tc>
      </w:tr>
      <w:tr w:rsidR="00167129" w14:paraId="1F08581C" w14:textId="77777777" w:rsidTr="004C382A">
        <w:trPr>
          <w:gridAfter w:val="2"/>
          <w:wAfter w:w="425" w:type="dxa"/>
        </w:trPr>
        <w:tc>
          <w:tcPr>
            <w:tcW w:w="7371" w:type="dxa"/>
            <w:gridSpan w:val="23"/>
            <w:tcBorders>
              <w:top w:val="single" w:sz="12" w:space="0" w:color="auto"/>
              <w:left w:val="nil"/>
              <w:bottom w:val="nil"/>
              <w:right w:val="nil"/>
            </w:tcBorders>
            <w:shd w:val="clear" w:color="auto" w:fill="auto"/>
            <w:vAlign w:val="center"/>
          </w:tcPr>
          <w:p w14:paraId="578CC2C3" w14:textId="77777777" w:rsidR="00167129" w:rsidRPr="000147DE" w:rsidRDefault="00167129" w:rsidP="00B42641">
            <w:pPr>
              <w:spacing w:line="276" w:lineRule="auto"/>
              <w:rPr>
                <w:sz w:val="18"/>
                <w:szCs w:val="18"/>
              </w:rPr>
            </w:pPr>
            <w:r w:rsidRPr="000147DE">
              <w:rPr>
                <w:sz w:val="18"/>
                <w:szCs w:val="18"/>
              </w:rPr>
              <w:t xml:space="preserve">* </w:t>
            </w:r>
            <w:r>
              <w:rPr>
                <w:sz w:val="18"/>
                <w:szCs w:val="18"/>
              </w:rPr>
              <w:t>Captured</w:t>
            </w:r>
            <w:r w:rsidRPr="000147DE">
              <w:rPr>
                <w:sz w:val="18"/>
                <w:szCs w:val="18"/>
              </w:rPr>
              <w:t xml:space="preserve"> at this survey if not </w:t>
            </w:r>
            <w:r>
              <w:rPr>
                <w:sz w:val="18"/>
                <w:szCs w:val="18"/>
              </w:rPr>
              <w:t xml:space="preserve">captured at previous surveys </w:t>
            </w:r>
          </w:p>
        </w:tc>
        <w:tc>
          <w:tcPr>
            <w:tcW w:w="142" w:type="dxa"/>
            <w:tcBorders>
              <w:top w:val="single" w:sz="12" w:space="0" w:color="auto"/>
              <w:left w:val="nil"/>
              <w:bottom w:val="nil"/>
              <w:right w:val="nil"/>
            </w:tcBorders>
          </w:tcPr>
          <w:p w14:paraId="4E18864F" w14:textId="77777777" w:rsidR="00167129" w:rsidRPr="000147DE" w:rsidRDefault="00167129" w:rsidP="00B42641">
            <w:pPr>
              <w:spacing w:line="276" w:lineRule="auto"/>
              <w:rPr>
                <w:sz w:val="18"/>
                <w:szCs w:val="18"/>
              </w:rPr>
            </w:pPr>
          </w:p>
        </w:tc>
        <w:tc>
          <w:tcPr>
            <w:tcW w:w="284" w:type="dxa"/>
            <w:gridSpan w:val="2"/>
            <w:tcBorders>
              <w:top w:val="single" w:sz="12" w:space="0" w:color="auto"/>
              <w:left w:val="nil"/>
              <w:bottom w:val="nil"/>
              <w:right w:val="nil"/>
            </w:tcBorders>
          </w:tcPr>
          <w:p w14:paraId="1DE56BE1" w14:textId="77777777" w:rsidR="00167129" w:rsidRPr="000147DE" w:rsidRDefault="00167129" w:rsidP="00B42641">
            <w:pPr>
              <w:spacing w:line="276" w:lineRule="auto"/>
              <w:rPr>
                <w:sz w:val="18"/>
                <w:szCs w:val="18"/>
              </w:rPr>
            </w:pPr>
          </w:p>
        </w:tc>
        <w:tc>
          <w:tcPr>
            <w:tcW w:w="283" w:type="dxa"/>
            <w:gridSpan w:val="2"/>
            <w:tcBorders>
              <w:top w:val="single" w:sz="12" w:space="0" w:color="auto"/>
              <w:left w:val="nil"/>
              <w:bottom w:val="nil"/>
              <w:right w:val="nil"/>
            </w:tcBorders>
          </w:tcPr>
          <w:p w14:paraId="05684ECA" w14:textId="77777777" w:rsidR="00167129" w:rsidRPr="000147DE" w:rsidRDefault="00167129" w:rsidP="00B42641">
            <w:pPr>
              <w:spacing w:line="276" w:lineRule="auto"/>
              <w:rPr>
                <w:sz w:val="18"/>
                <w:szCs w:val="18"/>
              </w:rPr>
            </w:pPr>
          </w:p>
        </w:tc>
        <w:tc>
          <w:tcPr>
            <w:tcW w:w="142" w:type="dxa"/>
            <w:tcBorders>
              <w:top w:val="single" w:sz="12" w:space="0" w:color="auto"/>
              <w:left w:val="nil"/>
              <w:bottom w:val="nil"/>
              <w:right w:val="nil"/>
            </w:tcBorders>
          </w:tcPr>
          <w:p w14:paraId="0DA349C4" w14:textId="77777777" w:rsidR="00167129" w:rsidRPr="000147DE" w:rsidRDefault="00167129" w:rsidP="00B42641">
            <w:pPr>
              <w:spacing w:line="276" w:lineRule="auto"/>
              <w:rPr>
                <w:sz w:val="18"/>
                <w:szCs w:val="18"/>
              </w:rPr>
            </w:pPr>
          </w:p>
        </w:tc>
        <w:tc>
          <w:tcPr>
            <w:tcW w:w="142" w:type="dxa"/>
            <w:tcBorders>
              <w:top w:val="single" w:sz="12" w:space="0" w:color="auto"/>
              <w:left w:val="nil"/>
              <w:bottom w:val="nil"/>
              <w:right w:val="nil"/>
            </w:tcBorders>
          </w:tcPr>
          <w:p w14:paraId="4C51A863" w14:textId="77777777" w:rsidR="00167129" w:rsidRPr="000147DE" w:rsidRDefault="00167129" w:rsidP="00B42641">
            <w:pPr>
              <w:spacing w:line="276" w:lineRule="auto"/>
              <w:rPr>
                <w:sz w:val="18"/>
                <w:szCs w:val="18"/>
              </w:rPr>
            </w:pPr>
          </w:p>
        </w:tc>
        <w:tc>
          <w:tcPr>
            <w:tcW w:w="283" w:type="dxa"/>
            <w:gridSpan w:val="2"/>
            <w:tcBorders>
              <w:top w:val="single" w:sz="12" w:space="0" w:color="auto"/>
              <w:left w:val="nil"/>
              <w:bottom w:val="nil"/>
              <w:right w:val="nil"/>
            </w:tcBorders>
          </w:tcPr>
          <w:p w14:paraId="73B5C30A" w14:textId="77777777" w:rsidR="00167129" w:rsidRPr="000147DE" w:rsidRDefault="00167129" w:rsidP="00B42641">
            <w:pPr>
              <w:spacing w:line="276" w:lineRule="auto"/>
              <w:rPr>
                <w:sz w:val="18"/>
                <w:szCs w:val="18"/>
              </w:rPr>
            </w:pPr>
          </w:p>
        </w:tc>
      </w:tr>
    </w:tbl>
    <w:p w14:paraId="25D3C10A" w14:textId="77777777" w:rsidR="00167129" w:rsidRDefault="00167129" w:rsidP="00901558">
      <w:pPr>
        <w:pStyle w:val="Heading4"/>
      </w:pPr>
      <w:r>
        <w:t>Sexual violence during childhood</w:t>
      </w:r>
    </w:p>
    <w:p w14:paraId="47A1713A" w14:textId="2406606B" w:rsidR="00167129" w:rsidRDefault="00167129" w:rsidP="00A26D98">
      <w:pPr>
        <w:pStyle w:val="BodyText"/>
      </w:pPr>
      <w:r>
        <w:t>Sexual violence during childhood was measured by four items within the Adverse Childhood Experiences Scale</w:t>
      </w:r>
      <w:r w:rsidR="00410DFF">
        <w:t xml:space="preserve"> (</w:t>
      </w:r>
      <w:proofErr w:type="spellStart"/>
      <w:r w:rsidR="00410DFF">
        <w:t>Felitti</w:t>
      </w:r>
      <w:proofErr w:type="spellEnd"/>
      <w:r w:rsidR="00410DFF">
        <w:t xml:space="preserve"> et al., 1998)</w:t>
      </w:r>
      <w:r>
        <w:t xml:space="preserve"> in the 1989-95, 1973-78 and 1946-51 cohort surveys</w:t>
      </w:r>
      <w:r w:rsidR="00410DFF">
        <w:t xml:space="preserve"> (</w:t>
      </w:r>
      <w:r w:rsidR="00410DFF">
        <w:fldChar w:fldCharType="begin"/>
      </w:r>
      <w:r w:rsidR="00410DFF">
        <w:instrText xml:space="preserve"> REF _Ref96940866 \h </w:instrText>
      </w:r>
      <w:r w:rsidR="00410DFF">
        <w:fldChar w:fldCharType="separate"/>
      </w:r>
      <w:r w:rsidR="007D19D7">
        <w:t xml:space="preserve">Table </w:t>
      </w:r>
      <w:r w:rsidR="007D19D7">
        <w:rPr>
          <w:noProof/>
        </w:rPr>
        <w:t>7</w:t>
      </w:r>
      <w:r w:rsidR="007D19D7">
        <w:noBreakHyphen/>
      </w:r>
      <w:r w:rsidR="007D19D7">
        <w:rPr>
          <w:noProof/>
        </w:rPr>
        <w:t>5</w:t>
      </w:r>
      <w:r w:rsidR="00410DFF">
        <w:fldChar w:fldCharType="end"/>
      </w:r>
      <w:r w:rsidR="00410DFF">
        <w:t>)</w:t>
      </w:r>
      <w:r>
        <w:t xml:space="preserve">. Participants were asked to indicate which items applied to them, from which a total score between zero and four was calculated. A score of one or more indicated a history of sexual violence during childhood. </w:t>
      </w:r>
    </w:p>
    <w:p w14:paraId="6809ABCF" w14:textId="733C2A27" w:rsidR="009E6301" w:rsidRDefault="009E6301">
      <w:pPr>
        <w:spacing w:before="0" w:after="0" w:line="240" w:lineRule="auto"/>
        <w:jc w:val="left"/>
      </w:pPr>
      <w:r>
        <w:br w:type="page"/>
      </w:r>
    </w:p>
    <w:p w14:paraId="17819AAF" w14:textId="03856E7D" w:rsidR="00167129" w:rsidRDefault="00167129" w:rsidP="0000266C">
      <w:pPr>
        <w:pStyle w:val="Caption"/>
      </w:pPr>
      <w:bookmarkStart w:id="1115" w:name="_Ref96940866"/>
      <w:r>
        <w:lastRenderedPageBreak/>
        <w:t xml:space="preserve">Table </w:t>
      </w:r>
      <w:fldSimple w:instr=" STYLEREF 1 \s ">
        <w:r w:rsidR="007D19D7">
          <w:rPr>
            <w:noProof/>
          </w:rPr>
          <w:t>7</w:t>
        </w:r>
      </w:fldSimple>
      <w:r w:rsidR="00327D59">
        <w:noBreakHyphen/>
      </w:r>
      <w:fldSimple w:instr=" SEQ Table \* ARABIC \s 1 ">
        <w:r w:rsidR="007D19D7">
          <w:rPr>
            <w:noProof/>
          </w:rPr>
          <w:t>5</w:t>
        </w:r>
      </w:fldSimple>
      <w:bookmarkEnd w:id="1115"/>
      <w:r>
        <w:t xml:space="preserve"> </w:t>
      </w:r>
      <w:r w:rsidRPr="00EE0F90">
        <w:t>Childhood sexual violence items from the Adverse Childhood Experiences Scale</w:t>
      </w:r>
    </w:p>
    <w:tbl>
      <w:tblPr>
        <w:tblStyle w:val="TableGrid"/>
        <w:tblW w:w="0" w:type="auto"/>
        <w:tblBorders>
          <w:insideH w:val="none" w:sz="0" w:space="0" w:color="auto"/>
          <w:insideV w:val="none" w:sz="0" w:space="0" w:color="auto"/>
        </w:tblBorders>
        <w:shd w:val="clear" w:color="auto" w:fill="F2DBDB" w:themeFill="accent2" w:themeFillTint="33"/>
        <w:tblCellMar>
          <w:top w:w="57" w:type="dxa"/>
          <w:left w:w="57" w:type="dxa"/>
          <w:bottom w:w="57" w:type="dxa"/>
          <w:right w:w="57" w:type="dxa"/>
        </w:tblCellMar>
        <w:tblLook w:val="04A0" w:firstRow="1" w:lastRow="0" w:firstColumn="1" w:lastColumn="0" w:noHBand="0" w:noVBand="1"/>
      </w:tblPr>
      <w:tblGrid>
        <w:gridCol w:w="8217"/>
        <w:gridCol w:w="567"/>
      </w:tblGrid>
      <w:tr w:rsidR="00167129" w14:paraId="2575D2A8" w14:textId="77777777" w:rsidTr="00B42641">
        <w:tc>
          <w:tcPr>
            <w:tcW w:w="8217" w:type="dxa"/>
            <w:shd w:val="clear" w:color="auto" w:fill="F2DBDB" w:themeFill="accent2" w:themeFillTint="33"/>
          </w:tcPr>
          <w:p w14:paraId="6217F288" w14:textId="2CAE7B2C" w:rsidR="00167129" w:rsidRPr="00ED33FB" w:rsidRDefault="00167129" w:rsidP="00B42641">
            <w:pPr>
              <w:keepNext/>
              <w:spacing w:line="276" w:lineRule="auto"/>
              <w:rPr>
                <w:rFonts w:cs="Arial"/>
                <w:i/>
              </w:rPr>
            </w:pPr>
            <w:r>
              <w:rPr>
                <w:rFonts w:cs="Arial"/>
              </w:rPr>
              <w:t xml:space="preserve">While you were growing up during your first 18 years of life, did an adult or person at least 5 years older than you: </w:t>
            </w:r>
            <w:r w:rsidRPr="00ED33FB">
              <w:rPr>
                <w:rFonts w:cs="Arial"/>
                <w:i/>
              </w:rPr>
              <w:t>(mark all that apply)</w:t>
            </w:r>
          </w:p>
        </w:tc>
        <w:tc>
          <w:tcPr>
            <w:tcW w:w="567" w:type="dxa"/>
            <w:shd w:val="clear" w:color="auto" w:fill="F2DBDB" w:themeFill="accent2" w:themeFillTint="33"/>
          </w:tcPr>
          <w:p w14:paraId="4BC025C5" w14:textId="77777777" w:rsidR="00167129" w:rsidRPr="00B30896" w:rsidRDefault="00167129" w:rsidP="00B42641">
            <w:pPr>
              <w:keepNext/>
              <w:spacing w:line="276" w:lineRule="auto"/>
              <w:jc w:val="center"/>
              <w:rPr>
                <w:rFonts w:ascii="Calibri Light" w:hAnsi="Calibri Light" w:cs="Calibri Light"/>
                <w:b/>
              </w:rPr>
            </w:pPr>
          </w:p>
        </w:tc>
      </w:tr>
      <w:tr w:rsidR="00167129" w14:paraId="24F4F3B7" w14:textId="77777777" w:rsidTr="00B42641">
        <w:tc>
          <w:tcPr>
            <w:tcW w:w="8217" w:type="dxa"/>
            <w:shd w:val="clear" w:color="auto" w:fill="F2DBDB" w:themeFill="accent2" w:themeFillTint="33"/>
            <w:vAlign w:val="center"/>
          </w:tcPr>
          <w:p w14:paraId="341F3393" w14:textId="77777777" w:rsidR="00167129" w:rsidRDefault="00167129" w:rsidP="00B42641">
            <w:pPr>
              <w:keepNext/>
              <w:spacing w:line="276" w:lineRule="auto"/>
              <w:jc w:val="right"/>
              <w:rPr>
                <w:rFonts w:cs="Arial"/>
              </w:rPr>
            </w:pPr>
            <w:r>
              <w:rPr>
                <w:rFonts w:cs="Arial"/>
              </w:rPr>
              <w:t>Touch or fondle you in a sexual way?</w:t>
            </w:r>
          </w:p>
        </w:tc>
        <w:tc>
          <w:tcPr>
            <w:tcW w:w="567" w:type="dxa"/>
            <w:shd w:val="clear" w:color="auto" w:fill="F2DBDB" w:themeFill="accent2" w:themeFillTint="33"/>
            <w:vAlign w:val="center"/>
          </w:tcPr>
          <w:p w14:paraId="2C0A5F40" w14:textId="77777777" w:rsidR="00167129" w:rsidRPr="00B30896" w:rsidRDefault="00167129" w:rsidP="00B42641">
            <w:pPr>
              <w:keepNext/>
              <w:spacing w:line="276" w:lineRule="auto"/>
              <w:rPr>
                <w:rFonts w:cs="Arial"/>
                <w:b/>
              </w:rPr>
            </w:pPr>
            <w:r w:rsidRPr="00B30896">
              <w:rPr>
                <w:rFonts w:ascii="Calibri Light" w:hAnsi="Calibri Light" w:cs="Calibri Light"/>
                <w:b/>
              </w:rPr>
              <w:t>⃝</w:t>
            </w:r>
          </w:p>
        </w:tc>
      </w:tr>
      <w:tr w:rsidR="00167129" w14:paraId="201F670A" w14:textId="77777777" w:rsidTr="00B42641">
        <w:tc>
          <w:tcPr>
            <w:tcW w:w="8217" w:type="dxa"/>
            <w:shd w:val="clear" w:color="auto" w:fill="F2DBDB" w:themeFill="accent2" w:themeFillTint="33"/>
            <w:vAlign w:val="center"/>
          </w:tcPr>
          <w:p w14:paraId="643688AC" w14:textId="77777777" w:rsidR="00167129" w:rsidRDefault="00167129" w:rsidP="00B42641">
            <w:pPr>
              <w:keepNext/>
              <w:spacing w:line="276" w:lineRule="auto"/>
              <w:jc w:val="right"/>
              <w:rPr>
                <w:rFonts w:cs="Arial"/>
              </w:rPr>
            </w:pPr>
            <w:r>
              <w:rPr>
                <w:rFonts w:cs="Arial"/>
              </w:rPr>
              <w:t>Have you touch their body in a sexual way?</w:t>
            </w:r>
          </w:p>
        </w:tc>
        <w:tc>
          <w:tcPr>
            <w:tcW w:w="567" w:type="dxa"/>
            <w:shd w:val="clear" w:color="auto" w:fill="F2DBDB" w:themeFill="accent2" w:themeFillTint="33"/>
            <w:vAlign w:val="center"/>
          </w:tcPr>
          <w:p w14:paraId="1B261C7B" w14:textId="77777777" w:rsidR="00167129" w:rsidRPr="00B30896" w:rsidRDefault="00167129" w:rsidP="00B42641">
            <w:pPr>
              <w:keepNext/>
              <w:spacing w:line="276" w:lineRule="auto"/>
              <w:rPr>
                <w:rFonts w:cs="Arial"/>
                <w:b/>
              </w:rPr>
            </w:pPr>
            <w:r w:rsidRPr="00B30896">
              <w:rPr>
                <w:rFonts w:ascii="Calibri Light" w:hAnsi="Calibri Light" w:cs="Calibri Light"/>
                <w:b/>
              </w:rPr>
              <w:t>⃝</w:t>
            </w:r>
          </w:p>
        </w:tc>
      </w:tr>
      <w:tr w:rsidR="00167129" w14:paraId="0A9CCDCC" w14:textId="77777777" w:rsidTr="00B42641">
        <w:tc>
          <w:tcPr>
            <w:tcW w:w="8217" w:type="dxa"/>
            <w:shd w:val="clear" w:color="auto" w:fill="F2DBDB" w:themeFill="accent2" w:themeFillTint="33"/>
            <w:vAlign w:val="center"/>
          </w:tcPr>
          <w:p w14:paraId="6FC0A1A1" w14:textId="77777777" w:rsidR="00167129" w:rsidRDefault="00167129" w:rsidP="00B42641">
            <w:pPr>
              <w:keepNext/>
              <w:spacing w:line="276" w:lineRule="auto"/>
              <w:jc w:val="right"/>
              <w:rPr>
                <w:rFonts w:cs="Arial"/>
              </w:rPr>
            </w:pPr>
            <w:r>
              <w:rPr>
                <w:rFonts w:cs="Arial"/>
              </w:rPr>
              <w:t xml:space="preserve">Attempt oral, </w:t>
            </w:r>
            <w:proofErr w:type="gramStart"/>
            <w:r>
              <w:rPr>
                <w:rFonts w:cs="Arial"/>
              </w:rPr>
              <w:t>anal</w:t>
            </w:r>
            <w:proofErr w:type="gramEnd"/>
            <w:r>
              <w:rPr>
                <w:rFonts w:cs="Arial"/>
              </w:rPr>
              <w:t xml:space="preserve"> or vaginal intercourse with you?</w:t>
            </w:r>
          </w:p>
        </w:tc>
        <w:tc>
          <w:tcPr>
            <w:tcW w:w="567" w:type="dxa"/>
            <w:shd w:val="clear" w:color="auto" w:fill="F2DBDB" w:themeFill="accent2" w:themeFillTint="33"/>
            <w:vAlign w:val="center"/>
          </w:tcPr>
          <w:p w14:paraId="4C0583C4" w14:textId="77777777" w:rsidR="00167129" w:rsidRPr="00B30896" w:rsidRDefault="00167129" w:rsidP="00B42641">
            <w:pPr>
              <w:keepNext/>
              <w:spacing w:line="276" w:lineRule="auto"/>
              <w:rPr>
                <w:rFonts w:cs="Arial"/>
                <w:b/>
              </w:rPr>
            </w:pPr>
            <w:r w:rsidRPr="00B30896">
              <w:rPr>
                <w:rFonts w:ascii="Calibri Light" w:hAnsi="Calibri Light" w:cs="Calibri Light"/>
                <w:b/>
              </w:rPr>
              <w:t>⃝</w:t>
            </w:r>
          </w:p>
        </w:tc>
      </w:tr>
      <w:tr w:rsidR="00167129" w14:paraId="27E57DBC" w14:textId="77777777" w:rsidTr="00B42641">
        <w:tc>
          <w:tcPr>
            <w:tcW w:w="8217" w:type="dxa"/>
            <w:shd w:val="clear" w:color="auto" w:fill="F2DBDB" w:themeFill="accent2" w:themeFillTint="33"/>
            <w:vAlign w:val="center"/>
          </w:tcPr>
          <w:p w14:paraId="3C8FCB8C" w14:textId="77777777" w:rsidR="00167129" w:rsidRDefault="00167129" w:rsidP="00B42641">
            <w:pPr>
              <w:spacing w:line="276" w:lineRule="auto"/>
              <w:jc w:val="right"/>
              <w:rPr>
                <w:rFonts w:cs="Arial"/>
              </w:rPr>
            </w:pPr>
            <w:proofErr w:type="gramStart"/>
            <w:r>
              <w:rPr>
                <w:rFonts w:cs="Arial"/>
              </w:rPr>
              <w:t>Actually</w:t>
            </w:r>
            <w:proofErr w:type="gramEnd"/>
            <w:r>
              <w:rPr>
                <w:rFonts w:cs="Arial"/>
              </w:rPr>
              <w:t xml:space="preserve"> have oral, anal or vaginal intercourse with you?</w:t>
            </w:r>
          </w:p>
        </w:tc>
        <w:tc>
          <w:tcPr>
            <w:tcW w:w="567" w:type="dxa"/>
            <w:shd w:val="clear" w:color="auto" w:fill="F2DBDB" w:themeFill="accent2" w:themeFillTint="33"/>
            <w:vAlign w:val="center"/>
          </w:tcPr>
          <w:p w14:paraId="73809BCA" w14:textId="77777777" w:rsidR="00167129" w:rsidRPr="00B30896" w:rsidRDefault="00167129" w:rsidP="00B42641">
            <w:pPr>
              <w:spacing w:line="276" w:lineRule="auto"/>
              <w:rPr>
                <w:rFonts w:cs="Arial"/>
                <w:b/>
              </w:rPr>
            </w:pPr>
            <w:r w:rsidRPr="00B30896">
              <w:rPr>
                <w:rFonts w:ascii="Calibri Light" w:hAnsi="Calibri Light" w:cs="Calibri Light"/>
                <w:b/>
              </w:rPr>
              <w:t>⃝</w:t>
            </w:r>
          </w:p>
        </w:tc>
      </w:tr>
    </w:tbl>
    <w:p w14:paraId="155378D2" w14:textId="77777777" w:rsidR="00167129" w:rsidRDefault="00167129" w:rsidP="00901558">
      <w:pPr>
        <w:pStyle w:val="Heading4"/>
      </w:pPr>
    </w:p>
    <w:p w14:paraId="2A1557C3" w14:textId="3D5231F6" w:rsidR="00167129" w:rsidRPr="00167129" w:rsidRDefault="00167129" w:rsidP="00901558">
      <w:pPr>
        <w:pStyle w:val="Heading4"/>
      </w:pPr>
      <w:r w:rsidRPr="00167129">
        <w:t>Sexual violence by a partner</w:t>
      </w:r>
    </w:p>
    <w:p w14:paraId="0FD48BBD" w14:textId="6A8BD343" w:rsidR="00167129" w:rsidRDefault="00167129" w:rsidP="004C382A">
      <w:pPr>
        <w:pStyle w:val="BodyText"/>
      </w:pPr>
      <w:r>
        <w:t>As part of the Community Composite Abuse Scale</w:t>
      </w:r>
      <w:r w:rsidR="00410DFF">
        <w:t xml:space="preserve"> (</w:t>
      </w:r>
      <w:r w:rsidR="00410DFF" w:rsidRPr="00ED7E28">
        <w:t>Hegarty</w:t>
      </w:r>
      <w:r w:rsidR="00410DFF">
        <w:t xml:space="preserve">, </w:t>
      </w:r>
      <w:r w:rsidR="00410DFF" w:rsidRPr="00ED7E28">
        <w:t>Sheehan</w:t>
      </w:r>
      <w:r w:rsidR="00410DFF">
        <w:t xml:space="preserve"> &amp; </w:t>
      </w:r>
      <w:proofErr w:type="spellStart"/>
      <w:r w:rsidR="00410DFF" w:rsidRPr="00ED7E28">
        <w:t>Schonfeld</w:t>
      </w:r>
      <w:proofErr w:type="spellEnd"/>
      <w:r w:rsidR="00410DFF">
        <w:t xml:space="preserve">, </w:t>
      </w:r>
      <w:r w:rsidR="00410DFF" w:rsidRPr="00ED7E28">
        <w:t>1999</w:t>
      </w:r>
      <w:r w:rsidR="00410DFF">
        <w:t>)</w:t>
      </w:r>
      <w:r>
        <w:t xml:space="preserve"> instrument used to evaluate intimate partner violence (IPV), a single item was included to detect sexual violence experienced within a relationship. This was first included in Survey 4 (2006) of the 1973-78 cohort, with the following lead: “</w:t>
      </w:r>
      <w:r w:rsidRPr="00527336">
        <w:rPr>
          <w:i/>
          <w:iCs/>
        </w:rPr>
        <w:t>This question asks about situations with your partner. We would like to know if you have experienced any of the actions listed below and how often it happened during the past twelve months: Being forced to take part in unwanted sexual activity</w:t>
      </w:r>
      <w:r>
        <w:t>”. R</w:t>
      </w:r>
      <w:r w:rsidRPr="00A6474A">
        <w:t>esponse options</w:t>
      </w:r>
      <w:r>
        <w:t xml:space="preserve"> included: ‘Never’, </w:t>
      </w:r>
      <w:r w:rsidRPr="000E284E">
        <w:t>‘Only once’, ‘Several times’, ‘Once</w:t>
      </w:r>
      <w:r>
        <w:t>/</w:t>
      </w:r>
      <w:r w:rsidRPr="000E284E">
        <w:t>month’, ‘Once</w:t>
      </w:r>
      <w:r>
        <w:t>/</w:t>
      </w:r>
      <w:r w:rsidRPr="000E284E">
        <w:t xml:space="preserve">week’, </w:t>
      </w:r>
      <w:r>
        <w:t xml:space="preserve">or </w:t>
      </w:r>
      <w:r w:rsidRPr="000E284E">
        <w:t>‘Daily’.</w:t>
      </w:r>
      <w:r>
        <w:t xml:space="preserve"> Due to low frequencies for the affirmative responses, these options are typically collapsed to indicate ‘</w:t>
      </w:r>
      <w:r w:rsidRPr="000E284E">
        <w:t>In the last 12 months’ or ‘Never’</w:t>
      </w:r>
      <w:r>
        <w:t>.</w:t>
      </w:r>
    </w:p>
    <w:p w14:paraId="68019877" w14:textId="4541D82D" w:rsidR="00167129" w:rsidRPr="00A6474A" w:rsidRDefault="00167129" w:rsidP="004C382A">
      <w:pPr>
        <w:pStyle w:val="BodyText"/>
      </w:pPr>
      <w:r>
        <w:t>From Survey 5 (2009) onwards of the 1973-78 cohort and from Survey 2 (2014) onwards of the 1989</w:t>
      </w:r>
      <w:r w:rsidR="00E429D6">
        <w:noBreakHyphen/>
      </w:r>
      <w:r>
        <w:t xml:space="preserve">95 cohort, the question item was worded, </w:t>
      </w:r>
      <w:r w:rsidRPr="00A6474A">
        <w:t>‘</w:t>
      </w:r>
      <w:r w:rsidRPr="00A6474A">
        <w:rPr>
          <w:i/>
        </w:rPr>
        <w:t xml:space="preserve">This question asks about situations you may have experienced with </w:t>
      </w:r>
      <w:r w:rsidRPr="000E284E">
        <w:rPr>
          <w:i/>
          <w:iCs/>
        </w:rPr>
        <w:t>current or past</w:t>
      </w:r>
      <w:r w:rsidRPr="00A6474A">
        <w:rPr>
          <w:i/>
          <w:iCs/>
        </w:rPr>
        <w:t xml:space="preserve"> </w:t>
      </w:r>
      <w:r w:rsidRPr="00A6474A">
        <w:rPr>
          <w:i/>
        </w:rPr>
        <w:t>partners: Being forced to take part in unwanted sexual activity</w:t>
      </w:r>
      <w:r w:rsidRPr="00A6474A">
        <w:t>’</w:t>
      </w:r>
      <w:r>
        <w:t>. Women were directed to mark all that apply with response options of</w:t>
      </w:r>
      <w:r w:rsidRPr="00A6474A">
        <w:t>: ‘In the last 12 months’, ‘More than 12 months ago’, or ‘Never’</w:t>
      </w:r>
      <w:r>
        <w:t>.</w:t>
      </w:r>
    </w:p>
    <w:p w14:paraId="20430006" w14:textId="77777777" w:rsidR="00167129" w:rsidRDefault="00167129" w:rsidP="00901558">
      <w:pPr>
        <w:pStyle w:val="Heading4"/>
      </w:pPr>
      <w:r>
        <w:t>Sexual violence by an unspecified person</w:t>
      </w:r>
    </w:p>
    <w:p w14:paraId="4564A425" w14:textId="77777777" w:rsidR="00167129" w:rsidRDefault="00167129" w:rsidP="004C382A">
      <w:pPr>
        <w:pStyle w:val="BodyText"/>
      </w:pPr>
      <w:r>
        <w:t xml:space="preserve">Sexual violence was measured in all cohorts by the question, </w:t>
      </w:r>
      <w:r w:rsidRPr="000E284E">
        <w:t>‘</w:t>
      </w:r>
      <w:r w:rsidRPr="000E284E">
        <w:rPr>
          <w:i/>
        </w:rPr>
        <w:t>Have you experienced any of the following events</w:t>
      </w:r>
      <w:r w:rsidRPr="000E284E">
        <w:t xml:space="preserve">: </w:t>
      </w:r>
      <w:r w:rsidRPr="000E284E">
        <w:rPr>
          <w:i/>
        </w:rPr>
        <w:t>Being forced to take part in unwanted sexual activity</w:t>
      </w:r>
      <w:r w:rsidRPr="000E284E">
        <w:t>’ with response options: ‘In the last 12 months’, ‘More than 12 months ago’, or ‘Never’.</w:t>
      </w:r>
      <w:r>
        <w:t xml:space="preserve"> </w:t>
      </w:r>
      <w:r w:rsidRPr="000E284E">
        <w:t>Note that at Survey 1 of the 1973</w:t>
      </w:r>
      <w:r>
        <w:t>-</w:t>
      </w:r>
      <w:r w:rsidRPr="000E284E">
        <w:t>7</w:t>
      </w:r>
      <w:r>
        <w:t>8, 1946-51 and 1921-26 cohorts</w:t>
      </w:r>
      <w:r w:rsidRPr="000E284E">
        <w:t>, the question was phrased slightly differently: ‘</w:t>
      </w:r>
      <w:r w:rsidRPr="000E284E">
        <w:rPr>
          <w:i/>
          <w:iCs/>
        </w:rPr>
        <w:t xml:space="preserve">In the last 12 months, have you experienced any of the following events: being forced to take part in unwanted sexual activity’ </w:t>
      </w:r>
      <w:r w:rsidRPr="000E284E">
        <w:t>with response options ‘Yes’ and ‘No’.</w:t>
      </w:r>
      <w:r>
        <w:t xml:space="preserve"> At Survey 2 of the 1921-26 cohort, the question was the same but with a timeframe of the last three years instead of the last 12 months.</w:t>
      </w:r>
    </w:p>
    <w:p w14:paraId="40FA0199" w14:textId="77777777" w:rsidR="00167129" w:rsidRDefault="00167129" w:rsidP="00901558">
      <w:pPr>
        <w:pStyle w:val="Heading4"/>
      </w:pPr>
      <w:r>
        <w:t>Additional measures of sexual violence in the 1973-78 cohort</w:t>
      </w:r>
    </w:p>
    <w:p w14:paraId="521C2279" w14:textId="77777777" w:rsidR="00167129" w:rsidRDefault="00167129" w:rsidP="004C382A">
      <w:pPr>
        <w:pStyle w:val="BodyText"/>
      </w:pPr>
      <w:r>
        <w:t>The other isolated measures of sexual violence have not been included consistently across cohorts or across surveys. These measures may be useful for cross-sectional analyses or for analyses which don’t span across cohorts.</w:t>
      </w:r>
    </w:p>
    <w:p w14:paraId="1C635845" w14:textId="1134B3A5" w:rsidR="00167129" w:rsidRDefault="00167129" w:rsidP="004C382A">
      <w:pPr>
        <w:pStyle w:val="BodyText"/>
        <w:rPr>
          <w:lang w:val="en-US"/>
        </w:rPr>
      </w:pPr>
      <w:r>
        <w:lastRenderedPageBreak/>
        <w:t xml:space="preserve">The 1973-78 and 1946-51 cohorts were asked a stand-alone question about sexual violence during childhood in Survey 4 (2006) and Survey 7 (2013), respectively. The question </w:t>
      </w:r>
      <w:r w:rsidRPr="00D92E5D">
        <w:t>was</w:t>
      </w:r>
      <w:r>
        <w:t xml:space="preserve"> worded:</w:t>
      </w:r>
      <w:r w:rsidRPr="00D92E5D">
        <w:t xml:space="preserve"> </w:t>
      </w:r>
      <w:r w:rsidRPr="00505187">
        <w:rPr>
          <w:i/>
          <w:iCs/>
        </w:rPr>
        <w:t>‘</w:t>
      </w:r>
      <w:r w:rsidRPr="00505187">
        <w:rPr>
          <w:i/>
          <w:iCs/>
          <w:lang w:val="en-US"/>
        </w:rPr>
        <w:t>As a child, did you experience sexual abuse (e</w:t>
      </w:r>
      <w:r>
        <w:rPr>
          <w:i/>
          <w:iCs/>
          <w:lang w:val="en-US"/>
        </w:rPr>
        <w:t>.</w:t>
      </w:r>
      <w:r w:rsidRPr="00505187">
        <w:rPr>
          <w:i/>
          <w:iCs/>
          <w:lang w:val="en-US"/>
        </w:rPr>
        <w:t>g</w:t>
      </w:r>
      <w:r>
        <w:rPr>
          <w:i/>
          <w:iCs/>
          <w:lang w:val="en-US"/>
        </w:rPr>
        <w:t>.</w:t>
      </w:r>
      <w:r w:rsidR="00410DFF">
        <w:rPr>
          <w:i/>
          <w:iCs/>
          <w:lang w:val="en-US"/>
        </w:rPr>
        <w:t>,</w:t>
      </w:r>
      <w:r w:rsidRPr="00505187">
        <w:rPr>
          <w:i/>
          <w:iCs/>
          <w:lang w:val="en-US"/>
        </w:rPr>
        <w:t xml:space="preserve"> forced to engage in unwanted sexual practices such as unwanted touching, exposure or penetration)</w:t>
      </w:r>
      <w:r>
        <w:rPr>
          <w:i/>
          <w:iCs/>
          <w:lang w:val="en-US"/>
        </w:rPr>
        <w:t>?</w:t>
      </w:r>
      <w:r w:rsidRPr="00505187">
        <w:rPr>
          <w:i/>
          <w:iCs/>
          <w:lang w:val="en-US"/>
        </w:rPr>
        <w:t>’</w:t>
      </w:r>
      <w:r>
        <w:rPr>
          <w:i/>
          <w:iCs/>
          <w:lang w:val="en-US"/>
        </w:rPr>
        <w:t xml:space="preserve"> </w:t>
      </w:r>
      <w:r>
        <w:rPr>
          <w:lang w:val="en-US"/>
        </w:rPr>
        <w:t>with response options ‘Yes’, ‘No’, and ‘I prefer not to answer’.</w:t>
      </w:r>
    </w:p>
    <w:p w14:paraId="2A3E2084" w14:textId="2D8A18FC" w:rsidR="00167129" w:rsidRDefault="00167129" w:rsidP="004C382A">
      <w:pPr>
        <w:pStyle w:val="BodyText"/>
      </w:pPr>
      <w:r>
        <w:t xml:space="preserve">The 1973-78 cohort were also asked additional sexual abuse questions at earlier surveys. At Survey 2 in 2000, participants were asked a screening question, </w:t>
      </w:r>
      <w:r w:rsidRPr="00D92E5D">
        <w:rPr>
          <w:i/>
          <w:iCs/>
          <w:lang w:val="en-US"/>
        </w:rPr>
        <w:t xml:space="preserve">‘Have you </w:t>
      </w:r>
      <w:r>
        <w:rPr>
          <w:i/>
          <w:iCs/>
          <w:lang w:val="en-US"/>
        </w:rPr>
        <w:t>ever</w:t>
      </w:r>
      <w:r w:rsidRPr="00D92E5D">
        <w:rPr>
          <w:i/>
          <w:iCs/>
          <w:lang w:val="en-US"/>
        </w:rPr>
        <w:t xml:space="preserve"> experienced any form of physical, mental, emotional or sexual abuse or violence, either as a child, in an adult relationship, or at any other time?’</w:t>
      </w:r>
      <w:r>
        <w:rPr>
          <w:lang w:val="en-US"/>
        </w:rPr>
        <w:t xml:space="preserve"> with response options: ‘Yes’, ‘No’, and “Don’t want to answer’. If the participant indicated ‘Yes’ to this question, they were asked several follow up questions and had the opportunity to indicate if they had experienced </w:t>
      </w:r>
      <w:r w:rsidRPr="00D92E5D">
        <w:rPr>
          <w:lang w:val="en-US"/>
        </w:rPr>
        <w:t>any of the following:</w:t>
      </w:r>
      <w:r w:rsidRPr="00A37C00">
        <w:rPr>
          <w:i/>
          <w:iCs/>
        </w:rPr>
        <w:t xml:space="preserve"> ‘Sexual abuse (e</w:t>
      </w:r>
      <w:r w:rsidR="00410DFF">
        <w:rPr>
          <w:i/>
          <w:iCs/>
        </w:rPr>
        <w:t>.</w:t>
      </w:r>
      <w:r w:rsidRPr="00A37C00">
        <w:rPr>
          <w:i/>
          <w:iCs/>
        </w:rPr>
        <w:t>g</w:t>
      </w:r>
      <w:r w:rsidR="00410DFF">
        <w:rPr>
          <w:i/>
          <w:iCs/>
        </w:rPr>
        <w:t>.,</w:t>
      </w:r>
      <w:r w:rsidRPr="00A37C00">
        <w:rPr>
          <w:i/>
          <w:iCs/>
        </w:rPr>
        <w:t xml:space="preserve"> rape or attempted rape, sexual assault, fear of sexual assault, forced to engage in unwanted sexual practices)’</w:t>
      </w:r>
      <w:r>
        <w:t xml:space="preserve">. At Survey 3 in 2003, the women from the 1973-78 cohort were asked to indicate if </w:t>
      </w:r>
      <w:r w:rsidRPr="00D92E5D">
        <w:t>they had experienced any of the following</w:t>
      </w:r>
      <w:r>
        <w:t xml:space="preserve"> </w:t>
      </w:r>
      <w:r w:rsidRPr="00A37C00">
        <w:t>in the last three years</w:t>
      </w:r>
      <w:r>
        <w:rPr>
          <w:i/>
          <w:iCs/>
        </w:rPr>
        <w:t xml:space="preserve">: </w:t>
      </w:r>
      <w:r w:rsidRPr="00615735">
        <w:rPr>
          <w:i/>
          <w:iCs/>
        </w:rPr>
        <w:t>Sexual abuse (e.g.</w:t>
      </w:r>
      <w:r w:rsidR="00410DFF">
        <w:rPr>
          <w:i/>
          <w:iCs/>
        </w:rPr>
        <w:t>,</w:t>
      </w:r>
      <w:r w:rsidRPr="00615735">
        <w:rPr>
          <w:i/>
          <w:iCs/>
        </w:rPr>
        <w:t xml:space="preserve"> rape or attempted rape, sexual assault, fear of sexual assault, forced to engage in unwanted sexual practices)</w:t>
      </w:r>
      <w:r>
        <w:rPr>
          <w:i/>
          <w:iCs/>
        </w:rPr>
        <w:t>’</w:t>
      </w:r>
      <w:r>
        <w:t>.</w:t>
      </w:r>
    </w:p>
    <w:p w14:paraId="2C722C70" w14:textId="77777777" w:rsidR="00167129" w:rsidRPr="007F6EAC" w:rsidRDefault="00167129" w:rsidP="00901558">
      <w:pPr>
        <w:pStyle w:val="Heading4"/>
      </w:pPr>
      <w:r w:rsidRPr="007F6EAC">
        <w:t>Sexual violence over</w:t>
      </w:r>
      <w:r>
        <w:t xml:space="preserve"> the</w:t>
      </w:r>
      <w:r w:rsidRPr="007F6EAC">
        <w:t xml:space="preserve"> lifetime</w:t>
      </w:r>
    </w:p>
    <w:p w14:paraId="331F9F47" w14:textId="77777777" w:rsidR="00167129" w:rsidRPr="00BA2373" w:rsidRDefault="00167129" w:rsidP="004C382A">
      <w:pPr>
        <w:pStyle w:val="TableParagraph"/>
        <w:rPr>
          <w:rFonts w:ascii="Arial" w:eastAsia="Times New Roman" w:hAnsi="Arial" w:cs="Times New Roman"/>
          <w:sz w:val="20"/>
          <w:szCs w:val="24"/>
          <w:lang w:val="en-AU" w:eastAsia="en-AU"/>
        </w:rPr>
      </w:pPr>
      <w:r w:rsidRPr="00BA2373">
        <w:rPr>
          <w:rFonts w:ascii="Arial" w:eastAsia="Times New Roman" w:hAnsi="Arial" w:cs="Times New Roman"/>
          <w:sz w:val="20"/>
          <w:szCs w:val="24"/>
          <w:lang w:val="en-AU" w:eastAsia="en-AU"/>
        </w:rPr>
        <w:t>It may be useful for some research purposes to define a composite variable that measures lifetime experiences of sexual violence. This can be readily achieved by creating a dichotomous indicator variable for lifetime sexual violence, which is set to true if the participant indicated ‘yes’ to any of the available questions on sexual violence. Note that this does not indicate when the sexual violence itself occurred.</w:t>
      </w:r>
    </w:p>
    <w:p w14:paraId="5F2E316C" w14:textId="77777777" w:rsidR="00167129" w:rsidRPr="00CF7A63" w:rsidRDefault="00167129" w:rsidP="00BA2373">
      <w:pPr>
        <w:pStyle w:val="Heading3"/>
      </w:pPr>
      <w:bookmarkStart w:id="1116" w:name="_Toc124762811"/>
      <w:r w:rsidRPr="00CF7A63">
        <w:t>Issues with measuring sexual violence using ALSWH data</w:t>
      </w:r>
      <w:bookmarkEnd w:id="1116"/>
    </w:p>
    <w:p w14:paraId="08AD1E51" w14:textId="4101EA7E" w:rsidR="008C2901" w:rsidRDefault="00167129" w:rsidP="00167129">
      <w:pPr>
        <w:spacing w:line="276" w:lineRule="auto"/>
      </w:pPr>
      <w:r>
        <w:t>There are several key issues to be aware of when analysing sexual violence data from ALSWH.</w:t>
      </w:r>
    </w:p>
    <w:p w14:paraId="27E4EE44" w14:textId="77777777" w:rsidR="00167129" w:rsidRDefault="00167129" w:rsidP="00901558">
      <w:pPr>
        <w:pStyle w:val="Heading4"/>
      </w:pPr>
      <w:r>
        <w:t>Determining severity and frequency of sexual violence</w:t>
      </w:r>
    </w:p>
    <w:p w14:paraId="60F2BCDC" w14:textId="38BBC207" w:rsidR="008C2901" w:rsidRDefault="00167129" w:rsidP="008C2901">
      <w:pPr>
        <w:pStyle w:val="BodyText"/>
      </w:pPr>
      <w:r>
        <w:t xml:space="preserve">The sexual violence measures included in ALSWH do not capture severity or frequency of sexual violence. Looking at the quantitative data, it is not possible to distinguish between someone who experienced one incident of sexual violence from someone who has experienced many incidents of sexual violence. Nor do these questions quantitatively capture severity of the sexual violence. ALSWH had determined as part of its survey development </w:t>
      </w:r>
      <w:r w:rsidR="00110EAC">
        <w:t xml:space="preserve">consultation </w:t>
      </w:r>
      <w:r>
        <w:t>processes that it is not appropriate to collect explicit details of sexual violence in a self-complete health survey with no immediate support resources available, due to the triggering nature of more detailed questions.</w:t>
      </w:r>
    </w:p>
    <w:p w14:paraId="44CD790D" w14:textId="356824F1" w:rsidR="00167129" w:rsidRDefault="008C2901" w:rsidP="00901558">
      <w:pPr>
        <w:pStyle w:val="Heading4"/>
      </w:pPr>
      <w:r>
        <w:t>D</w:t>
      </w:r>
      <w:r w:rsidR="00167129">
        <w:t>etermining when sexual violence occurred</w:t>
      </w:r>
    </w:p>
    <w:p w14:paraId="19A9B4FA" w14:textId="5AE02F63" w:rsidR="00167129" w:rsidRDefault="00167129" w:rsidP="004C382A">
      <w:pPr>
        <w:pStyle w:val="BodyText"/>
      </w:pPr>
      <w:r>
        <w:t>The measures which have a specific time frame included as a response option (e</w:t>
      </w:r>
      <w:r w:rsidR="00410DFF">
        <w:t>.</w:t>
      </w:r>
      <w:r>
        <w:t>g</w:t>
      </w:r>
      <w:r w:rsidR="00410DFF">
        <w:t>.,</w:t>
      </w:r>
      <w:r>
        <w:t xml:space="preserve"> “In the last 12 months”) will allow investigation of recent sexual violence. For experiences of sexual violence beyond this time frame (e.g.</w:t>
      </w:r>
      <w:r w:rsidR="00410DFF">
        <w:t>,</w:t>
      </w:r>
      <w:r>
        <w:t xml:space="preserve"> “More than 12 months ago”) or when a time frame is not specified, it is difficult to determine when these experiences of sexual violence occurred. For the child sexual abuse measures, it can only be assumed that the sexual violence occurred prior to age 18. </w:t>
      </w:r>
    </w:p>
    <w:p w14:paraId="4AAC9417" w14:textId="48ABD5BA" w:rsidR="008C2901" w:rsidRDefault="00167129" w:rsidP="004C382A">
      <w:pPr>
        <w:pStyle w:val="BodyText"/>
      </w:pPr>
      <w:r>
        <w:lastRenderedPageBreak/>
        <w:t xml:space="preserve">Furthermore, data users should not assume that if sexual violence is reported for the first time that the violence occurred since the last completed survey. Women may have many reasons why they disclose or do not disclose experiences of violence, it may take </w:t>
      </w:r>
      <w:proofErr w:type="gramStart"/>
      <w:r>
        <w:t>a number of</w:t>
      </w:r>
      <w:proofErr w:type="gramEnd"/>
      <w:r>
        <w:t xml:space="preserve"> surveys before they report such experiences in an ALSWH survey</w:t>
      </w:r>
      <w:r w:rsidR="005457F0">
        <w:t xml:space="preserve"> (Loxton et al., 2013)</w:t>
      </w:r>
      <w:r>
        <w:t xml:space="preserve">. </w:t>
      </w:r>
    </w:p>
    <w:p w14:paraId="2C3F594E" w14:textId="77777777" w:rsidR="00167129" w:rsidRDefault="00167129" w:rsidP="00901558">
      <w:pPr>
        <w:pStyle w:val="Heading4"/>
      </w:pPr>
      <w:r>
        <w:t>Potential overlap between sexual violence variables</w:t>
      </w:r>
    </w:p>
    <w:p w14:paraId="1551E15A" w14:textId="77777777" w:rsidR="00167129" w:rsidRDefault="00167129" w:rsidP="004C382A">
      <w:pPr>
        <w:pStyle w:val="BodyText"/>
      </w:pPr>
      <w:proofErr w:type="gramStart"/>
      <w:r>
        <w:t>In the course of</w:t>
      </w:r>
      <w:proofErr w:type="gramEnd"/>
      <w:r>
        <w:t xml:space="preserve"> using multiple sexual violence measures longitudinally, it was discovered that there is some potential overlap between measurements which was not anticipated when the measures were introduced into the surveys. </w:t>
      </w:r>
    </w:p>
    <w:p w14:paraId="2DE84037" w14:textId="1CD5BB8E" w:rsidR="008C2901" w:rsidRPr="006E410E" w:rsidRDefault="00167129" w:rsidP="004C382A">
      <w:pPr>
        <w:pStyle w:val="BodyText"/>
      </w:pPr>
      <w:r>
        <w:t xml:space="preserve">Experiences of sexual violence by a partner were reported by participants who were only 18 years old at the time of survey completion (specifically women from the 1989-95 cohort). This leads to some overlap between the ‘sexual violence by a partner’ questions and the ‘sexual violence during childhood’ questions, such that the same experience of sexual violence may be captured by </w:t>
      </w:r>
      <w:proofErr w:type="gramStart"/>
      <w:r>
        <w:t>both of these</w:t>
      </w:r>
      <w:proofErr w:type="gramEnd"/>
      <w:r>
        <w:t xml:space="preserve"> questions.  In a similar way, there is also overlap between the ‘sexual violence by an unspecified person’ questions and the ‘sexual violence during childhood’ questions, such that the same experience of sexual violence may be captured by both questions. The overlap between these questions makes it difficult in practice to isolate experiences of sexual violence that occurred during adulthood </w:t>
      </w:r>
      <w:r w:rsidR="00861469">
        <w:t>and not in childhood</w:t>
      </w:r>
      <w:r>
        <w:t xml:space="preserve">. </w:t>
      </w:r>
    </w:p>
    <w:p w14:paraId="666DFF08" w14:textId="77777777" w:rsidR="00167129" w:rsidRDefault="00167129" w:rsidP="00901558">
      <w:pPr>
        <w:pStyle w:val="Heading4"/>
      </w:pPr>
      <w:r>
        <w:t>Inconsistent reporting of sexual violence</w:t>
      </w:r>
    </w:p>
    <w:p w14:paraId="015A44D6" w14:textId="347206C1" w:rsidR="008C2901" w:rsidRDefault="00167129" w:rsidP="004C382A">
      <w:pPr>
        <w:pStyle w:val="BodyText"/>
      </w:pPr>
      <w:r>
        <w:t>Reporting of violence (sexual or otherwise) is not always consistent over time. For example, there are women who indicated ‘yes’ to having ever experienced sexual violence at Survey 2, but at Survey 3 they indicated ‘no’ to having ever experienced sexual violence. This may be due to changed perception of past experiences, emotional costs associated with disclosure, fear of reprisal, an attempt to forget the past, misremembering, or other reasons</w:t>
      </w:r>
      <w:r w:rsidR="005457F0">
        <w:t xml:space="preserve"> (Loxton et al., 2017)</w:t>
      </w:r>
      <w:r>
        <w:t>. For some analyses, it may be appropriate to set all future values for ‘ever experienced sexual violence’ to ‘true’ once sexual violence has been reported for the first time to account for this inconsistent reporting.</w:t>
      </w:r>
    </w:p>
    <w:p w14:paraId="6D4F0E99" w14:textId="77777777" w:rsidR="00167129" w:rsidRDefault="00167129" w:rsidP="00901558">
      <w:pPr>
        <w:pStyle w:val="Heading4"/>
      </w:pPr>
      <w:r>
        <w:t>Under-reporting of sexual violence</w:t>
      </w:r>
    </w:p>
    <w:p w14:paraId="43C1C694" w14:textId="0C7553D4" w:rsidR="008C2901" w:rsidRDefault="00167129" w:rsidP="004C382A">
      <w:pPr>
        <w:pStyle w:val="BodyText"/>
      </w:pPr>
      <w:r>
        <w:t xml:space="preserve">Keep in mind for all analyses that sexual violence tends to be under-reported due to </w:t>
      </w:r>
      <w:r w:rsidR="00861469">
        <w:t xml:space="preserve">triggering unwanted emotions, </w:t>
      </w:r>
      <w:r>
        <w:t xml:space="preserve">stigma, shame, guilt, or fear of reprisal from perpetrators. This may lead to an underestimate of </w:t>
      </w:r>
      <w:proofErr w:type="spellStart"/>
      <w:r>
        <w:t>prevalences</w:t>
      </w:r>
      <w:proofErr w:type="spellEnd"/>
      <w:r>
        <w:t xml:space="preserve"> or attenuation of associations between variables.</w:t>
      </w:r>
    </w:p>
    <w:p w14:paraId="6DF67163" w14:textId="77777777" w:rsidR="00167129" w:rsidRDefault="00167129" w:rsidP="00BA2373">
      <w:pPr>
        <w:pStyle w:val="Heading3"/>
      </w:pPr>
      <w:bookmarkStart w:id="1117" w:name="_Toc124762812"/>
      <w:r>
        <w:t>References</w:t>
      </w:r>
      <w:bookmarkEnd w:id="1117"/>
    </w:p>
    <w:p w14:paraId="2268E4E5" w14:textId="63E81779" w:rsidR="00167129" w:rsidRDefault="00167129" w:rsidP="009A7F51">
      <w:proofErr w:type="spellStart"/>
      <w:r w:rsidRPr="00244702">
        <w:t>Felitti</w:t>
      </w:r>
      <w:proofErr w:type="spellEnd"/>
      <w:r w:rsidRPr="00244702">
        <w:t xml:space="preserve"> VJ, RF Anda, D Nordenberg, et al. </w:t>
      </w:r>
      <w:r>
        <w:t xml:space="preserve">(1998). </w:t>
      </w:r>
      <w:r w:rsidR="002A6BB4">
        <w:rPr>
          <w:i/>
          <w:iCs/>
        </w:rPr>
        <w:t>R</w:t>
      </w:r>
      <w:r w:rsidR="002A6BB4" w:rsidRPr="00244702">
        <w:rPr>
          <w:i/>
          <w:iCs/>
        </w:rPr>
        <w:t>elationship of childhood abuse and household dysfunction to many of the leading causes of death in a</w:t>
      </w:r>
      <w:r w:rsidRPr="00244702">
        <w:rPr>
          <w:i/>
          <w:iCs/>
        </w:rPr>
        <w:t>dults: The Adverse Childhood Experiences (ACES) Study.</w:t>
      </w:r>
      <w:r w:rsidRPr="00244702">
        <w:t xml:space="preserve"> American Journal of Preventive Medicine, </w:t>
      </w:r>
      <w:r>
        <w:t>14</w:t>
      </w:r>
      <w:r w:rsidRPr="00244702">
        <w:t>(4): 245-258.</w:t>
      </w:r>
    </w:p>
    <w:p w14:paraId="2D21D778" w14:textId="59D96242" w:rsidR="00167129" w:rsidRDefault="00167129" w:rsidP="009A7F51">
      <w:r w:rsidRPr="00ED7E28">
        <w:t xml:space="preserve">Hegarty K, Sheehan M, </w:t>
      </w:r>
      <w:r>
        <w:t xml:space="preserve">&amp; </w:t>
      </w:r>
      <w:proofErr w:type="spellStart"/>
      <w:r w:rsidRPr="00ED7E28">
        <w:t>Schonfeld</w:t>
      </w:r>
      <w:proofErr w:type="spellEnd"/>
      <w:r w:rsidRPr="00ED7E28">
        <w:t xml:space="preserve"> C</w:t>
      </w:r>
      <w:r>
        <w:t>.</w:t>
      </w:r>
      <w:r w:rsidRPr="00ED7E28">
        <w:t xml:space="preserve"> (1999)</w:t>
      </w:r>
      <w:r>
        <w:t>.</w:t>
      </w:r>
      <w:r w:rsidRPr="00ED7E28">
        <w:t xml:space="preserve"> </w:t>
      </w:r>
      <w:r w:rsidRPr="00D92E5D">
        <w:rPr>
          <w:i/>
          <w:iCs/>
        </w:rPr>
        <w:t>A multidimensional definition of partner abuse: Development and preliminary validation of the Composite Abuse Scale</w:t>
      </w:r>
      <w:r w:rsidRPr="00ED7E28">
        <w:t>. J</w:t>
      </w:r>
      <w:r>
        <w:t>ournal of</w:t>
      </w:r>
      <w:r w:rsidRPr="00ED7E28">
        <w:t xml:space="preserve"> Fam</w:t>
      </w:r>
      <w:r>
        <w:t xml:space="preserve">ily </w:t>
      </w:r>
      <w:r w:rsidRPr="00ED7E28">
        <w:t>Violence 14: 399-415.</w:t>
      </w:r>
    </w:p>
    <w:p w14:paraId="0653EBDE" w14:textId="21E47E11" w:rsidR="00167129" w:rsidRDefault="00167129" w:rsidP="009A7F51">
      <w:r w:rsidRPr="00D92E5D">
        <w:lastRenderedPageBreak/>
        <w:t xml:space="preserve">Loxton D, Powers JR, Fitzgerald D, Forder PM, Anderson AE, Taft A &amp; Hegarty K. (2013). </w:t>
      </w:r>
      <w:r w:rsidRPr="00ED7E28">
        <w:rPr>
          <w:i/>
          <w:iCs/>
        </w:rPr>
        <w:t xml:space="preserve">The Community Composite Abuse Scale: </w:t>
      </w:r>
      <w:r w:rsidR="002A6BB4">
        <w:rPr>
          <w:i/>
          <w:iCs/>
        </w:rPr>
        <w:t>R</w:t>
      </w:r>
      <w:r w:rsidR="002A6BB4" w:rsidRPr="00ED7E28">
        <w:rPr>
          <w:i/>
          <w:iCs/>
        </w:rPr>
        <w:t xml:space="preserve">eliability and validity of a measure of intimate partner violence in a community survey from </w:t>
      </w:r>
      <w:r w:rsidRPr="00ED7E28">
        <w:rPr>
          <w:i/>
          <w:iCs/>
        </w:rPr>
        <w:t>the ALSWH</w:t>
      </w:r>
      <w:r w:rsidRPr="00D92E5D">
        <w:t>. Journal of Women</w:t>
      </w:r>
      <w:r>
        <w:t>’</w:t>
      </w:r>
      <w:r w:rsidRPr="00D92E5D">
        <w:t>s Health, Issues and Care, 2</w:t>
      </w:r>
      <w:r>
        <w:t>:</w:t>
      </w:r>
      <w:r w:rsidRPr="00D92E5D">
        <w:t xml:space="preserve"> 1-7.</w:t>
      </w:r>
    </w:p>
    <w:p w14:paraId="5C8C4BE2" w14:textId="50A11406" w:rsidR="00167129" w:rsidRDefault="00167129" w:rsidP="009A7F51">
      <w:r w:rsidRPr="006F2EEE">
        <w:t>Loxton D, Townsend N, Cavenagh D</w:t>
      </w:r>
      <w:r w:rsidR="005457F0">
        <w:t xml:space="preserve"> &amp; </w:t>
      </w:r>
      <w:r w:rsidRPr="006F2EEE">
        <w:t>Green L</w:t>
      </w:r>
      <w:r w:rsidR="005457F0">
        <w:t>.</w:t>
      </w:r>
      <w:r w:rsidRPr="006F2EEE">
        <w:t xml:space="preserve"> </w:t>
      </w:r>
      <w:r>
        <w:t xml:space="preserve">(2017). </w:t>
      </w:r>
      <w:r w:rsidR="002A6BB4">
        <w:rPr>
          <w:i/>
          <w:iCs/>
        </w:rPr>
        <w:t>M</w:t>
      </w:r>
      <w:r w:rsidR="002A6BB4" w:rsidRPr="006F2EEE">
        <w:rPr>
          <w:i/>
          <w:iCs/>
        </w:rPr>
        <w:t>easuring domestic violence in longitudinal research</w:t>
      </w:r>
      <w:r w:rsidRPr="006F2EEE">
        <w:t>, Australian Government Department of Social Services</w:t>
      </w:r>
    </w:p>
    <w:p w14:paraId="7B745A3A" w14:textId="2B9A4096" w:rsidR="00056F9A" w:rsidRPr="00ED7E28" w:rsidRDefault="00056F9A" w:rsidP="009A7F51">
      <w:r>
        <w:t xml:space="preserve">Townsend N, Loxton D, Egan N, Barnes I, Byrnes E &amp; Forder P.  (2022). A life course approach to determining the prevalence and impact of sexual violence in Australia: Findings from the Australian Longitudinal Study on Women’s Health.  </w:t>
      </w:r>
      <w:r w:rsidR="00410DFF">
        <w:t xml:space="preserve">(Research report 14/2022).  ANROWS.  </w:t>
      </w:r>
      <w:r>
        <w:t xml:space="preserve"> </w:t>
      </w:r>
    </w:p>
    <w:p w14:paraId="20FEC81E" w14:textId="07482FC6" w:rsidR="005457F0" w:rsidRDefault="005457F0">
      <w:pPr>
        <w:spacing w:before="0" w:after="0" w:line="240" w:lineRule="auto"/>
        <w:jc w:val="left"/>
      </w:pPr>
      <w:r>
        <w:br w:type="page"/>
      </w:r>
    </w:p>
    <w:p w14:paraId="43E345A2" w14:textId="77777777" w:rsidR="0022077A" w:rsidRPr="00BA2373" w:rsidRDefault="0022077A" w:rsidP="00BA2373">
      <w:pPr>
        <w:pStyle w:val="Heading2"/>
      </w:pPr>
      <w:bookmarkStart w:id="1118" w:name="_Toc124762813"/>
      <w:r w:rsidRPr="00BA2373">
        <w:lastRenderedPageBreak/>
        <w:t>SEIFA percentiles in ALSWH</w:t>
      </w:r>
      <w:bookmarkEnd w:id="1118"/>
    </w:p>
    <w:p w14:paraId="774DFEF7" w14:textId="77777777" w:rsidR="008C2901" w:rsidRDefault="0022077A" w:rsidP="008C2901">
      <w:pPr>
        <w:spacing w:line="276" w:lineRule="auto"/>
        <w:rPr>
          <w:i/>
          <w:iCs/>
        </w:rPr>
      </w:pPr>
      <w:r>
        <w:rPr>
          <w:i/>
          <w:iCs/>
        </w:rPr>
        <w:t xml:space="preserve">Author: David Fitzgerald </w:t>
      </w:r>
    </w:p>
    <w:p w14:paraId="0A8CFE95" w14:textId="79DEE6ED" w:rsidR="0022077A" w:rsidRPr="00BA2373" w:rsidRDefault="0022077A" w:rsidP="00BA2373">
      <w:pPr>
        <w:pStyle w:val="Heading3"/>
        <w:rPr>
          <w:i/>
          <w:iCs/>
        </w:rPr>
      </w:pPr>
      <w:bookmarkStart w:id="1119" w:name="_Toc124762814"/>
      <w:r>
        <w:t>Introduction</w:t>
      </w:r>
      <w:bookmarkEnd w:id="1119"/>
    </w:p>
    <w:p w14:paraId="5E0F577F" w14:textId="560397EB" w:rsidR="0022077A" w:rsidRDefault="0022077A" w:rsidP="00BA2373">
      <w:pPr>
        <w:pStyle w:val="BodyText"/>
      </w:pPr>
      <w:r>
        <w:t xml:space="preserve">ALSWH data </w:t>
      </w:r>
      <w:r w:rsidR="00354044">
        <w:t xml:space="preserve">currently </w:t>
      </w:r>
      <w:r>
        <w:t xml:space="preserve">include </w:t>
      </w:r>
      <w:r w:rsidR="00354044">
        <w:t xml:space="preserve">the </w:t>
      </w:r>
      <w:r>
        <w:t xml:space="preserve">geo-coded variables ARIA+, Modified Monash Model (MMM), and SEIFA. </w:t>
      </w:r>
      <w:r w:rsidR="00354044">
        <w:t>(</w:t>
      </w:r>
      <w:r>
        <w:t>Other geo-coded variables have been used previously</w:t>
      </w:r>
      <w:r w:rsidR="00354044">
        <w:t>)</w:t>
      </w:r>
      <w:r>
        <w:t>. This document describes how ALSWH has changed the way SEIFA variables are presented in the ALSWH datasets.</w:t>
      </w:r>
    </w:p>
    <w:p w14:paraId="0D9C7F6A" w14:textId="53364661" w:rsidR="0022077A" w:rsidRDefault="005457F0" w:rsidP="00BA2373">
      <w:pPr>
        <w:pStyle w:val="BodyText"/>
      </w:pPr>
      <w:r>
        <w:t>The Australian Bureau of Statistics (</w:t>
      </w:r>
      <w:r w:rsidR="0022077A">
        <w:t>ABS</w:t>
      </w:r>
      <w:r>
        <w:t>)</w:t>
      </w:r>
      <w:r w:rsidR="0022077A">
        <w:t xml:space="preserve"> produces the SEIFA variables</w:t>
      </w:r>
      <w:r>
        <w:rPr>
          <w:vertAlign w:val="superscript"/>
        </w:rPr>
        <w:t xml:space="preserve"> </w:t>
      </w:r>
      <w:r w:rsidRPr="005457F0">
        <w:t>(ABS,</w:t>
      </w:r>
      <w:r>
        <w:t xml:space="preserve"> </w:t>
      </w:r>
      <w:r w:rsidRPr="005457F0">
        <w:t>2016)</w:t>
      </w:r>
      <w:r w:rsidR="0022077A">
        <w:t xml:space="preserve"> and describes them as follows</w:t>
      </w:r>
      <w:r w:rsidR="001A7C07">
        <w:t>:</w:t>
      </w:r>
    </w:p>
    <w:p w14:paraId="47D0C040" w14:textId="77777777" w:rsidR="0022077A" w:rsidRPr="00BA2373" w:rsidRDefault="0022077A" w:rsidP="00BA2373">
      <w:pPr>
        <w:pStyle w:val="BodyText"/>
        <w:ind w:left="1134" w:right="1134"/>
        <w:mirrorIndents/>
      </w:pPr>
      <w:r w:rsidRPr="00354044">
        <w:rPr>
          <w:i/>
          <w:iCs/>
        </w:rPr>
        <w:t>Socio-Economic Indexes for Areas (SEIFA) is a product developed by the ABS that ranks areas in Australia according to relative socio-economic advantage and disadvantage. The indexes are based on information from the five-yearly Census</w:t>
      </w:r>
      <w:r w:rsidRPr="00BA2373">
        <w:t>.</w:t>
      </w:r>
    </w:p>
    <w:p w14:paraId="2E6C40AD" w14:textId="77777777" w:rsidR="0022077A" w:rsidRPr="00BA2373" w:rsidRDefault="0022077A" w:rsidP="0022077A">
      <w:pPr>
        <w:spacing w:line="276" w:lineRule="auto"/>
      </w:pPr>
      <w:r w:rsidRPr="00BA2373">
        <w:t>SEIFA consists of four indexes:</w:t>
      </w:r>
    </w:p>
    <w:p w14:paraId="09F9F622" w14:textId="77777777" w:rsidR="0022077A" w:rsidRPr="00BA2373" w:rsidRDefault="0022077A" w:rsidP="003D5E6A">
      <w:pPr>
        <w:pStyle w:val="ListParagraph"/>
        <w:numPr>
          <w:ilvl w:val="0"/>
          <w:numId w:val="75"/>
        </w:numPr>
        <w:spacing w:before="0" w:after="160"/>
        <w:ind w:left="714" w:hanging="357"/>
      </w:pPr>
      <w:r w:rsidRPr="00BA2373">
        <w:t>The Index of Relative Socio-Economic Disadvantage (IRSD)</w:t>
      </w:r>
    </w:p>
    <w:p w14:paraId="55641C30" w14:textId="77777777" w:rsidR="0022077A" w:rsidRPr="00BA2373" w:rsidRDefault="0022077A" w:rsidP="003D5E6A">
      <w:pPr>
        <w:pStyle w:val="ListParagraph"/>
        <w:numPr>
          <w:ilvl w:val="0"/>
          <w:numId w:val="75"/>
        </w:numPr>
        <w:spacing w:before="0" w:after="160"/>
        <w:ind w:left="714" w:hanging="357"/>
      </w:pPr>
      <w:r w:rsidRPr="00BA2373">
        <w:t>The Index of Relative Socio-Economic Advantage and Disadvantage (IRSAD)</w:t>
      </w:r>
    </w:p>
    <w:p w14:paraId="7C9A5339" w14:textId="77777777" w:rsidR="0022077A" w:rsidRPr="00BA2373" w:rsidRDefault="0022077A" w:rsidP="003D5E6A">
      <w:pPr>
        <w:pStyle w:val="ListParagraph"/>
        <w:numPr>
          <w:ilvl w:val="0"/>
          <w:numId w:val="75"/>
        </w:numPr>
        <w:spacing w:before="0" w:after="160"/>
        <w:ind w:left="714" w:hanging="357"/>
      </w:pPr>
      <w:r w:rsidRPr="00BA2373">
        <w:t>The Index of Education and Occupation (IEO)</w:t>
      </w:r>
    </w:p>
    <w:p w14:paraId="4777A03A" w14:textId="77777777" w:rsidR="0022077A" w:rsidRPr="00BA2373" w:rsidRDefault="0022077A" w:rsidP="003D5E6A">
      <w:pPr>
        <w:pStyle w:val="ListParagraph"/>
        <w:numPr>
          <w:ilvl w:val="0"/>
          <w:numId w:val="75"/>
        </w:numPr>
        <w:spacing w:before="0" w:after="160"/>
        <w:ind w:left="714" w:hanging="357"/>
      </w:pPr>
      <w:r w:rsidRPr="00BA2373">
        <w:t xml:space="preserve">The Index of Economic Resources (IER). </w:t>
      </w:r>
    </w:p>
    <w:p w14:paraId="31793731" w14:textId="43A3CD19" w:rsidR="0022077A" w:rsidRPr="00BA2373" w:rsidRDefault="0022077A" w:rsidP="009E6BD0">
      <w:pPr>
        <w:pStyle w:val="BodyText0"/>
      </w:pPr>
      <w:r w:rsidRPr="00BA2373">
        <w:t>Each index is a summary of a different subset of Census variables and focuses on a different aspect of socio-economic advantage and disadvantage.</w:t>
      </w:r>
      <w:r w:rsidR="00FA36BC">
        <w:t xml:space="preserve"> </w:t>
      </w:r>
      <w:r w:rsidRPr="00BA2373">
        <w:t>Some common uses of SEIFA include:</w:t>
      </w:r>
    </w:p>
    <w:p w14:paraId="1247121E" w14:textId="77777777" w:rsidR="0022077A" w:rsidRPr="00BA2373" w:rsidRDefault="0022077A" w:rsidP="003D5E6A">
      <w:pPr>
        <w:pStyle w:val="ListParagraph"/>
        <w:numPr>
          <w:ilvl w:val="0"/>
          <w:numId w:val="76"/>
        </w:numPr>
        <w:spacing w:before="0" w:after="160"/>
        <w:ind w:left="1077"/>
      </w:pPr>
      <w:r w:rsidRPr="00BA2373">
        <w:t>determining areas that require funding and services</w:t>
      </w:r>
    </w:p>
    <w:p w14:paraId="4B8ECF08" w14:textId="77777777" w:rsidR="0022077A" w:rsidRPr="00BA2373" w:rsidRDefault="0022077A" w:rsidP="003D5E6A">
      <w:pPr>
        <w:pStyle w:val="ListParagraph"/>
        <w:numPr>
          <w:ilvl w:val="0"/>
          <w:numId w:val="76"/>
        </w:numPr>
        <w:spacing w:before="0" w:after="160"/>
        <w:ind w:left="1077"/>
      </w:pPr>
      <w:r w:rsidRPr="00BA2373">
        <w:t>identifying new business opportunities</w:t>
      </w:r>
    </w:p>
    <w:p w14:paraId="40A94058" w14:textId="77777777" w:rsidR="0022077A" w:rsidRPr="00BA2373" w:rsidRDefault="0022077A" w:rsidP="003D5E6A">
      <w:pPr>
        <w:pStyle w:val="ListParagraph"/>
        <w:numPr>
          <w:ilvl w:val="0"/>
          <w:numId w:val="76"/>
        </w:numPr>
        <w:spacing w:before="0" w:after="160"/>
        <w:ind w:left="1077"/>
      </w:pPr>
      <w:r w:rsidRPr="00BA2373">
        <w:t>research into the relationship between socio-economic disadvantage and various health and educational outcomes.</w:t>
      </w:r>
    </w:p>
    <w:p w14:paraId="4B7BEBF7" w14:textId="77777777" w:rsidR="0022077A" w:rsidRDefault="0022077A" w:rsidP="00BA2373">
      <w:pPr>
        <w:pStyle w:val="Heading3"/>
      </w:pPr>
      <w:bookmarkStart w:id="1120" w:name="_Toc124762815"/>
      <w:r>
        <w:t>SEIFA in ALSWH</w:t>
      </w:r>
      <w:bookmarkEnd w:id="1120"/>
    </w:p>
    <w:p w14:paraId="6C1833F3" w14:textId="2307909E" w:rsidR="0022077A" w:rsidRDefault="0022077A" w:rsidP="009E6BD0">
      <w:pPr>
        <w:pStyle w:val="BodyText0"/>
      </w:pPr>
      <w:r>
        <w:t>The geo-coded variables are added to the ALSWH datasets after the dataset is initially released because they take some time to be produced from the geo-coding process. The SEIFA variables are based on the census values</w:t>
      </w:r>
      <w:r w:rsidR="00185E4A">
        <w:t xml:space="preserve"> – censuses used for each survey are shown in </w:t>
      </w:r>
      <w:r w:rsidR="005478B5">
        <w:fldChar w:fldCharType="begin"/>
      </w:r>
      <w:r w:rsidR="005478B5">
        <w:instrText xml:space="preserve"> REF _Ref112683843 \h </w:instrText>
      </w:r>
      <w:r w:rsidR="005478B5">
        <w:fldChar w:fldCharType="separate"/>
      </w:r>
      <w:r w:rsidR="007D19D7">
        <w:t xml:space="preserve">Table </w:t>
      </w:r>
      <w:r w:rsidR="007D19D7">
        <w:rPr>
          <w:noProof/>
        </w:rPr>
        <w:t>7</w:t>
      </w:r>
      <w:r w:rsidR="007D19D7">
        <w:noBreakHyphen/>
      </w:r>
      <w:r w:rsidR="007D19D7">
        <w:rPr>
          <w:noProof/>
        </w:rPr>
        <w:t>6</w:t>
      </w:r>
      <w:r w:rsidR="005478B5">
        <w:fldChar w:fldCharType="end"/>
      </w:r>
      <w:r>
        <w:t>.</w:t>
      </w:r>
    </w:p>
    <w:p w14:paraId="1AE05428" w14:textId="7D202D15" w:rsidR="009A7F51" w:rsidRDefault="009A7F51">
      <w:pPr>
        <w:spacing w:before="0" w:after="0" w:line="240" w:lineRule="auto"/>
        <w:jc w:val="left"/>
      </w:pPr>
      <w:r>
        <w:br w:type="page"/>
      </w:r>
    </w:p>
    <w:p w14:paraId="2B095315" w14:textId="26303247" w:rsidR="0022077A" w:rsidRPr="00BD78DE" w:rsidRDefault="00185E4A" w:rsidP="0000266C">
      <w:pPr>
        <w:pStyle w:val="Caption"/>
      </w:pPr>
      <w:bookmarkStart w:id="1121" w:name="_Ref112683843"/>
      <w:r>
        <w:lastRenderedPageBreak/>
        <w:t xml:space="preserve">Table </w:t>
      </w:r>
      <w:fldSimple w:instr=" STYLEREF 1 \s ">
        <w:r w:rsidR="007D19D7">
          <w:rPr>
            <w:noProof/>
          </w:rPr>
          <w:t>7</w:t>
        </w:r>
      </w:fldSimple>
      <w:r w:rsidR="00327D59">
        <w:noBreakHyphen/>
      </w:r>
      <w:fldSimple w:instr=" SEQ Table \* ARABIC \s 1 ">
        <w:r w:rsidR="007D19D7">
          <w:rPr>
            <w:noProof/>
          </w:rPr>
          <w:t>6</w:t>
        </w:r>
      </w:fldSimple>
      <w:bookmarkEnd w:id="1121"/>
      <w:r>
        <w:t xml:space="preserve"> </w:t>
      </w:r>
      <w:r w:rsidR="0022077A" w:rsidRPr="00BD78DE">
        <w:t xml:space="preserve">Censuses used in the SEIFA indices by </w:t>
      </w:r>
      <w:r>
        <w:t>c</w:t>
      </w:r>
      <w:r w:rsidR="0022077A" w:rsidRPr="00BD78DE">
        <w:t>ohort and wave</w:t>
      </w:r>
    </w:p>
    <w:tbl>
      <w:tblPr>
        <w:tblStyle w:val="TableGrid"/>
        <w:tblW w:w="0" w:type="auto"/>
        <w:tblInd w:w="-108" w:type="dxa"/>
        <w:tblLayout w:type="fixed"/>
        <w:tblLook w:val="04A0" w:firstRow="1" w:lastRow="0" w:firstColumn="1" w:lastColumn="0" w:noHBand="0" w:noVBand="1"/>
      </w:tblPr>
      <w:tblGrid>
        <w:gridCol w:w="1214"/>
        <w:gridCol w:w="1610"/>
        <w:gridCol w:w="1610"/>
        <w:gridCol w:w="1610"/>
        <w:gridCol w:w="1610"/>
      </w:tblGrid>
      <w:tr w:rsidR="00FA36BC" w14:paraId="7ADC684F" w14:textId="77777777" w:rsidTr="00841EDE">
        <w:tc>
          <w:tcPr>
            <w:tcW w:w="1214" w:type="dxa"/>
            <w:tcBorders>
              <w:top w:val="nil"/>
              <w:left w:val="nil"/>
              <w:bottom w:val="single" w:sz="4" w:space="0" w:color="auto"/>
              <w:right w:val="single" w:sz="4" w:space="0" w:color="auto"/>
            </w:tcBorders>
            <w:shd w:val="clear" w:color="auto" w:fill="E5DFEC" w:themeFill="accent4" w:themeFillTint="33"/>
          </w:tcPr>
          <w:p w14:paraId="1FC50A39" w14:textId="77777777" w:rsidR="0022077A" w:rsidRDefault="0022077A" w:rsidP="00185E4A">
            <w:pPr>
              <w:spacing w:before="40" w:after="40" w:line="276" w:lineRule="auto"/>
            </w:pPr>
          </w:p>
        </w:tc>
        <w:tc>
          <w:tcPr>
            <w:tcW w:w="6440" w:type="dxa"/>
            <w:gridSpan w:val="4"/>
            <w:tcBorders>
              <w:top w:val="nil"/>
              <w:left w:val="single" w:sz="4" w:space="0" w:color="auto"/>
              <w:bottom w:val="single" w:sz="4" w:space="0" w:color="auto"/>
              <w:right w:val="nil"/>
            </w:tcBorders>
            <w:shd w:val="clear" w:color="auto" w:fill="E5DFEC" w:themeFill="accent4" w:themeFillTint="33"/>
          </w:tcPr>
          <w:p w14:paraId="6525EC05" w14:textId="77777777" w:rsidR="0022077A" w:rsidRPr="00185E4A" w:rsidRDefault="0022077A" w:rsidP="00185E4A">
            <w:pPr>
              <w:spacing w:before="40" w:after="40" w:line="276" w:lineRule="auto"/>
              <w:jc w:val="center"/>
              <w:rPr>
                <w:b/>
                <w:bCs/>
              </w:rPr>
            </w:pPr>
            <w:r w:rsidRPr="00185E4A">
              <w:rPr>
                <w:b/>
                <w:bCs/>
              </w:rPr>
              <w:t>Cohort</w:t>
            </w:r>
          </w:p>
        </w:tc>
      </w:tr>
      <w:tr w:rsidR="00185E4A" w14:paraId="409A5D93" w14:textId="77777777" w:rsidTr="00841EDE">
        <w:tc>
          <w:tcPr>
            <w:tcW w:w="1214" w:type="dxa"/>
            <w:tcBorders>
              <w:top w:val="single" w:sz="4" w:space="0" w:color="auto"/>
              <w:left w:val="nil"/>
              <w:bottom w:val="nil"/>
              <w:right w:val="single" w:sz="4" w:space="0" w:color="auto"/>
            </w:tcBorders>
            <w:shd w:val="clear" w:color="auto" w:fill="E5DFEC" w:themeFill="accent4" w:themeFillTint="33"/>
          </w:tcPr>
          <w:p w14:paraId="749A9F80" w14:textId="03B3FC05" w:rsidR="0022077A" w:rsidRPr="00185E4A" w:rsidRDefault="00BA2373" w:rsidP="00185E4A">
            <w:pPr>
              <w:spacing w:before="40" w:after="40" w:line="276" w:lineRule="auto"/>
              <w:jc w:val="center"/>
              <w:rPr>
                <w:b/>
                <w:bCs/>
              </w:rPr>
            </w:pPr>
            <w:r w:rsidRPr="00185E4A">
              <w:rPr>
                <w:b/>
                <w:bCs/>
              </w:rPr>
              <w:t>Wave</w:t>
            </w:r>
          </w:p>
        </w:tc>
        <w:tc>
          <w:tcPr>
            <w:tcW w:w="1610" w:type="dxa"/>
            <w:tcBorders>
              <w:top w:val="single" w:sz="4" w:space="0" w:color="auto"/>
              <w:left w:val="single" w:sz="4" w:space="0" w:color="auto"/>
              <w:bottom w:val="nil"/>
              <w:right w:val="nil"/>
            </w:tcBorders>
            <w:shd w:val="clear" w:color="auto" w:fill="E5DFEC" w:themeFill="accent4" w:themeFillTint="33"/>
          </w:tcPr>
          <w:p w14:paraId="6AE5D4A1" w14:textId="77777777" w:rsidR="0022077A" w:rsidRPr="00185E4A" w:rsidRDefault="0022077A" w:rsidP="00185E4A">
            <w:pPr>
              <w:spacing w:before="40" w:after="40" w:line="276" w:lineRule="auto"/>
              <w:jc w:val="center"/>
              <w:rPr>
                <w:b/>
                <w:bCs/>
              </w:rPr>
            </w:pPr>
            <w:r w:rsidRPr="00185E4A">
              <w:rPr>
                <w:b/>
                <w:bCs/>
              </w:rPr>
              <w:t>1921-26</w:t>
            </w:r>
          </w:p>
        </w:tc>
        <w:tc>
          <w:tcPr>
            <w:tcW w:w="1610" w:type="dxa"/>
            <w:tcBorders>
              <w:top w:val="single" w:sz="4" w:space="0" w:color="auto"/>
              <w:left w:val="nil"/>
              <w:bottom w:val="nil"/>
              <w:right w:val="nil"/>
            </w:tcBorders>
            <w:shd w:val="clear" w:color="auto" w:fill="E5DFEC" w:themeFill="accent4" w:themeFillTint="33"/>
          </w:tcPr>
          <w:p w14:paraId="0E1B0A52" w14:textId="77777777" w:rsidR="0022077A" w:rsidRPr="00185E4A" w:rsidRDefault="0022077A" w:rsidP="00185E4A">
            <w:pPr>
              <w:spacing w:before="40" w:after="40" w:line="276" w:lineRule="auto"/>
              <w:jc w:val="center"/>
              <w:rPr>
                <w:b/>
                <w:bCs/>
              </w:rPr>
            </w:pPr>
            <w:r w:rsidRPr="00185E4A">
              <w:rPr>
                <w:b/>
                <w:bCs/>
              </w:rPr>
              <w:t>1946-51</w:t>
            </w:r>
          </w:p>
        </w:tc>
        <w:tc>
          <w:tcPr>
            <w:tcW w:w="1610" w:type="dxa"/>
            <w:tcBorders>
              <w:top w:val="single" w:sz="4" w:space="0" w:color="auto"/>
              <w:left w:val="nil"/>
              <w:bottom w:val="nil"/>
              <w:right w:val="nil"/>
            </w:tcBorders>
            <w:shd w:val="clear" w:color="auto" w:fill="E5DFEC" w:themeFill="accent4" w:themeFillTint="33"/>
          </w:tcPr>
          <w:p w14:paraId="3E679992" w14:textId="77777777" w:rsidR="0022077A" w:rsidRPr="00185E4A" w:rsidRDefault="0022077A" w:rsidP="00185E4A">
            <w:pPr>
              <w:spacing w:before="40" w:after="40" w:line="276" w:lineRule="auto"/>
              <w:jc w:val="center"/>
              <w:rPr>
                <w:b/>
                <w:bCs/>
              </w:rPr>
            </w:pPr>
            <w:r w:rsidRPr="00185E4A">
              <w:rPr>
                <w:b/>
                <w:bCs/>
              </w:rPr>
              <w:t>1973-78</w:t>
            </w:r>
          </w:p>
        </w:tc>
        <w:tc>
          <w:tcPr>
            <w:tcW w:w="1610" w:type="dxa"/>
            <w:tcBorders>
              <w:top w:val="single" w:sz="4" w:space="0" w:color="auto"/>
              <w:left w:val="nil"/>
              <w:bottom w:val="nil"/>
              <w:right w:val="nil"/>
            </w:tcBorders>
            <w:shd w:val="clear" w:color="auto" w:fill="E5DFEC" w:themeFill="accent4" w:themeFillTint="33"/>
          </w:tcPr>
          <w:p w14:paraId="277B4F35" w14:textId="77777777" w:rsidR="0022077A" w:rsidRPr="00185E4A" w:rsidRDefault="0022077A" w:rsidP="00185E4A">
            <w:pPr>
              <w:spacing w:before="40" w:after="40" w:line="276" w:lineRule="auto"/>
              <w:jc w:val="center"/>
              <w:rPr>
                <w:b/>
                <w:bCs/>
              </w:rPr>
            </w:pPr>
            <w:r w:rsidRPr="00185E4A">
              <w:rPr>
                <w:b/>
                <w:bCs/>
              </w:rPr>
              <w:t>1989-95</w:t>
            </w:r>
          </w:p>
        </w:tc>
      </w:tr>
      <w:tr w:rsidR="00FA36BC" w14:paraId="0828CDCF" w14:textId="77777777" w:rsidTr="00841EDE">
        <w:tc>
          <w:tcPr>
            <w:tcW w:w="1214" w:type="dxa"/>
            <w:tcBorders>
              <w:top w:val="single" w:sz="4" w:space="0" w:color="auto"/>
              <w:left w:val="nil"/>
              <w:bottom w:val="nil"/>
              <w:right w:val="single" w:sz="4" w:space="0" w:color="auto"/>
            </w:tcBorders>
          </w:tcPr>
          <w:p w14:paraId="7D939C1D" w14:textId="77777777" w:rsidR="0022077A" w:rsidRDefault="0022077A" w:rsidP="00185E4A">
            <w:pPr>
              <w:spacing w:before="40" w:after="40" w:line="276" w:lineRule="auto"/>
              <w:jc w:val="center"/>
            </w:pPr>
            <w:r>
              <w:t>1</w:t>
            </w:r>
          </w:p>
        </w:tc>
        <w:tc>
          <w:tcPr>
            <w:tcW w:w="1610" w:type="dxa"/>
            <w:tcBorders>
              <w:top w:val="single" w:sz="4" w:space="0" w:color="auto"/>
              <w:left w:val="single" w:sz="4" w:space="0" w:color="auto"/>
              <w:bottom w:val="nil"/>
              <w:right w:val="nil"/>
            </w:tcBorders>
          </w:tcPr>
          <w:p w14:paraId="22D9003E" w14:textId="286018A5" w:rsidR="0022077A" w:rsidRDefault="0022077A" w:rsidP="00185E4A">
            <w:pPr>
              <w:tabs>
                <w:tab w:val="left" w:pos="1260"/>
              </w:tabs>
              <w:spacing w:before="40" w:after="40" w:line="276" w:lineRule="auto"/>
              <w:jc w:val="center"/>
            </w:pPr>
            <w:r>
              <w:t>1996</w:t>
            </w:r>
          </w:p>
        </w:tc>
        <w:tc>
          <w:tcPr>
            <w:tcW w:w="1610" w:type="dxa"/>
            <w:tcBorders>
              <w:top w:val="single" w:sz="4" w:space="0" w:color="auto"/>
              <w:left w:val="nil"/>
              <w:bottom w:val="nil"/>
              <w:right w:val="nil"/>
            </w:tcBorders>
          </w:tcPr>
          <w:p w14:paraId="79EB202A" w14:textId="77777777" w:rsidR="0022077A" w:rsidRDefault="0022077A" w:rsidP="00185E4A">
            <w:pPr>
              <w:spacing w:before="40" w:after="40" w:line="276" w:lineRule="auto"/>
              <w:jc w:val="center"/>
            </w:pPr>
            <w:r>
              <w:t>1996</w:t>
            </w:r>
          </w:p>
        </w:tc>
        <w:tc>
          <w:tcPr>
            <w:tcW w:w="1610" w:type="dxa"/>
            <w:tcBorders>
              <w:top w:val="single" w:sz="4" w:space="0" w:color="auto"/>
              <w:left w:val="nil"/>
              <w:bottom w:val="nil"/>
              <w:right w:val="nil"/>
            </w:tcBorders>
          </w:tcPr>
          <w:p w14:paraId="4C3DDCB3" w14:textId="77777777" w:rsidR="0022077A" w:rsidRDefault="0022077A" w:rsidP="00185E4A">
            <w:pPr>
              <w:spacing w:before="40" w:after="40" w:line="276" w:lineRule="auto"/>
              <w:jc w:val="center"/>
            </w:pPr>
            <w:r>
              <w:t>1996</w:t>
            </w:r>
          </w:p>
        </w:tc>
        <w:tc>
          <w:tcPr>
            <w:tcW w:w="1610" w:type="dxa"/>
            <w:tcBorders>
              <w:top w:val="single" w:sz="4" w:space="0" w:color="auto"/>
              <w:left w:val="nil"/>
              <w:bottom w:val="nil"/>
              <w:right w:val="nil"/>
            </w:tcBorders>
          </w:tcPr>
          <w:p w14:paraId="7C48992A" w14:textId="77777777" w:rsidR="0022077A" w:rsidRDefault="0022077A" w:rsidP="00185E4A">
            <w:pPr>
              <w:spacing w:before="40" w:after="40" w:line="276" w:lineRule="auto"/>
              <w:jc w:val="center"/>
            </w:pPr>
            <w:r>
              <w:t>2011</w:t>
            </w:r>
          </w:p>
        </w:tc>
      </w:tr>
      <w:tr w:rsidR="00FA36BC" w14:paraId="1B62DD04" w14:textId="77777777" w:rsidTr="00841EDE">
        <w:tc>
          <w:tcPr>
            <w:tcW w:w="1214" w:type="dxa"/>
            <w:tcBorders>
              <w:top w:val="nil"/>
              <w:left w:val="nil"/>
              <w:bottom w:val="nil"/>
              <w:right w:val="single" w:sz="4" w:space="0" w:color="auto"/>
            </w:tcBorders>
          </w:tcPr>
          <w:p w14:paraId="206C20E5" w14:textId="77777777" w:rsidR="0022077A" w:rsidRDefault="0022077A" w:rsidP="00185E4A">
            <w:pPr>
              <w:spacing w:before="40" w:after="40" w:line="276" w:lineRule="auto"/>
              <w:jc w:val="center"/>
            </w:pPr>
            <w:r>
              <w:t>2</w:t>
            </w:r>
          </w:p>
        </w:tc>
        <w:tc>
          <w:tcPr>
            <w:tcW w:w="1610" w:type="dxa"/>
            <w:tcBorders>
              <w:top w:val="nil"/>
              <w:left w:val="single" w:sz="4" w:space="0" w:color="auto"/>
              <w:bottom w:val="nil"/>
              <w:right w:val="nil"/>
            </w:tcBorders>
          </w:tcPr>
          <w:p w14:paraId="6F36A87C" w14:textId="77777777" w:rsidR="0022077A" w:rsidRDefault="0022077A" w:rsidP="00185E4A">
            <w:pPr>
              <w:spacing w:before="40" w:after="40" w:line="276" w:lineRule="auto"/>
              <w:jc w:val="center"/>
            </w:pPr>
            <w:r>
              <w:t>1996</w:t>
            </w:r>
          </w:p>
        </w:tc>
        <w:tc>
          <w:tcPr>
            <w:tcW w:w="1610" w:type="dxa"/>
            <w:tcBorders>
              <w:top w:val="nil"/>
              <w:left w:val="nil"/>
              <w:bottom w:val="nil"/>
              <w:right w:val="nil"/>
            </w:tcBorders>
          </w:tcPr>
          <w:p w14:paraId="1EEA9F33" w14:textId="77777777" w:rsidR="0022077A" w:rsidRDefault="0022077A" w:rsidP="00185E4A">
            <w:pPr>
              <w:spacing w:before="40" w:after="40" w:line="276" w:lineRule="auto"/>
              <w:jc w:val="center"/>
            </w:pPr>
            <w:r>
              <w:t>1996</w:t>
            </w:r>
          </w:p>
        </w:tc>
        <w:tc>
          <w:tcPr>
            <w:tcW w:w="1610" w:type="dxa"/>
            <w:tcBorders>
              <w:top w:val="nil"/>
              <w:left w:val="nil"/>
              <w:bottom w:val="nil"/>
              <w:right w:val="nil"/>
            </w:tcBorders>
          </w:tcPr>
          <w:p w14:paraId="29EA2EA3" w14:textId="77777777" w:rsidR="0022077A" w:rsidRDefault="0022077A" w:rsidP="00185E4A">
            <w:pPr>
              <w:spacing w:before="40" w:after="40" w:line="276" w:lineRule="auto"/>
              <w:jc w:val="center"/>
            </w:pPr>
            <w:r>
              <w:t>1996</w:t>
            </w:r>
          </w:p>
        </w:tc>
        <w:tc>
          <w:tcPr>
            <w:tcW w:w="1610" w:type="dxa"/>
            <w:tcBorders>
              <w:top w:val="nil"/>
              <w:left w:val="nil"/>
              <w:bottom w:val="nil"/>
              <w:right w:val="nil"/>
            </w:tcBorders>
          </w:tcPr>
          <w:p w14:paraId="180BE528" w14:textId="77777777" w:rsidR="0022077A" w:rsidRDefault="0022077A" w:rsidP="00185E4A">
            <w:pPr>
              <w:spacing w:before="40" w:after="40" w:line="276" w:lineRule="auto"/>
              <w:jc w:val="center"/>
            </w:pPr>
            <w:r>
              <w:t>2011</w:t>
            </w:r>
          </w:p>
        </w:tc>
      </w:tr>
      <w:tr w:rsidR="00FA36BC" w14:paraId="427AC716" w14:textId="77777777" w:rsidTr="00841EDE">
        <w:tc>
          <w:tcPr>
            <w:tcW w:w="1214" w:type="dxa"/>
            <w:tcBorders>
              <w:top w:val="nil"/>
              <w:left w:val="nil"/>
              <w:bottom w:val="nil"/>
              <w:right w:val="single" w:sz="4" w:space="0" w:color="auto"/>
            </w:tcBorders>
          </w:tcPr>
          <w:p w14:paraId="3AC59FBF" w14:textId="77777777" w:rsidR="0022077A" w:rsidRDefault="0022077A" w:rsidP="00185E4A">
            <w:pPr>
              <w:spacing w:before="40" w:after="40" w:line="276" w:lineRule="auto"/>
              <w:jc w:val="center"/>
            </w:pPr>
            <w:r>
              <w:t>3</w:t>
            </w:r>
          </w:p>
        </w:tc>
        <w:tc>
          <w:tcPr>
            <w:tcW w:w="1610" w:type="dxa"/>
            <w:tcBorders>
              <w:top w:val="nil"/>
              <w:left w:val="single" w:sz="4" w:space="0" w:color="auto"/>
              <w:bottom w:val="nil"/>
              <w:right w:val="nil"/>
            </w:tcBorders>
          </w:tcPr>
          <w:p w14:paraId="4A8E2C31" w14:textId="77777777" w:rsidR="0022077A" w:rsidRDefault="0022077A" w:rsidP="00185E4A">
            <w:pPr>
              <w:spacing w:before="40" w:after="40" w:line="276" w:lineRule="auto"/>
              <w:jc w:val="center"/>
            </w:pPr>
            <w:r>
              <w:t>2001</w:t>
            </w:r>
          </w:p>
        </w:tc>
        <w:tc>
          <w:tcPr>
            <w:tcW w:w="1610" w:type="dxa"/>
            <w:tcBorders>
              <w:top w:val="nil"/>
              <w:left w:val="nil"/>
              <w:bottom w:val="nil"/>
              <w:right w:val="nil"/>
            </w:tcBorders>
          </w:tcPr>
          <w:p w14:paraId="4B422A6B" w14:textId="099E3C80" w:rsidR="0022077A" w:rsidRDefault="0022077A" w:rsidP="00185E4A">
            <w:pPr>
              <w:tabs>
                <w:tab w:val="left" w:pos="1380"/>
              </w:tabs>
              <w:spacing w:before="40" w:after="40" w:line="276" w:lineRule="auto"/>
              <w:jc w:val="center"/>
            </w:pPr>
            <w:r>
              <w:t>1996</w:t>
            </w:r>
          </w:p>
        </w:tc>
        <w:tc>
          <w:tcPr>
            <w:tcW w:w="1610" w:type="dxa"/>
            <w:tcBorders>
              <w:top w:val="nil"/>
              <w:left w:val="nil"/>
              <w:bottom w:val="nil"/>
              <w:right w:val="nil"/>
            </w:tcBorders>
          </w:tcPr>
          <w:p w14:paraId="446223D0" w14:textId="77777777" w:rsidR="0022077A" w:rsidRDefault="0022077A" w:rsidP="00185E4A">
            <w:pPr>
              <w:spacing w:before="40" w:after="40" w:line="276" w:lineRule="auto"/>
              <w:jc w:val="center"/>
            </w:pPr>
            <w:r>
              <w:t>2001</w:t>
            </w:r>
          </w:p>
        </w:tc>
        <w:tc>
          <w:tcPr>
            <w:tcW w:w="1610" w:type="dxa"/>
            <w:tcBorders>
              <w:top w:val="nil"/>
              <w:left w:val="nil"/>
              <w:bottom w:val="nil"/>
              <w:right w:val="nil"/>
            </w:tcBorders>
          </w:tcPr>
          <w:p w14:paraId="0404AD58" w14:textId="77777777" w:rsidR="0022077A" w:rsidRDefault="0022077A" w:rsidP="00185E4A">
            <w:pPr>
              <w:spacing w:before="40" w:after="40" w:line="276" w:lineRule="auto"/>
              <w:jc w:val="center"/>
            </w:pPr>
            <w:r>
              <w:t>2011</w:t>
            </w:r>
          </w:p>
        </w:tc>
      </w:tr>
      <w:tr w:rsidR="00FA36BC" w14:paraId="6AF4F596" w14:textId="77777777" w:rsidTr="00841EDE">
        <w:tc>
          <w:tcPr>
            <w:tcW w:w="1214" w:type="dxa"/>
            <w:tcBorders>
              <w:top w:val="nil"/>
              <w:left w:val="nil"/>
              <w:bottom w:val="nil"/>
              <w:right w:val="single" w:sz="4" w:space="0" w:color="auto"/>
            </w:tcBorders>
          </w:tcPr>
          <w:p w14:paraId="7B3460B8" w14:textId="77777777" w:rsidR="0022077A" w:rsidRDefault="0022077A" w:rsidP="00185E4A">
            <w:pPr>
              <w:spacing w:before="40" w:after="40" w:line="276" w:lineRule="auto"/>
              <w:jc w:val="center"/>
            </w:pPr>
            <w:r>
              <w:t>4</w:t>
            </w:r>
          </w:p>
        </w:tc>
        <w:tc>
          <w:tcPr>
            <w:tcW w:w="1610" w:type="dxa"/>
            <w:tcBorders>
              <w:top w:val="nil"/>
              <w:left w:val="single" w:sz="4" w:space="0" w:color="auto"/>
              <w:bottom w:val="nil"/>
              <w:right w:val="nil"/>
            </w:tcBorders>
          </w:tcPr>
          <w:p w14:paraId="236F68DC" w14:textId="77777777" w:rsidR="0022077A" w:rsidRDefault="0022077A" w:rsidP="00185E4A">
            <w:pPr>
              <w:spacing w:before="40" w:after="40" w:line="276" w:lineRule="auto"/>
              <w:jc w:val="center"/>
            </w:pPr>
            <w:r>
              <w:t>2001</w:t>
            </w:r>
          </w:p>
        </w:tc>
        <w:tc>
          <w:tcPr>
            <w:tcW w:w="1610" w:type="dxa"/>
            <w:tcBorders>
              <w:top w:val="nil"/>
              <w:left w:val="nil"/>
              <w:bottom w:val="nil"/>
              <w:right w:val="nil"/>
            </w:tcBorders>
          </w:tcPr>
          <w:p w14:paraId="041676B3" w14:textId="77777777" w:rsidR="0022077A" w:rsidRDefault="0022077A" w:rsidP="00185E4A">
            <w:pPr>
              <w:spacing w:before="40" w:after="40" w:line="276" w:lineRule="auto"/>
              <w:jc w:val="center"/>
            </w:pPr>
            <w:r>
              <w:t>2001</w:t>
            </w:r>
          </w:p>
        </w:tc>
        <w:tc>
          <w:tcPr>
            <w:tcW w:w="1610" w:type="dxa"/>
            <w:tcBorders>
              <w:top w:val="nil"/>
              <w:left w:val="nil"/>
              <w:bottom w:val="nil"/>
              <w:right w:val="nil"/>
            </w:tcBorders>
          </w:tcPr>
          <w:p w14:paraId="6CD45C09" w14:textId="77777777" w:rsidR="0022077A" w:rsidRDefault="0022077A" w:rsidP="00185E4A">
            <w:pPr>
              <w:spacing w:before="40" w:after="40" w:line="276" w:lineRule="auto"/>
              <w:jc w:val="center"/>
            </w:pPr>
            <w:r>
              <w:t>2006</w:t>
            </w:r>
          </w:p>
        </w:tc>
        <w:tc>
          <w:tcPr>
            <w:tcW w:w="1610" w:type="dxa"/>
            <w:tcBorders>
              <w:top w:val="nil"/>
              <w:left w:val="nil"/>
              <w:bottom w:val="nil"/>
              <w:right w:val="nil"/>
            </w:tcBorders>
          </w:tcPr>
          <w:p w14:paraId="29DBA927" w14:textId="77777777" w:rsidR="0022077A" w:rsidRDefault="0022077A" w:rsidP="00185E4A">
            <w:pPr>
              <w:spacing w:before="40" w:after="40" w:line="276" w:lineRule="auto"/>
              <w:jc w:val="center"/>
            </w:pPr>
            <w:r>
              <w:t>2011</w:t>
            </w:r>
          </w:p>
        </w:tc>
      </w:tr>
      <w:tr w:rsidR="00FA36BC" w14:paraId="5E57228D" w14:textId="77777777" w:rsidTr="00841EDE">
        <w:tc>
          <w:tcPr>
            <w:tcW w:w="1214" w:type="dxa"/>
            <w:tcBorders>
              <w:top w:val="nil"/>
              <w:left w:val="nil"/>
              <w:bottom w:val="nil"/>
              <w:right w:val="single" w:sz="4" w:space="0" w:color="auto"/>
            </w:tcBorders>
          </w:tcPr>
          <w:p w14:paraId="527E7314" w14:textId="77777777" w:rsidR="0022077A" w:rsidRDefault="0022077A" w:rsidP="00185E4A">
            <w:pPr>
              <w:spacing w:before="40" w:after="40" w:line="276" w:lineRule="auto"/>
              <w:jc w:val="center"/>
            </w:pPr>
            <w:r>
              <w:t>5</w:t>
            </w:r>
          </w:p>
        </w:tc>
        <w:tc>
          <w:tcPr>
            <w:tcW w:w="1610" w:type="dxa"/>
            <w:tcBorders>
              <w:top w:val="nil"/>
              <w:left w:val="single" w:sz="4" w:space="0" w:color="auto"/>
              <w:bottom w:val="nil"/>
              <w:right w:val="nil"/>
            </w:tcBorders>
          </w:tcPr>
          <w:p w14:paraId="58119C35" w14:textId="77777777" w:rsidR="0022077A" w:rsidRDefault="0022077A" w:rsidP="00185E4A">
            <w:pPr>
              <w:spacing w:before="40" w:after="40" w:line="276" w:lineRule="auto"/>
              <w:jc w:val="center"/>
            </w:pPr>
            <w:r>
              <w:t>2006</w:t>
            </w:r>
          </w:p>
        </w:tc>
        <w:tc>
          <w:tcPr>
            <w:tcW w:w="1610" w:type="dxa"/>
            <w:tcBorders>
              <w:top w:val="nil"/>
              <w:left w:val="nil"/>
              <w:bottom w:val="nil"/>
              <w:right w:val="nil"/>
            </w:tcBorders>
          </w:tcPr>
          <w:p w14:paraId="36A28435" w14:textId="77777777" w:rsidR="0022077A" w:rsidRDefault="0022077A" w:rsidP="00185E4A">
            <w:pPr>
              <w:spacing w:before="40" w:after="40" w:line="276" w:lineRule="auto"/>
              <w:jc w:val="center"/>
            </w:pPr>
            <w:r>
              <w:t>2006</w:t>
            </w:r>
          </w:p>
        </w:tc>
        <w:tc>
          <w:tcPr>
            <w:tcW w:w="1610" w:type="dxa"/>
            <w:tcBorders>
              <w:top w:val="nil"/>
              <w:left w:val="nil"/>
              <w:bottom w:val="nil"/>
              <w:right w:val="nil"/>
            </w:tcBorders>
          </w:tcPr>
          <w:p w14:paraId="13B6AEC3" w14:textId="77777777" w:rsidR="0022077A" w:rsidRDefault="0022077A" w:rsidP="00185E4A">
            <w:pPr>
              <w:spacing w:before="40" w:after="40" w:line="276" w:lineRule="auto"/>
              <w:jc w:val="center"/>
            </w:pPr>
            <w:r>
              <w:t>2006</w:t>
            </w:r>
          </w:p>
        </w:tc>
        <w:tc>
          <w:tcPr>
            <w:tcW w:w="1610" w:type="dxa"/>
            <w:tcBorders>
              <w:top w:val="nil"/>
              <w:left w:val="nil"/>
              <w:bottom w:val="nil"/>
              <w:right w:val="nil"/>
            </w:tcBorders>
          </w:tcPr>
          <w:p w14:paraId="625B2995" w14:textId="77777777" w:rsidR="0022077A" w:rsidRDefault="0022077A" w:rsidP="00185E4A">
            <w:pPr>
              <w:spacing w:before="40" w:after="40" w:line="276" w:lineRule="auto"/>
              <w:jc w:val="center"/>
            </w:pPr>
            <w:r>
              <w:t>2016</w:t>
            </w:r>
          </w:p>
        </w:tc>
      </w:tr>
      <w:tr w:rsidR="00FA36BC" w14:paraId="1D718298" w14:textId="77777777" w:rsidTr="00841EDE">
        <w:tc>
          <w:tcPr>
            <w:tcW w:w="1214" w:type="dxa"/>
            <w:tcBorders>
              <w:top w:val="nil"/>
              <w:left w:val="nil"/>
              <w:bottom w:val="nil"/>
              <w:right w:val="single" w:sz="4" w:space="0" w:color="auto"/>
            </w:tcBorders>
          </w:tcPr>
          <w:p w14:paraId="4FD56ADD" w14:textId="77777777" w:rsidR="0022077A" w:rsidRDefault="0022077A" w:rsidP="00185E4A">
            <w:pPr>
              <w:spacing w:before="40" w:after="40" w:line="276" w:lineRule="auto"/>
              <w:jc w:val="center"/>
            </w:pPr>
            <w:r>
              <w:t>6</w:t>
            </w:r>
          </w:p>
        </w:tc>
        <w:tc>
          <w:tcPr>
            <w:tcW w:w="1610" w:type="dxa"/>
            <w:tcBorders>
              <w:top w:val="nil"/>
              <w:left w:val="single" w:sz="4" w:space="0" w:color="auto"/>
              <w:bottom w:val="nil"/>
              <w:right w:val="nil"/>
            </w:tcBorders>
          </w:tcPr>
          <w:p w14:paraId="497192DA" w14:textId="77777777" w:rsidR="0022077A" w:rsidRDefault="0022077A" w:rsidP="00185E4A">
            <w:pPr>
              <w:spacing w:before="40" w:after="40" w:line="276" w:lineRule="auto"/>
              <w:jc w:val="center"/>
            </w:pPr>
            <w:r>
              <w:t>2006</w:t>
            </w:r>
          </w:p>
        </w:tc>
        <w:tc>
          <w:tcPr>
            <w:tcW w:w="1610" w:type="dxa"/>
            <w:tcBorders>
              <w:top w:val="nil"/>
              <w:left w:val="nil"/>
              <w:bottom w:val="nil"/>
              <w:right w:val="nil"/>
            </w:tcBorders>
          </w:tcPr>
          <w:p w14:paraId="251B849F" w14:textId="77777777" w:rsidR="0022077A" w:rsidRDefault="0022077A" w:rsidP="00185E4A">
            <w:pPr>
              <w:spacing w:before="40" w:after="40" w:line="276" w:lineRule="auto"/>
              <w:jc w:val="center"/>
            </w:pPr>
            <w:r>
              <w:t>2006</w:t>
            </w:r>
          </w:p>
        </w:tc>
        <w:tc>
          <w:tcPr>
            <w:tcW w:w="1610" w:type="dxa"/>
            <w:tcBorders>
              <w:top w:val="nil"/>
              <w:left w:val="nil"/>
              <w:bottom w:val="nil"/>
              <w:right w:val="nil"/>
            </w:tcBorders>
          </w:tcPr>
          <w:p w14:paraId="2BBB8FEB" w14:textId="77777777" w:rsidR="0022077A" w:rsidRDefault="0022077A" w:rsidP="00185E4A">
            <w:pPr>
              <w:spacing w:before="40" w:after="40" w:line="276" w:lineRule="auto"/>
              <w:jc w:val="center"/>
            </w:pPr>
            <w:r>
              <w:t>2011</w:t>
            </w:r>
          </w:p>
        </w:tc>
        <w:tc>
          <w:tcPr>
            <w:tcW w:w="1610" w:type="dxa"/>
            <w:tcBorders>
              <w:top w:val="nil"/>
              <w:left w:val="nil"/>
              <w:bottom w:val="nil"/>
              <w:right w:val="nil"/>
            </w:tcBorders>
          </w:tcPr>
          <w:p w14:paraId="558D0123" w14:textId="77777777" w:rsidR="0022077A" w:rsidRDefault="0022077A" w:rsidP="00185E4A">
            <w:pPr>
              <w:spacing w:before="40" w:after="40" w:line="276" w:lineRule="auto"/>
              <w:jc w:val="center"/>
            </w:pPr>
            <w:r>
              <w:t>2016</w:t>
            </w:r>
          </w:p>
        </w:tc>
      </w:tr>
      <w:tr w:rsidR="00FA36BC" w14:paraId="1E4B7DFE" w14:textId="77777777" w:rsidTr="00841EDE">
        <w:tc>
          <w:tcPr>
            <w:tcW w:w="1214" w:type="dxa"/>
            <w:tcBorders>
              <w:top w:val="nil"/>
              <w:left w:val="nil"/>
              <w:bottom w:val="nil"/>
              <w:right w:val="single" w:sz="4" w:space="0" w:color="auto"/>
            </w:tcBorders>
          </w:tcPr>
          <w:p w14:paraId="26ABC3C2" w14:textId="77777777" w:rsidR="0022077A" w:rsidRDefault="0022077A" w:rsidP="00185E4A">
            <w:pPr>
              <w:spacing w:before="40" w:after="40" w:line="276" w:lineRule="auto"/>
              <w:jc w:val="center"/>
            </w:pPr>
            <w:r>
              <w:t>7</w:t>
            </w:r>
          </w:p>
        </w:tc>
        <w:tc>
          <w:tcPr>
            <w:tcW w:w="1610" w:type="dxa"/>
            <w:tcBorders>
              <w:top w:val="nil"/>
              <w:left w:val="single" w:sz="4" w:space="0" w:color="auto"/>
              <w:bottom w:val="nil"/>
              <w:right w:val="nil"/>
            </w:tcBorders>
          </w:tcPr>
          <w:p w14:paraId="2681A858" w14:textId="77777777" w:rsidR="0022077A" w:rsidRDefault="0022077A" w:rsidP="00185E4A">
            <w:pPr>
              <w:spacing w:before="40" w:after="40" w:line="276" w:lineRule="auto"/>
              <w:jc w:val="center"/>
            </w:pPr>
          </w:p>
        </w:tc>
        <w:tc>
          <w:tcPr>
            <w:tcW w:w="1610" w:type="dxa"/>
            <w:tcBorders>
              <w:top w:val="nil"/>
              <w:left w:val="nil"/>
              <w:bottom w:val="nil"/>
              <w:right w:val="nil"/>
            </w:tcBorders>
          </w:tcPr>
          <w:p w14:paraId="5723FAA7" w14:textId="77777777" w:rsidR="0022077A" w:rsidRDefault="0022077A" w:rsidP="00185E4A">
            <w:pPr>
              <w:spacing w:before="40" w:after="40" w:line="276" w:lineRule="auto"/>
              <w:jc w:val="center"/>
            </w:pPr>
            <w:r>
              <w:t>2011</w:t>
            </w:r>
          </w:p>
        </w:tc>
        <w:tc>
          <w:tcPr>
            <w:tcW w:w="1610" w:type="dxa"/>
            <w:tcBorders>
              <w:top w:val="nil"/>
              <w:left w:val="nil"/>
              <w:bottom w:val="nil"/>
              <w:right w:val="nil"/>
            </w:tcBorders>
          </w:tcPr>
          <w:p w14:paraId="1A53CBD6" w14:textId="77777777" w:rsidR="0022077A" w:rsidRDefault="0022077A" w:rsidP="00185E4A">
            <w:pPr>
              <w:spacing w:before="40" w:after="40" w:line="276" w:lineRule="auto"/>
              <w:jc w:val="center"/>
            </w:pPr>
            <w:r>
              <w:t>2011</w:t>
            </w:r>
          </w:p>
        </w:tc>
        <w:tc>
          <w:tcPr>
            <w:tcW w:w="1610" w:type="dxa"/>
            <w:tcBorders>
              <w:top w:val="nil"/>
              <w:left w:val="nil"/>
              <w:bottom w:val="nil"/>
              <w:right w:val="nil"/>
            </w:tcBorders>
          </w:tcPr>
          <w:p w14:paraId="1BBF8B30" w14:textId="77777777" w:rsidR="0022077A" w:rsidRDefault="0022077A" w:rsidP="00185E4A">
            <w:pPr>
              <w:spacing w:before="40" w:after="40" w:line="276" w:lineRule="auto"/>
              <w:jc w:val="center"/>
            </w:pPr>
          </w:p>
        </w:tc>
      </w:tr>
      <w:tr w:rsidR="00FA36BC" w14:paraId="13251FDA" w14:textId="77777777" w:rsidTr="00841EDE">
        <w:tc>
          <w:tcPr>
            <w:tcW w:w="1214" w:type="dxa"/>
            <w:tcBorders>
              <w:top w:val="nil"/>
              <w:left w:val="nil"/>
              <w:bottom w:val="nil"/>
              <w:right w:val="single" w:sz="4" w:space="0" w:color="auto"/>
            </w:tcBorders>
          </w:tcPr>
          <w:p w14:paraId="512D2CAC" w14:textId="77777777" w:rsidR="0022077A" w:rsidRDefault="0022077A" w:rsidP="00185E4A">
            <w:pPr>
              <w:spacing w:before="40" w:after="40" w:line="276" w:lineRule="auto"/>
              <w:jc w:val="center"/>
            </w:pPr>
            <w:r>
              <w:t>8</w:t>
            </w:r>
          </w:p>
        </w:tc>
        <w:tc>
          <w:tcPr>
            <w:tcW w:w="1610" w:type="dxa"/>
            <w:tcBorders>
              <w:top w:val="nil"/>
              <w:left w:val="single" w:sz="4" w:space="0" w:color="auto"/>
              <w:bottom w:val="nil"/>
              <w:right w:val="nil"/>
            </w:tcBorders>
          </w:tcPr>
          <w:p w14:paraId="4D17B38D" w14:textId="77777777" w:rsidR="0022077A" w:rsidRDefault="0022077A" w:rsidP="00185E4A">
            <w:pPr>
              <w:spacing w:before="40" w:after="40" w:line="276" w:lineRule="auto"/>
              <w:jc w:val="center"/>
            </w:pPr>
          </w:p>
        </w:tc>
        <w:tc>
          <w:tcPr>
            <w:tcW w:w="1610" w:type="dxa"/>
            <w:tcBorders>
              <w:top w:val="nil"/>
              <w:left w:val="nil"/>
              <w:bottom w:val="nil"/>
              <w:right w:val="nil"/>
            </w:tcBorders>
          </w:tcPr>
          <w:p w14:paraId="215005BC" w14:textId="77777777" w:rsidR="0022077A" w:rsidRDefault="0022077A" w:rsidP="00185E4A">
            <w:pPr>
              <w:spacing w:before="40" w:after="40" w:line="276" w:lineRule="auto"/>
              <w:jc w:val="center"/>
            </w:pPr>
            <w:r>
              <w:t>2011</w:t>
            </w:r>
          </w:p>
        </w:tc>
        <w:tc>
          <w:tcPr>
            <w:tcW w:w="1610" w:type="dxa"/>
            <w:tcBorders>
              <w:top w:val="nil"/>
              <w:left w:val="nil"/>
              <w:bottom w:val="nil"/>
              <w:right w:val="nil"/>
            </w:tcBorders>
          </w:tcPr>
          <w:p w14:paraId="15F8CB26" w14:textId="77777777" w:rsidR="0022077A" w:rsidRDefault="0022077A" w:rsidP="00185E4A">
            <w:pPr>
              <w:spacing w:before="40" w:after="40" w:line="276" w:lineRule="auto"/>
              <w:jc w:val="center"/>
            </w:pPr>
            <w:r>
              <w:t>2016</w:t>
            </w:r>
          </w:p>
        </w:tc>
        <w:tc>
          <w:tcPr>
            <w:tcW w:w="1610" w:type="dxa"/>
            <w:tcBorders>
              <w:top w:val="nil"/>
              <w:left w:val="nil"/>
              <w:bottom w:val="nil"/>
              <w:right w:val="nil"/>
            </w:tcBorders>
          </w:tcPr>
          <w:p w14:paraId="04964015" w14:textId="77777777" w:rsidR="0022077A" w:rsidRDefault="0022077A" w:rsidP="00185E4A">
            <w:pPr>
              <w:spacing w:before="40" w:after="40" w:line="276" w:lineRule="auto"/>
              <w:jc w:val="center"/>
            </w:pPr>
          </w:p>
        </w:tc>
      </w:tr>
      <w:tr w:rsidR="00FA36BC" w14:paraId="032AF9CA" w14:textId="77777777" w:rsidTr="00841EDE">
        <w:tc>
          <w:tcPr>
            <w:tcW w:w="1214" w:type="dxa"/>
            <w:tcBorders>
              <w:top w:val="nil"/>
              <w:left w:val="nil"/>
              <w:bottom w:val="single" w:sz="4" w:space="0" w:color="auto"/>
              <w:right w:val="single" w:sz="4" w:space="0" w:color="auto"/>
            </w:tcBorders>
          </w:tcPr>
          <w:p w14:paraId="1243A6D8" w14:textId="77777777" w:rsidR="0022077A" w:rsidRDefault="0022077A" w:rsidP="00185E4A">
            <w:pPr>
              <w:spacing w:before="40" w:after="40" w:line="276" w:lineRule="auto"/>
              <w:jc w:val="center"/>
            </w:pPr>
            <w:r>
              <w:t>9</w:t>
            </w:r>
          </w:p>
        </w:tc>
        <w:tc>
          <w:tcPr>
            <w:tcW w:w="1610" w:type="dxa"/>
            <w:tcBorders>
              <w:top w:val="nil"/>
              <w:left w:val="single" w:sz="4" w:space="0" w:color="auto"/>
              <w:bottom w:val="single" w:sz="4" w:space="0" w:color="auto"/>
              <w:right w:val="nil"/>
            </w:tcBorders>
          </w:tcPr>
          <w:p w14:paraId="48646C3C" w14:textId="77777777" w:rsidR="0022077A" w:rsidRDefault="0022077A" w:rsidP="00185E4A">
            <w:pPr>
              <w:spacing w:before="40" w:after="40" w:line="276" w:lineRule="auto"/>
              <w:jc w:val="center"/>
            </w:pPr>
          </w:p>
        </w:tc>
        <w:tc>
          <w:tcPr>
            <w:tcW w:w="1610" w:type="dxa"/>
            <w:tcBorders>
              <w:top w:val="nil"/>
              <w:left w:val="nil"/>
              <w:bottom w:val="single" w:sz="4" w:space="0" w:color="auto"/>
              <w:right w:val="nil"/>
            </w:tcBorders>
          </w:tcPr>
          <w:p w14:paraId="4F990360" w14:textId="77777777" w:rsidR="0022077A" w:rsidRDefault="0022077A" w:rsidP="00185E4A">
            <w:pPr>
              <w:spacing w:before="40" w:after="40" w:line="276" w:lineRule="auto"/>
              <w:jc w:val="center"/>
            </w:pPr>
            <w:r>
              <w:t>2016</w:t>
            </w:r>
          </w:p>
        </w:tc>
        <w:tc>
          <w:tcPr>
            <w:tcW w:w="1610" w:type="dxa"/>
            <w:tcBorders>
              <w:top w:val="nil"/>
              <w:left w:val="nil"/>
              <w:bottom w:val="single" w:sz="4" w:space="0" w:color="auto"/>
              <w:right w:val="nil"/>
            </w:tcBorders>
          </w:tcPr>
          <w:p w14:paraId="3C2361F3" w14:textId="77777777" w:rsidR="0022077A" w:rsidRDefault="0022077A" w:rsidP="00185E4A">
            <w:pPr>
              <w:spacing w:before="40" w:after="40" w:line="276" w:lineRule="auto"/>
              <w:jc w:val="center"/>
            </w:pPr>
          </w:p>
        </w:tc>
        <w:tc>
          <w:tcPr>
            <w:tcW w:w="1610" w:type="dxa"/>
            <w:tcBorders>
              <w:top w:val="nil"/>
              <w:left w:val="nil"/>
              <w:bottom w:val="single" w:sz="4" w:space="0" w:color="auto"/>
              <w:right w:val="nil"/>
            </w:tcBorders>
          </w:tcPr>
          <w:p w14:paraId="34718C95" w14:textId="77777777" w:rsidR="0022077A" w:rsidRDefault="0022077A" w:rsidP="00185E4A">
            <w:pPr>
              <w:spacing w:before="40" w:after="40" w:line="276" w:lineRule="auto"/>
              <w:jc w:val="center"/>
            </w:pPr>
          </w:p>
        </w:tc>
      </w:tr>
    </w:tbl>
    <w:p w14:paraId="559A2036" w14:textId="77777777" w:rsidR="0022077A" w:rsidRDefault="0022077A" w:rsidP="0022077A">
      <w:pPr>
        <w:spacing w:line="276" w:lineRule="auto"/>
      </w:pPr>
    </w:p>
    <w:p w14:paraId="5050A801" w14:textId="6C4A55A3" w:rsidR="00354044" w:rsidRDefault="005478B5" w:rsidP="009E6BD0">
      <w:pPr>
        <w:pStyle w:val="BodyText0"/>
      </w:pPr>
      <w:r>
        <w:t xml:space="preserve">The four SEIFA indices mentioned above – IRSD, IRSAD, IEO and IER – have been in the ALSWH datasets since 2002. Before 2002, different SEIFA indices, including Urban Advantage and Rural Advantage, were used.  </w:t>
      </w:r>
      <w:r w:rsidR="0022077A">
        <w:t xml:space="preserve">Up until 2022 the full SEIFA index values were on the ALSWH datasets and available to researchers. </w:t>
      </w:r>
      <w:r w:rsidR="00F9046C">
        <w:t xml:space="preserve">From </w:t>
      </w:r>
      <w:r w:rsidR="0022077A">
        <w:t xml:space="preserve">2022 the actual values </w:t>
      </w:r>
      <w:r w:rsidR="00F9046C">
        <w:t xml:space="preserve">will be replaced by </w:t>
      </w:r>
      <w:r w:rsidR="0022077A">
        <w:t>SEIFA quantiles</w:t>
      </w:r>
      <w:r w:rsidR="00F9046C">
        <w:t>.</w:t>
      </w:r>
      <w:r w:rsidR="0022077A">
        <w:t xml:space="preserve"> </w:t>
      </w:r>
    </w:p>
    <w:p w14:paraId="4E3ED83E" w14:textId="76DB2613" w:rsidR="0022077A" w:rsidRPr="00BA2373" w:rsidRDefault="0022077A" w:rsidP="00BA2373">
      <w:pPr>
        <w:pStyle w:val="Heading3"/>
        <w:rPr>
          <w:rFonts w:cs="Times New Roman"/>
          <w:szCs w:val="20"/>
        </w:rPr>
      </w:pPr>
      <w:bookmarkStart w:id="1122" w:name="_Toc124762816"/>
      <w:r>
        <w:t>Quantiles</w:t>
      </w:r>
      <w:r w:rsidRPr="009A4B7D">
        <w:t xml:space="preserve"> replacing index values</w:t>
      </w:r>
      <w:bookmarkEnd w:id="1122"/>
    </w:p>
    <w:p w14:paraId="5BFA8E6D" w14:textId="7C022EC9" w:rsidR="0022077A" w:rsidRDefault="0022077A" w:rsidP="00BA2373">
      <w:pPr>
        <w:pStyle w:val="BodyText"/>
      </w:pPr>
      <w:r>
        <w:t>The ABS give guidelines on the appropriate use of SEIFA</w:t>
      </w:r>
      <w:r w:rsidR="00F9046C">
        <w:t xml:space="preserve"> and clarify that t</w:t>
      </w:r>
      <w:r>
        <w:t>he indices are assigned to areas</w:t>
      </w:r>
      <w:r w:rsidR="00F9046C">
        <w:t>,</w:t>
      </w:r>
      <w:r>
        <w:t xml:space="preserve"> not to people. They indicate the average socio-economic characteristics of the people, families, and households in the area.</w:t>
      </w:r>
    </w:p>
    <w:p w14:paraId="3636C583" w14:textId="77777777" w:rsidR="0022077A" w:rsidRDefault="0022077A" w:rsidP="00BA2373">
      <w:pPr>
        <w:pStyle w:val="BodyText"/>
      </w:pPr>
      <w:r>
        <w:t xml:space="preserve">SEIFA are best interpreted as ordinal measures. The scales are arbitrary; they do not represent some quantity. For example, an index value of 1000 does not necessarily mean the area is twice as advantaged as one with a value of 500. </w:t>
      </w:r>
    </w:p>
    <w:p w14:paraId="436FABB4" w14:textId="7AC9CFF9" w:rsidR="0022077A" w:rsidRDefault="0022077A" w:rsidP="00BA2373">
      <w:pPr>
        <w:pStyle w:val="BodyText"/>
      </w:pPr>
      <w:r>
        <w:t>The ABS recommend rankings and quantiles, such as deciles and percentiles, are used rather than the index values.</w:t>
      </w:r>
      <w:r w:rsidR="00F9046C">
        <w:t xml:space="preserve"> </w:t>
      </w:r>
      <w:r>
        <w:t xml:space="preserve">The ABS also note the indexes are designed to compare area characteristics at a given time and longitudinal analysis can be difficult to interpret. Therefore, the use of quantiles is recommended, rather than scores. </w:t>
      </w:r>
    </w:p>
    <w:p w14:paraId="55718019" w14:textId="77777777" w:rsidR="00354044" w:rsidRDefault="0022077A" w:rsidP="00354044">
      <w:pPr>
        <w:pStyle w:val="BodyText"/>
      </w:pPr>
      <w:r>
        <w:t>Further to the ABS recommendations for using quantiles, it was noticed that the actual SEIFA scores could be potentially identifying of individual participants especially where there only one participant in the statistical area unit.</w:t>
      </w:r>
    </w:p>
    <w:p w14:paraId="0E221462" w14:textId="545683BC" w:rsidR="0022077A" w:rsidRPr="00BA2373" w:rsidRDefault="0022077A" w:rsidP="00BA2373">
      <w:pPr>
        <w:pStyle w:val="Heading3"/>
        <w:rPr>
          <w:rFonts w:cs="Times New Roman"/>
        </w:rPr>
      </w:pPr>
      <w:bookmarkStart w:id="1123" w:name="_Toc124762817"/>
      <w:r w:rsidRPr="00A77AE1">
        <w:t>SEIFA Quantiles in the ALSWH data</w:t>
      </w:r>
      <w:bookmarkEnd w:id="1123"/>
    </w:p>
    <w:p w14:paraId="4C74B0BE" w14:textId="7E71B294" w:rsidR="0022077A" w:rsidRDefault="0022077A" w:rsidP="005B3C73">
      <w:pPr>
        <w:spacing w:before="0" w:after="0"/>
        <w:jc w:val="left"/>
      </w:pPr>
      <w:r>
        <w:t xml:space="preserve">Each SEIFA index has been replaced by four quantile variables in the ALSWH datasets. These are deciles, quartiles, </w:t>
      </w:r>
      <w:proofErr w:type="spellStart"/>
      <w:r>
        <w:t>tertiles</w:t>
      </w:r>
      <w:proofErr w:type="spellEnd"/>
      <w:r>
        <w:t xml:space="preserve"> and binary variables. The quartiles and </w:t>
      </w:r>
      <w:proofErr w:type="spellStart"/>
      <w:r>
        <w:t>tertiles</w:t>
      </w:r>
      <w:proofErr w:type="spellEnd"/>
      <w:r>
        <w:t xml:space="preserve"> can be combined to produce 12-point quantiles. The variable names are </w:t>
      </w:r>
      <w:r w:rsidR="00F9046C">
        <w:t xml:space="preserve">shown </w:t>
      </w:r>
      <w:r>
        <w:t xml:space="preserve">in </w:t>
      </w:r>
      <w:r w:rsidR="005B3C73">
        <w:t>Table 7-7.</w:t>
      </w:r>
    </w:p>
    <w:p w14:paraId="16BE9E9C" w14:textId="77777777" w:rsidR="009A7F51" w:rsidRDefault="009A7F51">
      <w:pPr>
        <w:spacing w:before="0" w:after="0" w:line="240" w:lineRule="auto"/>
        <w:jc w:val="left"/>
        <w:rPr>
          <w:b/>
          <w:bCs/>
          <w:szCs w:val="20"/>
        </w:rPr>
      </w:pPr>
      <w:bookmarkStart w:id="1124" w:name="_Ref112684912"/>
      <w:r>
        <w:br w:type="page"/>
      </w:r>
    </w:p>
    <w:p w14:paraId="1A2CDB7A" w14:textId="4214C3CC" w:rsidR="0022077A" w:rsidRPr="00C030C4" w:rsidRDefault="009A7F51" w:rsidP="0000266C">
      <w:pPr>
        <w:pStyle w:val="Caption"/>
      </w:pPr>
      <w:r>
        <w:lastRenderedPageBreak/>
        <w:t xml:space="preserve">Table </w:t>
      </w:r>
      <w:fldSimple w:instr=" STYLEREF 1 \s ">
        <w:r w:rsidR="007D19D7">
          <w:rPr>
            <w:noProof/>
          </w:rPr>
          <w:t>7</w:t>
        </w:r>
      </w:fldSimple>
      <w:r w:rsidR="00327D59">
        <w:noBreakHyphen/>
      </w:r>
      <w:fldSimple w:instr=" SEQ Table \* ARABIC \s 1 ">
        <w:r w:rsidR="007D19D7">
          <w:rPr>
            <w:noProof/>
          </w:rPr>
          <w:t>7</w:t>
        </w:r>
      </w:fldSimple>
      <w:bookmarkEnd w:id="1124"/>
      <w:r>
        <w:t xml:space="preserve"> </w:t>
      </w:r>
      <w:r w:rsidR="0022077A" w:rsidRPr="00C030C4">
        <w:t xml:space="preserve">SEIFA Quantile variable names and labels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185E4A" w:rsidRPr="00D724D4" w14:paraId="6F2D0973" w14:textId="77777777" w:rsidTr="00185E4A">
        <w:tc>
          <w:tcPr>
            <w:tcW w:w="2405" w:type="dxa"/>
            <w:tcBorders>
              <w:bottom w:val="single" w:sz="4" w:space="0" w:color="auto"/>
              <w:right w:val="single" w:sz="4" w:space="0" w:color="auto"/>
            </w:tcBorders>
            <w:shd w:val="clear" w:color="auto" w:fill="E5DFEC" w:themeFill="accent4" w:themeFillTint="33"/>
          </w:tcPr>
          <w:p w14:paraId="45EC8926" w14:textId="77777777" w:rsidR="0022077A" w:rsidRPr="00185E4A" w:rsidRDefault="0022077A" w:rsidP="00185E4A">
            <w:pPr>
              <w:spacing w:before="40" w:after="40"/>
              <w:contextualSpacing/>
              <w:rPr>
                <w:b/>
                <w:bCs/>
              </w:rPr>
            </w:pPr>
            <w:r w:rsidRPr="00185E4A">
              <w:rPr>
                <w:b/>
                <w:bCs/>
              </w:rPr>
              <w:t>Quantile</w:t>
            </w:r>
          </w:p>
        </w:tc>
        <w:tc>
          <w:tcPr>
            <w:tcW w:w="6611" w:type="dxa"/>
            <w:tcBorders>
              <w:left w:val="single" w:sz="4" w:space="0" w:color="auto"/>
              <w:bottom w:val="single" w:sz="4" w:space="0" w:color="auto"/>
            </w:tcBorders>
            <w:shd w:val="clear" w:color="auto" w:fill="E5DFEC" w:themeFill="accent4" w:themeFillTint="33"/>
          </w:tcPr>
          <w:p w14:paraId="1E5648A1" w14:textId="77777777" w:rsidR="0022077A" w:rsidRPr="00185E4A" w:rsidRDefault="0022077A" w:rsidP="00185E4A">
            <w:pPr>
              <w:spacing w:before="40" w:after="40"/>
              <w:contextualSpacing/>
              <w:rPr>
                <w:b/>
                <w:bCs/>
              </w:rPr>
            </w:pPr>
            <w:r w:rsidRPr="00185E4A">
              <w:rPr>
                <w:b/>
                <w:bCs/>
              </w:rPr>
              <w:t>Label</w:t>
            </w:r>
          </w:p>
        </w:tc>
      </w:tr>
      <w:tr w:rsidR="00185E4A" w:rsidRPr="00D724D4" w14:paraId="392A43AA" w14:textId="77777777" w:rsidTr="00185E4A">
        <w:tc>
          <w:tcPr>
            <w:tcW w:w="2405" w:type="dxa"/>
            <w:tcBorders>
              <w:top w:val="single" w:sz="4" w:space="0" w:color="auto"/>
              <w:right w:val="single" w:sz="4" w:space="0" w:color="auto"/>
            </w:tcBorders>
          </w:tcPr>
          <w:p w14:paraId="2DD06D20" w14:textId="77777777" w:rsidR="0022077A" w:rsidRPr="00D724D4" w:rsidRDefault="0022077A" w:rsidP="00185E4A">
            <w:pPr>
              <w:spacing w:before="40" w:after="40"/>
              <w:contextualSpacing/>
            </w:pPr>
            <w:r w:rsidRPr="00D724D4">
              <w:t xml:space="preserve">SEO11_deciles </w:t>
            </w:r>
          </w:p>
        </w:tc>
        <w:tc>
          <w:tcPr>
            <w:tcW w:w="6611" w:type="dxa"/>
            <w:tcBorders>
              <w:top w:val="single" w:sz="4" w:space="0" w:color="auto"/>
              <w:left w:val="single" w:sz="4" w:space="0" w:color="auto"/>
            </w:tcBorders>
          </w:tcPr>
          <w:p w14:paraId="2FF73147" w14:textId="77777777" w:rsidR="0022077A" w:rsidRPr="00D724D4" w:rsidRDefault="0022077A" w:rsidP="00185E4A">
            <w:pPr>
              <w:spacing w:before="40" w:after="40"/>
              <w:contextualSpacing/>
            </w:pPr>
            <w:r w:rsidRPr="00D724D4">
              <w:t>Deciles, SEIFA index of Education and Occupation, Census 2011</w:t>
            </w:r>
          </w:p>
        </w:tc>
      </w:tr>
      <w:tr w:rsidR="0022077A" w:rsidRPr="00D724D4" w14:paraId="671C1DE8" w14:textId="77777777" w:rsidTr="00185E4A">
        <w:tc>
          <w:tcPr>
            <w:tcW w:w="2405" w:type="dxa"/>
            <w:tcBorders>
              <w:right w:val="single" w:sz="4" w:space="0" w:color="auto"/>
            </w:tcBorders>
          </w:tcPr>
          <w:p w14:paraId="2572A68D" w14:textId="77777777" w:rsidR="0022077A" w:rsidRPr="00D724D4" w:rsidRDefault="0022077A" w:rsidP="00185E4A">
            <w:pPr>
              <w:spacing w:before="40" w:after="40"/>
              <w:contextualSpacing/>
            </w:pPr>
            <w:r w:rsidRPr="00D724D4">
              <w:t xml:space="preserve">SEO11_quartiles  </w:t>
            </w:r>
          </w:p>
        </w:tc>
        <w:tc>
          <w:tcPr>
            <w:tcW w:w="6611" w:type="dxa"/>
            <w:tcBorders>
              <w:left w:val="single" w:sz="4" w:space="0" w:color="auto"/>
            </w:tcBorders>
          </w:tcPr>
          <w:p w14:paraId="3A6C483D" w14:textId="77777777" w:rsidR="0022077A" w:rsidRPr="00D724D4" w:rsidRDefault="0022077A" w:rsidP="00185E4A">
            <w:pPr>
              <w:spacing w:before="40" w:after="40"/>
              <w:contextualSpacing/>
            </w:pPr>
            <w:r w:rsidRPr="00D724D4">
              <w:t>Quartiles, SEIFA index of Education and Occupation, Census 2011</w:t>
            </w:r>
          </w:p>
        </w:tc>
      </w:tr>
      <w:tr w:rsidR="0022077A" w:rsidRPr="00D724D4" w14:paraId="453823B4" w14:textId="77777777" w:rsidTr="00185E4A">
        <w:tc>
          <w:tcPr>
            <w:tcW w:w="2405" w:type="dxa"/>
            <w:tcBorders>
              <w:right w:val="single" w:sz="4" w:space="0" w:color="auto"/>
            </w:tcBorders>
          </w:tcPr>
          <w:p w14:paraId="3CB42DA4" w14:textId="77777777" w:rsidR="0022077A" w:rsidRPr="00D724D4" w:rsidRDefault="0022077A" w:rsidP="00185E4A">
            <w:pPr>
              <w:spacing w:before="40" w:after="40"/>
              <w:contextualSpacing/>
            </w:pPr>
            <w:r w:rsidRPr="00D724D4">
              <w:t xml:space="preserve">SEO11_tertiles </w:t>
            </w:r>
          </w:p>
        </w:tc>
        <w:tc>
          <w:tcPr>
            <w:tcW w:w="6611" w:type="dxa"/>
            <w:tcBorders>
              <w:left w:val="single" w:sz="4" w:space="0" w:color="auto"/>
            </w:tcBorders>
          </w:tcPr>
          <w:p w14:paraId="6747B6AE" w14:textId="77777777" w:rsidR="0022077A" w:rsidRPr="00D724D4" w:rsidRDefault="0022077A" w:rsidP="00185E4A">
            <w:pPr>
              <w:spacing w:before="40" w:after="40"/>
              <w:contextualSpacing/>
            </w:pPr>
            <w:r w:rsidRPr="00D724D4">
              <w:t xml:space="preserve"> </w:t>
            </w:r>
            <w:proofErr w:type="spellStart"/>
            <w:r w:rsidRPr="00D724D4">
              <w:t>Tertiles</w:t>
            </w:r>
            <w:proofErr w:type="spellEnd"/>
            <w:r w:rsidRPr="00D724D4">
              <w:t>, SEIFA index of Education and Occupation, Census 2011</w:t>
            </w:r>
          </w:p>
        </w:tc>
      </w:tr>
      <w:tr w:rsidR="0022077A" w:rsidRPr="00D724D4" w14:paraId="6DB1AD90" w14:textId="77777777" w:rsidTr="00185E4A">
        <w:tc>
          <w:tcPr>
            <w:tcW w:w="2405" w:type="dxa"/>
            <w:tcBorders>
              <w:right w:val="single" w:sz="4" w:space="0" w:color="auto"/>
            </w:tcBorders>
          </w:tcPr>
          <w:p w14:paraId="15BE78D9" w14:textId="77777777" w:rsidR="0022077A" w:rsidRPr="00D724D4" w:rsidRDefault="0022077A" w:rsidP="00185E4A">
            <w:pPr>
              <w:spacing w:before="40" w:after="40"/>
              <w:contextualSpacing/>
            </w:pPr>
            <w:r w:rsidRPr="00D724D4">
              <w:t xml:space="preserve">SEO11_high1low0 </w:t>
            </w:r>
          </w:p>
        </w:tc>
        <w:tc>
          <w:tcPr>
            <w:tcW w:w="6611" w:type="dxa"/>
            <w:tcBorders>
              <w:left w:val="single" w:sz="4" w:space="0" w:color="auto"/>
            </w:tcBorders>
          </w:tcPr>
          <w:p w14:paraId="472EE91C" w14:textId="77777777" w:rsidR="0022077A" w:rsidRPr="00D724D4" w:rsidRDefault="0022077A" w:rsidP="00185E4A">
            <w:pPr>
              <w:spacing w:before="40" w:after="40"/>
              <w:contextualSpacing/>
            </w:pPr>
            <w:r w:rsidRPr="00D724D4">
              <w:t xml:space="preserve"> High-Low, SEIFA index of Education and Occupation, Census 2011</w:t>
            </w:r>
          </w:p>
        </w:tc>
      </w:tr>
      <w:tr w:rsidR="0022077A" w:rsidRPr="00D724D4" w14:paraId="3EB29F55" w14:textId="77777777" w:rsidTr="00185E4A">
        <w:tc>
          <w:tcPr>
            <w:tcW w:w="2405" w:type="dxa"/>
            <w:tcBorders>
              <w:right w:val="single" w:sz="4" w:space="0" w:color="auto"/>
            </w:tcBorders>
          </w:tcPr>
          <w:p w14:paraId="545C57B6" w14:textId="77777777" w:rsidR="0022077A" w:rsidRPr="00D724D4" w:rsidRDefault="0022077A" w:rsidP="00185E4A">
            <w:pPr>
              <w:spacing w:before="40" w:after="40"/>
              <w:contextualSpacing/>
            </w:pPr>
          </w:p>
        </w:tc>
        <w:tc>
          <w:tcPr>
            <w:tcW w:w="6611" w:type="dxa"/>
            <w:tcBorders>
              <w:left w:val="single" w:sz="4" w:space="0" w:color="auto"/>
            </w:tcBorders>
          </w:tcPr>
          <w:p w14:paraId="759DB841" w14:textId="77777777" w:rsidR="0022077A" w:rsidRPr="00D724D4" w:rsidRDefault="0022077A" w:rsidP="00185E4A">
            <w:pPr>
              <w:spacing w:before="40" w:after="40"/>
              <w:contextualSpacing/>
            </w:pPr>
          </w:p>
        </w:tc>
      </w:tr>
      <w:tr w:rsidR="0022077A" w:rsidRPr="00D724D4" w14:paraId="5B610E37" w14:textId="77777777" w:rsidTr="00185E4A">
        <w:tc>
          <w:tcPr>
            <w:tcW w:w="2405" w:type="dxa"/>
            <w:tcBorders>
              <w:right w:val="single" w:sz="4" w:space="0" w:color="auto"/>
            </w:tcBorders>
          </w:tcPr>
          <w:p w14:paraId="65975452" w14:textId="77777777" w:rsidR="0022077A" w:rsidRPr="00D724D4" w:rsidRDefault="0022077A" w:rsidP="00185E4A">
            <w:pPr>
              <w:spacing w:before="40" w:after="40"/>
              <w:contextualSpacing/>
            </w:pPr>
            <w:r w:rsidRPr="00D724D4">
              <w:t xml:space="preserve">SAD11_deciles  </w:t>
            </w:r>
          </w:p>
        </w:tc>
        <w:tc>
          <w:tcPr>
            <w:tcW w:w="6611" w:type="dxa"/>
            <w:tcBorders>
              <w:left w:val="single" w:sz="4" w:space="0" w:color="auto"/>
            </w:tcBorders>
          </w:tcPr>
          <w:p w14:paraId="798AC2D3" w14:textId="77777777" w:rsidR="0022077A" w:rsidRPr="00D724D4" w:rsidRDefault="0022077A" w:rsidP="00185E4A">
            <w:pPr>
              <w:spacing w:before="40" w:after="40"/>
              <w:contextualSpacing/>
            </w:pPr>
            <w:r w:rsidRPr="00D724D4">
              <w:t>Deciles, SEIFA index of Socio-economic Adv/</w:t>
            </w:r>
            <w:proofErr w:type="spellStart"/>
            <w:r w:rsidRPr="00D724D4">
              <w:t>Disadv</w:t>
            </w:r>
            <w:proofErr w:type="spellEnd"/>
            <w:r w:rsidRPr="00D724D4">
              <w:t>, Census 2011</w:t>
            </w:r>
          </w:p>
        </w:tc>
      </w:tr>
      <w:tr w:rsidR="0022077A" w:rsidRPr="00D724D4" w14:paraId="54F0BCF9" w14:textId="77777777" w:rsidTr="00185E4A">
        <w:tc>
          <w:tcPr>
            <w:tcW w:w="2405" w:type="dxa"/>
            <w:tcBorders>
              <w:right w:val="single" w:sz="4" w:space="0" w:color="auto"/>
            </w:tcBorders>
          </w:tcPr>
          <w:p w14:paraId="356B2DAC" w14:textId="77777777" w:rsidR="0022077A" w:rsidRPr="00D724D4" w:rsidRDefault="0022077A" w:rsidP="00185E4A">
            <w:pPr>
              <w:spacing w:before="40" w:after="40"/>
              <w:contextualSpacing/>
            </w:pPr>
            <w:r w:rsidRPr="00D724D4">
              <w:t xml:space="preserve">SAD11_quartiles  </w:t>
            </w:r>
          </w:p>
        </w:tc>
        <w:tc>
          <w:tcPr>
            <w:tcW w:w="6611" w:type="dxa"/>
            <w:tcBorders>
              <w:left w:val="single" w:sz="4" w:space="0" w:color="auto"/>
            </w:tcBorders>
          </w:tcPr>
          <w:p w14:paraId="6BC3E338" w14:textId="77777777" w:rsidR="0022077A" w:rsidRPr="00D724D4" w:rsidRDefault="0022077A" w:rsidP="00185E4A">
            <w:pPr>
              <w:spacing w:before="40" w:after="40"/>
              <w:contextualSpacing/>
            </w:pPr>
            <w:r w:rsidRPr="00D724D4">
              <w:t>Quartiles, SEIFA index of Socio-economic Adv/</w:t>
            </w:r>
            <w:proofErr w:type="spellStart"/>
            <w:r w:rsidRPr="00D724D4">
              <w:t>Disadv</w:t>
            </w:r>
            <w:proofErr w:type="spellEnd"/>
            <w:r w:rsidRPr="00D724D4">
              <w:t>, Census 2011</w:t>
            </w:r>
          </w:p>
        </w:tc>
      </w:tr>
      <w:tr w:rsidR="0022077A" w:rsidRPr="00D724D4" w14:paraId="5B717C7F" w14:textId="77777777" w:rsidTr="00185E4A">
        <w:tc>
          <w:tcPr>
            <w:tcW w:w="2405" w:type="dxa"/>
            <w:tcBorders>
              <w:right w:val="single" w:sz="4" w:space="0" w:color="auto"/>
            </w:tcBorders>
          </w:tcPr>
          <w:p w14:paraId="328E905F" w14:textId="77777777" w:rsidR="0022077A" w:rsidRPr="00D724D4" w:rsidRDefault="0022077A" w:rsidP="00185E4A">
            <w:pPr>
              <w:spacing w:before="40" w:after="40"/>
              <w:contextualSpacing/>
            </w:pPr>
            <w:r w:rsidRPr="00D724D4">
              <w:t xml:space="preserve">SAD11_tertiles  </w:t>
            </w:r>
          </w:p>
        </w:tc>
        <w:tc>
          <w:tcPr>
            <w:tcW w:w="6611" w:type="dxa"/>
            <w:tcBorders>
              <w:left w:val="single" w:sz="4" w:space="0" w:color="auto"/>
            </w:tcBorders>
          </w:tcPr>
          <w:p w14:paraId="22456647" w14:textId="77777777" w:rsidR="0022077A" w:rsidRPr="00D724D4" w:rsidRDefault="0022077A" w:rsidP="00185E4A">
            <w:pPr>
              <w:spacing w:before="40" w:after="40"/>
              <w:contextualSpacing/>
            </w:pPr>
            <w:proofErr w:type="spellStart"/>
            <w:r w:rsidRPr="00D724D4">
              <w:t>Tertiles</w:t>
            </w:r>
            <w:proofErr w:type="spellEnd"/>
            <w:r w:rsidRPr="00D724D4">
              <w:t>, SEIFA index of Socio-economic Adv/</w:t>
            </w:r>
            <w:proofErr w:type="spellStart"/>
            <w:r w:rsidRPr="00D724D4">
              <w:t>Disadv</w:t>
            </w:r>
            <w:proofErr w:type="spellEnd"/>
            <w:r w:rsidRPr="00D724D4">
              <w:t>, Census 2011</w:t>
            </w:r>
          </w:p>
        </w:tc>
      </w:tr>
      <w:tr w:rsidR="0022077A" w:rsidRPr="00D724D4" w14:paraId="68CA3CCE" w14:textId="77777777" w:rsidTr="00185E4A">
        <w:tc>
          <w:tcPr>
            <w:tcW w:w="2405" w:type="dxa"/>
            <w:tcBorders>
              <w:right w:val="single" w:sz="4" w:space="0" w:color="auto"/>
            </w:tcBorders>
          </w:tcPr>
          <w:p w14:paraId="2BC1F1A6" w14:textId="77777777" w:rsidR="0022077A" w:rsidRPr="00D724D4" w:rsidRDefault="0022077A" w:rsidP="00185E4A">
            <w:pPr>
              <w:spacing w:before="40" w:after="40"/>
              <w:contextualSpacing/>
            </w:pPr>
            <w:r w:rsidRPr="00D724D4">
              <w:t xml:space="preserve">SAD11_high1low0 </w:t>
            </w:r>
          </w:p>
        </w:tc>
        <w:tc>
          <w:tcPr>
            <w:tcW w:w="6611" w:type="dxa"/>
            <w:tcBorders>
              <w:left w:val="single" w:sz="4" w:space="0" w:color="auto"/>
            </w:tcBorders>
          </w:tcPr>
          <w:p w14:paraId="4A603B28" w14:textId="77777777" w:rsidR="0022077A" w:rsidRPr="00D724D4" w:rsidRDefault="0022077A" w:rsidP="00185E4A">
            <w:pPr>
              <w:spacing w:before="40" w:after="40"/>
              <w:contextualSpacing/>
            </w:pPr>
            <w:r w:rsidRPr="00D724D4">
              <w:t xml:space="preserve"> High-Low, SEIFA index of Socio-economic Adv/</w:t>
            </w:r>
            <w:proofErr w:type="spellStart"/>
            <w:r w:rsidRPr="00D724D4">
              <w:t>Disadv</w:t>
            </w:r>
            <w:proofErr w:type="spellEnd"/>
            <w:r w:rsidRPr="00D724D4">
              <w:t>, Census 2011</w:t>
            </w:r>
          </w:p>
        </w:tc>
      </w:tr>
      <w:tr w:rsidR="0022077A" w:rsidRPr="00D724D4" w14:paraId="6027ABDD" w14:textId="77777777" w:rsidTr="00185E4A">
        <w:tc>
          <w:tcPr>
            <w:tcW w:w="2405" w:type="dxa"/>
            <w:tcBorders>
              <w:right w:val="single" w:sz="4" w:space="0" w:color="auto"/>
            </w:tcBorders>
          </w:tcPr>
          <w:p w14:paraId="318B8B6B" w14:textId="77777777" w:rsidR="0022077A" w:rsidRPr="00D724D4" w:rsidRDefault="0022077A" w:rsidP="00185E4A">
            <w:pPr>
              <w:spacing w:before="40" w:after="40"/>
              <w:contextualSpacing/>
            </w:pPr>
          </w:p>
        </w:tc>
        <w:tc>
          <w:tcPr>
            <w:tcW w:w="6611" w:type="dxa"/>
            <w:tcBorders>
              <w:left w:val="single" w:sz="4" w:space="0" w:color="auto"/>
            </w:tcBorders>
          </w:tcPr>
          <w:p w14:paraId="517066E1" w14:textId="77777777" w:rsidR="0022077A" w:rsidRPr="00D724D4" w:rsidRDefault="0022077A" w:rsidP="00185E4A">
            <w:pPr>
              <w:spacing w:before="40" w:after="40"/>
              <w:contextualSpacing/>
            </w:pPr>
          </w:p>
        </w:tc>
      </w:tr>
      <w:tr w:rsidR="0022077A" w:rsidRPr="00D724D4" w14:paraId="3F7E5AD2" w14:textId="77777777" w:rsidTr="00185E4A">
        <w:tc>
          <w:tcPr>
            <w:tcW w:w="2405" w:type="dxa"/>
            <w:tcBorders>
              <w:right w:val="single" w:sz="4" w:space="0" w:color="auto"/>
            </w:tcBorders>
          </w:tcPr>
          <w:p w14:paraId="6CF92D3A" w14:textId="77777777" w:rsidR="0022077A" w:rsidRPr="00D724D4" w:rsidRDefault="0022077A" w:rsidP="00185E4A">
            <w:pPr>
              <w:spacing w:before="40" w:after="40"/>
              <w:contextualSpacing/>
            </w:pPr>
            <w:r w:rsidRPr="00D724D4">
              <w:t xml:space="preserve">SER11_deciles  </w:t>
            </w:r>
          </w:p>
        </w:tc>
        <w:tc>
          <w:tcPr>
            <w:tcW w:w="6611" w:type="dxa"/>
            <w:tcBorders>
              <w:left w:val="single" w:sz="4" w:space="0" w:color="auto"/>
            </w:tcBorders>
          </w:tcPr>
          <w:p w14:paraId="2E48F226" w14:textId="77777777" w:rsidR="0022077A" w:rsidRPr="00D724D4" w:rsidRDefault="0022077A" w:rsidP="00185E4A">
            <w:pPr>
              <w:spacing w:before="40" w:after="40"/>
              <w:contextualSpacing/>
            </w:pPr>
            <w:r w:rsidRPr="00D724D4">
              <w:t>Deciles, SEIFA index of Economic resources, Census 2011</w:t>
            </w:r>
          </w:p>
        </w:tc>
      </w:tr>
      <w:tr w:rsidR="0022077A" w:rsidRPr="00D724D4" w14:paraId="75D5474E" w14:textId="77777777" w:rsidTr="00185E4A">
        <w:tc>
          <w:tcPr>
            <w:tcW w:w="2405" w:type="dxa"/>
            <w:tcBorders>
              <w:right w:val="single" w:sz="4" w:space="0" w:color="auto"/>
            </w:tcBorders>
          </w:tcPr>
          <w:p w14:paraId="6D6EFAE9" w14:textId="77777777" w:rsidR="0022077A" w:rsidRPr="00D724D4" w:rsidRDefault="0022077A" w:rsidP="00185E4A">
            <w:pPr>
              <w:spacing w:before="40" w:after="40"/>
              <w:contextualSpacing/>
            </w:pPr>
            <w:r w:rsidRPr="00D724D4">
              <w:t xml:space="preserve">SER11_quartiles  </w:t>
            </w:r>
          </w:p>
        </w:tc>
        <w:tc>
          <w:tcPr>
            <w:tcW w:w="6611" w:type="dxa"/>
            <w:tcBorders>
              <w:left w:val="single" w:sz="4" w:space="0" w:color="auto"/>
            </w:tcBorders>
          </w:tcPr>
          <w:p w14:paraId="559CA791" w14:textId="77777777" w:rsidR="0022077A" w:rsidRPr="00D724D4" w:rsidRDefault="0022077A" w:rsidP="00185E4A">
            <w:pPr>
              <w:spacing w:before="40" w:after="40"/>
              <w:contextualSpacing/>
            </w:pPr>
            <w:r w:rsidRPr="00D724D4">
              <w:t>Quartiles, SEIFA index of Economic resources, Census 2011</w:t>
            </w:r>
          </w:p>
        </w:tc>
      </w:tr>
      <w:tr w:rsidR="0022077A" w:rsidRPr="00D724D4" w14:paraId="1DC8EE02" w14:textId="77777777" w:rsidTr="00185E4A">
        <w:tc>
          <w:tcPr>
            <w:tcW w:w="2405" w:type="dxa"/>
            <w:tcBorders>
              <w:right w:val="single" w:sz="4" w:space="0" w:color="auto"/>
            </w:tcBorders>
          </w:tcPr>
          <w:p w14:paraId="121D6F2E" w14:textId="77777777" w:rsidR="0022077A" w:rsidRPr="00D724D4" w:rsidRDefault="0022077A" w:rsidP="00185E4A">
            <w:pPr>
              <w:spacing w:before="40" w:after="40"/>
              <w:contextualSpacing/>
            </w:pPr>
            <w:r w:rsidRPr="00D724D4">
              <w:t xml:space="preserve">SER11_tertiles  </w:t>
            </w:r>
          </w:p>
        </w:tc>
        <w:tc>
          <w:tcPr>
            <w:tcW w:w="6611" w:type="dxa"/>
            <w:tcBorders>
              <w:left w:val="single" w:sz="4" w:space="0" w:color="auto"/>
            </w:tcBorders>
          </w:tcPr>
          <w:p w14:paraId="0E3EE44C" w14:textId="77777777" w:rsidR="0022077A" w:rsidRPr="00D724D4" w:rsidRDefault="0022077A" w:rsidP="00185E4A">
            <w:pPr>
              <w:spacing w:before="40" w:after="40"/>
              <w:contextualSpacing/>
            </w:pPr>
            <w:proofErr w:type="spellStart"/>
            <w:r w:rsidRPr="00D724D4">
              <w:t>Tertiles</w:t>
            </w:r>
            <w:proofErr w:type="spellEnd"/>
            <w:r w:rsidRPr="00D724D4">
              <w:t>, SEIFA index of Economic resources, Census 2011</w:t>
            </w:r>
          </w:p>
        </w:tc>
      </w:tr>
      <w:tr w:rsidR="0022077A" w:rsidRPr="00D724D4" w14:paraId="2E853AF0" w14:textId="77777777" w:rsidTr="00185E4A">
        <w:tc>
          <w:tcPr>
            <w:tcW w:w="2405" w:type="dxa"/>
            <w:tcBorders>
              <w:right w:val="single" w:sz="4" w:space="0" w:color="auto"/>
            </w:tcBorders>
          </w:tcPr>
          <w:p w14:paraId="405F979F" w14:textId="77777777" w:rsidR="0022077A" w:rsidRPr="00D724D4" w:rsidRDefault="0022077A" w:rsidP="00185E4A">
            <w:pPr>
              <w:spacing w:before="40" w:after="40"/>
              <w:contextualSpacing/>
            </w:pPr>
            <w:r w:rsidRPr="00D724D4">
              <w:t xml:space="preserve">SER11_high1low0 </w:t>
            </w:r>
          </w:p>
        </w:tc>
        <w:tc>
          <w:tcPr>
            <w:tcW w:w="6611" w:type="dxa"/>
            <w:tcBorders>
              <w:left w:val="single" w:sz="4" w:space="0" w:color="auto"/>
            </w:tcBorders>
          </w:tcPr>
          <w:p w14:paraId="2E4880E2" w14:textId="77777777" w:rsidR="0022077A" w:rsidRPr="00D724D4" w:rsidRDefault="0022077A" w:rsidP="00185E4A">
            <w:pPr>
              <w:spacing w:before="40" w:after="40"/>
              <w:contextualSpacing/>
            </w:pPr>
            <w:r w:rsidRPr="00D724D4">
              <w:t xml:space="preserve"> High-Low, SEIFA index of Economic resources, Census 2011</w:t>
            </w:r>
          </w:p>
        </w:tc>
      </w:tr>
      <w:tr w:rsidR="0022077A" w:rsidRPr="00D724D4" w14:paraId="3E0B236B" w14:textId="77777777" w:rsidTr="00185E4A">
        <w:tc>
          <w:tcPr>
            <w:tcW w:w="2405" w:type="dxa"/>
            <w:tcBorders>
              <w:right w:val="single" w:sz="4" w:space="0" w:color="auto"/>
            </w:tcBorders>
          </w:tcPr>
          <w:p w14:paraId="4832E50D" w14:textId="77777777" w:rsidR="0022077A" w:rsidRPr="00D724D4" w:rsidRDefault="0022077A" w:rsidP="00185E4A">
            <w:pPr>
              <w:spacing w:before="40" w:after="40"/>
              <w:contextualSpacing/>
            </w:pPr>
          </w:p>
        </w:tc>
        <w:tc>
          <w:tcPr>
            <w:tcW w:w="6611" w:type="dxa"/>
            <w:tcBorders>
              <w:left w:val="single" w:sz="4" w:space="0" w:color="auto"/>
            </w:tcBorders>
          </w:tcPr>
          <w:p w14:paraId="6389F1B9" w14:textId="77777777" w:rsidR="0022077A" w:rsidRPr="00D724D4" w:rsidRDefault="0022077A" w:rsidP="00185E4A">
            <w:pPr>
              <w:spacing w:before="40" w:after="40"/>
              <w:contextualSpacing/>
            </w:pPr>
          </w:p>
        </w:tc>
      </w:tr>
      <w:tr w:rsidR="0022077A" w:rsidRPr="00D724D4" w14:paraId="4BBC54F5" w14:textId="77777777" w:rsidTr="00185E4A">
        <w:tc>
          <w:tcPr>
            <w:tcW w:w="2405" w:type="dxa"/>
            <w:tcBorders>
              <w:right w:val="single" w:sz="4" w:space="0" w:color="auto"/>
            </w:tcBorders>
          </w:tcPr>
          <w:p w14:paraId="4C5A9836" w14:textId="77777777" w:rsidR="0022077A" w:rsidRPr="00D724D4" w:rsidRDefault="0022077A" w:rsidP="00185E4A">
            <w:pPr>
              <w:spacing w:before="40" w:after="40"/>
              <w:contextualSpacing/>
            </w:pPr>
            <w:r w:rsidRPr="00D724D4">
              <w:t xml:space="preserve">SD11_deciles  </w:t>
            </w:r>
          </w:p>
        </w:tc>
        <w:tc>
          <w:tcPr>
            <w:tcW w:w="6611" w:type="dxa"/>
            <w:tcBorders>
              <w:left w:val="single" w:sz="4" w:space="0" w:color="auto"/>
            </w:tcBorders>
          </w:tcPr>
          <w:p w14:paraId="4A8E2F60" w14:textId="77777777" w:rsidR="0022077A" w:rsidRPr="00D724D4" w:rsidRDefault="0022077A" w:rsidP="00185E4A">
            <w:pPr>
              <w:spacing w:before="40" w:after="40"/>
              <w:contextualSpacing/>
            </w:pPr>
            <w:r w:rsidRPr="00D724D4">
              <w:t>Deciles, SEIFA index of Socio-economic Disadvantage, Census 2011</w:t>
            </w:r>
          </w:p>
        </w:tc>
      </w:tr>
      <w:tr w:rsidR="0022077A" w:rsidRPr="00D724D4" w14:paraId="1DD4B05F" w14:textId="77777777" w:rsidTr="00185E4A">
        <w:tc>
          <w:tcPr>
            <w:tcW w:w="2405" w:type="dxa"/>
            <w:tcBorders>
              <w:right w:val="single" w:sz="4" w:space="0" w:color="auto"/>
            </w:tcBorders>
          </w:tcPr>
          <w:p w14:paraId="1314281A" w14:textId="77777777" w:rsidR="0022077A" w:rsidRPr="00D724D4" w:rsidRDefault="0022077A" w:rsidP="00185E4A">
            <w:pPr>
              <w:spacing w:before="40" w:after="40"/>
              <w:contextualSpacing/>
            </w:pPr>
            <w:r w:rsidRPr="00D724D4">
              <w:t xml:space="preserve">SD11_quartiles  </w:t>
            </w:r>
          </w:p>
        </w:tc>
        <w:tc>
          <w:tcPr>
            <w:tcW w:w="6611" w:type="dxa"/>
            <w:tcBorders>
              <w:left w:val="single" w:sz="4" w:space="0" w:color="auto"/>
            </w:tcBorders>
          </w:tcPr>
          <w:p w14:paraId="075332E8" w14:textId="77777777" w:rsidR="0022077A" w:rsidRPr="00D724D4" w:rsidRDefault="0022077A" w:rsidP="00185E4A">
            <w:pPr>
              <w:spacing w:before="40" w:after="40"/>
              <w:contextualSpacing/>
            </w:pPr>
            <w:r w:rsidRPr="00D724D4">
              <w:t>Quartiles, SEIFA index of Socio-economic Disadvantage, Census 2011</w:t>
            </w:r>
          </w:p>
        </w:tc>
      </w:tr>
      <w:tr w:rsidR="00185E4A" w:rsidRPr="00D724D4" w14:paraId="77BB0BED" w14:textId="77777777" w:rsidTr="00185E4A">
        <w:tc>
          <w:tcPr>
            <w:tcW w:w="2405" w:type="dxa"/>
            <w:tcBorders>
              <w:right w:val="single" w:sz="4" w:space="0" w:color="auto"/>
            </w:tcBorders>
          </w:tcPr>
          <w:p w14:paraId="037EE7EF" w14:textId="77777777" w:rsidR="0022077A" w:rsidRPr="00D724D4" w:rsidRDefault="0022077A" w:rsidP="00185E4A">
            <w:pPr>
              <w:spacing w:before="40" w:after="40"/>
              <w:contextualSpacing/>
            </w:pPr>
            <w:r w:rsidRPr="00D724D4">
              <w:t xml:space="preserve">SD11_tertiles </w:t>
            </w:r>
          </w:p>
        </w:tc>
        <w:tc>
          <w:tcPr>
            <w:tcW w:w="6611" w:type="dxa"/>
            <w:tcBorders>
              <w:left w:val="single" w:sz="4" w:space="0" w:color="auto"/>
            </w:tcBorders>
          </w:tcPr>
          <w:p w14:paraId="369470E0" w14:textId="77777777" w:rsidR="0022077A" w:rsidRPr="00D724D4" w:rsidRDefault="0022077A" w:rsidP="00185E4A">
            <w:pPr>
              <w:spacing w:before="40" w:after="40"/>
              <w:contextualSpacing/>
            </w:pPr>
            <w:r w:rsidRPr="00D724D4">
              <w:t xml:space="preserve"> </w:t>
            </w:r>
            <w:proofErr w:type="spellStart"/>
            <w:r w:rsidRPr="00D724D4">
              <w:t>Tertiles</w:t>
            </w:r>
            <w:proofErr w:type="spellEnd"/>
            <w:r w:rsidRPr="00D724D4">
              <w:t>, SEIFA index of Socio-economic Disadvantage, Census 2011</w:t>
            </w:r>
          </w:p>
        </w:tc>
      </w:tr>
      <w:tr w:rsidR="00185E4A" w:rsidRPr="00D724D4" w14:paraId="3BA2920D" w14:textId="77777777" w:rsidTr="00185E4A">
        <w:tc>
          <w:tcPr>
            <w:tcW w:w="2405" w:type="dxa"/>
            <w:tcBorders>
              <w:bottom w:val="single" w:sz="4" w:space="0" w:color="auto"/>
              <w:right w:val="single" w:sz="4" w:space="0" w:color="auto"/>
            </w:tcBorders>
          </w:tcPr>
          <w:p w14:paraId="5DC57909" w14:textId="77777777" w:rsidR="0022077A" w:rsidRPr="00D724D4" w:rsidRDefault="0022077A" w:rsidP="00185E4A">
            <w:pPr>
              <w:spacing w:before="40" w:after="40"/>
              <w:contextualSpacing/>
            </w:pPr>
            <w:r w:rsidRPr="00D724D4">
              <w:t xml:space="preserve">SD11_high1low0  </w:t>
            </w:r>
          </w:p>
        </w:tc>
        <w:tc>
          <w:tcPr>
            <w:tcW w:w="6611" w:type="dxa"/>
            <w:tcBorders>
              <w:left w:val="single" w:sz="4" w:space="0" w:color="auto"/>
              <w:bottom w:val="single" w:sz="4" w:space="0" w:color="auto"/>
            </w:tcBorders>
          </w:tcPr>
          <w:p w14:paraId="7BC12482" w14:textId="77777777" w:rsidR="0022077A" w:rsidRPr="00D724D4" w:rsidRDefault="0022077A" w:rsidP="00185E4A">
            <w:pPr>
              <w:spacing w:before="40" w:after="40"/>
              <w:contextualSpacing/>
            </w:pPr>
            <w:r w:rsidRPr="00D724D4">
              <w:t>High-Low, SEIFA index of Socio-economic Disadvantage, Census 2011</w:t>
            </w:r>
          </w:p>
        </w:tc>
      </w:tr>
    </w:tbl>
    <w:p w14:paraId="66C9DC41" w14:textId="77777777" w:rsidR="0022077A" w:rsidRDefault="0022077A" w:rsidP="0022077A">
      <w:pPr>
        <w:spacing w:line="276" w:lineRule="auto"/>
      </w:pPr>
    </w:p>
    <w:p w14:paraId="52305A4E" w14:textId="685AB7BC" w:rsidR="0022077A" w:rsidRPr="009A4B7D" w:rsidRDefault="0022077A" w:rsidP="00BA2373">
      <w:pPr>
        <w:pStyle w:val="Heading3"/>
      </w:pPr>
      <w:bookmarkStart w:id="1125" w:name="_Toc112771771"/>
      <w:bookmarkStart w:id="1126" w:name="_Toc124762818"/>
      <w:bookmarkEnd w:id="1125"/>
      <w:r w:rsidRPr="009A4B7D">
        <w:t>References</w:t>
      </w:r>
      <w:bookmarkEnd w:id="1126"/>
    </w:p>
    <w:p w14:paraId="76D7080B" w14:textId="26D9E087" w:rsidR="0022077A" w:rsidRDefault="0022077A" w:rsidP="0022077A">
      <w:pPr>
        <w:spacing w:line="276" w:lineRule="auto"/>
      </w:pPr>
      <w:r>
        <w:t>A</w:t>
      </w:r>
      <w:r w:rsidR="00BA2373">
        <w:t>ustralian Bureau of Statistics</w:t>
      </w:r>
      <w:r w:rsidR="001A7C07">
        <w:t xml:space="preserve">. </w:t>
      </w:r>
      <w:hyperlink r:id="rId68" w:history="1">
        <w:r w:rsidR="001A7C07" w:rsidRPr="001A7C07">
          <w:rPr>
            <w:rStyle w:val="Hyperlink"/>
          </w:rPr>
          <w:t>Socio-Economic Indexes for Areas</w:t>
        </w:r>
      </w:hyperlink>
      <w:r w:rsidR="001A7C07">
        <w:t>.  (2016; accessed July 2022).</w:t>
      </w:r>
    </w:p>
    <w:p w14:paraId="325C8D60" w14:textId="77777777" w:rsidR="0022077A" w:rsidRDefault="0022077A" w:rsidP="0022077A">
      <w:pPr>
        <w:spacing w:line="276" w:lineRule="auto"/>
      </w:pPr>
    </w:p>
    <w:bookmarkEnd w:id="1102"/>
    <w:p w14:paraId="23A86DA0" w14:textId="77777777" w:rsidR="0022077A" w:rsidRDefault="0022077A" w:rsidP="0022077A">
      <w:pPr>
        <w:spacing w:line="276" w:lineRule="auto"/>
      </w:pPr>
    </w:p>
    <w:p w14:paraId="4421E11E" w14:textId="77777777" w:rsidR="0022077A" w:rsidRPr="00426110" w:rsidRDefault="0022077A" w:rsidP="00167129">
      <w:pPr>
        <w:spacing w:line="276" w:lineRule="auto"/>
      </w:pPr>
    </w:p>
    <w:p w14:paraId="6DF99FD6" w14:textId="7422C408" w:rsidR="009E2CDE" w:rsidRDefault="009E2CDE">
      <w:pPr>
        <w:spacing w:before="0" w:after="0" w:line="240" w:lineRule="auto"/>
        <w:jc w:val="left"/>
      </w:pPr>
      <w:r>
        <w:br w:type="page"/>
      </w:r>
    </w:p>
    <w:p w14:paraId="0ABB49AB" w14:textId="257EE4D8" w:rsidR="00A4306B" w:rsidRDefault="00795031" w:rsidP="006B02B6">
      <w:pPr>
        <w:pStyle w:val="Heading1"/>
        <w:spacing w:line="276" w:lineRule="auto"/>
      </w:pPr>
      <w:bookmarkStart w:id="1127" w:name="_Toc81483389"/>
      <w:bookmarkStart w:id="1128" w:name="_Toc81483390"/>
      <w:bookmarkStart w:id="1129" w:name="_Toc81483392"/>
      <w:bookmarkStart w:id="1130" w:name="_Toc81483394"/>
      <w:bookmarkStart w:id="1131" w:name="_Toc81483399"/>
      <w:bookmarkStart w:id="1132" w:name="_Toc81483401"/>
      <w:bookmarkStart w:id="1133" w:name="_Toc81483409"/>
      <w:bookmarkStart w:id="1134" w:name="_2021_Major_Report"/>
      <w:bookmarkStart w:id="1135" w:name="_Toc124762819"/>
      <w:bookmarkEnd w:id="1127"/>
      <w:bookmarkEnd w:id="1128"/>
      <w:bookmarkEnd w:id="1129"/>
      <w:bookmarkEnd w:id="1130"/>
      <w:bookmarkEnd w:id="1131"/>
      <w:bookmarkEnd w:id="1132"/>
      <w:bookmarkEnd w:id="1133"/>
      <w:bookmarkEnd w:id="1134"/>
      <w:r>
        <w:lastRenderedPageBreak/>
        <w:t xml:space="preserve">2021 </w:t>
      </w:r>
      <w:r w:rsidR="00A4306B">
        <w:t>Major Report</w:t>
      </w:r>
      <w:bookmarkEnd w:id="1100"/>
      <w:bookmarkEnd w:id="1135"/>
    </w:p>
    <w:p w14:paraId="753BB055" w14:textId="2C3E4014" w:rsidR="00A4306B" w:rsidRDefault="00A4306B" w:rsidP="00E23AF2">
      <w:pPr>
        <w:spacing w:line="240" w:lineRule="auto"/>
        <w:rPr>
          <w:rFonts w:cs="Arial"/>
        </w:rPr>
      </w:pPr>
    </w:p>
    <w:p w14:paraId="4B8D169F" w14:textId="3B1BA30F" w:rsidR="008E14A4" w:rsidRDefault="008E14A4" w:rsidP="00EE3439">
      <w:r>
        <w:t xml:space="preserve">The </w:t>
      </w:r>
      <w:r w:rsidR="004C382A">
        <w:t xml:space="preserve">2022 </w:t>
      </w:r>
      <w:r>
        <w:t xml:space="preserve">Major Report </w:t>
      </w:r>
      <w:r w:rsidR="00833BED">
        <w:t>used the longitudinal data collected across the four cohorts of women in the ALSWH to focus on health and risk factors in midlife.</w:t>
      </w:r>
      <w:r w:rsidR="006C1FF9">
        <w:t xml:space="preserve"> </w:t>
      </w:r>
      <w:r w:rsidR="00833BED">
        <w:t>In 2021, when the report was prepared, t</w:t>
      </w:r>
      <w:r w:rsidR="00833BED" w:rsidRPr="008848B8">
        <w:rPr>
          <w:rFonts w:cstheme="minorHAnsi"/>
        </w:rPr>
        <w:t xml:space="preserve">he women in the 1973-78 cohort </w:t>
      </w:r>
      <w:r w:rsidR="00833BED">
        <w:rPr>
          <w:rFonts w:cstheme="minorHAnsi"/>
        </w:rPr>
        <w:t>we</w:t>
      </w:r>
      <w:r w:rsidR="00833BED" w:rsidRPr="008848B8">
        <w:rPr>
          <w:rFonts w:cstheme="minorHAnsi"/>
        </w:rPr>
        <w:t>re just entering their middle years (aged 43-48), and the 1946</w:t>
      </w:r>
      <w:r w:rsidR="00833BED">
        <w:rPr>
          <w:rFonts w:cstheme="minorHAnsi"/>
        </w:rPr>
        <w:noBreakHyphen/>
      </w:r>
      <w:r w:rsidR="00833BED" w:rsidRPr="008848B8">
        <w:rPr>
          <w:rFonts w:cstheme="minorHAnsi"/>
        </w:rPr>
        <w:t xml:space="preserve">51 cohort </w:t>
      </w:r>
      <w:r w:rsidR="00833BED">
        <w:rPr>
          <w:rFonts w:cstheme="minorHAnsi"/>
        </w:rPr>
        <w:t>we</w:t>
      </w:r>
      <w:r w:rsidR="00833BED" w:rsidRPr="008848B8">
        <w:rPr>
          <w:rFonts w:cstheme="minorHAnsi"/>
        </w:rPr>
        <w:t xml:space="preserve">re in their 70s, while the 1989-95 cohort </w:t>
      </w:r>
      <w:r w:rsidR="00833BED">
        <w:rPr>
          <w:rFonts w:cstheme="minorHAnsi"/>
        </w:rPr>
        <w:t>we</w:t>
      </w:r>
      <w:r w:rsidR="00833BED" w:rsidRPr="008848B8">
        <w:rPr>
          <w:rFonts w:cstheme="minorHAnsi"/>
        </w:rPr>
        <w:t xml:space="preserve">re in their late 20s. </w:t>
      </w:r>
      <w:r w:rsidR="00833BED">
        <w:rPr>
          <w:rFonts w:cstheme="minorHAnsi"/>
        </w:rPr>
        <w:t>Consequently,</w:t>
      </w:r>
      <w:r w:rsidR="00833BED" w:rsidRPr="008848B8">
        <w:rPr>
          <w:rFonts w:cstheme="minorHAnsi"/>
        </w:rPr>
        <w:t xml:space="preserve"> </w:t>
      </w:r>
      <w:r w:rsidR="00833BED">
        <w:rPr>
          <w:rFonts w:cstheme="minorHAnsi"/>
        </w:rPr>
        <w:t xml:space="preserve">while the report concentrates on changes for women in the 1946-51 cohort as they age from their 40s to their 70s, </w:t>
      </w:r>
      <w:r w:rsidR="00833BED" w:rsidRPr="008848B8">
        <w:rPr>
          <w:rFonts w:cstheme="minorHAnsi"/>
        </w:rPr>
        <w:t>the report</w:t>
      </w:r>
      <w:r w:rsidR="00833BED">
        <w:rPr>
          <w:rFonts w:cstheme="minorHAnsi"/>
        </w:rPr>
        <w:t xml:space="preserve"> also contrasts the experience of these women with those of the </w:t>
      </w:r>
      <w:r w:rsidR="00833BED" w:rsidRPr="008848B8">
        <w:t>1921-26 cohort</w:t>
      </w:r>
      <w:r w:rsidR="00833BED">
        <w:t xml:space="preserve"> (who may shed light on these women’s future health expectations) and those of the younger cohorts as they move into their middle years. </w:t>
      </w:r>
      <w:r w:rsidR="00833BED">
        <w:rPr>
          <w:rFonts w:cstheme="minorHAnsi"/>
        </w:rPr>
        <w:t>T</w:t>
      </w:r>
      <w:r w:rsidR="00833BED" w:rsidRPr="008848B8">
        <w:t>he</w:t>
      </w:r>
      <w:r w:rsidR="00833BED">
        <w:t xml:space="preserve"> report</w:t>
      </w:r>
      <w:r w:rsidR="00833BED" w:rsidRPr="008848B8">
        <w:t xml:space="preserve"> findings </w:t>
      </w:r>
      <w:r w:rsidR="00833BED">
        <w:t xml:space="preserve">aim to </w:t>
      </w:r>
      <w:r w:rsidR="00833BED" w:rsidRPr="008848B8">
        <w:t>improve understanding of midlife for women in Australia</w:t>
      </w:r>
      <w:r w:rsidR="00833BED">
        <w:t xml:space="preserve"> and the implications for health and wellbeing in midlife and beyond. They can help </w:t>
      </w:r>
      <w:r w:rsidR="00833BED" w:rsidRPr="008848B8">
        <w:t>identify intervention points at earlier stages of women’s lives to reduce risk of adverse outcome</w:t>
      </w:r>
      <w:r w:rsidR="00833BED">
        <w:t>s</w:t>
      </w:r>
      <w:r w:rsidR="00833BED" w:rsidRPr="008848B8">
        <w:t xml:space="preserve"> and inform preventive health policy and targeted intervention strategies to improve </w:t>
      </w:r>
      <w:r w:rsidR="00833BED">
        <w:t xml:space="preserve">women’s </w:t>
      </w:r>
      <w:r w:rsidR="00833BED" w:rsidRPr="008848B8">
        <w:t>health and wellbeing over the medium and long term</w:t>
      </w:r>
      <w:r w:rsidR="000F5CAC">
        <w:t xml:space="preserve"> </w:t>
      </w:r>
      <w:r w:rsidR="002A5E54">
        <w:t xml:space="preserve"> A summary</w:t>
      </w:r>
      <w:r w:rsidR="00A14C09">
        <w:t xml:space="preserve"> </w:t>
      </w:r>
      <w:r w:rsidR="00833BED">
        <w:t>of the report</w:t>
      </w:r>
      <w:r w:rsidR="002A5E54">
        <w:t xml:space="preserve"> is included here – the </w:t>
      </w:r>
      <w:hyperlink r:id="rId69" w:history="1">
        <w:r w:rsidR="002A5E54" w:rsidRPr="002A5E54">
          <w:rPr>
            <w:rStyle w:val="Hyperlink"/>
          </w:rPr>
          <w:t>full report</w:t>
        </w:r>
      </w:hyperlink>
      <w:r w:rsidR="002A5E54">
        <w:t xml:space="preserve"> is available on the Study website.</w:t>
      </w:r>
    </w:p>
    <w:p w14:paraId="4E28464A" w14:textId="77777777" w:rsidR="004C382A" w:rsidRDefault="004C382A" w:rsidP="004C382A">
      <w:pPr>
        <w:pStyle w:val="Heading2"/>
        <w:spacing w:before="80" w:after="80" w:line="276" w:lineRule="auto"/>
        <w:ind w:left="709" w:hanging="709"/>
        <w:jc w:val="left"/>
      </w:pPr>
      <w:bookmarkStart w:id="1136" w:name="_Toc96589872"/>
      <w:bookmarkStart w:id="1137" w:name="_Toc124762820"/>
      <w:r>
        <w:t>Overview of the four ALSWH cohorts across the life course</w:t>
      </w:r>
      <w:bookmarkEnd w:id="1136"/>
      <w:bookmarkEnd w:id="1137"/>
    </w:p>
    <w:p w14:paraId="7A1D5E6B" w14:textId="77777777" w:rsidR="004C382A" w:rsidRPr="00A85CBB" w:rsidRDefault="004C382A" w:rsidP="004C382A">
      <w:r>
        <w:t>The initial analysis used longitudinal data from ALSWH collected since the baseline survey in 1996 to the most recent data points. These data provide an overview of health and key factors across the four cohorts, essentially covering the life course from early adulthood to old age. This overview clarifies the changes across the course of women’s lives, often showing progress in health states, but also highlighting areas of rising concern, with each generation of Australian women:</w:t>
      </w:r>
    </w:p>
    <w:p w14:paraId="53BC3165" w14:textId="77777777" w:rsidR="004C382A" w:rsidRPr="008848B8" w:rsidRDefault="004C382A" w:rsidP="00C472D7">
      <w:pPr>
        <w:pStyle w:val="ListParagraph"/>
        <w:numPr>
          <w:ilvl w:val="0"/>
          <w:numId w:val="71"/>
        </w:numPr>
        <w:spacing w:before="0" w:after="80"/>
      </w:pPr>
      <w:r w:rsidRPr="008848B8">
        <w:rPr>
          <w:bCs/>
          <w:iCs/>
        </w:rPr>
        <w:t xml:space="preserve">Successive </w:t>
      </w:r>
      <w:r>
        <w:rPr>
          <w:bCs/>
          <w:iCs/>
        </w:rPr>
        <w:t>cohorts</w:t>
      </w:r>
      <w:r w:rsidRPr="008848B8">
        <w:rPr>
          <w:bCs/>
          <w:iCs/>
        </w:rPr>
        <w:t xml:space="preserve"> of women </w:t>
      </w:r>
      <w:proofErr w:type="gramStart"/>
      <w:r w:rsidRPr="008848B8">
        <w:rPr>
          <w:bCs/>
          <w:iCs/>
        </w:rPr>
        <w:t>are:</w:t>
      </w:r>
      <w:proofErr w:type="gramEnd"/>
      <w:r w:rsidRPr="008848B8">
        <w:rPr>
          <w:bCs/>
          <w:iCs/>
        </w:rPr>
        <w:t xml:space="preserve"> better educated, less likely to smoke, more likely to undertake sufficient physical activity for health benefit, but more likely to be overweight or obese. </w:t>
      </w:r>
    </w:p>
    <w:p w14:paraId="75BFD9B6" w14:textId="77777777" w:rsidR="004C382A" w:rsidRDefault="004C382A" w:rsidP="00C472D7">
      <w:pPr>
        <w:pStyle w:val="ListParagraph"/>
        <w:numPr>
          <w:ilvl w:val="0"/>
          <w:numId w:val="71"/>
        </w:numPr>
        <w:spacing w:before="0" w:after="80"/>
      </w:pPr>
      <w:r>
        <w:t xml:space="preserve">The </w:t>
      </w:r>
      <w:r w:rsidRPr="008848B8">
        <w:t xml:space="preserve">1989-95 </w:t>
      </w:r>
      <w:r>
        <w:t xml:space="preserve">cohort, the youngest in ALSWH, </w:t>
      </w:r>
      <w:r w:rsidRPr="008848B8">
        <w:t>have poorer self-rated health and poorer mental healt</w:t>
      </w:r>
      <w:r>
        <w:t xml:space="preserve">h, as is </w:t>
      </w:r>
      <w:proofErr w:type="gramStart"/>
      <w:r>
        <w:t>clearly evident</w:t>
      </w:r>
      <w:proofErr w:type="gramEnd"/>
      <w:r>
        <w:t xml:space="preserve"> in comparison with the 1973-78 cohort. </w:t>
      </w:r>
    </w:p>
    <w:p w14:paraId="5C101C24" w14:textId="77777777" w:rsidR="004C382A" w:rsidRPr="008848B8" w:rsidRDefault="004C382A" w:rsidP="00C472D7">
      <w:pPr>
        <w:pStyle w:val="ListParagraph"/>
        <w:numPr>
          <w:ilvl w:val="0"/>
          <w:numId w:val="71"/>
        </w:numPr>
        <w:spacing w:before="0" w:after="80"/>
      </w:pPr>
      <w:r>
        <w:t xml:space="preserve">Rates of obesity have increased rapidly in the </w:t>
      </w:r>
      <w:r w:rsidRPr="008848B8">
        <w:t xml:space="preserve">1989-95 </w:t>
      </w:r>
      <w:r>
        <w:t>cohort compared with previous generations. Over 20% were obese by their late 20s, a rate not seen in the 1973-78 cohort until their late 30s, and not until women in the 1946-51 cohort were aged in their 50s.</w:t>
      </w:r>
    </w:p>
    <w:p w14:paraId="3BDFD6CC" w14:textId="77777777" w:rsidR="004C382A" w:rsidRPr="008848B8" w:rsidRDefault="004C382A" w:rsidP="004C382A">
      <w:pPr>
        <w:pStyle w:val="Heading2"/>
        <w:spacing w:before="80" w:after="80" w:line="276" w:lineRule="auto"/>
        <w:ind w:left="709" w:hanging="709"/>
        <w:jc w:val="left"/>
      </w:pPr>
      <w:bookmarkStart w:id="1138" w:name="_Toc96589873"/>
      <w:bookmarkStart w:id="1139" w:name="_Toc124762821"/>
      <w:r>
        <w:t>T</w:t>
      </w:r>
      <w:r w:rsidRPr="008539F6">
        <w:t xml:space="preserve">hen and now: </w:t>
      </w:r>
      <w:r>
        <w:t>Comparing</w:t>
      </w:r>
      <w:r w:rsidRPr="008539F6">
        <w:t xml:space="preserve"> </w:t>
      </w:r>
      <w:r>
        <w:t xml:space="preserve">two generations of </w:t>
      </w:r>
      <w:r w:rsidRPr="008539F6">
        <w:t xml:space="preserve">women </w:t>
      </w:r>
      <w:r>
        <w:t>during midlife</w:t>
      </w:r>
      <w:bookmarkEnd w:id="1138"/>
      <w:bookmarkEnd w:id="1139"/>
    </w:p>
    <w:p w14:paraId="15401A5E" w14:textId="77777777" w:rsidR="004C382A" w:rsidRPr="008848B8" w:rsidRDefault="004C382A" w:rsidP="004C382A">
      <w:pPr>
        <w:contextualSpacing/>
      </w:pPr>
      <w:r>
        <w:t xml:space="preserve">Longitudinal data for women in the </w:t>
      </w:r>
      <w:r w:rsidRPr="008848B8">
        <w:t xml:space="preserve">1973-78 </w:t>
      </w:r>
      <w:r>
        <w:t xml:space="preserve">and </w:t>
      </w:r>
      <w:r w:rsidRPr="008848B8">
        <w:t>1946-51</w:t>
      </w:r>
      <w:r>
        <w:t xml:space="preserve"> cohorts were compared across midlife, with a specific comparison point used for when women in </w:t>
      </w:r>
      <w:r w:rsidRPr="008848B8">
        <w:t xml:space="preserve">the 1973-78 </w:t>
      </w:r>
      <w:r>
        <w:t xml:space="preserve">cohort were aged </w:t>
      </w:r>
      <w:r w:rsidRPr="007A41AF">
        <w:t>40-45 in 2018</w:t>
      </w:r>
      <w:r>
        <w:t xml:space="preserve"> with the </w:t>
      </w:r>
      <w:r w:rsidRPr="008848B8">
        <w:t>1946-51</w:t>
      </w:r>
      <w:r>
        <w:t xml:space="preserve"> cohort when women were aged 45</w:t>
      </w:r>
      <w:r>
        <w:noBreakHyphen/>
        <w:t>50 in 1996. This showed that:</w:t>
      </w:r>
    </w:p>
    <w:p w14:paraId="57403BD9" w14:textId="77777777" w:rsidR="004C382A" w:rsidRPr="008848B8" w:rsidRDefault="004C382A" w:rsidP="00C472D7">
      <w:pPr>
        <w:numPr>
          <w:ilvl w:val="0"/>
          <w:numId w:val="71"/>
        </w:numPr>
        <w:spacing w:before="0" w:after="0"/>
        <w:contextualSpacing/>
      </w:pPr>
      <w:r w:rsidRPr="008848B8">
        <w:t>The prevalence of overweight and obesity increased over time for women in both cohorts. The increase was greater among the 1973-78 cohort who were more likely to be overweight or obese at the age of 40-45 in 2018 than the older women were when they were aged 45-50 in 1996 (57% compared with 45%).</w:t>
      </w:r>
    </w:p>
    <w:p w14:paraId="5644DA68" w14:textId="77777777" w:rsidR="004C382A" w:rsidRPr="008848B8" w:rsidRDefault="004C382A" w:rsidP="00C472D7">
      <w:pPr>
        <w:numPr>
          <w:ilvl w:val="0"/>
          <w:numId w:val="71"/>
        </w:numPr>
        <w:spacing w:before="0" w:after="0"/>
        <w:contextualSpacing/>
      </w:pPr>
      <w:r w:rsidRPr="008848B8">
        <w:lastRenderedPageBreak/>
        <w:t>The 1946-51 cohort were more likely than the 1973-78 cohort to meet Australian Guidelines for fruit and vegetable consumption, physical activity and sitting time, and alcohol consumption.</w:t>
      </w:r>
    </w:p>
    <w:p w14:paraId="2A7BBB2C" w14:textId="77777777" w:rsidR="004C382A" w:rsidRPr="008848B8" w:rsidRDefault="004C382A" w:rsidP="00C472D7">
      <w:pPr>
        <w:numPr>
          <w:ilvl w:val="0"/>
          <w:numId w:val="71"/>
        </w:numPr>
        <w:spacing w:before="0" w:after="0"/>
        <w:contextualSpacing/>
      </w:pPr>
      <w:r w:rsidRPr="008848B8">
        <w:t>Both cohorts, showed a decline in smoking over time, with less than 10% of</w:t>
      </w:r>
      <w:r>
        <w:t xml:space="preserve"> </w:t>
      </w:r>
      <w:r w:rsidRPr="008848B8">
        <w:t xml:space="preserve">the 1973-78 cohort being smokers in their 40s, a rate substantially lower than for 1946-51 cohort around that age. While smoking in the 1946-51 cohort has continued to decline to less than 5% by their 70s, in the 1973-78 cohort the rate of decline in smoking has slowed in recent surveys. </w:t>
      </w:r>
    </w:p>
    <w:p w14:paraId="67C85655" w14:textId="77777777" w:rsidR="004C382A" w:rsidRPr="008848B8" w:rsidRDefault="004C382A" w:rsidP="00C472D7">
      <w:pPr>
        <w:numPr>
          <w:ilvl w:val="0"/>
          <w:numId w:val="71"/>
        </w:numPr>
        <w:spacing w:before="0" w:after="0"/>
        <w:contextualSpacing/>
      </w:pPr>
      <w:r w:rsidRPr="008848B8">
        <w:t xml:space="preserve">Most chronic conditions considered </w:t>
      </w:r>
      <w:r>
        <w:t>in this report</w:t>
      </w:r>
      <w:r w:rsidRPr="008848B8">
        <w:t xml:space="preserve"> increased with age. These included </w:t>
      </w:r>
      <w:r>
        <w:t xml:space="preserve">diabetes, </w:t>
      </w:r>
      <w:r w:rsidRPr="008848B8">
        <w:t xml:space="preserve">arthritis, cancer, heart disease, urinary incontinence, and difficulty sleeping, together with more doctor visits and poorer self-rated health. </w:t>
      </w:r>
    </w:p>
    <w:p w14:paraId="0BA4E26F" w14:textId="33E34A6B" w:rsidR="004C382A" w:rsidRPr="008848B8" w:rsidRDefault="004C382A" w:rsidP="00C472D7">
      <w:pPr>
        <w:numPr>
          <w:ilvl w:val="0"/>
          <w:numId w:val="71"/>
        </w:numPr>
        <w:spacing w:before="0" w:after="0"/>
        <w:contextualSpacing/>
      </w:pPr>
      <w:r w:rsidRPr="008848B8">
        <w:t xml:space="preserve">Consistent with the higher rates of obesity for the 1973-78 cohort in their 40s, the prevalence of diabetes at age 40-45 is </w:t>
      </w:r>
      <w:r>
        <w:t xml:space="preserve">already </w:t>
      </w:r>
      <w:r w:rsidRPr="008848B8">
        <w:t>around 5</w:t>
      </w:r>
      <w:r>
        <w:t xml:space="preserve">% and is on the rise. </w:t>
      </w:r>
      <w:r w:rsidRPr="008848B8">
        <w:t xml:space="preserve"> </w:t>
      </w:r>
      <w:r>
        <w:t xml:space="preserve">This prevalence only occurred </w:t>
      </w:r>
      <w:r w:rsidRPr="008848B8">
        <w:t>for</w:t>
      </w:r>
      <w:r>
        <w:t xml:space="preserve"> the</w:t>
      </w:r>
      <w:r w:rsidRPr="008848B8">
        <w:t xml:space="preserve"> 1946-51 cohort when they were</w:t>
      </w:r>
      <w:r w:rsidR="006C1FF9">
        <w:t xml:space="preserve"> in their</w:t>
      </w:r>
      <w:r w:rsidRPr="008848B8">
        <w:t xml:space="preserve"> </w:t>
      </w:r>
      <w:r>
        <w:t>50s</w:t>
      </w:r>
      <w:r w:rsidRPr="008848B8">
        <w:t>. Similarly</w:t>
      </w:r>
      <w:r>
        <w:t>,</w:t>
      </w:r>
      <w:r w:rsidRPr="008848B8">
        <w:t xml:space="preserve"> there are early indications that women in the 1973-78 cohort in their 40s are tracking higher than expected for both heart disease and urinary incontinence when compared with the 1946-51 </w:t>
      </w:r>
      <w:r>
        <w:t>cohort</w:t>
      </w:r>
      <w:r w:rsidRPr="008848B8">
        <w:t xml:space="preserve">. </w:t>
      </w:r>
    </w:p>
    <w:p w14:paraId="4F8F70D9" w14:textId="77777777" w:rsidR="004C382A" w:rsidRPr="008848B8" w:rsidRDefault="004C382A" w:rsidP="00C472D7">
      <w:pPr>
        <w:numPr>
          <w:ilvl w:val="0"/>
          <w:numId w:val="71"/>
        </w:numPr>
        <w:spacing w:before="0" w:after="0"/>
        <w:contextualSpacing/>
      </w:pPr>
      <w:r w:rsidRPr="008848B8">
        <w:t>The mental health of women in the 1946-51 cohort improved with age, with measures of depression, anxiety</w:t>
      </w:r>
      <w:r>
        <w:t>,</w:t>
      </w:r>
      <w:r w:rsidRPr="008848B8">
        <w:t xml:space="preserve"> and stress all showing a consistent decline. For the 1973-78 cohort, however, after an initial decline there was </w:t>
      </w:r>
      <w:r>
        <w:t xml:space="preserve">a </w:t>
      </w:r>
      <w:r w:rsidRPr="008848B8">
        <w:t xml:space="preserve">sharp rise in depression, </w:t>
      </w:r>
      <w:proofErr w:type="gramStart"/>
      <w:r w:rsidRPr="008848B8">
        <w:t>anxiety</w:t>
      </w:r>
      <w:proofErr w:type="gramEnd"/>
      <w:r w:rsidRPr="008848B8">
        <w:t xml:space="preserve"> and stress scores, since the</w:t>
      </w:r>
      <w:r>
        <w:t>ir</w:t>
      </w:r>
      <w:r w:rsidRPr="008848B8">
        <w:t xml:space="preserve"> mid-30s or </w:t>
      </w:r>
      <w:r>
        <w:t>since around 2010</w:t>
      </w:r>
      <w:r w:rsidRPr="008848B8">
        <w:t xml:space="preserve">, that </w:t>
      </w:r>
      <w:r>
        <w:t>has yet to show a</w:t>
      </w:r>
      <w:r w:rsidRPr="008848B8">
        <w:t xml:space="preserve"> shift to a decline</w:t>
      </w:r>
      <w:r>
        <w:t xml:space="preserve"> again</w:t>
      </w:r>
      <w:r w:rsidRPr="008848B8">
        <w:t xml:space="preserve">.  </w:t>
      </w:r>
    </w:p>
    <w:p w14:paraId="4CE91B55" w14:textId="02DB257D" w:rsidR="004C382A" w:rsidRPr="008848B8" w:rsidRDefault="004C382A" w:rsidP="00C472D7">
      <w:pPr>
        <w:numPr>
          <w:ilvl w:val="0"/>
          <w:numId w:val="71"/>
        </w:numPr>
        <w:spacing w:before="0" w:after="0"/>
        <w:contextualSpacing/>
      </w:pPr>
      <w:r w:rsidRPr="008848B8">
        <w:t>There were some other notable differences between cohorts, possibly reflecting changes in medical practice. Asthma prevalence increased over time</w:t>
      </w:r>
      <w:r>
        <w:t xml:space="preserve"> </w:t>
      </w:r>
      <w:r w:rsidRPr="008848B8">
        <w:t>but was much more common overall in the 1973-78 cohort. For hysterectomy less than 5% of the 1973-78 cohort had the procedure by age 40-45 years, compared with more than 20% of women in the 1946-51 cohort by age 45</w:t>
      </w:r>
      <w:r w:rsidR="005C21F7">
        <w:noBreakHyphen/>
      </w:r>
      <w:r w:rsidRPr="008848B8">
        <w:t>50.</w:t>
      </w:r>
    </w:p>
    <w:p w14:paraId="6375F571" w14:textId="77777777" w:rsidR="004C382A" w:rsidRPr="008848B8" w:rsidRDefault="004C382A" w:rsidP="004C382A">
      <w:pPr>
        <w:pStyle w:val="Heading2"/>
        <w:spacing w:before="80" w:after="80" w:line="276" w:lineRule="auto"/>
        <w:ind w:left="357" w:hanging="357"/>
        <w:jc w:val="left"/>
      </w:pPr>
      <w:bookmarkStart w:id="1140" w:name="_Toc96589874"/>
      <w:bookmarkStart w:id="1141" w:name="_Toc124762822"/>
      <w:r w:rsidRPr="008848B8">
        <w:t>Social and personal circumstances</w:t>
      </w:r>
      <w:bookmarkEnd w:id="1140"/>
      <w:bookmarkEnd w:id="1141"/>
    </w:p>
    <w:p w14:paraId="3F55D73A" w14:textId="642908CD" w:rsidR="004C382A" w:rsidRPr="008848B8" w:rsidRDefault="004C382A" w:rsidP="004C382A">
      <w:pPr>
        <w:contextualSpacing/>
      </w:pPr>
      <w:r>
        <w:t xml:space="preserve">We </w:t>
      </w:r>
      <w:r w:rsidRPr="008848B8">
        <w:t>compare</w:t>
      </w:r>
      <w:r>
        <w:t>d</w:t>
      </w:r>
      <w:r w:rsidRPr="008848B8">
        <w:t xml:space="preserve"> </w:t>
      </w:r>
      <w:r>
        <w:t xml:space="preserve">the </w:t>
      </w:r>
      <w:r w:rsidRPr="008848B8">
        <w:t xml:space="preserve">patterns of change </w:t>
      </w:r>
      <w:r>
        <w:t>in the social and personal circumstances of</w:t>
      </w:r>
      <w:r w:rsidRPr="008848B8">
        <w:t xml:space="preserve"> women </w:t>
      </w:r>
      <w:r>
        <w:t xml:space="preserve">in the </w:t>
      </w:r>
      <w:r w:rsidRPr="008848B8">
        <w:t>1946</w:t>
      </w:r>
      <w:r w:rsidR="00E429D6">
        <w:noBreakHyphen/>
      </w:r>
      <w:r w:rsidRPr="008848B8">
        <w:t>51 cohort as they age from their mid-40s to their 70s</w:t>
      </w:r>
      <w:r>
        <w:t xml:space="preserve"> with those in the</w:t>
      </w:r>
      <w:r w:rsidRPr="008848B8">
        <w:t xml:space="preserve"> 1973-78 cohort </w:t>
      </w:r>
      <w:r>
        <w:t>(from their 20s to their early 40s)</w:t>
      </w:r>
      <w:r w:rsidRPr="008848B8">
        <w:t xml:space="preserve">. </w:t>
      </w:r>
      <w:r>
        <w:t>This showed that:</w:t>
      </w:r>
    </w:p>
    <w:p w14:paraId="5B2EAA7B" w14:textId="029E499D" w:rsidR="004C382A" w:rsidRDefault="004C382A" w:rsidP="00C472D7">
      <w:pPr>
        <w:numPr>
          <w:ilvl w:val="0"/>
          <w:numId w:val="71"/>
        </w:numPr>
        <w:spacing w:before="0" w:after="0"/>
        <w:contextualSpacing/>
      </w:pPr>
      <w:r>
        <w:t xml:space="preserve">In terms of employment, women in the </w:t>
      </w:r>
      <w:r w:rsidRPr="008848B8">
        <w:t>1946-51 cohort</w:t>
      </w:r>
      <w:r w:rsidR="006C1FF9">
        <w:t xml:space="preserve"> were</w:t>
      </w:r>
      <w:r w:rsidRPr="008848B8">
        <w:t xml:space="preserve"> </w:t>
      </w:r>
      <w:r>
        <w:t xml:space="preserve">not in the workforce most of the time </w:t>
      </w:r>
      <w:r w:rsidR="006C1FF9">
        <w:t xml:space="preserve">and </w:t>
      </w:r>
      <w:r>
        <w:t xml:space="preserve">had the lowest 36-Item Short Form Survey (SF-36) scores for mental health and physical functioning at each age point compared with other employment categories that showed little difference. Similarly for the </w:t>
      </w:r>
      <w:r w:rsidRPr="008848B8">
        <w:t>1973-78 cohort</w:t>
      </w:r>
      <w:r>
        <w:t xml:space="preserve">, though here the category combined part-time employment and not in the workforce. </w:t>
      </w:r>
    </w:p>
    <w:p w14:paraId="284F056E" w14:textId="6E4320C9" w:rsidR="004C382A" w:rsidRDefault="004C382A" w:rsidP="00C472D7">
      <w:pPr>
        <w:numPr>
          <w:ilvl w:val="0"/>
          <w:numId w:val="71"/>
        </w:numPr>
        <w:spacing w:before="0" w:after="0"/>
        <w:contextualSpacing/>
      </w:pPr>
      <w:r>
        <w:t xml:space="preserve">For relationship status, those in the </w:t>
      </w:r>
      <w:r w:rsidRPr="008848B8">
        <w:t xml:space="preserve">1946-51 cohort </w:t>
      </w:r>
      <w:r>
        <w:t xml:space="preserve">who were always partnered had the highest SF-36 scores mental health and physical functioning scores, while those were </w:t>
      </w:r>
      <w:r w:rsidRPr="008848B8">
        <w:t xml:space="preserve">single </w:t>
      </w:r>
      <w:r>
        <w:t>or</w:t>
      </w:r>
      <w:r w:rsidRPr="008848B8">
        <w:t xml:space="preserve"> </w:t>
      </w:r>
      <w:r>
        <w:t>were no longer in a partnership</w:t>
      </w:r>
      <w:r w:rsidRPr="008848B8">
        <w:t xml:space="preserve"> </w:t>
      </w:r>
      <w:r>
        <w:t>had the lowest</w:t>
      </w:r>
      <w:r w:rsidRPr="008848B8">
        <w:t>.</w:t>
      </w:r>
      <w:r>
        <w:t xml:space="preserve"> </w:t>
      </w:r>
      <w:r w:rsidR="007F60E8">
        <w:t>Again,</w:t>
      </w:r>
      <w:r>
        <w:t xml:space="preserve"> similar differences were evident in the </w:t>
      </w:r>
      <w:r w:rsidRPr="008848B8">
        <w:t>1973</w:t>
      </w:r>
      <w:r w:rsidR="00045066">
        <w:noBreakHyphen/>
      </w:r>
      <w:r w:rsidRPr="008848B8">
        <w:t>78 cohort</w:t>
      </w:r>
      <w:r>
        <w:t xml:space="preserve"> (with the differences being clearest for physical functioning as the women approached their 40s).</w:t>
      </w:r>
    </w:p>
    <w:p w14:paraId="7A901124" w14:textId="77777777" w:rsidR="004C382A" w:rsidRDefault="004C382A" w:rsidP="00C472D7">
      <w:pPr>
        <w:numPr>
          <w:ilvl w:val="0"/>
          <w:numId w:val="71"/>
        </w:numPr>
        <w:spacing w:before="0" w:after="0"/>
        <w:contextualSpacing/>
      </w:pPr>
      <w:r>
        <w:t xml:space="preserve">Social needs and roles of women are a key factor in women’s lives, with women in both cohorts who reported lower levels of social support having the lowest mental and physical functioning </w:t>
      </w:r>
      <w:r>
        <w:lastRenderedPageBreak/>
        <w:t>score across the age range. This was similarly the case for women who needed help with daily tasks and for those who had a caring role related to mental health.</w:t>
      </w:r>
    </w:p>
    <w:p w14:paraId="03EE9D86" w14:textId="307D45EF" w:rsidR="004C382A" w:rsidRDefault="004C382A" w:rsidP="00C472D7">
      <w:pPr>
        <w:numPr>
          <w:ilvl w:val="0"/>
          <w:numId w:val="71"/>
        </w:numPr>
        <w:spacing w:before="0" w:after="0"/>
        <w:contextualSpacing/>
      </w:pPr>
      <w:r>
        <w:t xml:space="preserve">Women in the </w:t>
      </w:r>
      <w:r w:rsidRPr="008848B8">
        <w:t>1946-51 cohort</w:t>
      </w:r>
      <w:r>
        <w:t xml:space="preserve"> at age 68-73 who reported a fall to the ground in the previous 12</w:t>
      </w:r>
      <w:r w:rsidR="00045066">
        <w:t> </w:t>
      </w:r>
      <w:r>
        <w:t xml:space="preserve">months were found to have markedly lower social and physical function and mental health scores and a higher percentage were stressed about different aspects of their lives (from relationships with spouse and children to health and managing on their income). The same findings were seen for those who </w:t>
      </w:r>
      <w:r w:rsidRPr="007071DA">
        <w:rPr>
          <w:iCs/>
        </w:rPr>
        <w:t>ever</w:t>
      </w:r>
      <w:r w:rsidRPr="00F7531D">
        <w:rPr>
          <w:iCs/>
        </w:rPr>
        <w:t xml:space="preserve"> </w:t>
      </w:r>
      <w:r>
        <w:t>had reported a fall to the ground.</w:t>
      </w:r>
    </w:p>
    <w:p w14:paraId="37217AE0" w14:textId="018ABDA6" w:rsidR="004C382A" w:rsidRPr="008848B8" w:rsidRDefault="00833BED" w:rsidP="004C382A">
      <w:pPr>
        <w:pStyle w:val="Heading2"/>
        <w:spacing w:before="80" w:after="80" w:line="276" w:lineRule="auto"/>
        <w:ind w:left="357" w:hanging="357"/>
        <w:jc w:val="left"/>
      </w:pPr>
      <w:bookmarkStart w:id="1142" w:name="_Toc96589875"/>
      <w:r>
        <w:t xml:space="preserve">  </w:t>
      </w:r>
      <w:bookmarkStart w:id="1143" w:name="_Toc124762823"/>
      <w:r w:rsidR="004C382A" w:rsidRPr="008848B8">
        <w:t xml:space="preserve">Abuse and violence in </w:t>
      </w:r>
      <w:r w:rsidR="004C382A">
        <w:t>midlife</w:t>
      </w:r>
      <w:bookmarkEnd w:id="1142"/>
      <w:bookmarkEnd w:id="1143"/>
    </w:p>
    <w:p w14:paraId="1A73BF51" w14:textId="2431233F" w:rsidR="004C382A" w:rsidRPr="008848B8" w:rsidRDefault="007F60E8" w:rsidP="004C382A">
      <w:r>
        <w:t>I</w:t>
      </w:r>
      <w:r w:rsidR="004C382A" w:rsidRPr="008848B8">
        <w:t xml:space="preserve">nterpersonal violence reported by the women </w:t>
      </w:r>
      <w:r>
        <w:t>in the ALSWH surveys includes</w:t>
      </w:r>
      <w:r w:rsidR="004C382A" w:rsidRPr="008848B8">
        <w:t xml:space="preserve"> experience</w:t>
      </w:r>
      <w:r>
        <w:t>s</w:t>
      </w:r>
      <w:r w:rsidR="004C382A" w:rsidRPr="008848B8">
        <w:t xml:space="preserve"> of childhood abuse, domestic violence, and sexual abuse.</w:t>
      </w:r>
    </w:p>
    <w:p w14:paraId="657F3507" w14:textId="77777777" w:rsidR="004C382A" w:rsidRPr="008848B8" w:rsidRDefault="004C382A" w:rsidP="003D5E6A">
      <w:pPr>
        <w:pStyle w:val="ListParagraph"/>
        <w:numPr>
          <w:ilvl w:val="0"/>
          <w:numId w:val="74"/>
        </w:numPr>
        <w:spacing w:before="0" w:after="80"/>
      </w:pPr>
      <w:r w:rsidRPr="008848B8">
        <w:t xml:space="preserve">At age 45, </w:t>
      </w:r>
      <w:r>
        <w:t xml:space="preserve">half of the </w:t>
      </w:r>
      <w:r w:rsidRPr="008848B8">
        <w:t>women</w:t>
      </w:r>
      <w:r>
        <w:t xml:space="preserve"> (52%)</w:t>
      </w:r>
      <w:r w:rsidRPr="008848B8">
        <w:t xml:space="preserve"> in the 1973-78 cohort reported experiencing interpersonal violence compared with 36% of women at that age in the 1946</w:t>
      </w:r>
      <w:r>
        <w:noBreakHyphen/>
      </w:r>
      <w:r w:rsidRPr="008848B8">
        <w:t>51 cohort.</w:t>
      </w:r>
    </w:p>
    <w:p w14:paraId="5C224CFF" w14:textId="77777777" w:rsidR="004C382A" w:rsidRPr="008848B8" w:rsidRDefault="004C382A" w:rsidP="003D5E6A">
      <w:pPr>
        <w:pStyle w:val="ListParagraph"/>
        <w:numPr>
          <w:ilvl w:val="0"/>
          <w:numId w:val="74"/>
        </w:numPr>
        <w:spacing w:before="0" w:after="80"/>
      </w:pPr>
      <w:r w:rsidRPr="008848B8">
        <w:t xml:space="preserve">On average, women in </w:t>
      </w:r>
      <w:r>
        <w:t>midlife</w:t>
      </w:r>
      <w:r w:rsidRPr="008848B8">
        <w:t xml:space="preserve"> who have reported interpersonal violence also experience poorer physical functioning, poorer mental health, worse social functioning, and consistently higher levels of stress.</w:t>
      </w:r>
    </w:p>
    <w:p w14:paraId="2AF0AB5A" w14:textId="77777777" w:rsidR="004C382A" w:rsidRDefault="004C382A" w:rsidP="003D5E6A">
      <w:pPr>
        <w:pStyle w:val="ListParagraph"/>
        <w:numPr>
          <w:ilvl w:val="0"/>
          <w:numId w:val="74"/>
        </w:numPr>
        <w:spacing w:before="0" w:after="80"/>
      </w:pPr>
      <w:r w:rsidRPr="008848B8">
        <w:t>Among mid-aged women, use of health services (GP visits, specialist consultations, etc.) was higher for women who ha</w:t>
      </w:r>
      <w:r>
        <w:t>d</w:t>
      </w:r>
      <w:r w:rsidRPr="008848B8">
        <w:t xml:space="preserve"> experienced interpersonal violence, which was consistent </w:t>
      </w:r>
      <w:r>
        <w:t>with women in the</w:t>
      </w:r>
      <w:r w:rsidRPr="008848B8">
        <w:t xml:space="preserve"> 1973-78 cohort </w:t>
      </w:r>
      <w:r>
        <w:t xml:space="preserve">at </w:t>
      </w:r>
      <w:r w:rsidRPr="008848B8">
        <w:t>age 45 years</w:t>
      </w:r>
      <w:r>
        <w:t>.</w:t>
      </w:r>
    </w:p>
    <w:p w14:paraId="5707D64D" w14:textId="77777777" w:rsidR="004C382A" w:rsidRDefault="004C382A" w:rsidP="004C382A">
      <w:pPr>
        <w:pStyle w:val="Heading2"/>
        <w:spacing w:before="80" w:after="80" w:line="276" w:lineRule="auto"/>
        <w:ind w:left="709" w:hanging="709"/>
        <w:jc w:val="left"/>
      </w:pPr>
      <w:bookmarkStart w:id="1144" w:name="_Toc96589876"/>
      <w:bookmarkStart w:id="1145" w:name="_Toc124762824"/>
      <w:r>
        <w:t>T</w:t>
      </w:r>
      <w:r w:rsidRPr="008539F6">
        <w:t xml:space="preserve">hen and now: </w:t>
      </w:r>
      <w:r>
        <w:t>Comparing</w:t>
      </w:r>
      <w:r w:rsidRPr="008539F6">
        <w:t xml:space="preserve"> </w:t>
      </w:r>
      <w:r>
        <w:t xml:space="preserve">two generations of </w:t>
      </w:r>
      <w:r w:rsidRPr="008539F6">
        <w:t xml:space="preserve">women </w:t>
      </w:r>
      <w:r>
        <w:t>in their early 70s</w:t>
      </w:r>
      <w:bookmarkEnd w:id="1144"/>
      <w:bookmarkEnd w:id="1145"/>
    </w:p>
    <w:p w14:paraId="62B53717" w14:textId="77777777" w:rsidR="004C382A" w:rsidRPr="008848B8" w:rsidRDefault="004C382A" w:rsidP="004C382A">
      <w:r>
        <w:t>Women in the 1946-51 cohort, aged</w:t>
      </w:r>
      <w:r w:rsidRPr="008848B8">
        <w:t xml:space="preserve"> 70-73 in 2019 </w:t>
      </w:r>
      <w:r>
        <w:t xml:space="preserve">were compared </w:t>
      </w:r>
      <w:r w:rsidRPr="008848B8">
        <w:t xml:space="preserve">with </w:t>
      </w:r>
      <w:r>
        <w:t xml:space="preserve">women at </w:t>
      </w:r>
      <w:r w:rsidRPr="008848B8">
        <w:t xml:space="preserve">the same age in 1996 </w:t>
      </w:r>
      <w:r>
        <w:t>in the 1921-26 cohort:</w:t>
      </w:r>
    </w:p>
    <w:p w14:paraId="5D0F5581" w14:textId="77777777" w:rsidR="004C382A" w:rsidRDefault="004C382A" w:rsidP="003D5E6A">
      <w:pPr>
        <w:pStyle w:val="ListParagraph"/>
        <w:numPr>
          <w:ilvl w:val="0"/>
          <w:numId w:val="74"/>
        </w:numPr>
        <w:spacing w:before="0" w:after="80"/>
        <w:rPr>
          <w:iCs/>
        </w:rPr>
      </w:pPr>
      <w:r>
        <w:t xml:space="preserve">In their early 70s, women in the </w:t>
      </w:r>
      <w:r w:rsidRPr="008848B8">
        <w:t xml:space="preserve">1946-51 cohort generally </w:t>
      </w:r>
      <w:r>
        <w:t>had</w:t>
      </w:r>
      <w:r w:rsidRPr="008848B8">
        <w:t xml:space="preserve"> better </w:t>
      </w:r>
      <w:r>
        <w:t xml:space="preserve">scores across the domains of </w:t>
      </w:r>
      <w:r w:rsidRPr="008848B8">
        <w:t xml:space="preserve">SF-36 Health Related Quality of Life </w:t>
      </w:r>
      <w:r>
        <w:t xml:space="preserve">than the older generation of women in the </w:t>
      </w:r>
      <w:r w:rsidRPr="008848B8">
        <w:t>1921-26 cohort</w:t>
      </w:r>
      <w:r>
        <w:t xml:space="preserve"> at the same age</w:t>
      </w:r>
      <w:r w:rsidRPr="008848B8">
        <w:rPr>
          <w:iCs/>
        </w:rPr>
        <w:t>.</w:t>
      </w:r>
      <w:r>
        <w:t xml:space="preserve"> This was clear for </w:t>
      </w:r>
      <w:r w:rsidRPr="00591265">
        <w:rPr>
          <w:i/>
        </w:rPr>
        <w:t>general health</w:t>
      </w:r>
      <w:r>
        <w:t xml:space="preserve"> and </w:t>
      </w:r>
      <w:r w:rsidRPr="00591265">
        <w:rPr>
          <w:i/>
        </w:rPr>
        <w:t>vitality</w:t>
      </w:r>
      <w:r>
        <w:t xml:space="preserve">, but particularly so for </w:t>
      </w:r>
      <w:r w:rsidRPr="00591265">
        <w:rPr>
          <w:i/>
        </w:rPr>
        <w:t>physical functioning</w:t>
      </w:r>
      <w:r>
        <w:t xml:space="preserve"> and </w:t>
      </w:r>
      <w:r w:rsidRPr="00591265">
        <w:rPr>
          <w:i/>
        </w:rPr>
        <w:t>role physical</w:t>
      </w:r>
      <w:r>
        <w:t xml:space="preserve"> (limitations in activity or participation in terms of physical functioning) and similarly for </w:t>
      </w:r>
      <w:r w:rsidRPr="00591265">
        <w:rPr>
          <w:i/>
        </w:rPr>
        <w:t>role emotional</w:t>
      </w:r>
      <w:r>
        <w:t xml:space="preserve">. </w:t>
      </w:r>
    </w:p>
    <w:p w14:paraId="30502223" w14:textId="77777777" w:rsidR="004C382A" w:rsidRPr="00591265" w:rsidRDefault="004C382A" w:rsidP="003D5E6A">
      <w:pPr>
        <w:pStyle w:val="ListParagraph"/>
        <w:numPr>
          <w:ilvl w:val="0"/>
          <w:numId w:val="74"/>
        </w:numPr>
        <w:spacing w:before="0" w:after="80"/>
        <w:rPr>
          <w:iCs/>
        </w:rPr>
      </w:pPr>
      <w:r>
        <w:rPr>
          <w:iCs/>
        </w:rPr>
        <w:t xml:space="preserve">The </w:t>
      </w:r>
      <w:r w:rsidRPr="008848B8">
        <w:t>1946-51 cohort</w:t>
      </w:r>
      <w:r>
        <w:rPr>
          <w:iCs/>
        </w:rPr>
        <w:t xml:space="preserve"> were also less likely to smoke but had a higher prevalence of obesity than the </w:t>
      </w:r>
      <w:r w:rsidRPr="008848B8">
        <w:t>1921-26 cohort</w:t>
      </w:r>
      <w:r>
        <w:t>.</w:t>
      </w:r>
    </w:p>
    <w:p w14:paraId="0D3A5E40" w14:textId="77777777" w:rsidR="004C382A" w:rsidRPr="00215B68" w:rsidRDefault="004C382A" w:rsidP="003D5E6A">
      <w:pPr>
        <w:pStyle w:val="ListParagraph"/>
        <w:numPr>
          <w:ilvl w:val="0"/>
          <w:numId w:val="74"/>
        </w:numPr>
        <w:spacing w:before="0" w:after="80"/>
        <w:rPr>
          <w:iCs/>
        </w:rPr>
      </w:pPr>
      <w:r>
        <w:t xml:space="preserve">Women in the </w:t>
      </w:r>
      <w:r w:rsidRPr="008848B8">
        <w:t>1946-51 cohort</w:t>
      </w:r>
      <w:r>
        <w:t xml:space="preserve"> had better self-reported general health and lower prevalence of a range of symptoms, from poor memory and eyesight problems, to breathing difficulties. The exceptions were stiffness or painful joints (which were the same across cohorts) and a higher prevalence of leaking urine in the 1946-51 cohort compared to the </w:t>
      </w:r>
      <w:r w:rsidRPr="008848B8">
        <w:t>1921-26 cohort</w:t>
      </w:r>
      <w:r>
        <w:t xml:space="preserve">, which is consistent with the higher rates of obesity in the younger generation. </w:t>
      </w:r>
    </w:p>
    <w:p w14:paraId="133E864F" w14:textId="77777777" w:rsidR="004C382A" w:rsidRPr="00C23648" w:rsidRDefault="004C382A" w:rsidP="003D5E6A">
      <w:pPr>
        <w:pStyle w:val="ListParagraph"/>
        <w:numPr>
          <w:ilvl w:val="0"/>
          <w:numId w:val="74"/>
        </w:numPr>
        <w:spacing w:before="0" w:after="80"/>
        <w:rPr>
          <w:iCs/>
        </w:rPr>
      </w:pPr>
      <w:r>
        <w:t xml:space="preserve">The relationship with health service use by the 1946-51 cohort in their early 70s is not straightforward. These women </w:t>
      </w:r>
      <w:r w:rsidRPr="00215B68">
        <w:t xml:space="preserve">had a higher prevalence of specialist and hospital doctor attendances, but </w:t>
      </w:r>
      <w:r>
        <w:t xml:space="preserve">with </w:t>
      </w:r>
      <w:r w:rsidRPr="00215B68">
        <w:t xml:space="preserve">a lower proportion </w:t>
      </w:r>
      <w:r>
        <w:t>having</w:t>
      </w:r>
      <w:r w:rsidRPr="00215B68">
        <w:t xml:space="preserve"> </w:t>
      </w:r>
      <w:r>
        <w:t>seven</w:t>
      </w:r>
      <w:r w:rsidRPr="00215B68">
        <w:t xml:space="preserve"> or more GP </w:t>
      </w:r>
      <w:r>
        <w:t>visits</w:t>
      </w:r>
      <w:r w:rsidRPr="00215B68">
        <w:t xml:space="preserve"> in the previous year</w:t>
      </w:r>
      <w:r>
        <w:t>,</w:t>
      </w:r>
      <w:r w:rsidRPr="00215B68">
        <w:t xml:space="preserve"> </w:t>
      </w:r>
      <w:r>
        <w:t xml:space="preserve">when </w:t>
      </w:r>
      <w:r w:rsidRPr="00215B68">
        <w:t xml:space="preserve">compared </w:t>
      </w:r>
      <w:r>
        <w:t>with</w:t>
      </w:r>
      <w:r w:rsidRPr="00215B68">
        <w:t xml:space="preserve"> </w:t>
      </w:r>
      <w:r>
        <w:t xml:space="preserve">the </w:t>
      </w:r>
      <w:r w:rsidRPr="008848B8">
        <w:t>1921-26 cohort</w:t>
      </w:r>
      <w:r w:rsidRPr="00215B68">
        <w:t>.</w:t>
      </w:r>
      <w:r>
        <w:t xml:space="preserve"> These differences may reflect changes in the health system and policy since 1996.</w:t>
      </w:r>
    </w:p>
    <w:p w14:paraId="5711816C" w14:textId="304EAB06" w:rsidR="004C382A" w:rsidRPr="008848B8" w:rsidRDefault="00833BED" w:rsidP="004C382A">
      <w:pPr>
        <w:pStyle w:val="Heading2"/>
        <w:spacing w:before="80" w:after="80" w:line="276" w:lineRule="auto"/>
        <w:ind w:left="357" w:hanging="357"/>
        <w:jc w:val="left"/>
      </w:pPr>
      <w:bookmarkStart w:id="1146" w:name="_Toc96589877"/>
      <w:r>
        <w:lastRenderedPageBreak/>
        <w:t xml:space="preserve">  </w:t>
      </w:r>
      <w:bookmarkStart w:id="1147" w:name="_Toc124762825"/>
      <w:r w:rsidR="004C382A" w:rsidRPr="008848B8">
        <w:t>Women’s attitudes to ageing and their outlook for the future</w:t>
      </w:r>
      <w:bookmarkEnd w:id="1146"/>
      <w:bookmarkEnd w:id="1147"/>
    </w:p>
    <w:p w14:paraId="559EF9A1" w14:textId="77777777" w:rsidR="004C382A" w:rsidRPr="008848B8" w:rsidRDefault="004C382A" w:rsidP="004C382A">
      <w:r w:rsidRPr="008848B8">
        <w:t>A qualita</w:t>
      </w:r>
      <w:r>
        <w:t xml:space="preserve">tive analysis of the </w:t>
      </w:r>
      <w:r w:rsidRPr="008848B8">
        <w:t xml:space="preserve">free-text responses </w:t>
      </w:r>
      <w:r>
        <w:t xml:space="preserve">from women in the </w:t>
      </w:r>
      <w:r w:rsidRPr="008848B8">
        <w:t>1946-51 cohort</w:t>
      </w:r>
      <w:r>
        <w:t xml:space="preserve"> when aged in their late 60s and early 70s has provided</w:t>
      </w:r>
      <w:r w:rsidRPr="008848B8">
        <w:t xml:space="preserve"> a rich </w:t>
      </w:r>
      <w:r>
        <w:t>narrative on</w:t>
      </w:r>
      <w:r w:rsidRPr="008848B8">
        <w:t xml:space="preserve"> </w:t>
      </w:r>
      <w:r>
        <w:t xml:space="preserve">their diverse </w:t>
      </w:r>
      <w:r w:rsidRPr="008848B8">
        <w:t xml:space="preserve">perceptions of ageing. Five major themes were identified: </w:t>
      </w:r>
    </w:p>
    <w:p w14:paraId="4EDB76D2" w14:textId="77777777" w:rsidR="004C382A" w:rsidRPr="008848B8" w:rsidRDefault="004C382A" w:rsidP="003D5E6A">
      <w:pPr>
        <w:pStyle w:val="ListParagraph"/>
        <w:numPr>
          <w:ilvl w:val="0"/>
          <w:numId w:val="74"/>
        </w:numPr>
        <w:spacing w:before="0" w:after="80"/>
        <w:rPr>
          <w:iCs/>
        </w:rPr>
      </w:pPr>
      <w:r w:rsidRPr="000551C2">
        <w:rPr>
          <w:i/>
          <w:iCs/>
        </w:rPr>
        <w:t>Attitudes towards health with ageing</w:t>
      </w:r>
      <w:r>
        <w:rPr>
          <w:iCs/>
        </w:rPr>
        <w:t xml:space="preserve"> were</w:t>
      </w:r>
      <w:r w:rsidRPr="008848B8">
        <w:t xml:space="preserve"> expressed as an </w:t>
      </w:r>
      <w:r w:rsidRPr="008848B8">
        <w:rPr>
          <w:iCs/>
        </w:rPr>
        <w:t xml:space="preserve">anticipation of worsening health over time, attention to activities that support health, </w:t>
      </w:r>
      <w:r>
        <w:rPr>
          <w:iCs/>
        </w:rPr>
        <w:t xml:space="preserve">and </w:t>
      </w:r>
      <w:r w:rsidRPr="008848B8">
        <w:rPr>
          <w:iCs/>
        </w:rPr>
        <w:t xml:space="preserve">perceptions of (both positive and negative) changes to mental health with age. </w:t>
      </w:r>
    </w:p>
    <w:p w14:paraId="546A2E41" w14:textId="77777777" w:rsidR="004C382A" w:rsidRPr="008848B8" w:rsidRDefault="004C382A" w:rsidP="003D5E6A">
      <w:pPr>
        <w:pStyle w:val="ListParagraph"/>
        <w:numPr>
          <w:ilvl w:val="0"/>
          <w:numId w:val="74"/>
        </w:numPr>
        <w:spacing w:before="0" w:after="80"/>
      </w:pPr>
      <w:r w:rsidRPr="000551C2">
        <w:rPr>
          <w:i/>
          <w:iCs/>
        </w:rPr>
        <w:t>The experience of slowing down</w:t>
      </w:r>
      <w:r w:rsidRPr="008848B8">
        <w:rPr>
          <w:iCs/>
        </w:rPr>
        <w:t xml:space="preserve"> </w:t>
      </w:r>
      <w:r>
        <w:rPr>
          <w:iCs/>
        </w:rPr>
        <w:t>that included</w:t>
      </w:r>
      <w:r w:rsidRPr="008848B8">
        <w:rPr>
          <w:iCs/>
        </w:rPr>
        <w:t xml:space="preserve"> acceptance and reflecti</w:t>
      </w:r>
      <w:r>
        <w:rPr>
          <w:iCs/>
        </w:rPr>
        <w:t>on</w:t>
      </w:r>
      <w:r w:rsidRPr="008848B8">
        <w:rPr>
          <w:iCs/>
        </w:rPr>
        <w:t xml:space="preserve"> on past experiences and achievements.</w:t>
      </w:r>
    </w:p>
    <w:p w14:paraId="087D56E6" w14:textId="77777777" w:rsidR="004C382A" w:rsidRPr="008848B8" w:rsidRDefault="004C382A" w:rsidP="003D5E6A">
      <w:pPr>
        <w:pStyle w:val="ListParagraph"/>
        <w:numPr>
          <w:ilvl w:val="0"/>
          <w:numId w:val="74"/>
        </w:numPr>
        <w:spacing w:before="0" w:after="80"/>
      </w:pPr>
      <w:r w:rsidRPr="000551C2">
        <w:rPr>
          <w:i/>
          <w:iCs/>
        </w:rPr>
        <w:t>Loss of independence and reduced capability due to ageing</w:t>
      </w:r>
      <w:r>
        <w:rPr>
          <w:iCs/>
        </w:rPr>
        <w:t xml:space="preserve"> with</w:t>
      </w:r>
      <w:r w:rsidRPr="008848B8">
        <w:rPr>
          <w:iCs/>
        </w:rPr>
        <w:t xml:space="preserve"> </w:t>
      </w:r>
      <w:r>
        <w:rPr>
          <w:iCs/>
        </w:rPr>
        <w:t>views expressed</w:t>
      </w:r>
      <w:r w:rsidRPr="008848B8">
        <w:rPr>
          <w:iCs/>
        </w:rPr>
        <w:t xml:space="preserve"> </w:t>
      </w:r>
      <w:r>
        <w:rPr>
          <w:iCs/>
        </w:rPr>
        <w:t xml:space="preserve">on the implications and </w:t>
      </w:r>
      <w:r w:rsidRPr="008848B8">
        <w:rPr>
          <w:iCs/>
        </w:rPr>
        <w:t>limitations, including on forming relationships and the need for support.</w:t>
      </w:r>
    </w:p>
    <w:p w14:paraId="4B7B5C84" w14:textId="77777777" w:rsidR="004C382A" w:rsidRPr="008848B8" w:rsidRDefault="004C382A" w:rsidP="003D5E6A">
      <w:pPr>
        <w:pStyle w:val="ListParagraph"/>
        <w:numPr>
          <w:ilvl w:val="0"/>
          <w:numId w:val="74"/>
        </w:numPr>
        <w:spacing w:before="0" w:after="80"/>
      </w:pPr>
      <w:r w:rsidRPr="000551C2">
        <w:rPr>
          <w:i/>
          <w:iCs/>
        </w:rPr>
        <w:t>The impact of financial security on life choices and health</w:t>
      </w:r>
      <w:r w:rsidRPr="008848B8">
        <w:rPr>
          <w:iCs/>
        </w:rPr>
        <w:t xml:space="preserve">, including concerns about the future and managing on their income, and the difficulty of undertaking paid work, </w:t>
      </w:r>
      <w:r>
        <w:rPr>
          <w:iCs/>
        </w:rPr>
        <w:t xml:space="preserve">that </w:t>
      </w:r>
      <w:r w:rsidRPr="008848B8">
        <w:rPr>
          <w:iCs/>
        </w:rPr>
        <w:t>contrast</w:t>
      </w:r>
      <w:r>
        <w:rPr>
          <w:iCs/>
        </w:rPr>
        <w:t>ed</w:t>
      </w:r>
      <w:r w:rsidRPr="008848B8">
        <w:rPr>
          <w:iCs/>
        </w:rPr>
        <w:t xml:space="preserve"> with others who felt financially secure.</w:t>
      </w:r>
    </w:p>
    <w:p w14:paraId="56991F2D" w14:textId="77777777" w:rsidR="004C382A" w:rsidRPr="008848B8" w:rsidRDefault="004C382A" w:rsidP="003D5E6A">
      <w:pPr>
        <w:pStyle w:val="ListParagraph"/>
        <w:numPr>
          <w:ilvl w:val="0"/>
          <w:numId w:val="74"/>
        </w:numPr>
        <w:spacing w:before="0" w:after="80"/>
      </w:pPr>
      <w:r w:rsidRPr="000551C2">
        <w:rPr>
          <w:i/>
          <w:iCs/>
        </w:rPr>
        <w:t>Life transitions and changes in purpose and identity</w:t>
      </w:r>
      <w:r w:rsidRPr="008848B8">
        <w:rPr>
          <w:iCs/>
        </w:rPr>
        <w:t xml:space="preserve">, </w:t>
      </w:r>
      <w:r>
        <w:rPr>
          <w:iCs/>
        </w:rPr>
        <w:t>including</w:t>
      </w:r>
      <w:r w:rsidRPr="008848B8">
        <w:rPr>
          <w:iCs/>
        </w:rPr>
        <w:t xml:space="preserve"> experiences of both positive adjustment to and the difficul</w:t>
      </w:r>
      <w:r>
        <w:rPr>
          <w:iCs/>
        </w:rPr>
        <w:t>ties of coping with life events</w:t>
      </w:r>
      <w:r w:rsidRPr="008848B8">
        <w:rPr>
          <w:iCs/>
        </w:rPr>
        <w:t xml:space="preserve"> such as retirement or bereavement</w:t>
      </w:r>
      <w:r>
        <w:rPr>
          <w:iCs/>
        </w:rPr>
        <w:t xml:space="preserve"> –</w:t>
      </w:r>
      <w:r w:rsidRPr="008848B8">
        <w:rPr>
          <w:iCs/>
        </w:rPr>
        <w:t xml:space="preserve"> </w:t>
      </w:r>
      <w:r>
        <w:rPr>
          <w:iCs/>
        </w:rPr>
        <w:t xml:space="preserve">ranging from </w:t>
      </w:r>
      <w:r w:rsidRPr="008848B8">
        <w:rPr>
          <w:iCs/>
        </w:rPr>
        <w:t>a loss of purpose</w:t>
      </w:r>
      <w:r>
        <w:rPr>
          <w:iCs/>
        </w:rPr>
        <w:t xml:space="preserve"> and social isolation</w:t>
      </w:r>
      <w:r w:rsidRPr="008848B8">
        <w:rPr>
          <w:iCs/>
        </w:rPr>
        <w:t xml:space="preserve">, </w:t>
      </w:r>
      <w:r>
        <w:rPr>
          <w:iCs/>
        </w:rPr>
        <w:t xml:space="preserve">to </w:t>
      </w:r>
      <w:r w:rsidRPr="008848B8">
        <w:rPr>
          <w:iCs/>
        </w:rPr>
        <w:t>taking on new opportunities for work, study, and caring roles with grandchildren.</w:t>
      </w:r>
    </w:p>
    <w:p w14:paraId="047436E6" w14:textId="0D8A5748" w:rsidR="004C382A" w:rsidRPr="008848B8" w:rsidRDefault="00833BED" w:rsidP="004C382A">
      <w:pPr>
        <w:pStyle w:val="Heading2"/>
        <w:spacing w:before="80" w:after="80" w:line="276" w:lineRule="auto"/>
        <w:ind w:left="357" w:hanging="357"/>
        <w:jc w:val="left"/>
      </w:pPr>
      <w:bookmarkStart w:id="1148" w:name="_Toc96589878"/>
      <w:r>
        <w:t xml:space="preserve">  </w:t>
      </w:r>
      <w:bookmarkStart w:id="1149" w:name="_Toc124762826"/>
      <w:r w:rsidR="004C382A" w:rsidRPr="008848B8">
        <w:t>Implications</w:t>
      </w:r>
      <w:r w:rsidR="004C382A">
        <w:t xml:space="preserve"> and recommendations</w:t>
      </w:r>
      <w:bookmarkEnd w:id="1148"/>
      <w:bookmarkEnd w:id="1149"/>
    </w:p>
    <w:p w14:paraId="796AC79B" w14:textId="77777777" w:rsidR="004C382A" w:rsidRDefault="004C382A" w:rsidP="004C382A">
      <w:r>
        <w:t xml:space="preserve">Compared to women in the 1946-51 cohort, women in the 1973-78 cohort in their early 40s are generally better placed in terms of their physical and mental health and across various aspects of their lives including education levels and participation in the workforce, than the previous generation. However, there are </w:t>
      </w:r>
      <w:proofErr w:type="gramStart"/>
      <w:r>
        <w:t>a number of</w:t>
      </w:r>
      <w:proofErr w:type="gramEnd"/>
      <w:r>
        <w:t xml:space="preserve"> key areas of concern, that have important implications for their health and wellbeing going forward:</w:t>
      </w:r>
    </w:p>
    <w:p w14:paraId="76D5704E" w14:textId="77777777" w:rsidR="004C382A" w:rsidRPr="00F948CE" w:rsidRDefault="004C382A" w:rsidP="004C382A">
      <w:r w:rsidRPr="00F948CE">
        <w:rPr>
          <w:iCs/>
        </w:rPr>
        <w:t xml:space="preserve">The comparatively higher rates of overweight and obesity </w:t>
      </w:r>
      <w:r>
        <w:t>in the 1973-78 cohort</w:t>
      </w:r>
      <w:r w:rsidRPr="00F948CE">
        <w:rPr>
          <w:iCs/>
        </w:rPr>
        <w:t xml:space="preserve"> already appear to correspond with the higher trajectory of diabetes prevalence </w:t>
      </w:r>
      <w:r>
        <w:rPr>
          <w:iCs/>
        </w:rPr>
        <w:t>(</w:t>
      </w:r>
      <w:r w:rsidRPr="00F948CE">
        <w:rPr>
          <w:iCs/>
        </w:rPr>
        <w:t>and possibly with higher rates of leaking urine</w:t>
      </w:r>
      <w:r>
        <w:rPr>
          <w:iCs/>
        </w:rPr>
        <w:t>)</w:t>
      </w:r>
      <w:r w:rsidRPr="00F948CE">
        <w:rPr>
          <w:iCs/>
        </w:rPr>
        <w:t xml:space="preserve"> compared with the older generation.</w:t>
      </w:r>
      <w:r>
        <w:rPr>
          <w:iCs/>
        </w:rPr>
        <w:t xml:space="preserve"> Further research on cancers and cardiovascular disease will confirm if these are also on a higher trajectory than seen in the </w:t>
      </w:r>
      <w:r>
        <w:t>1946-51 cohort</w:t>
      </w:r>
      <w:r>
        <w:rPr>
          <w:iCs/>
        </w:rPr>
        <w:t>.</w:t>
      </w:r>
      <w:r>
        <w:t xml:space="preserve"> </w:t>
      </w:r>
    </w:p>
    <w:p w14:paraId="754254C6" w14:textId="77777777" w:rsidR="004C382A" w:rsidRDefault="004C382A" w:rsidP="003D5E6A">
      <w:pPr>
        <w:pStyle w:val="ListParagraph"/>
        <w:numPr>
          <w:ilvl w:val="0"/>
          <w:numId w:val="74"/>
        </w:numPr>
        <w:spacing w:before="0" w:after="80"/>
      </w:pPr>
      <w:r w:rsidRPr="00F948CE">
        <w:rPr>
          <w:b/>
        </w:rPr>
        <w:t>Recommendation:</w:t>
      </w:r>
      <w:r w:rsidRPr="00F948CE">
        <w:t xml:space="preserve"> Further </w:t>
      </w:r>
      <w:r>
        <w:t xml:space="preserve">research and interventions are needed to reverse the rising obesity rates that risk undoing the current health and wellbeing advantage this generation has otherwise gained, with increased risk of chronic conditions going forward and their associated demand on health services. </w:t>
      </w:r>
    </w:p>
    <w:p w14:paraId="00050A36" w14:textId="77777777" w:rsidR="004C382A" w:rsidRDefault="004C382A" w:rsidP="004C382A">
      <w:r w:rsidRPr="00F948CE">
        <w:rPr>
          <w:iCs/>
        </w:rPr>
        <w:t xml:space="preserve">Progress on smoking cessation, which shows the </w:t>
      </w:r>
      <w:r>
        <w:t>1973-78 cohort has a lower prevalence of current smokers than the older generation, which appears to have slowed. If this slowing continues, then smoking rates may by higher than the older generation by their 60s.</w:t>
      </w:r>
    </w:p>
    <w:p w14:paraId="5C65721D" w14:textId="77777777" w:rsidR="004C382A" w:rsidRDefault="004C382A" w:rsidP="003D5E6A">
      <w:pPr>
        <w:pStyle w:val="ListParagraph"/>
        <w:numPr>
          <w:ilvl w:val="0"/>
          <w:numId w:val="74"/>
        </w:numPr>
        <w:spacing w:before="0" w:after="80"/>
      </w:pPr>
      <w:r w:rsidRPr="00F948CE">
        <w:rPr>
          <w:b/>
        </w:rPr>
        <w:t>Recommendation:</w:t>
      </w:r>
      <w:r>
        <w:t xml:space="preserve"> Smoking cessation research and preventive health policy needs to focus on women in the late 30s and early 40s (in addition to initiatives directed at younger women) to </w:t>
      </w:r>
      <w:r>
        <w:lastRenderedPageBreak/>
        <w:t>support them quitting before the major health consequences of later midlife develop, such as cardiovascular disease and cancer.</w:t>
      </w:r>
    </w:p>
    <w:p w14:paraId="7C57B140" w14:textId="77777777" w:rsidR="004C382A" w:rsidRDefault="004C382A" w:rsidP="004C382A">
      <w:r w:rsidRPr="00C252D9">
        <w:rPr>
          <w:iCs/>
        </w:rPr>
        <w:t xml:space="preserve">The rise in </w:t>
      </w:r>
      <w:r w:rsidRPr="008848B8">
        <w:t>depression, anxiety</w:t>
      </w:r>
      <w:r>
        <w:t>,</w:t>
      </w:r>
      <w:r w:rsidRPr="008848B8">
        <w:t xml:space="preserve"> and stress scores</w:t>
      </w:r>
      <w:r>
        <w:t xml:space="preserve"> since around 2010 in</w:t>
      </w:r>
      <w:r w:rsidRPr="00C252D9">
        <w:rPr>
          <w:iCs/>
        </w:rPr>
        <w:t xml:space="preserve"> </w:t>
      </w:r>
      <w:r>
        <w:rPr>
          <w:iCs/>
        </w:rPr>
        <w:t xml:space="preserve">the </w:t>
      </w:r>
      <w:r>
        <w:t xml:space="preserve">1973-78 cohort are yet to show signs of a return to the expected trajectory of improvements with age as seen in the 1946-51 cohort. With the challenges posed in recent years by major life-events, including those related to the severe acute respiratory syndrome coronavirus 2 (SARS-CoV-2) pandemic and major disasters, such as bush fires, we may see a further rise in these markers of poor mental health. </w:t>
      </w:r>
    </w:p>
    <w:p w14:paraId="4B37E2BB" w14:textId="77777777" w:rsidR="004C382A" w:rsidRDefault="004C382A" w:rsidP="003D5E6A">
      <w:pPr>
        <w:pStyle w:val="ListParagraph"/>
        <w:numPr>
          <w:ilvl w:val="0"/>
          <w:numId w:val="74"/>
        </w:numPr>
        <w:spacing w:before="0" w:after="80"/>
        <w:ind w:left="360"/>
      </w:pPr>
      <w:r w:rsidRPr="00C252D9">
        <w:rPr>
          <w:b/>
        </w:rPr>
        <w:t>Recommendation:</w:t>
      </w:r>
      <w:r>
        <w:t xml:space="preserve"> research should continue to focus on the </w:t>
      </w:r>
      <w:r w:rsidRPr="008848B8">
        <w:t>depression, anxiety</w:t>
      </w:r>
      <w:r>
        <w:t>,</w:t>
      </w:r>
      <w:r w:rsidRPr="008848B8">
        <w:t xml:space="preserve"> and stress </w:t>
      </w:r>
      <w:r>
        <w:t>levels seen in these women, which if worsening further due to recent events, would underscore the importance of initiatives to return the trajectory to improving mental health with age.</w:t>
      </w:r>
    </w:p>
    <w:p w14:paraId="76990C77" w14:textId="77777777" w:rsidR="004C382A" w:rsidRDefault="004C382A" w:rsidP="004C382A">
      <w:r>
        <w:t>The high prevalence of women</w:t>
      </w:r>
      <w:r w:rsidRPr="008848B8">
        <w:t xml:space="preserve"> in the 1973-78 cohort</w:t>
      </w:r>
      <w:r>
        <w:t xml:space="preserve"> who reported the experience of interpersonal violence by their early 40s, with the </w:t>
      </w:r>
      <w:r w:rsidRPr="008848B8">
        <w:t>poorer physical functioning, mental health, social functioning, and consi</w:t>
      </w:r>
      <w:r>
        <w:t>stently higher levels of stress.</w:t>
      </w:r>
    </w:p>
    <w:p w14:paraId="68801D33" w14:textId="77777777" w:rsidR="004C382A" w:rsidRDefault="004C382A" w:rsidP="003D5E6A">
      <w:pPr>
        <w:pStyle w:val="ListParagraph"/>
        <w:numPr>
          <w:ilvl w:val="0"/>
          <w:numId w:val="74"/>
        </w:numPr>
        <w:spacing w:before="0" w:after="80"/>
        <w:ind w:left="360"/>
      </w:pPr>
      <w:r w:rsidRPr="00C252D9">
        <w:rPr>
          <w:b/>
        </w:rPr>
        <w:t>Recommendation:</w:t>
      </w:r>
      <w:r>
        <w:t xml:space="preserve"> interpersonal violence is a major issue that remains unresolved for women; one that requires on-going policy initiatives and research to evaluate progress and to help mitigate the substantial health and wellbeing consequences going forward.</w:t>
      </w:r>
    </w:p>
    <w:p w14:paraId="458A816B" w14:textId="77777777" w:rsidR="004C382A" w:rsidRDefault="004C382A" w:rsidP="004C382A">
      <w:r>
        <w:t xml:space="preserve">The low participation in the workforce </w:t>
      </w:r>
      <w:r w:rsidRPr="008848B8">
        <w:t>in the 1973-78 cohort</w:t>
      </w:r>
      <w:r>
        <w:t xml:space="preserve"> (and supported by similar findings in the older generation) is consistently linked with poorer mental health and physical functioning scores. </w:t>
      </w:r>
    </w:p>
    <w:p w14:paraId="6D93BDE9" w14:textId="77777777" w:rsidR="004C382A" w:rsidRDefault="004C382A" w:rsidP="003D5E6A">
      <w:pPr>
        <w:pStyle w:val="ListParagraph"/>
        <w:numPr>
          <w:ilvl w:val="0"/>
          <w:numId w:val="74"/>
        </w:numPr>
        <w:spacing w:before="0" w:after="80"/>
        <w:ind w:left="360"/>
      </w:pPr>
      <w:r w:rsidRPr="00C252D9">
        <w:rPr>
          <w:b/>
        </w:rPr>
        <w:t>Recommendation:</w:t>
      </w:r>
      <w:r>
        <w:t xml:space="preserve"> further research is needed on the direction and causal pathways for these relationships and initiatives are needed to focus on increased workforce participation across midlife.</w:t>
      </w:r>
    </w:p>
    <w:p w14:paraId="338F838C" w14:textId="77777777" w:rsidR="004C382A" w:rsidRPr="008848B8" w:rsidRDefault="004C382A" w:rsidP="004C382A">
      <w:r>
        <w:t xml:space="preserve">If there are clear warning signs on overweight and obesity in the 1973-78 cohort, then there should be alarm bells ringing on the rapid increase for the </w:t>
      </w:r>
      <w:r w:rsidRPr="008848B8">
        <w:rPr>
          <w:rFonts w:cstheme="minorHAnsi"/>
        </w:rPr>
        <w:t>1989-95 cohort</w:t>
      </w:r>
      <w:r>
        <w:rPr>
          <w:rFonts w:cstheme="minorHAnsi"/>
        </w:rPr>
        <w:t xml:space="preserve">. These women </w:t>
      </w:r>
      <w:r w:rsidRPr="008848B8">
        <w:rPr>
          <w:rFonts w:cstheme="minorHAnsi"/>
        </w:rPr>
        <w:t>in their late 20s</w:t>
      </w:r>
      <w:r>
        <w:rPr>
          <w:rFonts w:cstheme="minorHAnsi"/>
        </w:rPr>
        <w:t xml:space="preserve"> already have overweight and obesity rates not seen in previous generations until much later, even decades older in the </w:t>
      </w:r>
      <w:r>
        <w:t>1946-51 cohort</w:t>
      </w:r>
      <w:r>
        <w:rPr>
          <w:rFonts w:cstheme="minorHAnsi"/>
        </w:rPr>
        <w:t>.</w:t>
      </w:r>
    </w:p>
    <w:p w14:paraId="23B66508" w14:textId="77777777" w:rsidR="004C382A" w:rsidRDefault="004C382A" w:rsidP="003D5E6A">
      <w:pPr>
        <w:pStyle w:val="ListParagraph"/>
        <w:numPr>
          <w:ilvl w:val="0"/>
          <w:numId w:val="74"/>
        </w:numPr>
        <w:spacing w:before="0" w:after="80"/>
        <w:ind w:left="357" w:hanging="357"/>
      </w:pPr>
      <w:r w:rsidRPr="00C252D9">
        <w:rPr>
          <w:b/>
        </w:rPr>
        <w:t>Recommendation:</w:t>
      </w:r>
      <w:r>
        <w:t xml:space="preserve"> Intervention studies and preventive health strategies are needed that are targeted at women prior to midlife with corresponding research evaluation of their efficacy, if we are to mitigate the increased risk of chronic diseases and burden on health service use in the decades ahead. </w:t>
      </w:r>
    </w:p>
    <w:p w14:paraId="10A47327" w14:textId="77777777" w:rsidR="004C382A" w:rsidRPr="006161AD" w:rsidRDefault="004C382A" w:rsidP="004C382A">
      <w:pPr>
        <w:spacing w:after="160"/>
      </w:pPr>
      <w:r w:rsidRPr="006161AD">
        <w:t>Compared to the 1921-26 cohort, there is some evidence that women in the 1946-51 cohort may have be</w:t>
      </w:r>
      <w:r>
        <w:t>t</w:t>
      </w:r>
      <w:r w:rsidRPr="006161AD">
        <w:t>ter self-reported health and health-related quality of life scores. However higher rates of obesity in this cohort may limit gains in healthy ageing.</w:t>
      </w:r>
    </w:p>
    <w:p w14:paraId="4265E4E9" w14:textId="7434ABD0" w:rsidR="004C382A" w:rsidRDefault="004C382A" w:rsidP="00EE3439"/>
    <w:p w14:paraId="23B035A3" w14:textId="5EC9E223" w:rsidR="004C382A" w:rsidRDefault="004C382A" w:rsidP="00EE3439"/>
    <w:p w14:paraId="60ACB03B" w14:textId="77777777" w:rsidR="00833BED" w:rsidRDefault="00833BED" w:rsidP="00EE3439">
      <w:pPr>
        <w:sectPr w:rsidR="00833BED" w:rsidSect="00E37288">
          <w:pgSz w:w="11906" w:h="16838"/>
          <w:pgMar w:top="1440" w:right="1440" w:bottom="1440" w:left="1440" w:header="708" w:footer="708" w:gutter="0"/>
          <w:cols w:space="708"/>
          <w:docGrid w:linePitch="360"/>
        </w:sectPr>
      </w:pPr>
    </w:p>
    <w:p w14:paraId="2F7C75FE" w14:textId="5607A2FF" w:rsidR="00DF0107" w:rsidRDefault="009A5198" w:rsidP="006B02B6">
      <w:pPr>
        <w:pStyle w:val="Heading1"/>
        <w:spacing w:line="276" w:lineRule="auto"/>
        <w:ind w:left="431" w:hanging="431"/>
        <w:rPr>
          <w:rFonts w:cs="Arial"/>
        </w:rPr>
      </w:pPr>
      <w:bookmarkStart w:id="1150" w:name="IDX"/>
      <w:bookmarkStart w:id="1151" w:name="_ALSWH_Survey_Data"/>
      <w:bookmarkStart w:id="1152" w:name="_Toc310480521"/>
      <w:bookmarkStart w:id="1153" w:name="_Toc498092015"/>
      <w:bookmarkStart w:id="1154" w:name="_Toc124762827"/>
      <w:bookmarkEnd w:id="7"/>
      <w:bookmarkEnd w:id="8"/>
      <w:bookmarkEnd w:id="1150"/>
      <w:bookmarkEnd w:id="1151"/>
      <w:r w:rsidRPr="00DE377E">
        <w:rPr>
          <w:rFonts w:cs="Arial"/>
        </w:rPr>
        <w:lastRenderedPageBreak/>
        <w:t>DISSEMINATION OF STUDY FINDINGS</w:t>
      </w:r>
      <w:bookmarkEnd w:id="1152"/>
      <w:bookmarkEnd w:id="1153"/>
      <w:bookmarkEnd w:id="1154"/>
    </w:p>
    <w:p w14:paraId="7F6CFED3" w14:textId="6650B6DE" w:rsidR="00773EEC" w:rsidRPr="0066508C" w:rsidRDefault="007E7561" w:rsidP="006B02B6">
      <w:pPr>
        <w:pStyle w:val="Heading2"/>
      </w:pPr>
      <w:bookmarkStart w:id="1155" w:name="_Toc124762828"/>
      <w:r w:rsidRPr="0066508C">
        <w:t>Publications</w:t>
      </w:r>
      <w:bookmarkEnd w:id="1155"/>
    </w:p>
    <w:p w14:paraId="1D937E2E" w14:textId="4E98BEF5" w:rsidR="00B06975" w:rsidRPr="00A32D6C" w:rsidRDefault="00B06975" w:rsidP="00B06975">
      <w:pPr>
        <w:pStyle w:val="2012TechReportBodytext"/>
        <w:rPr>
          <w:rFonts w:cs="Arial"/>
          <w:szCs w:val="20"/>
        </w:rPr>
      </w:pPr>
      <w:r w:rsidRPr="00A32D6C">
        <w:rPr>
          <w:rFonts w:cs="Arial"/>
          <w:szCs w:val="20"/>
        </w:rPr>
        <w:t xml:space="preserve">Since the last Technical Report (15 November 2021) there have been </w:t>
      </w:r>
      <w:r w:rsidR="00A049E4">
        <w:rPr>
          <w:rFonts w:cs="Arial"/>
          <w:szCs w:val="20"/>
        </w:rPr>
        <w:t>42</w:t>
      </w:r>
      <w:r w:rsidR="00A049E4" w:rsidRPr="00A32D6C">
        <w:rPr>
          <w:rFonts w:cs="Arial"/>
          <w:szCs w:val="20"/>
        </w:rPr>
        <w:t xml:space="preserve"> </w:t>
      </w:r>
      <w:r w:rsidRPr="00A32D6C">
        <w:rPr>
          <w:rFonts w:cs="Arial"/>
          <w:szCs w:val="20"/>
        </w:rPr>
        <w:t>publications recorded using ALSWH data. The most frequently published research themes were chronic conditions, weight, nutrition and physical activity and reproductive health (</w:t>
      </w:r>
      <w:r w:rsidRPr="00A32D6C">
        <w:rPr>
          <w:rFonts w:cs="Arial"/>
          <w:szCs w:val="20"/>
        </w:rPr>
        <w:fldChar w:fldCharType="begin"/>
      </w:r>
      <w:r w:rsidRPr="00A32D6C">
        <w:rPr>
          <w:rFonts w:cs="Arial"/>
          <w:szCs w:val="20"/>
        </w:rPr>
        <w:instrText xml:space="preserve"> REF _Ref50047452 \h  \* MERGEFORMAT </w:instrText>
      </w:r>
      <w:r w:rsidRPr="00A32D6C">
        <w:rPr>
          <w:rFonts w:cs="Arial"/>
          <w:szCs w:val="20"/>
        </w:rPr>
      </w:r>
      <w:r w:rsidRPr="00A32D6C">
        <w:rPr>
          <w:rFonts w:cs="Arial"/>
          <w:szCs w:val="20"/>
        </w:rPr>
        <w:fldChar w:fldCharType="separate"/>
      </w:r>
      <w:r w:rsidR="007D19D7">
        <w:rPr>
          <w:rFonts w:cs="Arial"/>
          <w:b/>
          <w:bCs/>
          <w:szCs w:val="20"/>
          <w:lang w:val="en-US"/>
        </w:rPr>
        <w:t>Error! Reference source not found.</w:t>
      </w:r>
      <w:r w:rsidRPr="00A32D6C">
        <w:rPr>
          <w:rFonts w:cs="Arial"/>
          <w:szCs w:val="20"/>
        </w:rPr>
        <w:fldChar w:fldCharType="end"/>
      </w:r>
      <w:r w:rsidRPr="00A32D6C">
        <w:rPr>
          <w:rFonts w:cs="Arial"/>
          <w:szCs w:val="20"/>
        </w:rPr>
        <w:t xml:space="preserve">). </w:t>
      </w:r>
    </w:p>
    <w:p w14:paraId="3E5C7DCF" w14:textId="77777777" w:rsidR="00B06975" w:rsidRPr="00A32D6C" w:rsidRDefault="00B06975" w:rsidP="00B06975">
      <w:pPr>
        <w:pStyle w:val="2012TechReportBodytext"/>
        <w:spacing w:after="0"/>
        <w:rPr>
          <w:rFonts w:cs="Arial"/>
          <w:szCs w:val="20"/>
        </w:rPr>
      </w:pPr>
    </w:p>
    <w:p w14:paraId="7D533288" w14:textId="23736C18" w:rsidR="00B06975" w:rsidRPr="00A32D6C" w:rsidRDefault="00B06975" w:rsidP="0000266C">
      <w:pPr>
        <w:pStyle w:val="Caption"/>
      </w:pPr>
      <w:r w:rsidRPr="00A32D6C">
        <w:t xml:space="preserve">Table </w:t>
      </w:r>
      <w:fldSimple w:instr=" STYLEREF 1 \s ">
        <w:r w:rsidR="007D19D7">
          <w:rPr>
            <w:noProof/>
          </w:rPr>
          <w:t>9</w:t>
        </w:r>
      </w:fldSimple>
      <w:r w:rsidR="00327D59">
        <w:noBreakHyphen/>
      </w:r>
      <w:fldSimple w:instr=" SEQ Table \* ARABIC \s 1 ">
        <w:r w:rsidR="007D19D7">
          <w:rPr>
            <w:noProof/>
          </w:rPr>
          <w:t>1</w:t>
        </w:r>
      </w:fldSimple>
      <w:r w:rsidRPr="00A32D6C">
        <w:t xml:space="preserve"> ALSWH publications from November 2021 to </w:t>
      </w:r>
      <w:r w:rsidR="00BC6EA9">
        <w:t>November</w:t>
      </w:r>
      <w:r w:rsidR="00BC6EA9" w:rsidRPr="00A32D6C">
        <w:t xml:space="preserve"> </w:t>
      </w:r>
      <w:r w:rsidRPr="00A32D6C">
        <w:t>2022 by research theme.</w:t>
      </w:r>
    </w:p>
    <w:tbl>
      <w:tblPr>
        <w:tblStyle w:val="TableGrid"/>
        <w:tblW w:w="9067" w:type="dxa"/>
        <w:tblLook w:val="04A0" w:firstRow="1" w:lastRow="0" w:firstColumn="1" w:lastColumn="0" w:noHBand="0" w:noVBand="1"/>
      </w:tblPr>
      <w:tblGrid>
        <w:gridCol w:w="6232"/>
        <w:gridCol w:w="2835"/>
      </w:tblGrid>
      <w:tr w:rsidR="00B06975" w:rsidRPr="00A32D6C" w14:paraId="7EC8698B" w14:textId="77777777" w:rsidTr="00770BE9">
        <w:tc>
          <w:tcPr>
            <w:tcW w:w="6232" w:type="dxa"/>
            <w:shd w:val="clear" w:color="auto" w:fill="E5DFEC"/>
          </w:tcPr>
          <w:p w14:paraId="7BC67E6B" w14:textId="77777777" w:rsidR="00B06975" w:rsidRPr="00A32D6C" w:rsidRDefault="00B06975" w:rsidP="00770BE9">
            <w:pPr>
              <w:rPr>
                <w:rFonts w:cs="Arial"/>
                <w:b/>
                <w:szCs w:val="20"/>
              </w:rPr>
            </w:pPr>
            <w:r w:rsidRPr="00A32D6C">
              <w:rPr>
                <w:rFonts w:cs="Arial"/>
                <w:b/>
                <w:szCs w:val="20"/>
              </w:rPr>
              <w:t>Theme</w:t>
            </w:r>
          </w:p>
        </w:tc>
        <w:tc>
          <w:tcPr>
            <w:tcW w:w="2835" w:type="dxa"/>
            <w:shd w:val="clear" w:color="auto" w:fill="E5DFEC"/>
          </w:tcPr>
          <w:p w14:paraId="08ECC82F" w14:textId="77777777" w:rsidR="00B06975" w:rsidRPr="00A32D6C" w:rsidRDefault="00B06975" w:rsidP="00770BE9">
            <w:pPr>
              <w:jc w:val="right"/>
              <w:rPr>
                <w:rFonts w:cs="Arial"/>
                <w:b/>
                <w:szCs w:val="20"/>
              </w:rPr>
            </w:pPr>
            <w:r w:rsidRPr="00A32D6C">
              <w:rPr>
                <w:rFonts w:cs="Arial"/>
                <w:b/>
                <w:szCs w:val="20"/>
              </w:rPr>
              <w:t>No. publications</w:t>
            </w:r>
          </w:p>
        </w:tc>
      </w:tr>
      <w:tr w:rsidR="00B06975" w:rsidRPr="00A32D6C" w14:paraId="065EAC36" w14:textId="77777777" w:rsidTr="00770BE9">
        <w:tc>
          <w:tcPr>
            <w:tcW w:w="6232" w:type="dxa"/>
          </w:tcPr>
          <w:p w14:paraId="6985FBB8" w14:textId="77777777" w:rsidR="00B06975" w:rsidRPr="009E3565" w:rsidRDefault="00B06975" w:rsidP="00770BE9">
            <w:pPr>
              <w:spacing w:before="80"/>
              <w:jc w:val="left"/>
              <w:rPr>
                <w:rFonts w:cs="Arial"/>
                <w:szCs w:val="20"/>
              </w:rPr>
            </w:pPr>
            <w:r w:rsidRPr="009E3565">
              <w:rPr>
                <w:rFonts w:cs="Arial"/>
                <w:szCs w:val="20"/>
              </w:rPr>
              <w:t>Chronic conditions</w:t>
            </w:r>
          </w:p>
        </w:tc>
        <w:tc>
          <w:tcPr>
            <w:tcW w:w="2835" w:type="dxa"/>
          </w:tcPr>
          <w:p w14:paraId="5416B65B" w14:textId="7E5AE20B" w:rsidR="00B06975" w:rsidRPr="00A32D6C" w:rsidRDefault="00B06975" w:rsidP="00770BE9">
            <w:pPr>
              <w:jc w:val="right"/>
              <w:rPr>
                <w:rFonts w:cs="Arial"/>
                <w:szCs w:val="20"/>
              </w:rPr>
            </w:pPr>
            <w:r w:rsidRPr="00A32D6C">
              <w:rPr>
                <w:rFonts w:cs="Arial"/>
                <w:szCs w:val="20"/>
              </w:rPr>
              <w:t>1</w:t>
            </w:r>
            <w:r w:rsidR="00665A3E">
              <w:rPr>
                <w:rFonts w:cs="Arial"/>
                <w:szCs w:val="20"/>
              </w:rPr>
              <w:t>5</w:t>
            </w:r>
          </w:p>
        </w:tc>
      </w:tr>
      <w:tr w:rsidR="00B06975" w:rsidRPr="00A32D6C" w14:paraId="4C7850EE" w14:textId="77777777" w:rsidTr="00770BE9">
        <w:tc>
          <w:tcPr>
            <w:tcW w:w="6232" w:type="dxa"/>
          </w:tcPr>
          <w:p w14:paraId="79013D59" w14:textId="77777777" w:rsidR="00B06975" w:rsidRPr="009E3565" w:rsidRDefault="00B06975" w:rsidP="00770BE9">
            <w:pPr>
              <w:spacing w:before="80"/>
              <w:jc w:val="left"/>
              <w:rPr>
                <w:rFonts w:cs="Arial"/>
                <w:szCs w:val="20"/>
              </w:rPr>
            </w:pPr>
            <w:r w:rsidRPr="009E3565">
              <w:rPr>
                <w:rFonts w:cs="Arial"/>
                <w:szCs w:val="20"/>
              </w:rPr>
              <w:t>Weight</w:t>
            </w:r>
            <w:r w:rsidRPr="009E3565">
              <w:rPr>
                <w:rStyle w:val="Hyperlink"/>
                <w:rFonts w:cs="Arial"/>
                <w:color w:val="auto"/>
                <w:szCs w:val="20"/>
                <w:u w:val="none"/>
              </w:rPr>
              <w:t xml:space="preserve">, </w:t>
            </w:r>
            <w:proofErr w:type="gramStart"/>
            <w:r w:rsidRPr="009E3565">
              <w:rPr>
                <w:rStyle w:val="Hyperlink"/>
                <w:rFonts w:cs="Arial"/>
                <w:color w:val="auto"/>
                <w:szCs w:val="20"/>
                <w:u w:val="none"/>
              </w:rPr>
              <w:t>nutrition</w:t>
            </w:r>
            <w:proofErr w:type="gramEnd"/>
            <w:r w:rsidRPr="009E3565">
              <w:rPr>
                <w:rStyle w:val="Hyperlink"/>
                <w:rFonts w:cs="Arial"/>
                <w:color w:val="auto"/>
                <w:szCs w:val="20"/>
                <w:u w:val="none"/>
              </w:rPr>
              <w:t xml:space="preserve"> and physical activity</w:t>
            </w:r>
          </w:p>
        </w:tc>
        <w:tc>
          <w:tcPr>
            <w:tcW w:w="2835" w:type="dxa"/>
          </w:tcPr>
          <w:p w14:paraId="3F9B8634" w14:textId="06C7A725" w:rsidR="00B06975" w:rsidRPr="00A32D6C" w:rsidRDefault="00665A3E" w:rsidP="00770BE9">
            <w:pPr>
              <w:jc w:val="right"/>
              <w:rPr>
                <w:rFonts w:cs="Arial"/>
                <w:szCs w:val="20"/>
              </w:rPr>
            </w:pPr>
            <w:r w:rsidRPr="00A32D6C">
              <w:rPr>
                <w:rFonts w:cs="Arial"/>
                <w:szCs w:val="20"/>
              </w:rPr>
              <w:t>1</w:t>
            </w:r>
            <w:r w:rsidR="00FF2E07">
              <w:rPr>
                <w:rFonts w:cs="Arial"/>
                <w:szCs w:val="20"/>
              </w:rPr>
              <w:t>5</w:t>
            </w:r>
          </w:p>
        </w:tc>
      </w:tr>
      <w:tr w:rsidR="00B06975" w:rsidRPr="00A32D6C" w14:paraId="7A226C62" w14:textId="77777777" w:rsidTr="00770BE9">
        <w:tc>
          <w:tcPr>
            <w:tcW w:w="6232" w:type="dxa"/>
          </w:tcPr>
          <w:p w14:paraId="3EC5A4B6" w14:textId="77777777" w:rsidR="00B06975" w:rsidRPr="009E3565" w:rsidRDefault="00B06975" w:rsidP="00770BE9">
            <w:pPr>
              <w:spacing w:before="80"/>
              <w:jc w:val="left"/>
              <w:rPr>
                <w:rFonts w:cs="Arial"/>
                <w:szCs w:val="20"/>
              </w:rPr>
            </w:pPr>
            <w:r w:rsidRPr="009E3565">
              <w:rPr>
                <w:rFonts w:cs="Arial"/>
                <w:szCs w:val="20"/>
              </w:rPr>
              <w:t>Reproductive health</w:t>
            </w:r>
          </w:p>
        </w:tc>
        <w:tc>
          <w:tcPr>
            <w:tcW w:w="2835" w:type="dxa"/>
          </w:tcPr>
          <w:p w14:paraId="3F4CA353" w14:textId="3463EC51" w:rsidR="00B06975" w:rsidRPr="00A32D6C" w:rsidRDefault="00ED60E3" w:rsidP="00770BE9">
            <w:pPr>
              <w:jc w:val="right"/>
              <w:rPr>
                <w:rFonts w:cs="Arial"/>
                <w:szCs w:val="20"/>
              </w:rPr>
            </w:pPr>
            <w:r>
              <w:rPr>
                <w:rFonts w:cs="Arial"/>
                <w:szCs w:val="20"/>
              </w:rPr>
              <w:t>1</w:t>
            </w:r>
            <w:r w:rsidR="00FF2E07">
              <w:rPr>
                <w:rFonts w:cs="Arial"/>
                <w:szCs w:val="20"/>
              </w:rPr>
              <w:t>3</w:t>
            </w:r>
          </w:p>
        </w:tc>
      </w:tr>
      <w:tr w:rsidR="00B06975" w:rsidRPr="00A32D6C" w14:paraId="5C02E8AB" w14:textId="77777777" w:rsidTr="00770BE9">
        <w:tc>
          <w:tcPr>
            <w:tcW w:w="6232" w:type="dxa"/>
          </w:tcPr>
          <w:p w14:paraId="15A4E583" w14:textId="77777777" w:rsidR="00B06975" w:rsidRPr="009E3565" w:rsidRDefault="00B06975" w:rsidP="00770BE9">
            <w:pPr>
              <w:spacing w:before="80"/>
              <w:jc w:val="left"/>
              <w:rPr>
                <w:rFonts w:cs="Arial"/>
                <w:szCs w:val="20"/>
              </w:rPr>
            </w:pPr>
            <w:r w:rsidRPr="009E3565">
              <w:rPr>
                <w:rFonts w:cs="Arial"/>
                <w:szCs w:val="20"/>
              </w:rPr>
              <w:t>Mental health</w:t>
            </w:r>
          </w:p>
        </w:tc>
        <w:tc>
          <w:tcPr>
            <w:tcW w:w="2835" w:type="dxa"/>
          </w:tcPr>
          <w:p w14:paraId="72059A71" w14:textId="786DA9E7" w:rsidR="00B06975" w:rsidRPr="00A32D6C" w:rsidRDefault="00665A3E" w:rsidP="00770BE9">
            <w:pPr>
              <w:jc w:val="right"/>
              <w:rPr>
                <w:rFonts w:cs="Arial"/>
                <w:szCs w:val="20"/>
              </w:rPr>
            </w:pPr>
            <w:r>
              <w:rPr>
                <w:rFonts w:cs="Arial"/>
                <w:szCs w:val="20"/>
              </w:rPr>
              <w:t>10</w:t>
            </w:r>
          </w:p>
        </w:tc>
      </w:tr>
      <w:tr w:rsidR="00B06975" w:rsidRPr="00A32D6C" w14:paraId="39D941E0" w14:textId="77777777" w:rsidTr="00770BE9">
        <w:tc>
          <w:tcPr>
            <w:tcW w:w="6232" w:type="dxa"/>
            <w:vAlign w:val="center"/>
          </w:tcPr>
          <w:p w14:paraId="76A4DFA1" w14:textId="77777777" w:rsidR="00B06975" w:rsidRPr="009E3565" w:rsidRDefault="00B06975" w:rsidP="00770BE9">
            <w:pPr>
              <w:spacing w:before="80"/>
              <w:jc w:val="left"/>
              <w:rPr>
                <w:rFonts w:cs="Arial"/>
                <w:szCs w:val="20"/>
              </w:rPr>
            </w:pPr>
            <w:r w:rsidRPr="009E3565">
              <w:rPr>
                <w:rFonts w:cs="Arial"/>
                <w:szCs w:val="20"/>
              </w:rPr>
              <w:t>Ageing</w:t>
            </w:r>
            <w:r w:rsidRPr="009E3565">
              <w:rPr>
                <w:rStyle w:val="Hyperlink"/>
                <w:rFonts w:cs="Arial"/>
                <w:color w:val="auto"/>
                <w:szCs w:val="20"/>
                <w:u w:val="none"/>
              </w:rPr>
              <w:t xml:space="preserve"> and Aged Care</w:t>
            </w:r>
          </w:p>
        </w:tc>
        <w:tc>
          <w:tcPr>
            <w:tcW w:w="2835" w:type="dxa"/>
          </w:tcPr>
          <w:p w14:paraId="2E2418D4" w14:textId="221BF1E4" w:rsidR="00B06975" w:rsidRPr="00A32D6C" w:rsidRDefault="00665A3E" w:rsidP="00770BE9">
            <w:pPr>
              <w:jc w:val="right"/>
              <w:rPr>
                <w:rFonts w:cs="Arial"/>
                <w:szCs w:val="20"/>
              </w:rPr>
            </w:pPr>
            <w:r>
              <w:rPr>
                <w:rFonts w:cs="Arial"/>
                <w:szCs w:val="20"/>
              </w:rPr>
              <w:t>6</w:t>
            </w:r>
          </w:p>
        </w:tc>
      </w:tr>
      <w:tr w:rsidR="00A049E4" w:rsidRPr="00A32D6C" w14:paraId="0D367070" w14:textId="77777777" w:rsidTr="00A049E4">
        <w:tc>
          <w:tcPr>
            <w:tcW w:w="6232" w:type="dxa"/>
          </w:tcPr>
          <w:p w14:paraId="144A7387" w14:textId="77777777" w:rsidR="00A049E4" w:rsidRPr="009E3565" w:rsidRDefault="00A049E4" w:rsidP="00813201">
            <w:pPr>
              <w:spacing w:before="80"/>
              <w:jc w:val="left"/>
              <w:rPr>
                <w:rFonts w:cs="Arial"/>
                <w:szCs w:val="20"/>
              </w:rPr>
            </w:pPr>
            <w:r w:rsidRPr="009E3565">
              <w:rPr>
                <w:rFonts w:cs="Arial"/>
                <w:szCs w:val="20"/>
              </w:rPr>
              <w:t>Social</w:t>
            </w:r>
            <w:r w:rsidRPr="009E3565">
              <w:rPr>
                <w:rStyle w:val="Hyperlink"/>
                <w:rFonts w:cs="Arial"/>
                <w:color w:val="auto"/>
                <w:szCs w:val="20"/>
                <w:u w:val="none"/>
              </w:rPr>
              <w:t xml:space="preserve"> factors in health and wellbeing</w:t>
            </w:r>
          </w:p>
        </w:tc>
        <w:tc>
          <w:tcPr>
            <w:tcW w:w="2835" w:type="dxa"/>
          </w:tcPr>
          <w:p w14:paraId="073EBF1D" w14:textId="77777777" w:rsidR="00A049E4" w:rsidRPr="00A32D6C" w:rsidRDefault="00A049E4" w:rsidP="00813201">
            <w:pPr>
              <w:jc w:val="right"/>
              <w:rPr>
                <w:rFonts w:cs="Arial"/>
                <w:szCs w:val="20"/>
              </w:rPr>
            </w:pPr>
            <w:r>
              <w:rPr>
                <w:rFonts w:cs="Arial"/>
                <w:szCs w:val="20"/>
              </w:rPr>
              <w:t>6</w:t>
            </w:r>
          </w:p>
        </w:tc>
      </w:tr>
      <w:tr w:rsidR="00B06975" w:rsidRPr="00A32D6C" w14:paraId="02504D1B" w14:textId="77777777" w:rsidTr="00770BE9">
        <w:tc>
          <w:tcPr>
            <w:tcW w:w="6232" w:type="dxa"/>
            <w:vAlign w:val="center"/>
          </w:tcPr>
          <w:p w14:paraId="5EC10571" w14:textId="77777777" w:rsidR="00B06975" w:rsidRPr="009E3565" w:rsidRDefault="00B06975" w:rsidP="00770BE9">
            <w:pPr>
              <w:spacing w:before="80"/>
              <w:jc w:val="left"/>
              <w:rPr>
                <w:rFonts w:cs="Arial"/>
                <w:szCs w:val="20"/>
              </w:rPr>
            </w:pPr>
            <w:r w:rsidRPr="009E3565">
              <w:rPr>
                <w:rFonts w:cs="Arial"/>
                <w:szCs w:val="20"/>
              </w:rPr>
              <w:t>Health</w:t>
            </w:r>
            <w:r w:rsidRPr="009E3565">
              <w:rPr>
                <w:rStyle w:val="Hyperlink"/>
                <w:rFonts w:cs="Arial"/>
                <w:color w:val="auto"/>
                <w:szCs w:val="20"/>
                <w:u w:val="none"/>
              </w:rPr>
              <w:t xml:space="preserve"> service use</w:t>
            </w:r>
          </w:p>
        </w:tc>
        <w:tc>
          <w:tcPr>
            <w:tcW w:w="2835" w:type="dxa"/>
          </w:tcPr>
          <w:p w14:paraId="2DFA9C70" w14:textId="251B6BC1" w:rsidR="00B06975" w:rsidRPr="00A32D6C" w:rsidRDefault="00A46CDE" w:rsidP="00770BE9">
            <w:pPr>
              <w:jc w:val="right"/>
              <w:rPr>
                <w:rFonts w:cs="Arial"/>
                <w:szCs w:val="20"/>
              </w:rPr>
            </w:pPr>
            <w:r>
              <w:rPr>
                <w:rFonts w:cs="Arial"/>
                <w:szCs w:val="20"/>
              </w:rPr>
              <w:t>5</w:t>
            </w:r>
          </w:p>
        </w:tc>
      </w:tr>
      <w:tr w:rsidR="00B06975" w:rsidRPr="00A32D6C" w14:paraId="6DB35F63" w14:textId="77777777" w:rsidTr="00770BE9">
        <w:tc>
          <w:tcPr>
            <w:tcW w:w="6232" w:type="dxa"/>
          </w:tcPr>
          <w:p w14:paraId="5DAAC52C" w14:textId="77777777" w:rsidR="00B06975" w:rsidRPr="009E3565" w:rsidRDefault="00B06975" w:rsidP="00770BE9">
            <w:pPr>
              <w:spacing w:before="80"/>
              <w:jc w:val="left"/>
              <w:rPr>
                <w:rFonts w:cs="Arial"/>
                <w:szCs w:val="20"/>
              </w:rPr>
            </w:pPr>
            <w:r w:rsidRPr="009E3565">
              <w:rPr>
                <w:rFonts w:cs="Arial"/>
                <w:szCs w:val="20"/>
              </w:rPr>
              <w:t>Tobacco,</w:t>
            </w:r>
            <w:r w:rsidRPr="009E3565">
              <w:rPr>
                <w:rStyle w:val="Hyperlink"/>
                <w:rFonts w:cs="Arial"/>
                <w:color w:val="auto"/>
                <w:szCs w:val="20"/>
                <w:u w:val="none"/>
              </w:rPr>
              <w:t xml:space="preserve"> </w:t>
            </w:r>
            <w:proofErr w:type="gramStart"/>
            <w:r w:rsidRPr="009E3565">
              <w:rPr>
                <w:rStyle w:val="Hyperlink"/>
                <w:rFonts w:cs="Arial"/>
                <w:color w:val="auto"/>
                <w:szCs w:val="20"/>
                <w:u w:val="none"/>
              </w:rPr>
              <w:t>alcohol</w:t>
            </w:r>
            <w:proofErr w:type="gramEnd"/>
            <w:r w:rsidRPr="009E3565">
              <w:rPr>
                <w:rStyle w:val="Hyperlink"/>
                <w:rFonts w:cs="Arial"/>
                <w:color w:val="auto"/>
                <w:szCs w:val="20"/>
                <w:u w:val="none"/>
              </w:rPr>
              <w:t xml:space="preserve"> and other drugs</w:t>
            </w:r>
          </w:p>
        </w:tc>
        <w:tc>
          <w:tcPr>
            <w:tcW w:w="2835" w:type="dxa"/>
          </w:tcPr>
          <w:p w14:paraId="7B5B03F2" w14:textId="77777777" w:rsidR="00B06975" w:rsidRPr="00A32D6C" w:rsidRDefault="00B06975" w:rsidP="00770BE9">
            <w:pPr>
              <w:jc w:val="right"/>
              <w:rPr>
                <w:rFonts w:cs="Arial"/>
                <w:szCs w:val="20"/>
              </w:rPr>
            </w:pPr>
            <w:r w:rsidRPr="00A32D6C">
              <w:rPr>
                <w:rFonts w:cs="Arial"/>
                <w:szCs w:val="20"/>
              </w:rPr>
              <w:t>4</w:t>
            </w:r>
          </w:p>
        </w:tc>
      </w:tr>
      <w:tr w:rsidR="00B06975" w:rsidRPr="00A32D6C" w14:paraId="4AECBA90" w14:textId="77777777" w:rsidTr="00770BE9">
        <w:tc>
          <w:tcPr>
            <w:tcW w:w="6232" w:type="dxa"/>
          </w:tcPr>
          <w:p w14:paraId="0441221E" w14:textId="77777777" w:rsidR="00B06975" w:rsidRPr="00A32D6C" w:rsidRDefault="00B06975" w:rsidP="00770BE9">
            <w:pPr>
              <w:spacing w:before="80"/>
              <w:jc w:val="left"/>
              <w:rPr>
                <w:rFonts w:cs="Arial"/>
                <w:szCs w:val="20"/>
              </w:rPr>
            </w:pPr>
            <w:r w:rsidRPr="00A32D6C">
              <w:rPr>
                <w:rFonts w:cs="Arial"/>
                <w:szCs w:val="20"/>
              </w:rPr>
              <w:t>Child health and development</w:t>
            </w:r>
          </w:p>
        </w:tc>
        <w:tc>
          <w:tcPr>
            <w:tcW w:w="2835" w:type="dxa"/>
          </w:tcPr>
          <w:p w14:paraId="51C6991C" w14:textId="616CDE75" w:rsidR="00B06975" w:rsidRPr="00A32D6C" w:rsidRDefault="006E3038" w:rsidP="00770BE9">
            <w:pPr>
              <w:jc w:val="right"/>
              <w:rPr>
                <w:rFonts w:cs="Arial"/>
                <w:szCs w:val="20"/>
              </w:rPr>
            </w:pPr>
            <w:r>
              <w:rPr>
                <w:rFonts w:cs="Arial"/>
                <w:szCs w:val="20"/>
              </w:rPr>
              <w:t>4</w:t>
            </w:r>
          </w:p>
        </w:tc>
      </w:tr>
      <w:tr w:rsidR="00A049E4" w:rsidRPr="00A32D6C" w14:paraId="735B6F73" w14:textId="77777777" w:rsidTr="00A049E4">
        <w:tc>
          <w:tcPr>
            <w:tcW w:w="6232" w:type="dxa"/>
          </w:tcPr>
          <w:p w14:paraId="26A935D6" w14:textId="77777777" w:rsidR="00A049E4" w:rsidRPr="00A32D6C" w:rsidRDefault="00A049E4" w:rsidP="00813201">
            <w:pPr>
              <w:spacing w:before="80"/>
              <w:jc w:val="left"/>
              <w:rPr>
                <w:rFonts w:cs="Arial"/>
                <w:szCs w:val="20"/>
              </w:rPr>
            </w:pPr>
            <w:r w:rsidRPr="00A32D6C">
              <w:rPr>
                <w:rFonts w:cs="Arial"/>
                <w:szCs w:val="20"/>
              </w:rPr>
              <w:t>Physical health</w:t>
            </w:r>
          </w:p>
        </w:tc>
        <w:tc>
          <w:tcPr>
            <w:tcW w:w="2835" w:type="dxa"/>
          </w:tcPr>
          <w:p w14:paraId="44831222" w14:textId="77777777" w:rsidR="00A049E4" w:rsidRPr="00A32D6C" w:rsidRDefault="00A049E4" w:rsidP="00813201">
            <w:pPr>
              <w:jc w:val="right"/>
              <w:rPr>
                <w:rFonts w:cs="Arial"/>
                <w:szCs w:val="20"/>
              </w:rPr>
            </w:pPr>
            <w:r>
              <w:rPr>
                <w:rFonts w:cs="Arial"/>
                <w:szCs w:val="20"/>
              </w:rPr>
              <w:t>3</w:t>
            </w:r>
          </w:p>
        </w:tc>
      </w:tr>
      <w:tr w:rsidR="00B06975" w:rsidRPr="00A32D6C" w14:paraId="68B68DF3" w14:textId="77777777" w:rsidTr="00770BE9">
        <w:tc>
          <w:tcPr>
            <w:tcW w:w="6232" w:type="dxa"/>
            <w:vAlign w:val="center"/>
          </w:tcPr>
          <w:p w14:paraId="76BDF5A9" w14:textId="77777777" w:rsidR="00B06975" w:rsidRPr="00A32D6C" w:rsidRDefault="00B06975" w:rsidP="00770BE9">
            <w:pPr>
              <w:spacing w:before="80"/>
              <w:jc w:val="left"/>
              <w:rPr>
                <w:rFonts w:cs="Arial"/>
                <w:szCs w:val="20"/>
              </w:rPr>
            </w:pPr>
            <w:r w:rsidRPr="00A32D6C">
              <w:rPr>
                <w:rFonts w:cs="Arial"/>
                <w:szCs w:val="20"/>
              </w:rPr>
              <w:t>Methodology</w:t>
            </w:r>
          </w:p>
        </w:tc>
        <w:tc>
          <w:tcPr>
            <w:tcW w:w="2835" w:type="dxa"/>
          </w:tcPr>
          <w:p w14:paraId="70863BF1" w14:textId="77777777" w:rsidR="00B06975" w:rsidRPr="00A32D6C" w:rsidRDefault="00B06975" w:rsidP="00770BE9">
            <w:pPr>
              <w:jc w:val="right"/>
              <w:rPr>
                <w:rFonts w:cs="Arial"/>
                <w:szCs w:val="20"/>
              </w:rPr>
            </w:pPr>
            <w:r w:rsidRPr="00A32D6C">
              <w:rPr>
                <w:rFonts w:cs="Arial"/>
                <w:szCs w:val="20"/>
              </w:rPr>
              <w:t>2</w:t>
            </w:r>
          </w:p>
        </w:tc>
      </w:tr>
      <w:tr w:rsidR="00A049E4" w:rsidRPr="00A32D6C" w14:paraId="24ED9DDD" w14:textId="77777777" w:rsidTr="00A049E4">
        <w:tc>
          <w:tcPr>
            <w:tcW w:w="6232" w:type="dxa"/>
          </w:tcPr>
          <w:p w14:paraId="7918C08E" w14:textId="77777777" w:rsidR="00A049E4" w:rsidRPr="00A32D6C" w:rsidRDefault="00A049E4" w:rsidP="00813201">
            <w:pPr>
              <w:spacing w:before="80"/>
              <w:jc w:val="left"/>
              <w:rPr>
                <w:rFonts w:cs="Arial"/>
                <w:szCs w:val="20"/>
              </w:rPr>
            </w:pPr>
            <w:r w:rsidRPr="00A32D6C">
              <w:rPr>
                <w:rFonts w:cs="Arial"/>
                <w:szCs w:val="20"/>
              </w:rPr>
              <w:t>Environmental health</w:t>
            </w:r>
          </w:p>
        </w:tc>
        <w:tc>
          <w:tcPr>
            <w:tcW w:w="2835" w:type="dxa"/>
          </w:tcPr>
          <w:p w14:paraId="459FF7AE" w14:textId="77777777" w:rsidR="00A049E4" w:rsidRPr="00A32D6C" w:rsidRDefault="00A049E4" w:rsidP="00813201">
            <w:pPr>
              <w:jc w:val="right"/>
              <w:rPr>
                <w:rFonts w:cs="Arial"/>
                <w:szCs w:val="20"/>
              </w:rPr>
            </w:pPr>
            <w:r>
              <w:rPr>
                <w:rFonts w:cs="Arial"/>
                <w:szCs w:val="20"/>
              </w:rPr>
              <w:t>2</w:t>
            </w:r>
          </w:p>
        </w:tc>
      </w:tr>
      <w:tr w:rsidR="00B06975" w:rsidRPr="00A32D6C" w14:paraId="31D33081" w14:textId="77777777" w:rsidTr="00770BE9">
        <w:tc>
          <w:tcPr>
            <w:tcW w:w="6232" w:type="dxa"/>
            <w:vAlign w:val="center"/>
          </w:tcPr>
          <w:p w14:paraId="3E7097CB" w14:textId="77777777" w:rsidR="00B06975" w:rsidRPr="00A32D6C" w:rsidRDefault="00B06975" w:rsidP="00770BE9">
            <w:pPr>
              <w:spacing w:before="80"/>
              <w:jc w:val="left"/>
              <w:rPr>
                <w:rFonts w:cs="Arial"/>
                <w:szCs w:val="20"/>
              </w:rPr>
            </w:pPr>
            <w:r w:rsidRPr="00A32D6C">
              <w:rPr>
                <w:rFonts w:cs="Arial"/>
                <w:szCs w:val="20"/>
              </w:rPr>
              <w:t>Abuse</w:t>
            </w:r>
          </w:p>
        </w:tc>
        <w:tc>
          <w:tcPr>
            <w:tcW w:w="2835" w:type="dxa"/>
          </w:tcPr>
          <w:p w14:paraId="007C0B89" w14:textId="77777777" w:rsidR="00B06975" w:rsidRPr="00A32D6C" w:rsidRDefault="00B06975" w:rsidP="00770BE9">
            <w:pPr>
              <w:jc w:val="right"/>
              <w:rPr>
                <w:rFonts w:cs="Arial"/>
                <w:szCs w:val="20"/>
              </w:rPr>
            </w:pPr>
            <w:r w:rsidRPr="00A32D6C">
              <w:rPr>
                <w:rFonts w:cs="Arial"/>
                <w:szCs w:val="20"/>
              </w:rPr>
              <w:t>1</w:t>
            </w:r>
          </w:p>
        </w:tc>
      </w:tr>
      <w:tr w:rsidR="00B06975" w:rsidRPr="00A32D6C" w14:paraId="1869776D" w14:textId="77777777" w:rsidTr="00770BE9">
        <w:tc>
          <w:tcPr>
            <w:tcW w:w="6232" w:type="dxa"/>
            <w:vAlign w:val="center"/>
          </w:tcPr>
          <w:p w14:paraId="5B215561" w14:textId="77777777" w:rsidR="00B06975" w:rsidRPr="00A32D6C" w:rsidRDefault="00B06975" w:rsidP="00770BE9">
            <w:pPr>
              <w:spacing w:before="80"/>
              <w:jc w:val="left"/>
              <w:rPr>
                <w:rFonts w:cs="Arial"/>
                <w:szCs w:val="20"/>
              </w:rPr>
            </w:pPr>
            <w:r w:rsidRPr="00A32D6C">
              <w:rPr>
                <w:rFonts w:cs="Arial"/>
                <w:szCs w:val="20"/>
              </w:rPr>
              <w:t xml:space="preserve">Formal and informal </w:t>
            </w:r>
            <w:proofErr w:type="spellStart"/>
            <w:r w:rsidRPr="00A32D6C">
              <w:rPr>
                <w:rFonts w:cs="Arial"/>
                <w:szCs w:val="20"/>
              </w:rPr>
              <w:t>workpatterns</w:t>
            </w:r>
            <w:proofErr w:type="spellEnd"/>
            <w:r w:rsidRPr="00A32D6C">
              <w:rPr>
                <w:rFonts w:cs="Arial"/>
                <w:szCs w:val="20"/>
              </w:rPr>
              <w:t xml:space="preserve"> and work/family balance</w:t>
            </w:r>
          </w:p>
        </w:tc>
        <w:tc>
          <w:tcPr>
            <w:tcW w:w="2835" w:type="dxa"/>
          </w:tcPr>
          <w:p w14:paraId="28D5429E" w14:textId="77777777" w:rsidR="00B06975" w:rsidRPr="00A32D6C" w:rsidRDefault="00B06975" w:rsidP="00770BE9">
            <w:pPr>
              <w:jc w:val="right"/>
              <w:rPr>
                <w:rFonts w:cs="Arial"/>
                <w:szCs w:val="20"/>
              </w:rPr>
            </w:pPr>
            <w:r w:rsidRPr="00A32D6C">
              <w:rPr>
                <w:rFonts w:cs="Arial"/>
                <w:szCs w:val="20"/>
              </w:rPr>
              <w:t>1</w:t>
            </w:r>
          </w:p>
        </w:tc>
      </w:tr>
      <w:tr w:rsidR="00B06975" w:rsidRPr="00A32D6C" w14:paraId="6E6E5F3A" w14:textId="77777777" w:rsidTr="00770BE9">
        <w:tc>
          <w:tcPr>
            <w:tcW w:w="6232" w:type="dxa"/>
            <w:vAlign w:val="center"/>
          </w:tcPr>
          <w:p w14:paraId="211743C7" w14:textId="77777777" w:rsidR="00B06975" w:rsidRPr="00A32D6C" w:rsidRDefault="00B06975" w:rsidP="00770BE9">
            <w:pPr>
              <w:spacing w:before="80"/>
              <w:jc w:val="left"/>
              <w:rPr>
                <w:rFonts w:cs="Arial"/>
                <w:szCs w:val="20"/>
              </w:rPr>
            </w:pPr>
            <w:r w:rsidRPr="00A32D6C">
              <w:rPr>
                <w:rFonts w:cs="Arial"/>
                <w:szCs w:val="20"/>
              </w:rPr>
              <w:t>Medications</w:t>
            </w:r>
          </w:p>
        </w:tc>
        <w:tc>
          <w:tcPr>
            <w:tcW w:w="2835" w:type="dxa"/>
          </w:tcPr>
          <w:p w14:paraId="148FDF18" w14:textId="77777777" w:rsidR="00B06975" w:rsidRPr="00A32D6C" w:rsidRDefault="00B06975" w:rsidP="00770BE9">
            <w:pPr>
              <w:jc w:val="right"/>
              <w:rPr>
                <w:rFonts w:cs="Arial"/>
                <w:szCs w:val="20"/>
              </w:rPr>
            </w:pPr>
            <w:r w:rsidRPr="00A32D6C">
              <w:rPr>
                <w:rFonts w:cs="Arial"/>
                <w:szCs w:val="20"/>
              </w:rPr>
              <w:t>1</w:t>
            </w:r>
          </w:p>
        </w:tc>
      </w:tr>
    </w:tbl>
    <w:p w14:paraId="63F41D7B" w14:textId="77777777" w:rsidR="00B06975" w:rsidRPr="00A32D6C" w:rsidRDefault="00B06975" w:rsidP="00B06975">
      <w:pPr>
        <w:spacing w:before="0" w:after="0"/>
        <w:rPr>
          <w:rFonts w:cs="Arial"/>
          <w:szCs w:val="20"/>
        </w:rPr>
      </w:pPr>
    </w:p>
    <w:p w14:paraId="271BEC46" w14:textId="77777777" w:rsidR="00B06975" w:rsidRPr="00A32D6C" w:rsidRDefault="00B06975" w:rsidP="00B06975">
      <w:pPr>
        <w:pStyle w:val="2012TechReportBodytext"/>
        <w:rPr>
          <w:rFonts w:cs="Arial"/>
          <w:szCs w:val="20"/>
        </w:rPr>
      </w:pPr>
      <w:r w:rsidRPr="00A32D6C">
        <w:rPr>
          <w:rFonts w:cs="Arial"/>
          <w:szCs w:val="20"/>
        </w:rPr>
        <w:lastRenderedPageBreak/>
        <w:t xml:space="preserve">Publications in each theme are listed below – please note, publications often encompass more than one theme, so may be appear in more than one category. A list of all ALSWH publications is available on the </w:t>
      </w:r>
      <w:hyperlink r:id="rId70" w:history="1">
        <w:r w:rsidRPr="00A32D6C">
          <w:rPr>
            <w:rStyle w:val="Hyperlink"/>
            <w:rFonts w:cs="Arial"/>
            <w:szCs w:val="20"/>
          </w:rPr>
          <w:t>Study website</w:t>
        </w:r>
      </w:hyperlink>
      <w:r w:rsidRPr="00A32D6C">
        <w:rPr>
          <w:rFonts w:cs="Arial"/>
          <w:szCs w:val="20"/>
        </w:rPr>
        <w:t xml:space="preserve">. </w:t>
      </w:r>
    </w:p>
    <w:p w14:paraId="4D87A80D" w14:textId="77777777" w:rsidR="00B06975" w:rsidRPr="00A32D6C" w:rsidRDefault="00B06975" w:rsidP="00B06975">
      <w:pPr>
        <w:rPr>
          <w:rFonts w:cs="Arial"/>
          <w:b/>
          <w:bCs/>
          <w:szCs w:val="20"/>
        </w:rPr>
      </w:pPr>
      <w:r w:rsidRPr="00A32D6C">
        <w:rPr>
          <w:rFonts w:cs="Arial"/>
          <w:b/>
          <w:bCs/>
          <w:szCs w:val="20"/>
        </w:rPr>
        <w:t>Chronic conditions</w:t>
      </w:r>
    </w:p>
    <w:p w14:paraId="6846DBC1" w14:textId="77777777" w:rsidR="00B06975" w:rsidRPr="00A32D6C" w:rsidRDefault="00B06975" w:rsidP="003D5E6A">
      <w:pPr>
        <w:pStyle w:val="ListParagraph"/>
        <w:numPr>
          <w:ilvl w:val="0"/>
          <w:numId w:val="79"/>
        </w:numPr>
        <w:spacing w:before="0" w:after="160"/>
        <w:ind w:left="714" w:hanging="357"/>
        <w:contextualSpacing w:val="0"/>
        <w:jc w:val="left"/>
        <w:rPr>
          <w:rFonts w:eastAsiaTheme="minorHAnsi" w:cs="Arial"/>
          <w:szCs w:val="20"/>
          <w:lang w:eastAsia="en-US"/>
        </w:rPr>
      </w:pPr>
      <w:bookmarkStart w:id="1156" w:name="_Hlk118372403"/>
      <w:r w:rsidRPr="00A32D6C">
        <w:rPr>
          <w:rFonts w:eastAsiaTheme="minorHAnsi" w:cs="Arial"/>
          <w:szCs w:val="20"/>
          <w:lang w:eastAsia="en-US"/>
        </w:rPr>
        <w:t xml:space="preserve">Abdulbasit M. Seid, Gita D. Mishra, Annette J. Dobson. (2022). The association between childhood sexual abuse and historical intimate partner violence with body mass index and diabetes: Evidence from the Australian Longitudinal Study on Women’s Health. </w:t>
      </w:r>
      <w:r w:rsidRPr="00A32D6C">
        <w:rPr>
          <w:rFonts w:eastAsiaTheme="minorHAnsi" w:cs="Arial"/>
          <w:i/>
          <w:iCs/>
          <w:szCs w:val="20"/>
          <w:lang w:eastAsia="en-US"/>
        </w:rPr>
        <w:t>Preventive Medicin</w:t>
      </w:r>
      <w:r w:rsidRPr="00A32D6C">
        <w:rPr>
          <w:rFonts w:eastAsiaTheme="minorHAnsi" w:cs="Arial"/>
          <w:szCs w:val="20"/>
          <w:lang w:eastAsia="en-US"/>
        </w:rPr>
        <w:t xml:space="preserve">e; 161: 107134. </w:t>
      </w:r>
      <w:hyperlink r:id="rId71" w:history="1">
        <w:r w:rsidRPr="00A32D6C">
          <w:rPr>
            <w:rFonts w:eastAsiaTheme="minorHAnsi" w:cs="Arial"/>
            <w:color w:val="0000FF" w:themeColor="hyperlink"/>
            <w:szCs w:val="20"/>
            <w:u w:val="single"/>
            <w:lang w:eastAsia="en-US"/>
          </w:rPr>
          <w:t>https://doi.org/10.1016/j.ypmed.2022.107134</w:t>
        </w:r>
      </w:hyperlink>
      <w:r w:rsidRPr="00A32D6C">
        <w:rPr>
          <w:rFonts w:eastAsiaTheme="minorHAnsi" w:cs="Arial"/>
          <w:szCs w:val="20"/>
          <w:lang w:eastAsia="en-US"/>
        </w:rPr>
        <w:t xml:space="preserve"> </w:t>
      </w:r>
    </w:p>
    <w:p w14:paraId="01695D93" w14:textId="77777777" w:rsidR="00B06975" w:rsidRPr="00A32D6C" w:rsidRDefault="00B06975" w:rsidP="003D5E6A">
      <w:pPr>
        <w:pStyle w:val="ListParagraph"/>
        <w:numPr>
          <w:ilvl w:val="0"/>
          <w:numId w:val="79"/>
        </w:numPr>
        <w:spacing w:before="0" w:after="160"/>
        <w:ind w:left="714" w:hanging="357"/>
        <w:contextualSpacing w:val="0"/>
        <w:jc w:val="left"/>
        <w:rPr>
          <w:rFonts w:eastAsiaTheme="minorHAnsi" w:cs="Arial"/>
          <w:szCs w:val="20"/>
          <w:lang w:eastAsia="en-US"/>
        </w:rPr>
      </w:pPr>
      <w:proofErr w:type="spellStart"/>
      <w:r w:rsidRPr="00A32D6C">
        <w:rPr>
          <w:rFonts w:eastAsiaTheme="minorHAnsi" w:cs="Arial"/>
          <w:szCs w:val="20"/>
          <w:lang w:eastAsia="en-US"/>
        </w:rPr>
        <w:t>Botteri</w:t>
      </w:r>
      <w:proofErr w:type="spellEnd"/>
      <w:r w:rsidRPr="00A32D6C">
        <w:rPr>
          <w:rFonts w:eastAsiaTheme="minorHAnsi" w:cs="Arial"/>
          <w:szCs w:val="20"/>
          <w:lang w:eastAsia="en-US"/>
        </w:rPr>
        <w:t xml:space="preserve"> E, Xu Z, </w:t>
      </w:r>
      <w:proofErr w:type="spellStart"/>
      <w:r w:rsidRPr="00A32D6C">
        <w:rPr>
          <w:rFonts w:eastAsiaTheme="minorHAnsi" w:cs="Arial"/>
          <w:szCs w:val="20"/>
          <w:lang w:eastAsia="en-US"/>
        </w:rPr>
        <w:t>Støer</w:t>
      </w:r>
      <w:proofErr w:type="spellEnd"/>
      <w:r w:rsidRPr="00A32D6C">
        <w:rPr>
          <w:rFonts w:eastAsiaTheme="minorHAnsi" w:cs="Arial"/>
          <w:szCs w:val="20"/>
          <w:lang w:eastAsia="en-US"/>
        </w:rPr>
        <w:t xml:space="preserve"> NC &amp; Mishra GD. (2022). Menopausal hormone therapy and melanoma risk in the Australian longitudinal study on women's health. </w:t>
      </w:r>
      <w:proofErr w:type="spellStart"/>
      <w:r w:rsidRPr="00A32D6C">
        <w:rPr>
          <w:rFonts w:eastAsiaTheme="minorHAnsi" w:cs="Arial"/>
          <w:i/>
          <w:iCs/>
          <w:szCs w:val="20"/>
          <w:lang w:eastAsia="en-US"/>
        </w:rPr>
        <w:t>Maturitas</w:t>
      </w:r>
      <w:proofErr w:type="spellEnd"/>
      <w:r w:rsidRPr="00A32D6C">
        <w:rPr>
          <w:rFonts w:eastAsiaTheme="minorHAnsi" w:cs="Arial"/>
          <w:szCs w:val="20"/>
          <w:lang w:eastAsia="en-US"/>
        </w:rPr>
        <w:t xml:space="preserve">; 160: 1-3. </w:t>
      </w:r>
      <w:hyperlink r:id="rId72" w:history="1">
        <w:r w:rsidRPr="00A32D6C">
          <w:rPr>
            <w:rFonts w:eastAsiaTheme="minorHAnsi" w:cs="Arial"/>
            <w:color w:val="0000FF" w:themeColor="hyperlink"/>
            <w:szCs w:val="20"/>
            <w:u w:val="single"/>
            <w:lang w:eastAsia="en-US"/>
          </w:rPr>
          <w:t>https://doi.org/10.1016/j.maturitas.2022.01.004</w:t>
        </w:r>
      </w:hyperlink>
      <w:r w:rsidRPr="00A32D6C">
        <w:rPr>
          <w:rFonts w:eastAsiaTheme="minorHAnsi" w:cs="Arial"/>
          <w:szCs w:val="20"/>
          <w:lang w:eastAsia="en-US"/>
        </w:rPr>
        <w:t xml:space="preserve"> </w:t>
      </w:r>
    </w:p>
    <w:p w14:paraId="42377771" w14:textId="51A00DFE" w:rsidR="00B06975" w:rsidRPr="00A32D6C" w:rsidRDefault="00B06975" w:rsidP="003D5E6A">
      <w:pPr>
        <w:pStyle w:val="ListParagraph"/>
        <w:numPr>
          <w:ilvl w:val="0"/>
          <w:numId w:val="79"/>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Engel RM, de Luca K, Graham PL, </w:t>
      </w:r>
      <w:proofErr w:type="spellStart"/>
      <w:r w:rsidRPr="00A32D6C">
        <w:rPr>
          <w:rFonts w:eastAsiaTheme="minorHAnsi" w:cs="Arial"/>
          <w:szCs w:val="20"/>
          <w:lang w:eastAsia="en-US"/>
        </w:rPr>
        <w:t>Farshchi</w:t>
      </w:r>
      <w:proofErr w:type="spellEnd"/>
      <w:r w:rsidRPr="00A32D6C">
        <w:rPr>
          <w:rFonts w:eastAsiaTheme="minorHAnsi" w:cs="Arial"/>
          <w:szCs w:val="20"/>
          <w:lang w:eastAsia="en-US"/>
        </w:rPr>
        <w:t xml:space="preserve"> MK, </w:t>
      </w:r>
      <w:proofErr w:type="spellStart"/>
      <w:r w:rsidRPr="00A32D6C">
        <w:rPr>
          <w:rFonts w:eastAsiaTheme="minorHAnsi" w:cs="Arial"/>
          <w:szCs w:val="20"/>
          <w:lang w:eastAsia="en-US"/>
        </w:rPr>
        <w:t>Vemulpad</w:t>
      </w:r>
      <w:proofErr w:type="spellEnd"/>
      <w:r w:rsidRPr="00A32D6C">
        <w:rPr>
          <w:rFonts w:eastAsiaTheme="minorHAnsi" w:cs="Arial"/>
          <w:szCs w:val="20"/>
          <w:lang w:eastAsia="en-US"/>
        </w:rPr>
        <w:t xml:space="preserve"> S &amp; Byles J. (2022). Predictors of chronic obstructive pulmonary disease in women who have never smoked: </w:t>
      </w:r>
      <w:r w:rsidR="00A049E4">
        <w:rPr>
          <w:rFonts w:eastAsiaTheme="minorHAnsi" w:cs="Arial"/>
          <w:szCs w:val="20"/>
          <w:lang w:eastAsia="en-US"/>
        </w:rPr>
        <w:t>A</w:t>
      </w:r>
      <w:r w:rsidRPr="00A32D6C">
        <w:rPr>
          <w:rFonts w:eastAsiaTheme="minorHAnsi" w:cs="Arial"/>
          <w:szCs w:val="20"/>
          <w:lang w:eastAsia="en-US"/>
        </w:rPr>
        <w:t xml:space="preserve"> cohort study. </w:t>
      </w:r>
      <w:r w:rsidRPr="00A32D6C">
        <w:rPr>
          <w:rFonts w:eastAsiaTheme="minorHAnsi" w:cs="Arial"/>
          <w:i/>
          <w:iCs/>
          <w:szCs w:val="20"/>
          <w:lang w:eastAsia="en-US"/>
        </w:rPr>
        <w:t>ERJ Open Research</w:t>
      </w:r>
      <w:r w:rsidRPr="00A32D6C">
        <w:rPr>
          <w:rFonts w:eastAsiaTheme="minorHAnsi" w:cs="Arial"/>
          <w:szCs w:val="20"/>
          <w:lang w:eastAsia="en-US"/>
        </w:rPr>
        <w:t xml:space="preserve">; 8(2). </w:t>
      </w:r>
      <w:hyperlink r:id="rId73" w:history="1">
        <w:r w:rsidRPr="00A32D6C">
          <w:rPr>
            <w:rFonts w:eastAsiaTheme="minorHAnsi" w:cs="Arial"/>
            <w:color w:val="0000FF" w:themeColor="hyperlink"/>
            <w:szCs w:val="20"/>
            <w:u w:val="single"/>
            <w:lang w:eastAsia="en-US"/>
          </w:rPr>
          <w:t>https://doi.org/10.1183/23120541.00532-2021</w:t>
        </w:r>
      </w:hyperlink>
      <w:r w:rsidRPr="00A32D6C">
        <w:rPr>
          <w:rFonts w:eastAsiaTheme="minorHAnsi" w:cs="Arial"/>
          <w:szCs w:val="20"/>
          <w:lang w:eastAsia="en-US"/>
        </w:rPr>
        <w:t xml:space="preserve"> </w:t>
      </w:r>
    </w:p>
    <w:p w14:paraId="64EDF5E1" w14:textId="77777777" w:rsidR="00B06975" w:rsidRPr="00A32D6C" w:rsidRDefault="00B06975" w:rsidP="003D5E6A">
      <w:pPr>
        <w:pStyle w:val="ListParagraph"/>
        <w:numPr>
          <w:ilvl w:val="0"/>
          <w:numId w:val="79"/>
        </w:numPr>
        <w:spacing w:after="160"/>
        <w:ind w:left="714" w:hanging="357"/>
        <w:contextualSpacing w:val="0"/>
        <w:rPr>
          <w:rFonts w:cs="Arial"/>
          <w:szCs w:val="20"/>
        </w:rPr>
      </w:pPr>
      <w:r w:rsidRPr="00A32D6C">
        <w:rPr>
          <w:rFonts w:cs="Arial"/>
          <w:szCs w:val="20"/>
        </w:rPr>
        <w:t xml:space="preserve">Gribbin S, </w:t>
      </w:r>
      <w:proofErr w:type="spellStart"/>
      <w:r w:rsidRPr="00A32D6C">
        <w:rPr>
          <w:rFonts w:cs="Arial"/>
          <w:szCs w:val="20"/>
        </w:rPr>
        <w:t>Enticott</w:t>
      </w:r>
      <w:proofErr w:type="spellEnd"/>
      <w:r w:rsidRPr="00A32D6C">
        <w:rPr>
          <w:rFonts w:cs="Arial"/>
          <w:szCs w:val="20"/>
        </w:rPr>
        <w:t xml:space="preserve"> J, Hodge AM, Moran L, Thong E, </w:t>
      </w:r>
      <w:proofErr w:type="spellStart"/>
      <w:r w:rsidRPr="00A32D6C">
        <w:rPr>
          <w:rFonts w:cs="Arial"/>
          <w:szCs w:val="20"/>
        </w:rPr>
        <w:t>Joahm</w:t>
      </w:r>
      <w:proofErr w:type="spellEnd"/>
      <w:r w:rsidRPr="00A32D6C">
        <w:rPr>
          <w:rFonts w:cs="Arial"/>
          <w:szCs w:val="20"/>
        </w:rPr>
        <w:t xml:space="preserve"> A &amp; Zaman S. (2022). Association of carbohydrate and saturated fat intake with cardiovascular disease and mortality in Australian women. </w:t>
      </w:r>
      <w:r w:rsidRPr="00A32D6C">
        <w:rPr>
          <w:rFonts w:cs="Arial"/>
          <w:i/>
          <w:iCs/>
          <w:szCs w:val="20"/>
        </w:rPr>
        <w:t>Heart</w:t>
      </w:r>
      <w:r w:rsidRPr="00A32D6C">
        <w:rPr>
          <w:rFonts w:cs="Arial"/>
          <w:szCs w:val="20"/>
        </w:rPr>
        <w:t xml:space="preserve">;108(12): 932-939. </w:t>
      </w:r>
      <w:hyperlink r:id="rId74" w:history="1">
        <w:r w:rsidRPr="00A32D6C">
          <w:rPr>
            <w:rStyle w:val="Hyperlink"/>
            <w:rFonts w:cs="Arial"/>
            <w:szCs w:val="20"/>
          </w:rPr>
          <w:t>http://dx.doi.org/10.1136/heartjnl-2021-319654</w:t>
        </w:r>
      </w:hyperlink>
    </w:p>
    <w:p w14:paraId="17FE9727" w14:textId="77777777" w:rsidR="00B06975" w:rsidRPr="00A32D6C" w:rsidRDefault="00B06975" w:rsidP="003D5E6A">
      <w:pPr>
        <w:pStyle w:val="ListParagraph"/>
        <w:numPr>
          <w:ilvl w:val="0"/>
          <w:numId w:val="79"/>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Harris ML, Egan N, Forder PM, Bateson D, Sverdlov AL, Murphy VE &amp; Loxton D. (2022). Patterns of contraceptive use among young Australian women with chronic disease: Findings from a prospective cohort study. </w:t>
      </w:r>
      <w:r w:rsidRPr="00A32D6C">
        <w:rPr>
          <w:rFonts w:eastAsiaTheme="minorHAnsi" w:cs="Arial"/>
          <w:i/>
          <w:iCs/>
          <w:szCs w:val="20"/>
          <w:lang w:eastAsia="en-US"/>
        </w:rPr>
        <w:t>Reproductive Health</w:t>
      </w:r>
      <w:r w:rsidRPr="00A32D6C">
        <w:rPr>
          <w:rFonts w:eastAsiaTheme="minorHAnsi" w:cs="Arial"/>
          <w:szCs w:val="20"/>
          <w:lang w:eastAsia="en-US"/>
        </w:rPr>
        <w:t xml:space="preserve">; </w:t>
      </w:r>
      <w:hyperlink r:id="rId75" w:history="1">
        <w:r w:rsidRPr="00A32D6C">
          <w:rPr>
            <w:rFonts w:eastAsiaTheme="minorHAnsi" w:cs="Arial"/>
            <w:color w:val="0000FF" w:themeColor="hyperlink"/>
            <w:szCs w:val="20"/>
            <w:u w:val="single"/>
            <w:lang w:eastAsia="en-US"/>
          </w:rPr>
          <w:t>https://doi.org/10.1186/s12978-022-01413-x</w:t>
        </w:r>
      </w:hyperlink>
    </w:p>
    <w:p w14:paraId="478E462A" w14:textId="04A687C7" w:rsidR="007375B3" w:rsidRDefault="007375B3" w:rsidP="003D5E6A">
      <w:pPr>
        <w:pStyle w:val="ListParagraph"/>
        <w:numPr>
          <w:ilvl w:val="0"/>
          <w:numId w:val="79"/>
        </w:numPr>
        <w:rPr>
          <w:rFonts w:cs="Arial"/>
          <w:szCs w:val="20"/>
        </w:rPr>
      </w:pPr>
      <w:proofErr w:type="spellStart"/>
      <w:r w:rsidRPr="00813201">
        <w:rPr>
          <w:rFonts w:cs="Arial"/>
          <w:szCs w:val="20"/>
        </w:rPr>
        <w:t>Kicono</w:t>
      </w:r>
      <w:proofErr w:type="spellEnd"/>
      <w:r w:rsidRPr="00813201">
        <w:rPr>
          <w:rFonts w:cs="Arial"/>
          <w:szCs w:val="20"/>
        </w:rPr>
        <w:t xml:space="preserve"> S, </w:t>
      </w:r>
      <w:proofErr w:type="spellStart"/>
      <w:r w:rsidRPr="00813201">
        <w:rPr>
          <w:rFonts w:cs="Arial"/>
          <w:szCs w:val="20"/>
        </w:rPr>
        <w:t>Teede</w:t>
      </w:r>
      <w:proofErr w:type="spellEnd"/>
      <w:r w:rsidRPr="00813201">
        <w:rPr>
          <w:rFonts w:cs="Arial"/>
          <w:szCs w:val="20"/>
        </w:rPr>
        <w:t xml:space="preserve"> HJ, Earnest A, Loxton D &amp; </w:t>
      </w:r>
      <w:proofErr w:type="spellStart"/>
      <w:r w:rsidRPr="00813201">
        <w:rPr>
          <w:rFonts w:cs="Arial"/>
          <w:szCs w:val="20"/>
        </w:rPr>
        <w:t>Joham</w:t>
      </w:r>
      <w:proofErr w:type="spellEnd"/>
      <w:r w:rsidRPr="00813201">
        <w:rPr>
          <w:rFonts w:cs="Arial"/>
          <w:szCs w:val="20"/>
        </w:rPr>
        <w:t xml:space="preserve"> AE. (2022). Menstrual cycle regularity as a predictor for heart disease and diabetes: Findings from a large population-based longitudinal cohort study. Clinical Endocrinology, 96(4); 605-616.  </w:t>
      </w:r>
      <w:hyperlink r:id="rId76" w:history="1">
        <w:r w:rsidRPr="00813201">
          <w:rPr>
            <w:rStyle w:val="Hyperlink"/>
            <w:rFonts w:cs="Arial"/>
            <w:szCs w:val="20"/>
          </w:rPr>
          <w:t>https://doi.org/10.1111/cen.14640</w:t>
        </w:r>
      </w:hyperlink>
      <w:r w:rsidRPr="00813201">
        <w:rPr>
          <w:rFonts w:cs="Arial"/>
          <w:szCs w:val="20"/>
        </w:rPr>
        <w:t xml:space="preserve"> </w:t>
      </w:r>
    </w:p>
    <w:p w14:paraId="03B38828" w14:textId="77777777" w:rsidR="007375B3" w:rsidRPr="00813201" w:rsidRDefault="007375B3" w:rsidP="00A049E4">
      <w:pPr>
        <w:pStyle w:val="ListParagraph"/>
        <w:rPr>
          <w:rFonts w:cs="Arial"/>
          <w:szCs w:val="20"/>
        </w:rPr>
      </w:pPr>
    </w:p>
    <w:p w14:paraId="4CB00372" w14:textId="77777777" w:rsidR="00665A3E" w:rsidRPr="00A049E4" w:rsidRDefault="00665A3E" w:rsidP="003D5E6A">
      <w:pPr>
        <w:pStyle w:val="ListParagraph"/>
        <w:numPr>
          <w:ilvl w:val="0"/>
          <w:numId w:val="79"/>
        </w:numPr>
        <w:rPr>
          <w:rFonts w:cs="Arial"/>
          <w:szCs w:val="20"/>
        </w:rPr>
      </w:pPr>
      <w:r w:rsidRPr="00A049E4">
        <w:rPr>
          <w:rFonts w:cs="Arial"/>
          <w:szCs w:val="20"/>
        </w:rPr>
        <w:t xml:space="preserve">Laaksonen MA, </w:t>
      </w:r>
      <w:proofErr w:type="spellStart"/>
      <w:r w:rsidRPr="00A049E4">
        <w:rPr>
          <w:rFonts w:cs="Arial"/>
          <w:szCs w:val="20"/>
        </w:rPr>
        <w:t>MacInnis</w:t>
      </w:r>
      <w:proofErr w:type="spellEnd"/>
      <w:r w:rsidRPr="00A049E4">
        <w:rPr>
          <w:rFonts w:cs="Arial"/>
          <w:szCs w:val="20"/>
        </w:rPr>
        <w:t xml:space="preserve"> RJ, </w:t>
      </w:r>
      <w:proofErr w:type="spellStart"/>
      <w:r w:rsidRPr="00A049E4">
        <w:rPr>
          <w:rFonts w:cs="Arial"/>
          <w:szCs w:val="20"/>
        </w:rPr>
        <w:t>Canfell</w:t>
      </w:r>
      <w:proofErr w:type="spellEnd"/>
      <w:r w:rsidRPr="00A049E4">
        <w:rPr>
          <w:rFonts w:cs="Arial"/>
          <w:szCs w:val="20"/>
        </w:rPr>
        <w:t xml:space="preserve"> K, Shaw JE, Magliano DJ, Banks E, Giles GG, Byles JE, Gill TK, Mitchell P, Hirani V, Cumming RG &amp; </w:t>
      </w:r>
      <w:proofErr w:type="spellStart"/>
      <w:r w:rsidRPr="00A049E4">
        <w:rPr>
          <w:rFonts w:cs="Arial"/>
          <w:szCs w:val="20"/>
        </w:rPr>
        <w:t>Vajdic</w:t>
      </w:r>
      <w:proofErr w:type="spellEnd"/>
      <w:r w:rsidRPr="00A049E4">
        <w:rPr>
          <w:rFonts w:cs="Arial"/>
          <w:szCs w:val="20"/>
        </w:rPr>
        <w:t xml:space="preserve"> CM. (2022). Thyroid cancers potentially preventable by reducing overweight and obesity in Australia: A pooled cohort study. </w:t>
      </w:r>
      <w:r w:rsidRPr="00A049E4">
        <w:rPr>
          <w:rFonts w:cs="Arial"/>
          <w:i/>
          <w:iCs/>
          <w:szCs w:val="20"/>
        </w:rPr>
        <w:t>International Journal of Cancer</w:t>
      </w:r>
      <w:r w:rsidRPr="00A049E4">
        <w:rPr>
          <w:rFonts w:cs="Arial"/>
          <w:szCs w:val="20"/>
        </w:rPr>
        <w:t xml:space="preserve">, 150(8): 1281-1290. </w:t>
      </w:r>
      <w:hyperlink r:id="rId77" w:history="1">
        <w:r w:rsidRPr="00A049E4">
          <w:rPr>
            <w:rStyle w:val="Hyperlink"/>
            <w:rFonts w:cs="Arial"/>
            <w:szCs w:val="20"/>
          </w:rPr>
          <w:t>https://doi.org/10.1002/ijc.33889</w:t>
        </w:r>
      </w:hyperlink>
      <w:r w:rsidRPr="00A049E4">
        <w:rPr>
          <w:rFonts w:cs="Arial"/>
          <w:szCs w:val="20"/>
        </w:rPr>
        <w:t xml:space="preserve"> </w:t>
      </w:r>
    </w:p>
    <w:p w14:paraId="035DB612" w14:textId="77777777" w:rsidR="00665A3E" w:rsidRPr="00665A3E" w:rsidRDefault="00665A3E" w:rsidP="00A049E4">
      <w:pPr>
        <w:pStyle w:val="ListParagraph"/>
        <w:rPr>
          <w:rFonts w:eastAsiaTheme="minorHAnsi" w:cs="Arial"/>
          <w:szCs w:val="20"/>
          <w:lang w:eastAsia="en-US"/>
        </w:rPr>
      </w:pPr>
    </w:p>
    <w:p w14:paraId="1CF9618D" w14:textId="7CACF97C" w:rsidR="00B06975" w:rsidRPr="00A32D6C" w:rsidRDefault="00B06975" w:rsidP="003D5E6A">
      <w:pPr>
        <w:pStyle w:val="ListParagraph"/>
        <w:numPr>
          <w:ilvl w:val="0"/>
          <w:numId w:val="79"/>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Liang C, Chung H-F, Dobson A, Hayashi K, van der Schouw Y, </w:t>
      </w:r>
      <w:proofErr w:type="spellStart"/>
      <w:r w:rsidRPr="00A32D6C">
        <w:rPr>
          <w:rFonts w:eastAsiaTheme="minorHAnsi" w:cs="Arial"/>
          <w:szCs w:val="20"/>
          <w:lang w:eastAsia="en-US"/>
        </w:rPr>
        <w:t>Kuh</w:t>
      </w:r>
      <w:proofErr w:type="spellEnd"/>
      <w:r w:rsidRPr="00A32D6C">
        <w:rPr>
          <w:rFonts w:eastAsiaTheme="minorHAnsi" w:cs="Arial"/>
          <w:szCs w:val="20"/>
          <w:lang w:eastAsia="en-US"/>
        </w:rPr>
        <w:t xml:space="preserve"> D, Hardy R, Derby CA, El </w:t>
      </w:r>
      <w:proofErr w:type="spellStart"/>
      <w:r w:rsidRPr="00A32D6C">
        <w:rPr>
          <w:rFonts w:eastAsiaTheme="minorHAnsi" w:cs="Arial"/>
          <w:szCs w:val="20"/>
          <w:lang w:eastAsia="en-US"/>
        </w:rPr>
        <w:t>Khoudary</w:t>
      </w:r>
      <w:proofErr w:type="spellEnd"/>
      <w:r w:rsidRPr="00A32D6C">
        <w:rPr>
          <w:rFonts w:eastAsiaTheme="minorHAnsi" w:cs="Arial"/>
          <w:szCs w:val="20"/>
          <w:lang w:eastAsia="en-US"/>
        </w:rPr>
        <w:t xml:space="preserve"> SR, Janssen I, </w:t>
      </w:r>
      <w:proofErr w:type="spellStart"/>
      <w:r w:rsidRPr="00A32D6C">
        <w:rPr>
          <w:rFonts w:eastAsiaTheme="minorHAnsi" w:cs="Arial"/>
          <w:szCs w:val="20"/>
          <w:lang w:eastAsia="en-US"/>
        </w:rPr>
        <w:t>Sandin</w:t>
      </w:r>
      <w:proofErr w:type="spellEnd"/>
      <w:r w:rsidRPr="00A32D6C">
        <w:rPr>
          <w:rFonts w:eastAsiaTheme="minorHAnsi" w:cs="Arial"/>
          <w:szCs w:val="20"/>
          <w:lang w:eastAsia="en-US"/>
        </w:rPr>
        <w:t xml:space="preserve"> S, </w:t>
      </w:r>
      <w:proofErr w:type="spellStart"/>
      <w:r w:rsidRPr="00A32D6C">
        <w:rPr>
          <w:rFonts w:eastAsiaTheme="minorHAnsi" w:cs="Arial"/>
          <w:szCs w:val="20"/>
          <w:lang w:eastAsia="en-US"/>
        </w:rPr>
        <w:t>Weiderpass</w:t>
      </w:r>
      <w:proofErr w:type="spellEnd"/>
      <w:r w:rsidRPr="00A32D6C">
        <w:rPr>
          <w:rFonts w:eastAsiaTheme="minorHAnsi" w:cs="Arial"/>
          <w:szCs w:val="20"/>
          <w:lang w:eastAsia="en-US"/>
        </w:rPr>
        <w:t xml:space="preserve"> E &amp; </w:t>
      </w:r>
      <w:proofErr w:type="spellStart"/>
      <w:r w:rsidRPr="00A32D6C">
        <w:rPr>
          <w:rFonts w:eastAsiaTheme="minorHAnsi" w:cs="Arial"/>
          <w:szCs w:val="20"/>
          <w:lang w:eastAsia="en-US"/>
        </w:rPr>
        <w:t>Mishr</w:t>
      </w:r>
      <w:proofErr w:type="spellEnd"/>
      <w:r w:rsidRPr="00A32D6C">
        <w:rPr>
          <w:rFonts w:eastAsiaTheme="minorHAnsi" w:cs="Arial"/>
          <w:szCs w:val="20"/>
          <w:lang w:eastAsia="en-US"/>
        </w:rPr>
        <w:t xml:space="preserve"> GD. (2022). Infertility, recurrent pregnancy loss, and risk of stroke: Pooled analysis of individual patient data of 618,851 women. </w:t>
      </w:r>
      <w:r w:rsidRPr="00A32D6C">
        <w:rPr>
          <w:rFonts w:eastAsiaTheme="minorHAnsi" w:cs="Arial"/>
          <w:i/>
          <w:iCs/>
          <w:szCs w:val="20"/>
          <w:lang w:eastAsia="en-US"/>
        </w:rPr>
        <w:t>BMJ</w:t>
      </w:r>
      <w:r w:rsidRPr="00A32D6C">
        <w:rPr>
          <w:rFonts w:eastAsiaTheme="minorHAnsi" w:cs="Arial"/>
          <w:szCs w:val="20"/>
          <w:lang w:eastAsia="en-US"/>
        </w:rPr>
        <w:t xml:space="preserve">; 377: e070603. </w:t>
      </w:r>
      <w:hyperlink r:id="rId78" w:history="1">
        <w:r w:rsidRPr="00A32D6C">
          <w:rPr>
            <w:rFonts w:eastAsiaTheme="minorHAnsi" w:cs="Arial"/>
            <w:color w:val="0000FF" w:themeColor="hyperlink"/>
            <w:szCs w:val="20"/>
            <w:u w:val="single"/>
            <w:lang w:eastAsia="en-US"/>
          </w:rPr>
          <w:t>https://doi.org/10.1136/bmj-2022-070603</w:t>
        </w:r>
      </w:hyperlink>
    </w:p>
    <w:p w14:paraId="26202269" w14:textId="77777777" w:rsidR="00B06975" w:rsidRPr="00A32D6C" w:rsidRDefault="00B06975" w:rsidP="003D5E6A">
      <w:pPr>
        <w:pStyle w:val="ListParagraph"/>
        <w:numPr>
          <w:ilvl w:val="0"/>
          <w:numId w:val="79"/>
        </w:numPr>
        <w:spacing w:after="160"/>
        <w:ind w:left="714" w:hanging="357"/>
        <w:contextualSpacing w:val="0"/>
        <w:rPr>
          <w:rFonts w:eastAsiaTheme="minorHAnsi" w:cs="Arial"/>
          <w:color w:val="0000FF" w:themeColor="hyperlink"/>
          <w:szCs w:val="20"/>
          <w:u w:val="single"/>
          <w:lang w:eastAsia="en-US"/>
        </w:rPr>
      </w:pPr>
      <w:r w:rsidRPr="00A32D6C">
        <w:rPr>
          <w:rFonts w:eastAsiaTheme="minorHAnsi" w:cs="Arial"/>
          <w:szCs w:val="20"/>
          <w:lang w:eastAsia="en-US"/>
        </w:rPr>
        <w:t xml:space="preserve">Mishra SR, Waller M, Chung H-F &amp; Mishra GD. (2022). Association between reproductive lifespan and risk of incident type 2 diabetes and hypertension in postmenopausal women: </w:t>
      </w:r>
      <w:r w:rsidRPr="00A32D6C">
        <w:rPr>
          <w:rFonts w:eastAsiaTheme="minorHAnsi" w:cs="Arial"/>
          <w:szCs w:val="20"/>
          <w:lang w:eastAsia="en-US"/>
        </w:rPr>
        <w:lastRenderedPageBreak/>
        <w:t xml:space="preserve">Findings from a 20-year prospective study. </w:t>
      </w:r>
      <w:proofErr w:type="spellStart"/>
      <w:r w:rsidRPr="00A32D6C">
        <w:rPr>
          <w:rFonts w:eastAsiaTheme="minorHAnsi" w:cs="Arial"/>
          <w:i/>
          <w:iCs/>
          <w:szCs w:val="20"/>
          <w:lang w:eastAsia="en-US"/>
        </w:rPr>
        <w:t>Maturitas</w:t>
      </w:r>
      <w:proofErr w:type="spellEnd"/>
      <w:r w:rsidRPr="00A32D6C">
        <w:rPr>
          <w:rFonts w:eastAsiaTheme="minorHAnsi" w:cs="Arial"/>
          <w:szCs w:val="20"/>
          <w:lang w:eastAsia="en-US"/>
        </w:rPr>
        <w:t xml:space="preserve">; 159: 52-61. </w:t>
      </w:r>
      <w:hyperlink r:id="rId79" w:history="1">
        <w:r w:rsidRPr="00A32D6C">
          <w:rPr>
            <w:rFonts w:eastAsiaTheme="minorHAnsi" w:cs="Arial"/>
            <w:color w:val="0000FF" w:themeColor="hyperlink"/>
            <w:szCs w:val="20"/>
            <w:u w:val="single"/>
            <w:lang w:eastAsia="en-US"/>
          </w:rPr>
          <w:t>https://doi.org/10.1016/j.maturitas.2022.01.001</w:t>
        </w:r>
      </w:hyperlink>
    </w:p>
    <w:p w14:paraId="39D4D4DC" w14:textId="77777777" w:rsidR="00B06975" w:rsidRPr="00A32D6C" w:rsidRDefault="00B06975" w:rsidP="003D5E6A">
      <w:pPr>
        <w:pStyle w:val="ListParagraph"/>
        <w:numPr>
          <w:ilvl w:val="0"/>
          <w:numId w:val="79"/>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Oorschot T, Adams J &amp; </w:t>
      </w:r>
      <w:proofErr w:type="spellStart"/>
      <w:r w:rsidRPr="00A32D6C">
        <w:rPr>
          <w:rFonts w:eastAsiaTheme="minorHAnsi" w:cs="Arial"/>
          <w:szCs w:val="20"/>
          <w:lang w:eastAsia="en-US"/>
        </w:rPr>
        <w:t>Sibbritt</w:t>
      </w:r>
      <w:proofErr w:type="spellEnd"/>
      <w:r w:rsidRPr="00A32D6C">
        <w:rPr>
          <w:rFonts w:eastAsiaTheme="minorHAnsi" w:cs="Arial"/>
          <w:szCs w:val="20"/>
          <w:lang w:eastAsia="en-US"/>
        </w:rPr>
        <w:t xml:space="preserve"> D. (2022). Is mental health co-morbidity an influencing factor in the health service utilisation of women with diabetes mellitus? </w:t>
      </w:r>
      <w:proofErr w:type="spellStart"/>
      <w:r w:rsidRPr="00A32D6C">
        <w:rPr>
          <w:rFonts w:eastAsiaTheme="minorHAnsi" w:cs="Arial"/>
          <w:i/>
          <w:iCs/>
          <w:szCs w:val="20"/>
          <w:lang w:eastAsia="en-US"/>
        </w:rPr>
        <w:t>PLoS</w:t>
      </w:r>
      <w:proofErr w:type="spellEnd"/>
      <w:r w:rsidRPr="00A32D6C">
        <w:rPr>
          <w:rFonts w:eastAsiaTheme="minorHAnsi" w:cs="Arial"/>
          <w:i/>
          <w:iCs/>
          <w:szCs w:val="20"/>
          <w:lang w:eastAsia="en-US"/>
        </w:rPr>
        <w:t xml:space="preserve"> One</w:t>
      </w:r>
      <w:r w:rsidRPr="00A32D6C">
        <w:rPr>
          <w:rFonts w:eastAsiaTheme="minorHAnsi" w:cs="Arial"/>
          <w:szCs w:val="20"/>
          <w:lang w:eastAsia="en-US"/>
        </w:rPr>
        <w:t xml:space="preserve">; </w:t>
      </w:r>
      <w:hyperlink r:id="rId80" w:history="1">
        <w:r w:rsidRPr="00A32D6C">
          <w:rPr>
            <w:rFonts w:eastAsiaTheme="minorHAnsi" w:cs="Arial"/>
            <w:color w:val="0000FF" w:themeColor="hyperlink"/>
            <w:szCs w:val="20"/>
            <w:u w:val="single"/>
            <w:lang w:eastAsia="en-US"/>
          </w:rPr>
          <w:t>https://doi.org/10.1371/journal.pone.0272041</w:t>
        </w:r>
      </w:hyperlink>
      <w:r w:rsidRPr="00A32D6C">
        <w:rPr>
          <w:rFonts w:eastAsiaTheme="minorHAnsi" w:cs="Arial"/>
          <w:szCs w:val="20"/>
          <w:lang w:eastAsia="en-US"/>
        </w:rPr>
        <w:t xml:space="preserve"> </w:t>
      </w:r>
      <w:r w:rsidRPr="00A32D6C">
        <w:rPr>
          <w:rFonts w:eastAsiaTheme="minorHAnsi" w:cs="Arial"/>
          <w:szCs w:val="20"/>
          <w:lang w:eastAsia="en-US"/>
        </w:rPr>
        <w:tab/>
      </w:r>
    </w:p>
    <w:p w14:paraId="34F6D709" w14:textId="77777777" w:rsidR="00B06975" w:rsidRPr="00A32D6C" w:rsidRDefault="00B06975" w:rsidP="003D5E6A">
      <w:pPr>
        <w:pStyle w:val="ListParagraph"/>
        <w:numPr>
          <w:ilvl w:val="0"/>
          <w:numId w:val="79"/>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Rahman M, Jagger C, Princehorn EM, Holliday EG, Leigh L, Loxton D, Beard J, Kowal P, &amp; Byles JE. (2022). Onset and progression of chronic disease and disability in a large cohort of older Australian women. </w:t>
      </w:r>
      <w:proofErr w:type="spellStart"/>
      <w:r w:rsidRPr="00A32D6C">
        <w:rPr>
          <w:rFonts w:eastAsiaTheme="minorHAnsi" w:cs="Arial"/>
          <w:szCs w:val="20"/>
          <w:lang w:eastAsia="en-US"/>
        </w:rPr>
        <w:t>Maturitas</w:t>
      </w:r>
      <w:proofErr w:type="spellEnd"/>
      <w:r w:rsidRPr="00A32D6C">
        <w:rPr>
          <w:rFonts w:eastAsiaTheme="minorHAnsi" w:cs="Arial"/>
          <w:szCs w:val="20"/>
          <w:lang w:eastAsia="en-US"/>
        </w:rPr>
        <w:t xml:space="preserve">; 158(1): 25-33. </w:t>
      </w:r>
      <w:hyperlink r:id="rId81" w:history="1">
        <w:r w:rsidRPr="00A32D6C">
          <w:rPr>
            <w:rFonts w:eastAsiaTheme="minorHAnsi" w:cs="Arial"/>
            <w:color w:val="0000FF" w:themeColor="hyperlink"/>
            <w:szCs w:val="20"/>
            <w:u w:val="single"/>
            <w:lang w:eastAsia="en-US"/>
          </w:rPr>
          <w:t>https://doi.org/10.1016/j.maturitas.2021.11.007</w:t>
        </w:r>
      </w:hyperlink>
      <w:r w:rsidRPr="00A32D6C">
        <w:rPr>
          <w:rFonts w:eastAsiaTheme="minorHAnsi" w:cs="Arial"/>
          <w:szCs w:val="20"/>
          <w:lang w:eastAsia="en-US"/>
        </w:rPr>
        <w:t xml:space="preserve"> </w:t>
      </w:r>
    </w:p>
    <w:p w14:paraId="7CA4494F" w14:textId="77777777" w:rsidR="00B06975" w:rsidRPr="00A32D6C" w:rsidRDefault="00B06975" w:rsidP="003D5E6A">
      <w:pPr>
        <w:pStyle w:val="ListParagraph"/>
        <w:numPr>
          <w:ilvl w:val="0"/>
          <w:numId w:val="79"/>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Rowlands I, Hockey R, Abbott J, Montgomery G &amp; Mishra G. (2022). Body mass index and the diagnosis of endometriosis: Findings from a national data linkage cohort study. </w:t>
      </w:r>
      <w:r w:rsidRPr="00A32D6C">
        <w:rPr>
          <w:rFonts w:eastAsiaTheme="minorHAnsi" w:cs="Arial"/>
          <w:i/>
          <w:iCs/>
          <w:szCs w:val="20"/>
          <w:lang w:eastAsia="en-US"/>
        </w:rPr>
        <w:t>Obesity Research and Clinical Practice</w:t>
      </w:r>
      <w:r w:rsidRPr="00A32D6C">
        <w:rPr>
          <w:rFonts w:eastAsiaTheme="minorHAnsi" w:cs="Arial"/>
          <w:szCs w:val="20"/>
          <w:lang w:eastAsia="en-US"/>
        </w:rPr>
        <w:t xml:space="preserve">; </w:t>
      </w:r>
      <w:hyperlink r:id="rId82" w:history="1">
        <w:r w:rsidRPr="00A32D6C">
          <w:rPr>
            <w:rFonts w:eastAsiaTheme="minorHAnsi" w:cs="Arial"/>
            <w:color w:val="0000FF" w:themeColor="hyperlink"/>
            <w:szCs w:val="20"/>
            <w:u w:val="single"/>
            <w:lang w:eastAsia="en-US"/>
          </w:rPr>
          <w:t>https://doi.org/10.1016/j.orcp.2022.04.002</w:t>
        </w:r>
      </w:hyperlink>
    </w:p>
    <w:p w14:paraId="459D621F" w14:textId="77777777" w:rsidR="00B06975" w:rsidRPr="00A32D6C" w:rsidRDefault="00B06975" w:rsidP="003D5E6A">
      <w:pPr>
        <w:pStyle w:val="ListParagraph"/>
        <w:numPr>
          <w:ilvl w:val="0"/>
          <w:numId w:val="79"/>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Rowlands I, Hockey R, Abbott J, Montgomery G &amp; Mishra G. (2022). Longitudinal changes in employment following a diagnosis of endometriosis: Findings from an Australian cohort study. </w:t>
      </w:r>
      <w:r w:rsidRPr="00A32D6C">
        <w:rPr>
          <w:rFonts w:eastAsiaTheme="minorHAnsi" w:cs="Arial"/>
          <w:i/>
          <w:iCs/>
          <w:szCs w:val="20"/>
          <w:lang w:eastAsia="en-US"/>
        </w:rPr>
        <w:t>Annals of Epidemiology</w:t>
      </w:r>
      <w:r w:rsidRPr="00A32D6C">
        <w:rPr>
          <w:rFonts w:eastAsiaTheme="minorHAnsi" w:cs="Arial"/>
          <w:szCs w:val="20"/>
          <w:lang w:eastAsia="en-US"/>
        </w:rPr>
        <w:t xml:space="preserve">; 69: 1-8. </w:t>
      </w:r>
      <w:hyperlink r:id="rId83" w:history="1">
        <w:r w:rsidRPr="00A32D6C">
          <w:rPr>
            <w:rFonts w:eastAsiaTheme="minorHAnsi" w:cs="Arial"/>
            <w:color w:val="0000FF" w:themeColor="hyperlink"/>
            <w:szCs w:val="20"/>
            <w:u w:val="single"/>
            <w:lang w:eastAsia="en-US"/>
          </w:rPr>
          <w:t>https://doi.org/10.1016/j.annepidem.2021.10.005</w:t>
        </w:r>
      </w:hyperlink>
      <w:r w:rsidRPr="00A32D6C">
        <w:rPr>
          <w:rFonts w:eastAsiaTheme="minorHAnsi" w:cs="Arial"/>
          <w:szCs w:val="20"/>
          <w:lang w:eastAsia="en-US"/>
        </w:rPr>
        <w:t xml:space="preserve"> </w:t>
      </w:r>
    </w:p>
    <w:p w14:paraId="41CA1401" w14:textId="77777777" w:rsidR="00B06975" w:rsidRPr="00A32D6C" w:rsidRDefault="00B06975" w:rsidP="003D5E6A">
      <w:pPr>
        <w:pStyle w:val="ListParagraph"/>
        <w:numPr>
          <w:ilvl w:val="0"/>
          <w:numId w:val="79"/>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Tay CT, Loxton D, </w:t>
      </w:r>
      <w:proofErr w:type="spellStart"/>
      <w:r w:rsidRPr="00A32D6C">
        <w:rPr>
          <w:rFonts w:eastAsiaTheme="minorHAnsi" w:cs="Arial"/>
          <w:szCs w:val="20"/>
          <w:lang w:eastAsia="en-US"/>
        </w:rPr>
        <w:t>Khomami</w:t>
      </w:r>
      <w:proofErr w:type="spellEnd"/>
      <w:r w:rsidRPr="00A32D6C">
        <w:rPr>
          <w:rFonts w:eastAsiaTheme="minorHAnsi" w:cs="Arial"/>
          <w:szCs w:val="20"/>
          <w:lang w:eastAsia="en-US"/>
        </w:rPr>
        <w:t xml:space="preserve"> MB, </w:t>
      </w:r>
      <w:proofErr w:type="spellStart"/>
      <w:r w:rsidRPr="00A32D6C">
        <w:rPr>
          <w:rFonts w:eastAsiaTheme="minorHAnsi" w:cs="Arial"/>
          <w:szCs w:val="20"/>
          <w:lang w:eastAsia="en-US"/>
        </w:rPr>
        <w:t>Teede</w:t>
      </w:r>
      <w:proofErr w:type="spellEnd"/>
      <w:r w:rsidRPr="00A32D6C">
        <w:rPr>
          <w:rFonts w:eastAsiaTheme="minorHAnsi" w:cs="Arial"/>
          <w:szCs w:val="20"/>
          <w:lang w:eastAsia="en-US"/>
        </w:rPr>
        <w:t xml:space="preserve"> H &amp; </w:t>
      </w:r>
      <w:proofErr w:type="spellStart"/>
      <w:r w:rsidRPr="00A32D6C">
        <w:rPr>
          <w:rFonts w:eastAsiaTheme="minorHAnsi" w:cs="Arial"/>
          <w:szCs w:val="20"/>
          <w:lang w:eastAsia="en-US"/>
        </w:rPr>
        <w:t>Joham</w:t>
      </w:r>
      <w:proofErr w:type="spellEnd"/>
      <w:r w:rsidRPr="00A32D6C">
        <w:rPr>
          <w:rFonts w:eastAsiaTheme="minorHAnsi" w:cs="Arial"/>
          <w:szCs w:val="20"/>
          <w:lang w:eastAsia="en-US"/>
        </w:rPr>
        <w:t xml:space="preserve"> AE. (2022). Negative associations of ideal family size achievement with hypertension, </w:t>
      </w:r>
      <w:proofErr w:type="gramStart"/>
      <w:r w:rsidRPr="00A32D6C">
        <w:rPr>
          <w:rFonts w:eastAsiaTheme="minorHAnsi" w:cs="Arial"/>
          <w:szCs w:val="20"/>
          <w:lang w:eastAsia="en-US"/>
        </w:rPr>
        <w:t>obesity</w:t>
      </w:r>
      <w:proofErr w:type="gramEnd"/>
      <w:r w:rsidRPr="00A32D6C">
        <w:rPr>
          <w:rFonts w:eastAsiaTheme="minorHAnsi" w:cs="Arial"/>
          <w:szCs w:val="20"/>
          <w:lang w:eastAsia="en-US"/>
        </w:rPr>
        <w:t xml:space="preserve"> and maternal age in women with and without polycystic ovary syndrome. </w:t>
      </w:r>
      <w:r w:rsidRPr="00A32D6C">
        <w:rPr>
          <w:rFonts w:eastAsiaTheme="minorHAnsi" w:cs="Arial"/>
          <w:i/>
          <w:iCs/>
          <w:szCs w:val="20"/>
          <w:lang w:eastAsia="en-US"/>
        </w:rPr>
        <w:t>Clinical Endocrinology</w:t>
      </w:r>
      <w:r w:rsidRPr="00A32D6C">
        <w:rPr>
          <w:rFonts w:eastAsiaTheme="minorHAnsi" w:cs="Arial"/>
          <w:szCs w:val="20"/>
          <w:lang w:eastAsia="en-US"/>
        </w:rPr>
        <w:t xml:space="preserve">; </w:t>
      </w:r>
      <w:hyperlink r:id="rId84" w:history="1">
        <w:r w:rsidRPr="00A32D6C">
          <w:rPr>
            <w:rFonts w:eastAsiaTheme="minorHAnsi" w:cs="Arial"/>
            <w:color w:val="0000FF" w:themeColor="hyperlink"/>
            <w:szCs w:val="20"/>
            <w:u w:val="single"/>
            <w:lang w:eastAsia="en-US"/>
          </w:rPr>
          <w:t>https://doi.org/10.1111/cen.14736</w:t>
        </w:r>
      </w:hyperlink>
      <w:r w:rsidRPr="00A32D6C">
        <w:rPr>
          <w:rFonts w:eastAsiaTheme="minorHAnsi" w:cs="Arial"/>
          <w:szCs w:val="20"/>
          <w:lang w:eastAsia="en-US"/>
        </w:rPr>
        <w:t xml:space="preserve"> </w:t>
      </w:r>
    </w:p>
    <w:p w14:paraId="006E54EA" w14:textId="77777777" w:rsidR="00B06975" w:rsidRPr="00A32D6C" w:rsidRDefault="00B06975" w:rsidP="003D5E6A">
      <w:pPr>
        <w:pStyle w:val="ListParagraph"/>
        <w:numPr>
          <w:ilvl w:val="0"/>
          <w:numId w:val="79"/>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Xu Z, Hockey R, McElwee P, Waller M &amp; Dobson A. (2022). Accuracy of death certifications of diabetes, dementia, and cancer in Australia: a population-based cohort study. </w:t>
      </w:r>
      <w:r w:rsidRPr="00A32D6C">
        <w:rPr>
          <w:rFonts w:eastAsiaTheme="minorHAnsi" w:cs="Arial"/>
          <w:i/>
          <w:iCs/>
          <w:szCs w:val="20"/>
          <w:lang w:eastAsia="en-US"/>
        </w:rPr>
        <w:t>BMC Public Health</w:t>
      </w:r>
      <w:r w:rsidRPr="00A32D6C">
        <w:rPr>
          <w:rFonts w:eastAsiaTheme="minorHAnsi" w:cs="Arial"/>
          <w:szCs w:val="20"/>
          <w:lang w:eastAsia="en-US"/>
        </w:rPr>
        <w:t xml:space="preserve">; 22(1): 902. </w:t>
      </w:r>
      <w:hyperlink r:id="rId85" w:history="1">
        <w:r w:rsidRPr="00A32D6C">
          <w:rPr>
            <w:rFonts w:eastAsiaTheme="minorHAnsi" w:cs="Arial"/>
            <w:color w:val="0000FF" w:themeColor="hyperlink"/>
            <w:szCs w:val="20"/>
            <w:u w:val="single"/>
            <w:lang w:eastAsia="en-US"/>
          </w:rPr>
          <w:t>https://doi.org/10.1186/s12889-022-13304-8</w:t>
        </w:r>
      </w:hyperlink>
    </w:p>
    <w:bookmarkEnd w:id="1156"/>
    <w:p w14:paraId="0AE4BB53" w14:textId="77777777" w:rsidR="00B06975" w:rsidRPr="00841EDE" w:rsidRDefault="00B06975" w:rsidP="00B06975">
      <w:pPr>
        <w:rPr>
          <w:rFonts w:cs="Arial"/>
          <w:b/>
          <w:bCs/>
          <w:szCs w:val="20"/>
        </w:rPr>
      </w:pPr>
      <w:r w:rsidRPr="00841EDE">
        <w:rPr>
          <w:rFonts w:cs="Arial"/>
          <w:b/>
          <w:bCs/>
          <w:szCs w:val="20"/>
        </w:rPr>
        <w:t xml:space="preserve">Weight, </w:t>
      </w:r>
      <w:proofErr w:type="gramStart"/>
      <w:r w:rsidRPr="00841EDE">
        <w:rPr>
          <w:rFonts w:cs="Arial"/>
          <w:b/>
          <w:bCs/>
          <w:szCs w:val="20"/>
        </w:rPr>
        <w:t>nutrition</w:t>
      </w:r>
      <w:proofErr w:type="gramEnd"/>
      <w:r w:rsidRPr="00841EDE">
        <w:rPr>
          <w:rFonts w:cs="Arial"/>
          <w:b/>
          <w:bCs/>
          <w:szCs w:val="20"/>
        </w:rPr>
        <w:t xml:space="preserve"> and physical activity</w:t>
      </w:r>
    </w:p>
    <w:p w14:paraId="03F31957" w14:textId="77777777" w:rsidR="00B06975" w:rsidRPr="00A049E4" w:rsidRDefault="00B06975" w:rsidP="003D5E6A">
      <w:pPr>
        <w:pStyle w:val="ListParagraph"/>
        <w:numPr>
          <w:ilvl w:val="0"/>
          <w:numId w:val="80"/>
        </w:numPr>
        <w:spacing w:before="0" w:after="160"/>
        <w:ind w:left="714" w:hanging="357"/>
        <w:contextualSpacing w:val="0"/>
        <w:jc w:val="left"/>
        <w:rPr>
          <w:rFonts w:eastAsiaTheme="minorHAnsi" w:cs="Arial"/>
          <w:szCs w:val="20"/>
          <w:lang w:eastAsia="en-US"/>
        </w:rPr>
      </w:pPr>
      <w:bookmarkStart w:id="1157" w:name="_Hlk118372457"/>
      <w:r w:rsidRPr="00841EDE">
        <w:rPr>
          <w:rFonts w:eastAsiaTheme="minorHAnsi" w:cs="Arial"/>
          <w:szCs w:val="20"/>
          <w:lang w:eastAsia="en-US"/>
        </w:rPr>
        <w:t xml:space="preserve">Abdulbasit M. Seid, Gita D. Mishra, Annette J. Dobson. (2022). The association between childhood sexual abuse and historical intimate partner violence with body mass index and diabetes: Evidence from the Australian Longitudinal Study on Women’s Health. </w:t>
      </w:r>
      <w:r w:rsidRPr="00841EDE">
        <w:rPr>
          <w:rFonts w:eastAsiaTheme="minorHAnsi" w:cs="Arial"/>
          <w:i/>
          <w:iCs/>
          <w:szCs w:val="20"/>
          <w:lang w:eastAsia="en-US"/>
        </w:rPr>
        <w:t xml:space="preserve">Preventive </w:t>
      </w:r>
      <w:r w:rsidRPr="00A049E4">
        <w:rPr>
          <w:rFonts w:eastAsiaTheme="minorHAnsi" w:cs="Arial"/>
          <w:i/>
          <w:iCs/>
          <w:szCs w:val="20"/>
          <w:lang w:eastAsia="en-US"/>
        </w:rPr>
        <w:t>Medicin</w:t>
      </w:r>
      <w:r w:rsidRPr="00A049E4">
        <w:rPr>
          <w:rFonts w:eastAsiaTheme="minorHAnsi" w:cs="Arial"/>
          <w:szCs w:val="20"/>
          <w:lang w:eastAsia="en-US"/>
        </w:rPr>
        <w:t xml:space="preserve">e; 161: 107134. </w:t>
      </w:r>
      <w:hyperlink r:id="rId86" w:history="1">
        <w:r w:rsidRPr="00A049E4">
          <w:rPr>
            <w:rFonts w:eastAsiaTheme="minorHAnsi" w:cs="Arial"/>
            <w:color w:val="0000FF" w:themeColor="hyperlink"/>
            <w:szCs w:val="20"/>
            <w:u w:val="single"/>
            <w:lang w:eastAsia="en-US"/>
          </w:rPr>
          <w:t>https://doi.org/10.1016/j.ypmed.2022.107134</w:t>
        </w:r>
      </w:hyperlink>
      <w:r w:rsidRPr="00A049E4">
        <w:rPr>
          <w:rFonts w:eastAsiaTheme="minorHAnsi" w:cs="Arial"/>
          <w:szCs w:val="20"/>
          <w:lang w:eastAsia="en-US"/>
        </w:rPr>
        <w:t xml:space="preserve"> </w:t>
      </w:r>
    </w:p>
    <w:p w14:paraId="55930AEA" w14:textId="769BBBC1" w:rsidR="00FF2E07" w:rsidRPr="00A049E4" w:rsidRDefault="00FF2E07" w:rsidP="003D5E6A">
      <w:pPr>
        <w:pStyle w:val="ListParagraph"/>
        <w:numPr>
          <w:ilvl w:val="0"/>
          <w:numId w:val="80"/>
        </w:numPr>
        <w:spacing w:after="160"/>
        <w:ind w:left="714" w:hanging="357"/>
        <w:contextualSpacing w:val="0"/>
      </w:pPr>
      <w:r w:rsidRPr="00A049E4">
        <w:t xml:space="preserve">Awoke MA, Earnest A, </w:t>
      </w:r>
      <w:proofErr w:type="spellStart"/>
      <w:r w:rsidRPr="00A049E4">
        <w:t>Joham</w:t>
      </w:r>
      <w:proofErr w:type="spellEnd"/>
      <w:r w:rsidRPr="00A049E4">
        <w:t xml:space="preserve"> AE, Hodge AM, </w:t>
      </w:r>
      <w:proofErr w:type="spellStart"/>
      <w:r w:rsidRPr="00A049E4">
        <w:t>Teede</w:t>
      </w:r>
      <w:proofErr w:type="spellEnd"/>
      <w:r w:rsidRPr="00A049E4">
        <w:t xml:space="preserve"> HJ, Brown WJ &amp; Moran LJ. (2022). Weight gain and lifestyle factors in women with and without polycystic ovary syndrome. </w:t>
      </w:r>
      <w:r w:rsidRPr="00A049E4">
        <w:rPr>
          <w:i/>
          <w:iCs/>
        </w:rPr>
        <w:t>Human Reproduction</w:t>
      </w:r>
      <w:r w:rsidRPr="00A049E4">
        <w:t xml:space="preserve">, 37(1): 12-141. </w:t>
      </w:r>
      <w:hyperlink r:id="rId87" w:history="1">
        <w:r w:rsidRPr="00A049E4">
          <w:rPr>
            <w:rStyle w:val="Hyperlink"/>
          </w:rPr>
          <w:t>https://doi.org/10.1093/humrep/deab239</w:t>
        </w:r>
      </w:hyperlink>
      <w:r w:rsidRPr="00A049E4">
        <w:t xml:space="preserve"> </w:t>
      </w:r>
    </w:p>
    <w:p w14:paraId="7B09FD94" w14:textId="5A750022" w:rsidR="00665A3E" w:rsidRPr="00A049E4" w:rsidRDefault="00665A3E" w:rsidP="003D5E6A">
      <w:pPr>
        <w:pStyle w:val="ListParagraph"/>
        <w:numPr>
          <w:ilvl w:val="0"/>
          <w:numId w:val="80"/>
        </w:numPr>
        <w:rPr>
          <w:rFonts w:cs="Arial"/>
          <w:szCs w:val="20"/>
        </w:rPr>
      </w:pPr>
      <w:r w:rsidRPr="00A049E4">
        <w:rPr>
          <w:rFonts w:cs="Arial"/>
          <w:szCs w:val="20"/>
        </w:rPr>
        <w:t xml:space="preserve">Bennett CJ, Mansfield DR, Mo L, </w:t>
      </w:r>
      <w:proofErr w:type="spellStart"/>
      <w:r w:rsidRPr="00A049E4">
        <w:rPr>
          <w:rFonts w:cs="Arial"/>
          <w:szCs w:val="20"/>
        </w:rPr>
        <w:t>Joham</w:t>
      </w:r>
      <w:proofErr w:type="spellEnd"/>
      <w:r w:rsidRPr="00A049E4">
        <w:rPr>
          <w:rFonts w:cs="Arial"/>
          <w:szCs w:val="20"/>
        </w:rPr>
        <w:t xml:space="preserve"> AE, Cain SW, </w:t>
      </w:r>
      <w:proofErr w:type="spellStart"/>
      <w:r w:rsidRPr="00A049E4">
        <w:rPr>
          <w:rFonts w:cs="Arial"/>
          <w:szCs w:val="20"/>
        </w:rPr>
        <w:t>Blumfield</w:t>
      </w:r>
      <w:proofErr w:type="spellEnd"/>
      <w:r w:rsidRPr="00A049E4">
        <w:rPr>
          <w:rFonts w:cs="Arial"/>
          <w:szCs w:val="20"/>
        </w:rPr>
        <w:t xml:space="preserve"> ML, Hodge A &amp; Moran LJ. (2022). Sleep disturbances may influence lifestyle behaviours in women with self-reported polycystic ovary syndrome. </w:t>
      </w:r>
      <w:r w:rsidRPr="00A049E4">
        <w:rPr>
          <w:rFonts w:cs="Arial"/>
          <w:i/>
          <w:iCs/>
          <w:szCs w:val="20"/>
        </w:rPr>
        <w:t>British Journal of Nutrition</w:t>
      </w:r>
      <w:r w:rsidRPr="00A049E4">
        <w:rPr>
          <w:rFonts w:cs="Arial"/>
          <w:szCs w:val="20"/>
        </w:rPr>
        <w:t xml:space="preserve">, 127(9); 1395-1403. </w:t>
      </w:r>
      <w:hyperlink r:id="rId88" w:history="1">
        <w:r w:rsidRPr="00A049E4">
          <w:rPr>
            <w:rStyle w:val="Hyperlink"/>
            <w:rFonts w:cs="Arial"/>
            <w:szCs w:val="20"/>
          </w:rPr>
          <w:t>https://doi.org/10.1017/S0007114521002361</w:t>
        </w:r>
      </w:hyperlink>
      <w:r w:rsidRPr="00A049E4">
        <w:rPr>
          <w:rFonts w:cs="Arial"/>
          <w:szCs w:val="20"/>
        </w:rPr>
        <w:t xml:space="preserve"> </w:t>
      </w:r>
    </w:p>
    <w:p w14:paraId="2A109C7C" w14:textId="77777777" w:rsidR="00665A3E" w:rsidRPr="00665A3E" w:rsidRDefault="00665A3E" w:rsidP="00A049E4">
      <w:pPr>
        <w:pStyle w:val="ListParagraph"/>
        <w:rPr>
          <w:rFonts w:cs="Arial"/>
          <w:szCs w:val="20"/>
          <w:highlight w:val="yellow"/>
        </w:rPr>
      </w:pPr>
    </w:p>
    <w:p w14:paraId="201FC096" w14:textId="7E3626E6" w:rsidR="00B06975" w:rsidRPr="00841EDE" w:rsidRDefault="00B06975" w:rsidP="003D5E6A">
      <w:pPr>
        <w:pStyle w:val="ListParagraph"/>
        <w:numPr>
          <w:ilvl w:val="0"/>
          <w:numId w:val="80"/>
        </w:numPr>
        <w:spacing w:before="0" w:after="160"/>
        <w:ind w:left="714" w:hanging="357"/>
        <w:contextualSpacing w:val="0"/>
        <w:jc w:val="left"/>
        <w:rPr>
          <w:rFonts w:eastAsiaTheme="minorHAnsi" w:cs="Arial"/>
          <w:szCs w:val="20"/>
          <w:lang w:eastAsia="en-US"/>
        </w:rPr>
      </w:pPr>
      <w:r w:rsidRPr="00841EDE">
        <w:rPr>
          <w:rFonts w:eastAsiaTheme="minorHAnsi" w:cs="Arial"/>
          <w:szCs w:val="20"/>
          <w:lang w:eastAsia="en-US"/>
        </w:rPr>
        <w:lastRenderedPageBreak/>
        <w:t xml:space="preserve">Dharmayani PNA, Mishra GD &amp; Mihrshahi S. (2022). Fruit and vegetable consumption and depression symptoms in young women: Results from 1973 to 1978 cohort of the Australian Longitudinal Study on Women's Health. </w:t>
      </w:r>
      <w:r w:rsidRPr="00841EDE">
        <w:rPr>
          <w:rFonts w:eastAsiaTheme="minorHAnsi" w:cs="Arial"/>
          <w:i/>
          <w:iCs/>
          <w:szCs w:val="20"/>
          <w:lang w:eastAsia="en-US"/>
        </w:rPr>
        <w:t>European Journal of Nutrition</w:t>
      </w:r>
      <w:r w:rsidRPr="00841EDE">
        <w:rPr>
          <w:rFonts w:eastAsiaTheme="minorHAnsi" w:cs="Arial"/>
          <w:szCs w:val="20"/>
          <w:lang w:eastAsia="en-US"/>
        </w:rPr>
        <w:t xml:space="preserve">; </w:t>
      </w:r>
      <w:hyperlink r:id="rId89" w:history="1">
        <w:r w:rsidRPr="00841EDE">
          <w:rPr>
            <w:rFonts w:eastAsiaTheme="minorHAnsi" w:cs="Arial"/>
            <w:color w:val="0000FF" w:themeColor="hyperlink"/>
            <w:szCs w:val="20"/>
            <w:u w:val="single"/>
            <w:lang w:eastAsia="en-US"/>
          </w:rPr>
          <w:t>https://doi.org/10.1007/s00394-022-02926-8</w:t>
        </w:r>
      </w:hyperlink>
      <w:r w:rsidRPr="00841EDE">
        <w:rPr>
          <w:rFonts w:eastAsiaTheme="minorHAnsi" w:cs="Arial"/>
          <w:szCs w:val="20"/>
          <w:lang w:eastAsia="en-US"/>
        </w:rPr>
        <w:t xml:space="preserve"> </w:t>
      </w:r>
    </w:p>
    <w:p w14:paraId="7D2C0F7F" w14:textId="12338744" w:rsidR="00B06975" w:rsidRPr="00841EDE" w:rsidRDefault="00B06975" w:rsidP="003D5E6A">
      <w:pPr>
        <w:pStyle w:val="ListParagraph"/>
        <w:numPr>
          <w:ilvl w:val="0"/>
          <w:numId w:val="80"/>
        </w:numPr>
        <w:spacing w:before="0" w:after="160"/>
        <w:ind w:left="714" w:hanging="357"/>
        <w:contextualSpacing w:val="0"/>
        <w:jc w:val="left"/>
        <w:rPr>
          <w:rFonts w:eastAsiaTheme="minorHAnsi" w:cs="Arial"/>
          <w:szCs w:val="20"/>
          <w:lang w:eastAsia="en-US"/>
        </w:rPr>
      </w:pPr>
      <w:r w:rsidRPr="00841EDE">
        <w:rPr>
          <w:rFonts w:eastAsiaTheme="minorHAnsi" w:cs="Arial"/>
          <w:szCs w:val="20"/>
          <w:lang w:eastAsia="en-US"/>
        </w:rPr>
        <w:t xml:space="preserve">Gete DG, Waller M &amp; Mishra GD. (2022). The role of child diets in the association between pre-pregnancy diets and childhood </w:t>
      </w:r>
      <w:proofErr w:type="spellStart"/>
      <w:r w:rsidRPr="00841EDE">
        <w:rPr>
          <w:rFonts w:eastAsiaTheme="minorHAnsi" w:cs="Arial"/>
          <w:szCs w:val="20"/>
          <w:lang w:eastAsia="en-US"/>
        </w:rPr>
        <w:t>behavioral</w:t>
      </w:r>
      <w:proofErr w:type="spellEnd"/>
      <w:r w:rsidRPr="00841EDE">
        <w:rPr>
          <w:rFonts w:eastAsiaTheme="minorHAnsi" w:cs="Arial"/>
          <w:szCs w:val="20"/>
          <w:lang w:eastAsia="en-US"/>
        </w:rPr>
        <w:t xml:space="preserve"> problems: A mediation analysis. </w:t>
      </w:r>
      <w:r w:rsidRPr="00841EDE">
        <w:rPr>
          <w:rFonts w:eastAsiaTheme="minorHAnsi" w:cs="Arial"/>
          <w:i/>
          <w:iCs/>
          <w:szCs w:val="20"/>
          <w:lang w:eastAsia="en-US"/>
        </w:rPr>
        <w:t>Public Health Nutrition</w:t>
      </w:r>
      <w:r w:rsidRPr="00841EDE">
        <w:rPr>
          <w:rFonts w:eastAsiaTheme="minorHAnsi" w:cs="Arial"/>
          <w:szCs w:val="20"/>
          <w:lang w:eastAsia="en-US"/>
        </w:rPr>
        <w:t xml:space="preserve">; </w:t>
      </w:r>
      <w:hyperlink r:id="rId90" w:history="1">
        <w:r w:rsidR="00A049E4" w:rsidRPr="006E4D51">
          <w:rPr>
            <w:rStyle w:val="Hyperlink"/>
            <w:rFonts w:eastAsiaTheme="minorHAnsi" w:cs="Arial"/>
            <w:szCs w:val="20"/>
            <w:lang w:eastAsia="en-US"/>
          </w:rPr>
          <w:t>https://doi.org/10.1017/S1368980022001410</w:t>
        </w:r>
      </w:hyperlink>
      <w:r w:rsidR="00A049E4">
        <w:rPr>
          <w:rFonts w:eastAsiaTheme="minorHAnsi" w:cs="Arial"/>
          <w:szCs w:val="20"/>
          <w:lang w:eastAsia="en-US"/>
        </w:rPr>
        <w:t xml:space="preserve"> </w:t>
      </w:r>
    </w:p>
    <w:p w14:paraId="25298353" w14:textId="77CEF48B" w:rsidR="00A049E4" w:rsidRPr="00A049E4" w:rsidRDefault="00B06975" w:rsidP="003D5E6A">
      <w:pPr>
        <w:pStyle w:val="ListParagraph"/>
        <w:numPr>
          <w:ilvl w:val="0"/>
          <w:numId w:val="80"/>
        </w:numPr>
        <w:spacing w:before="0" w:after="160"/>
        <w:ind w:left="714" w:hanging="357"/>
        <w:contextualSpacing w:val="0"/>
        <w:jc w:val="left"/>
        <w:rPr>
          <w:rFonts w:eastAsiaTheme="minorHAnsi" w:cs="Arial"/>
          <w:szCs w:val="20"/>
          <w:lang w:eastAsia="en-US"/>
        </w:rPr>
      </w:pPr>
      <w:r w:rsidRPr="00A049E4">
        <w:rPr>
          <w:rFonts w:eastAsiaTheme="minorHAnsi" w:cs="Arial"/>
          <w:szCs w:val="20"/>
          <w:lang w:eastAsia="en-US"/>
        </w:rPr>
        <w:t xml:space="preserve">Gribbin S, </w:t>
      </w:r>
      <w:proofErr w:type="spellStart"/>
      <w:r w:rsidRPr="00A049E4">
        <w:rPr>
          <w:rFonts w:eastAsiaTheme="minorHAnsi" w:cs="Arial"/>
          <w:szCs w:val="20"/>
          <w:lang w:eastAsia="en-US"/>
        </w:rPr>
        <w:t>Enticott</w:t>
      </w:r>
      <w:proofErr w:type="spellEnd"/>
      <w:r w:rsidRPr="00A049E4">
        <w:rPr>
          <w:rFonts w:eastAsiaTheme="minorHAnsi" w:cs="Arial"/>
          <w:szCs w:val="20"/>
          <w:lang w:eastAsia="en-US"/>
        </w:rPr>
        <w:t xml:space="preserve"> J, Hodge AM, Moran L, Thong E, </w:t>
      </w:r>
      <w:proofErr w:type="spellStart"/>
      <w:r w:rsidRPr="00A049E4">
        <w:rPr>
          <w:rFonts w:eastAsiaTheme="minorHAnsi" w:cs="Arial"/>
          <w:szCs w:val="20"/>
          <w:lang w:eastAsia="en-US"/>
        </w:rPr>
        <w:t>Joahm</w:t>
      </w:r>
      <w:proofErr w:type="spellEnd"/>
      <w:r w:rsidRPr="00A049E4">
        <w:rPr>
          <w:rFonts w:eastAsiaTheme="minorHAnsi" w:cs="Arial"/>
          <w:szCs w:val="20"/>
          <w:lang w:eastAsia="en-US"/>
        </w:rPr>
        <w:t xml:space="preserve"> A &amp; Zaman S. (2022). Association of carbohydrate and saturated fat intake with cardiovascular disease and mortality in Australian women. </w:t>
      </w:r>
      <w:r w:rsidRPr="00A049E4">
        <w:rPr>
          <w:rFonts w:eastAsiaTheme="minorHAnsi" w:cs="Arial"/>
          <w:i/>
          <w:iCs/>
          <w:szCs w:val="20"/>
          <w:lang w:eastAsia="en-US"/>
        </w:rPr>
        <w:t>Heart</w:t>
      </w:r>
      <w:r w:rsidRPr="00A049E4">
        <w:rPr>
          <w:rFonts w:eastAsiaTheme="minorHAnsi" w:cs="Arial"/>
          <w:szCs w:val="20"/>
          <w:lang w:eastAsia="en-US"/>
        </w:rPr>
        <w:t xml:space="preserve">;108(12): 932-939. </w:t>
      </w:r>
      <w:hyperlink r:id="rId91" w:history="1">
        <w:r w:rsidRPr="00A049E4">
          <w:rPr>
            <w:rFonts w:eastAsiaTheme="minorHAnsi" w:cs="Arial"/>
            <w:color w:val="0000FF" w:themeColor="hyperlink"/>
            <w:szCs w:val="20"/>
            <w:u w:val="single"/>
            <w:lang w:eastAsia="en-US"/>
          </w:rPr>
          <w:t>http://dx.doi.org/10.1136/heartjnl-2021-319654</w:t>
        </w:r>
      </w:hyperlink>
    </w:p>
    <w:p w14:paraId="18424882" w14:textId="63C69724" w:rsidR="00665A3E" w:rsidRPr="00A049E4" w:rsidRDefault="00665A3E" w:rsidP="003D5E6A">
      <w:pPr>
        <w:pStyle w:val="ListParagraph"/>
        <w:numPr>
          <w:ilvl w:val="0"/>
          <w:numId w:val="80"/>
        </w:numPr>
        <w:rPr>
          <w:rFonts w:eastAsiaTheme="minorHAnsi" w:cs="Arial"/>
          <w:szCs w:val="20"/>
          <w:lang w:eastAsia="en-US"/>
        </w:rPr>
      </w:pPr>
      <w:r w:rsidRPr="00A049E4">
        <w:rPr>
          <w:rFonts w:cs="Arial"/>
          <w:szCs w:val="20"/>
        </w:rPr>
        <w:t xml:space="preserve">Laaksonen MA, </w:t>
      </w:r>
      <w:proofErr w:type="spellStart"/>
      <w:r w:rsidRPr="00A049E4">
        <w:rPr>
          <w:rFonts w:cs="Arial"/>
          <w:szCs w:val="20"/>
        </w:rPr>
        <w:t>MacInnis</w:t>
      </w:r>
      <w:proofErr w:type="spellEnd"/>
      <w:r w:rsidRPr="00A049E4">
        <w:rPr>
          <w:rFonts w:cs="Arial"/>
          <w:szCs w:val="20"/>
        </w:rPr>
        <w:t xml:space="preserve"> RJ, </w:t>
      </w:r>
      <w:proofErr w:type="spellStart"/>
      <w:r w:rsidRPr="00A049E4">
        <w:rPr>
          <w:rFonts w:cs="Arial"/>
          <w:szCs w:val="20"/>
        </w:rPr>
        <w:t>Canfell</w:t>
      </w:r>
      <w:proofErr w:type="spellEnd"/>
      <w:r w:rsidRPr="00A049E4">
        <w:rPr>
          <w:rFonts w:cs="Arial"/>
          <w:szCs w:val="20"/>
        </w:rPr>
        <w:t xml:space="preserve"> K, Shaw JE, Magliano DJ, Banks E, Giles GG, Byles JE, Gill TK, Mitchell P, Hirani V, Cumming RG &amp; </w:t>
      </w:r>
      <w:proofErr w:type="spellStart"/>
      <w:r w:rsidRPr="00A049E4">
        <w:rPr>
          <w:rFonts w:cs="Arial"/>
          <w:szCs w:val="20"/>
        </w:rPr>
        <w:t>Vajdic</w:t>
      </w:r>
      <w:proofErr w:type="spellEnd"/>
      <w:r w:rsidRPr="00A049E4">
        <w:rPr>
          <w:rFonts w:cs="Arial"/>
          <w:szCs w:val="20"/>
        </w:rPr>
        <w:t xml:space="preserve"> CM. (2022). Thyroid cancers potentially preventable by reducing overweight and obesity in Australia: A pooled cohort study. </w:t>
      </w:r>
      <w:r w:rsidRPr="00A049E4">
        <w:rPr>
          <w:rFonts w:cs="Arial"/>
          <w:i/>
          <w:iCs/>
          <w:szCs w:val="20"/>
        </w:rPr>
        <w:t>International Journal of Cancer</w:t>
      </w:r>
      <w:r w:rsidRPr="00A049E4">
        <w:rPr>
          <w:rFonts w:cs="Arial"/>
          <w:szCs w:val="20"/>
        </w:rPr>
        <w:t xml:space="preserve">, 150(8): 1281-1290. </w:t>
      </w:r>
      <w:hyperlink r:id="rId92" w:history="1">
        <w:r w:rsidRPr="00A049E4">
          <w:rPr>
            <w:rStyle w:val="Hyperlink"/>
            <w:rFonts w:cs="Arial"/>
            <w:szCs w:val="20"/>
          </w:rPr>
          <w:t>https://doi.org/10.1002/ijc.33889</w:t>
        </w:r>
      </w:hyperlink>
    </w:p>
    <w:p w14:paraId="54A12F1F" w14:textId="77777777" w:rsidR="00A049E4" w:rsidRPr="00A049E4" w:rsidRDefault="00A049E4" w:rsidP="00A049E4">
      <w:pPr>
        <w:pStyle w:val="ListParagraph"/>
        <w:rPr>
          <w:rFonts w:eastAsiaTheme="minorHAnsi" w:cs="Arial"/>
          <w:szCs w:val="20"/>
          <w:lang w:eastAsia="en-US"/>
        </w:rPr>
      </w:pPr>
    </w:p>
    <w:p w14:paraId="6142441E" w14:textId="63A3A6C9" w:rsidR="00B06975" w:rsidRPr="00841EDE" w:rsidRDefault="00B06975" w:rsidP="003D5E6A">
      <w:pPr>
        <w:pStyle w:val="ListParagraph"/>
        <w:numPr>
          <w:ilvl w:val="0"/>
          <w:numId w:val="80"/>
        </w:numPr>
        <w:spacing w:before="0" w:after="160"/>
        <w:ind w:left="714" w:hanging="357"/>
        <w:contextualSpacing w:val="0"/>
        <w:jc w:val="left"/>
        <w:rPr>
          <w:rFonts w:eastAsiaTheme="minorHAnsi" w:cs="Arial"/>
          <w:szCs w:val="20"/>
          <w:lang w:eastAsia="en-US"/>
        </w:rPr>
      </w:pPr>
      <w:r w:rsidRPr="00841EDE">
        <w:rPr>
          <w:rFonts w:eastAsiaTheme="minorHAnsi" w:cs="Arial"/>
          <w:szCs w:val="20"/>
          <w:lang w:eastAsia="en-US"/>
        </w:rPr>
        <w:t xml:space="preserve">Lee M, Bradbury J, </w:t>
      </w:r>
      <w:proofErr w:type="spellStart"/>
      <w:r w:rsidRPr="00841EDE">
        <w:rPr>
          <w:rFonts w:eastAsiaTheme="minorHAnsi" w:cs="Arial"/>
          <w:szCs w:val="20"/>
          <w:lang w:eastAsia="en-US"/>
        </w:rPr>
        <w:t>Yoxall</w:t>
      </w:r>
      <w:proofErr w:type="spellEnd"/>
      <w:r w:rsidRPr="00841EDE">
        <w:rPr>
          <w:rFonts w:eastAsiaTheme="minorHAnsi" w:cs="Arial"/>
          <w:szCs w:val="20"/>
          <w:lang w:eastAsia="en-US"/>
        </w:rPr>
        <w:t xml:space="preserve"> J &amp; </w:t>
      </w:r>
      <w:proofErr w:type="spellStart"/>
      <w:r w:rsidRPr="00841EDE">
        <w:rPr>
          <w:rFonts w:eastAsiaTheme="minorHAnsi" w:cs="Arial"/>
          <w:szCs w:val="20"/>
          <w:lang w:eastAsia="en-US"/>
        </w:rPr>
        <w:t>Sargeant</w:t>
      </w:r>
      <w:proofErr w:type="spellEnd"/>
      <w:r w:rsidRPr="00841EDE">
        <w:rPr>
          <w:rFonts w:eastAsiaTheme="minorHAnsi" w:cs="Arial"/>
          <w:szCs w:val="20"/>
          <w:lang w:eastAsia="en-US"/>
        </w:rPr>
        <w:t xml:space="preserve"> S. (2022). Is dietary quality associated with depression? An analysis of the Australian longitudinal study of women’s health data. </w:t>
      </w:r>
      <w:r w:rsidRPr="00841EDE">
        <w:rPr>
          <w:rFonts w:eastAsiaTheme="minorHAnsi" w:cs="Arial"/>
          <w:i/>
          <w:iCs/>
          <w:szCs w:val="20"/>
          <w:lang w:eastAsia="en-US"/>
        </w:rPr>
        <w:t>British Journal of Nutrition</w:t>
      </w:r>
      <w:r w:rsidRPr="00841EDE">
        <w:rPr>
          <w:rFonts w:eastAsiaTheme="minorHAnsi" w:cs="Arial"/>
          <w:szCs w:val="20"/>
          <w:lang w:eastAsia="en-US"/>
        </w:rPr>
        <w:t xml:space="preserve">; </w:t>
      </w:r>
      <w:hyperlink r:id="rId93" w:history="1">
        <w:r w:rsidRPr="00841EDE">
          <w:rPr>
            <w:rFonts w:eastAsiaTheme="minorHAnsi" w:cs="Arial"/>
            <w:color w:val="0000FF" w:themeColor="hyperlink"/>
            <w:szCs w:val="20"/>
            <w:u w:val="single"/>
            <w:lang w:eastAsia="en-US"/>
          </w:rPr>
          <w:t>https://doi.org/10.1017/S0007114522002410</w:t>
        </w:r>
      </w:hyperlink>
      <w:r w:rsidRPr="00841EDE">
        <w:rPr>
          <w:rFonts w:eastAsiaTheme="minorHAnsi" w:cs="Arial"/>
          <w:szCs w:val="20"/>
          <w:lang w:eastAsia="en-US"/>
        </w:rPr>
        <w:t xml:space="preserve"> </w:t>
      </w:r>
    </w:p>
    <w:p w14:paraId="0641DAFD" w14:textId="3EF70C71" w:rsidR="00841EDE" w:rsidRPr="00841EDE" w:rsidRDefault="00841EDE" w:rsidP="003D5E6A">
      <w:pPr>
        <w:pStyle w:val="ListParagraph"/>
        <w:numPr>
          <w:ilvl w:val="0"/>
          <w:numId w:val="80"/>
        </w:numPr>
        <w:spacing w:before="0" w:after="160"/>
        <w:ind w:left="714" w:hanging="357"/>
        <w:contextualSpacing w:val="0"/>
        <w:jc w:val="left"/>
        <w:rPr>
          <w:rFonts w:eastAsiaTheme="minorHAnsi" w:cs="Arial"/>
          <w:szCs w:val="20"/>
          <w:lang w:eastAsia="en-US"/>
        </w:rPr>
      </w:pPr>
      <w:r w:rsidRPr="00841EDE">
        <w:rPr>
          <w:rFonts w:eastAsiaTheme="minorHAnsi" w:cs="Arial"/>
          <w:szCs w:val="20"/>
          <w:lang w:eastAsia="en-US"/>
        </w:rPr>
        <w:t xml:space="preserve">Magnus MC, Hockey RL, </w:t>
      </w:r>
      <w:proofErr w:type="spellStart"/>
      <w:r w:rsidRPr="00841EDE">
        <w:rPr>
          <w:rFonts w:eastAsiaTheme="minorHAnsi" w:cs="Arial"/>
          <w:szCs w:val="20"/>
          <w:lang w:eastAsia="en-US"/>
        </w:rPr>
        <w:t>Haberg</w:t>
      </w:r>
      <w:proofErr w:type="spellEnd"/>
      <w:r w:rsidRPr="00841EDE">
        <w:rPr>
          <w:rFonts w:eastAsiaTheme="minorHAnsi" w:cs="Arial"/>
          <w:szCs w:val="20"/>
          <w:lang w:eastAsia="en-US"/>
        </w:rPr>
        <w:t xml:space="preserve"> SE &amp; Mishra GD. (2022) Pre-pregnancy lifestyle characteristics and risk of miscarriage: The Australian Longitudinal Study on Women’s Health. BMC Pregnancy and Childbirth; 22:169. </w:t>
      </w:r>
      <w:hyperlink r:id="rId94" w:history="1">
        <w:r w:rsidR="00A049E4" w:rsidRPr="006E4D51">
          <w:rPr>
            <w:rStyle w:val="Hyperlink"/>
            <w:rFonts w:eastAsiaTheme="minorHAnsi" w:cs="Arial"/>
            <w:szCs w:val="20"/>
            <w:lang w:eastAsia="en-US"/>
          </w:rPr>
          <w:t>https://doi.org/10.1186/s12884-022-04482-9</w:t>
        </w:r>
      </w:hyperlink>
      <w:r w:rsidR="00A049E4">
        <w:rPr>
          <w:rFonts w:eastAsiaTheme="minorHAnsi" w:cs="Arial"/>
          <w:szCs w:val="20"/>
          <w:lang w:eastAsia="en-US"/>
        </w:rPr>
        <w:t xml:space="preserve">  </w:t>
      </w:r>
    </w:p>
    <w:p w14:paraId="5FE90EFC" w14:textId="26A51648" w:rsidR="00665A3E" w:rsidRPr="00841EDE" w:rsidRDefault="00665A3E" w:rsidP="003D5E6A">
      <w:pPr>
        <w:pStyle w:val="ListParagraph"/>
        <w:numPr>
          <w:ilvl w:val="0"/>
          <w:numId w:val="80"/>
        </w:numPr>
        <w:spacing w:before="0" w:after="160"/>
        <w:ind w:left="714" w:hanging="357"/>
        <w:contextualSpacing w:val="0"/>
        <w:jc w:val="left"/>
        <w:rPr>
          <w:rFonts w:eastAsiaTheme="minorHAnsi" w:cs="Arial"/>
          <w:szCs w:val="20"/>
          <w:lang w:eastAsia="en-US"/>
        </w:rPr>
      </w:pPr>
      <w:r w:rsidRPr="00841EDE">
        <w:rPr>
          <w:rFonts w:eastAsiaTheme="minorHAnsi" w:cs="Arial"/>
          <w:szCs w:val="20"/>
          <w:lang w:eastAsia="en-US"/>
        </w:rPr>
        <w:t xml:space="preserve">Makama M, Earnest A, Lim S, </w:t>
      </w:r>
      <w:proofErr w:type="spellStart"/>
      <w:r w:rsidRPr="00841EDE">
        <w:rPr>
          <w:rFonts w:eastAsiaTheme="minorHAnsi" w:cs="Arial"/>
          <w:szCs w:val="20"/>
          <w:lang w:eastAsia="en-US"/>
        </w:rPr>
        <w:t>Skouteris</w:t>
      </w:r>
      <w:proofErr w:type="spellEnd"/>
      <w:r w:rsidRPr="00841EDE">
        <w:rPr>
          <w:rFonts w:eastAsiaTheme="minorHAnsi" w:cs="Arial"/>
          <w:szCs w:val="20"/>
          <w:lang w:eastAsia="en-US"/>
        </w:rPr>
        <w:t xml:space="preserve"> H, Hill B, </w:t>
      </w:r>
      <w:proofErr w:type="spellStart"/>
      <w:r w:rsidRPr="00841EDE">
        <w:rPr>
          <w:rFonts w:eastAsiaTheme="minorHAnsi" w:cs="Arial"/>
          <w:szCs w:val="20"/>
          <w:lang w:eastAsia="en-US"/>
        </w:rPr>
        <w:t>Teede</w:t>
      </w:r>
      <w:proofErr w:type="spellEnd"/>
      <w:r w:rsidRPr="00841EDE">
        <w:rPr>
          <w:rFonts w:eastAsiaTheme="minorHAnsi" w:cs="Arial"/>
          <w:szCs w:val="20"/>
          <w:lang w:eastAsia="en-US"/>
        </w:rPr>
        <w:t xml:space="preserve"> H, Boyle JA, Brown WJ, Hodge AM &amp; Moran LJ. (2022). Assessing patterns of change in lifestyle behaviours by parity: </w:t>
      </w:r>
      <w:r w:rsidR="00A049E4">
        <w:rPr>
          <w:rFonts w:eastAsiaTheme="minorHAnsi" w:cs="Arial"/>
          <w:szCs w:val="20"/>
          <w:lang w:eastAsia="en-US"/>
        </w:rPr>
        <w:t>A</w:t>
      </w:r>
      <w:r w:rsidRPr="00841EDE">
        <w:rPr>
          <w:rFonts w:eastAsiaTheme="minorHAnsi" w:cs="Arial"/>
          <w:szCs w:val="20"/>
          <w:lang w:eastAsia="en-US"/>
        </w:rPr>
        <w:t xml:space="preserve"> longitudinal cohort study. </w:t>
      </w:r>
      <w:r w:rsidRPr="00841EDE">
        <w:rPr>
          <w:rFonts w:eastAsiaTheme="minorHAnsi" w:cs="Arial"/>
          <w:i/>
          <w:iCs/>
          <w:szCs w:val="20"/>
          <w:lang w:eastAsia="en-US"/>
        </w:rPr>
        <w:t>International Journal of Epidemiology</w:t>
      </w:r>
      <w:r w:rsidRPr="00841EDE">
        <w:rPr>
          <w:rFonts w:eastAsiaTheme="minorHAnsi" w:cs="Arial"/>
          <w:szCs w:val="20"/>
          <w:lang w:eastAsia="en-US"/>
        </w:rPr>
        <w:t xml:space="preserve">;  </w:t>
      </w:r>
      <w:hyperlink r:id="rId95" w:history="1">
        <w:r w:rsidRPr="00841EDE">
          <w:rPr>
            <w:rFonts w:eastAsiaTheme="minorHAnsi" w:cs="Arial"/>
            <w:color w:val="0000FF" w:themeColor="hyperlink"/>
            <w:szCs w:val="20"/>
            <w:u w:val="single"/>
            <w:lang w:eastAsia="en-US"/>
          </w:rPr>
          <w:t>https://doi.org/10.1093/ije/dyac139</w:t>
        </w:r>
      </w:hyperlink>
      <w:r w:rsidRPr="00841EDE">
        <w:rPr>
          <w:rFonts w:eastAsiaTheme="minorHAnsi" w:cs="Arial"/>
          <w:szCs w:val="20"/>
          <w:lang w:eastAsia="en-US"/>
        </w:rPr>
        <w:t xml:space="preserve"> </w:t>
      </w:r>
    </w:p>
    <w:p w14:paraId="08C18056" w14:textId="77777777" w:rsidR="00B06975" w:rsidRPr="00841EDE" w:rsidRDefault="00B06975" w:rsidP="003D5E6A">
      <w:pPr>
        <w:pStyle w:val="ListParagraph"/>
        <w:numPr>
          <w:ilvl w:val="0"/>
          <w:numId w:val="80"/>
        </w:numPr>
        <w:spacing w:before="0" w:after="160"/>
        <w:ind w:left="714" w:hanging="357"/>
        <w:contextualSpacing w:val="0"/>
        <w:jc w:val="left"/>
        <w:rPr>
          <w:rFonts w:eastAsiaTheme="minorHAnsi" w:cs="Arial"/>
          <w:szCs w:val="20"/>
          <w:lang w:eastAsia="en-US"/>
        </w:rPr>
      </w:pPr>
      <w:r w:rsidRPr="00841EDE">
        <w:rPr>
          <w:rFonts w:eastAsiaTheme="minorHAnsi" w:cs="Arial"/>
          <w:szCs w:val="20"/>
          <w:lang w:eastAsia="en-US"/>
        </w:rPr>
        <w:t xml:space="preserve">Rahman M, Jagger C, Leigh L, Holliday E, </w:t>
      </w:r>
      <w:proofErr w:type="spellStart"/>
      <w:r w:rsidRPr="00841EDE">
        <w:rPr>
          <w:rFonts w:eastAsiaTheme="minorHAnsi" w:cs="Arial"/>
          <w:szCs w:val="20"/>
          <w:lang w:eastAsia="en-US"/>
        </w:rPr>
        <w:t>Princehor</w:t>
      </w:r>
      <w:proofErr w:type="spellEnd"/>
      <w:r w:rsidRPr="00841EDE">
        <w:rPr>
          <w:rFonts w:eastAsiaTheme="minorHAnsi" w:cs="Arial"/>
          <w:szCs w:val="20"/>
          <w:lang w:eastAsia="en-US"/>
        </w:rPr>
        <w:t xml:space="preserve"> E, Loxton D, Kowal P, Beard J &amp; Byles J. (2022). The impact of education and lifestyle factors on disability-free life expectancy from mid-life to older age: A multi-cohort study. </w:t>
      </w:r>
      <w:r w:rsidRPr="00841EDE">
        <w:rPr>
          <w:rFonts w:eastAsiaTheme="minorHAnsi" w:cs="Arial"/>
          <w:i/>
          <w:iCs/>
          <w:szCs w:val="20"/>
          <w:lang w:eastAsia="en-US"/>
        </w:rPr>
        <w:t>International Journal of Public Health</w:t>
      </w:r>
      <w:r w:rsidRPr="00841EDE">
        <w:rPr>
          <w:rFonts w:eastAsiaTheme="minorHAnsi" w:cs="Arial"/>
          <w:szCs w:val="20"/>
          <w:lang w:eastAsia="en-US"/>
        </w:rPr>
        <w:t xml:space="preserve">; 67. </w:t>
      </w:r>
      <w:hyperlink r:id="rId96" w:history="1">
        <w:r w:rsidRPr="00841EDE">
          <w:rPr>
            <w:rFonts w:eastAsiaTheme="minorHAnsi" w:cs="Arial"/>
            <w:color w:val="0000FF" w:themeColor="hyperlink"/>
            <w:szCs w:val="20"/>
            <w:u w:val="single"/>
            <w:lang w:eastAsia="en-US"/>
          </w:rPr>
          <w:t>https://doi.org/10.3389/ijph.2022.1605045</w:t>
        </w:r>
      </w:hyperlink>
      <w:r w:rsidRPr="00841EDE">
        <w:rPr>
          <w:rFonts w:eastAsiaTheme="minorHAnsi" w:cs="Arial"/>
          <w:szCs w:val="20"/>
          <w:lang w:eastAsia="en-US"/>
        </w:rPr>
        <w:t xml:space="preserve"> </w:t>
      </w:r>
    </w:p>
    <w:p w14:paraId="02651646" w14:textId="77777777" w:rsidR="00B06975" w:rsidRPr="00841EDE" w:rsidRDefault="00B06975" w:rsidP="003D5E6A">
      <w:pPr>
        <w:pStyle w:val="ListParagraph"/>
        <w:numPr>
          <w:ilvl w:val="0"/>
          <w:numId w:val="80"/>
        </w:numPr>
        <w:spacing w:before="0" w:after="160"/>
        <w:ind w:left="714" w:hanging="357"/>
        <w:contextualSpacing w:val="0"/>
        <w:jc w:val="left"/>
        <w:rPr>
          <w:rFonts w:eastAsiaTheme="minorHAnsi" w:cs="Arial"/>
          <w:szCs w:val="20"/>
          <w:lang w:eastAsia="en-US"/>
        </w:rPr>
      </w:pPr>
      <w:r w:rsidRPr="00841EDE">
        <w:rPr>
          <w:rFonts w:eastAsiaTheme="minorHAnsi" w:cs="Arial"/>
          <w:szCs w:val="20"/>
          <w:lang w:eastAsia="en-US"/>
        </w:rPr>
        <w:t xml:space="preserve">Rowlands I, Hockey R, Abbott J, Montgomery G &amp; Mishra G. (2022). Body mass index and the diagnosis of endometriosis: Findings from a national data linkage cohort study. </w:t>
      </w:r>
      <w:r w:rsidRPr="00841EDE">
        <w:rPr>
          <w:rFonts w:eastAsiaTheme="minorHAnsi" w:cs="Arial"/>
          <w:i/>
          <w:iCs/>
          <w:szCs w:val="20"/>
          <w:lang w:eastAsia="en-US"/>
        </w:rPr>
        <w:t>Obesity Research and Clinical Practice</w:t>
      </w:r>
      <w:r w:rsidRPr="00841EDE">
        <w:rPr>
          <w:rFonts w:eastAsiaTheme="minorHAnsi" w:cs="Arial"/>
          <w:szCs w:val="20"/>
          <w:lang w:eastAsia="en-US"/>
        </w:rPr>
        <w:t xml:space="preserve">; </w:t>
      </w:r>
      <w:hyperlink r:id="rId97" w:history="1">
        <w:r w:rsidRPr="00841EDE">
          <w:rPr>
            <w:rFonts w:eastAsiaTheme="minorHAnsi" w:cs="Arial"/>
            <w:color w:val="0000FF" w:themeColor="hyperlink"/>
            <w:szCs w:val="20"/>
            <w:u w:val="single"/>
            <w:lang w:eastAsia="en-US"/>
          </w:rPr>
          <w:t>https://doi.org/10.1016/j.orcp.2022.04.002</w:t>
        </w:r>
      </w:hyperlink>
    </w:p>
    <w:p w14:paraId="7B14234A" w14:textId="77777777" w:rsidR="00B06975" w:rsidRPr="00841EDE" w:rsidRDefault="00B06975" w:rsidP="003D5E6A">
      <w:pPr>
        <w:pStyle w:val="ListParagraph"/>
        <w:numPr>
          <w:ilvl w:val="0"/>
          <w:numId w:val="80"/>
        </w:numPr>
        <w:spacing w:before="0" w:after="160"/>
        <w:ind w:left="714" w:hanging="357"/>
        <w:contextualSpacing w:val="0"/>
        <w:jc w:val="left"/>
        <w:rPr>
          <w:rFonts w:eastAsiaTheme="minorHAnsi" w:cs="Arial"/>
          <w:szCs w:val="20"/>
          <w:lang w:eastAsia="en-US"/>
        </w:rPr>
      </w:pPr>
      <w:r w:rsidRPr="00841EDE">
        <w:rPr>
          <w:rFonts w:eastAsiaTheme="minorHAnsi" w:cs="Arial"/>
          <w:szCs w:val="20"/>
          <w:lang w:eastAsia="en-US"/>
        </w:rPr>
        <w:lastRenderedPageBreak/>
        <w:t xml:space="preserve">Tay CT, Loxton D, </w:t>
      </w:r>
      <w:proofErr w:type="spellStart"/>
      <w:r w:rsidRPr="00841EDE">
        <w:rPr>
          <w:rFonts w:eastAsiaTheme="minorHAnsi" w:cs="Arial"/>
          <w:szCs w:val="20"/>
          <w:lang w:eastAsia="en-US"/>
        </w:rPr>
        <w:t>Khomami</w:t>
      </w:r>
      <w:proofErr w:type="spellEnd"/>
      <w:r w:rsidRPr="00841EDE">
        <w:rPr>
          <w:rFonts w:eastAsiaTheme="minorHAnsi" w:cs="Arial"/>
          <w:szCs w:val="20"/>
          <w:lang w:eastAsia="en-US"/>
        </w:rPr>
        <w:t xml:space="preserve"> MB, </w:t>
      </w:r>
      <w:proofErr w:type="spellStart"/>
      <w:r w:rsidRPr="00841EDE">
        <w:rPr>
          <w:rFonts w:eastAsiaTheme="minorHAnsi" w:cs="Arial"/>
          <w:szCs w:val="20"/>
          <w:lang w:eastAsia="en-US"/>
        </w:rPr>
        <w:t>Teede</w:t>
      </w:r>
      <w:proofErr w:type="spellEnd"/>
      <w:r w:rsidRPr="00841EDE">
        <w:rPr>
          <w:rFonts w:eastAsiaTheme="minorHAnsi" w:cs="Arial"/>
          <w:szCs w:val="20"/>
          <w:lang w:eastAsia="en-US"/>
        </w:rPr>
        <w:t xml:space="preserve"> H &amp; </w:t>
      </w:r>
      <w:proofErr w:type="spellStart"/>
      <w:r w:rsidRPr="00841EDE">
        <w:rPr>
          <w:rFonts w:eastAsiaTheme="minorHAnsi" w:cs="Arial"/>
          <w:szCs w:val="20"/>
          <w:lang w:eastAsia="en-US"/>
        </w:rPr>
        <w:t>Joham</w:t>
      </w:r>
      <w:proofErr w:type="spellEnd"/>
      <w:r w:rsidRPr="00841EDE">
        <w:rPr>
          <w:rFonts w:eastAsiaTheme="minorHAnsi" w:cs="Arial"/>
          <w:szCs w:val="20"/>
          <w:lang w:eastAsia="en-US"/>
        </w:rPr>
        <w:t xml:space="preserve"> AE. (2022). Negative associations of ideal family size achievement with hypertension, </w:t>
      </w:r>
      <w:proofErr w:type="gramStart"/>
      <w:r w:rsidRPr="00841EDE">
        <w:rPr>
          <w:rFonts w:eastAsiaTheme="minorHAnsi" w:cs="Arial"/>
          <w:szCs w:val="20"/>
          <w:lang w:eastAsia="en-US"/>
        </w:rPr>
        <w:t>obesity</w:t>
      </w:r>
      <w:proofErr w:type="gramEnd"/>
      <w:r w:rsidRPr="00841EDE">
        <w:rPr>
          <w:rFonts w:eastAsiaTheme="minorHAnsi" w:cs="Arial"/>
          <w:szCs w:val="20"/>
          <w:lang w:eastAsia="en-US"/>
        </w:rPr>
        <w:t xml:space="preserve"> and maternal age in women with and without polycystic ovary syndrome. </w:t>
      </w:r>
      <w:r w:rsidRPr="00841EDE">
        <w:rPr>
          <w:rFonts w:eastAsiaTheme="minorHAnsi" w:cs="Arial"/>
          <w:i/>
          <w:iCs/>
          <w:szCs w:val="20"/>
          <w:lang w:eastAsia="en-US"/>
        </w:rPr>
        <w:t>Clinical Endocrinology</w:t>
      </w:r>
      <w:r w:rsidRPr="00841EDE">
        <w:rPr>
          <w:rFonts w:eastAsiaTheme="minorHAnsi" w:cs="Arial"/>
          <w:szCs w:val="20"/>
          <w:lang w:eastAsia="en-US"/>
        </w:rPr>
        <w:t xml:space="preserve">; </w:t>
      </w:r>
      <w:hyperlink r:id="rId98" w:history="1">
        <w:r w:rsidRPr="00841EDE">
          <w:rPr>
            <w:rFonts w:eastAsiaTheme="minorHAnsi" w:cs="Arial"/>
            <w:color w:val="0000FF" w:themeColor="hyperlink"/>
            <w:szCs w:val="20"/>
            <w:u w:val="single"/>
            <w:lang w:eastAsia="en-US"/>
          </w:rPr>
          <w:t>https://doi.org/10.1111/cen.14736</w:t>
        </w:r>
      </w:hyperlink>
      <w:r w:rsidRPr="00841EDE">
        <w:rPr>
          <w:rFonts w:eastAsiaTheme="minorHAnsi" w:cs="Arial"/>
          <w:szCs w:val="20"/>
          <w:lang w:eastAsia="en-US"/>
        </w:rPr>
        <w:t xml:space="preserve"> </w:t>
      </w:r>
    </w:p>
    <w:p w14:paraId="2632B60C" w14:textId="4CF7485B" w:rsidR="00ED60E3" w:rsidRDefault="00ED60E3" w:rsidP="003D5E6A">
      <w:pPr>
        <w:pStyle w:val="ListParagraph"/>
        <w:numPr>
          <w:ilvl w:val="0"/>
          <w:numId w:val="80"/>
        </w:numPr>
        <w:spacing w:before="0" w:after="160"/>
        <w:ind w:left="714" w:hanging="357"/>
        <w:contextualSpacing w:val="0"/>
        <w:jc w:val="left"/>
        <w:rPr>
          <w:rFonts w:eastAsiaTheme="minorHAnsi" w:cs="Arial"/>
          <w:szCs w:val="20"/>
          <w:lang w:eastAsia="en-US"/>
        </w:rPr>
      </w:pPr>
      <w:proofErr w:type="spellStart"/>
      <w:r>
        <w:t>Tolhurts</w:t>
      </w:r>
      <w:proofErr w:type="spellEnd"/>
      <w:r>
        <w:t xml:space="preserve"> T, Princehorn E, Loxton D, Mishra G, Mate K &amp; Byles J. (2022).</w:t>
      </w:r>
      <w:r w:rsidRPr="00850F80">
        <w:rPr>
          <w:b/>
          <w:bCs/>
        </w:rPr>
        <w:t xml:space="preserve"> </w:t>
      </w:r>
      <w:r w:rsidRPr="00ED60E3">
        <w:t>Changes in food and drink consumption patterns of Australian women during the COVID-19 pandemic</w:t>
      </w:r>
      <w:r>
        <w:t>.</w:t>
      </w:r>
      <w:r w:rsidRPr="00850F80">
        <w:rPr>
          <w:i/>
          <w:iCs/>
        </w:rPr>
        <w:t xml:space="preserve"> Australian and New Zealand Journal of Public Health</w:t>
      </w:r>
      <w:r>
        <w:t xml:space="preserve">, </w:t>
      </w:r>
      <w:hyperlink r:id="rId99" w:history="1">
        <w:r w:rsidRPr="00F96BBF">
          <w:rPr>
            <w:rStyle w:val="Hyperlink"/>
          </w:rPr>
          <w:t>https://doi.org/10.1111/1753-6405.13295</w:t>
        </w:r>
      </w:hyperlink>
    </w:p>
    <w:p w14:paraId="4E9AC000" w14:textId="2BC7AC88" w:rsidR="00B06975" w:rsidRPr="00841EDE" w:rsidRDefault="00B06975" w:rsidP="003D5E6A">
      <w:pPr>
        <w:pStyle w:val="ListParagraph"/>
        <w:numPr>
          <w:ilvl w:val="0"/>
          <w:numId w:val="80"/>
        </w:numPr>
        <w:spacing w:before="0" w:after="160"/>
        <w:ind w:left="714" w:hanging="357"/>
        <w:contextualSpacing w:val="0"/>
        <w:jc w:val="left"/>
        <w:rPr>
          <w:rFonts w:eastAsiaTheme="minorHAnsi" w:cs="Arial"/>
          <w:szCs w:val="20"/>
          <w:lang w:eastAsia="en-US"/>
        </w:rPr>
      </w:pPr>
      <w:r w:rsidRPr="00841EDE">
        <w:rPr>
          <w:rFonts w:eastAsiaTheme="minorHAnsi" w:cs="Arial"/>
          <w:szCs w:val="20"/>
          <w:lang w:eastAsia="en-US"/>
        </w:rPr>
        <w:t xml:space="preserve">Wilson LF, Dobson AJ, Doust J &amp; Mishra GD. (2022). Socioeconomic, behavioural and health factors associated with chlamydia testing in sexually active young women: An Australian observational cohort study. </w:t>
      </w:r>
      <w:r w:rsidRPr="00841EDE">
        <w:rPr>
          <w:rFonts w:eastAsiaTheme="minorHAnsi" w:cs="Arial"/>
          <w:i/>
          <w:iCs/>
          <w:szCs w:val="20"/>
          <w:lang w:eastAsia="en-US"/>
        </w:rPr>
        <w:t>Sexual Health</w:t>
      </w:r>
      <w:r w:rsidRPr="00841EDE">
        <w:rPr>
          <w:rFonts w:eastAsiaTheme="minorHAnsi" w:cs="Arial"/>
          <w:szCs w:val="20"/>
          <w:lang w:eastAsia="en-US"/>
        </w:rPr>
        <w:t xml:space="preserve">; </w:t>
      </w:r>
      <w:hyperlink r:id="rId100" w:history="1">
        <w:r w:rsidRPr="00841EDE">
          <w:rPr>
            <w:rFonts w:eastAsiaTheme="minorHAnsi" w:cs="Arial"/>
            <w:color w:val="0000FF" w:themeColor="hyperlink"/>
            <w:szCs w:val="20"/>
            <w:u w:val="single"/>
            <w:lang w:eastAsia="en-US"/>
          </w:rPr>
          <w:t>https://doi.org/10.1071/SH21230</w:t>
        </w:r>
      </w:hyperlink>
      <w:r w:rsidRPr="00841EDE">
        <w:rPr>
          <w:rFonts w:eastAsiaTheme="minorHAnsi" w:cs="Arial"/>
          <w:szCs w:val="20"/>
          <w:lang w:eastAsia="en-US"/>
        </w:rPr>
        <w:t xml:space="preserve"> </w:t>
      </w:r>
    </w:p>
    <w:bookmarkEnd w:id="1157"/>
    <w:p w14:paraId="0FAD4F01" w14:textId="77777777" w:rsidR="00B06975" w:rsidRPr="00A32D6C" w:rsidRDefault="00B06975" w:rsidP="00B06975">
      <w:pPr>
        <w:rPr>
          <w:rFonts w:cs="Arial"/>
          <w:b/>
          <w:bCs/>
          <w:szCs w:val="20"/>
        </w:rPr>
      </w:pPr>
      <w:r w:rsidRPr="00A32D6C">
        <w:rPr>
          <w:rFonts w:cs="Arial"/>
          <w:b/>
          <w:bCs/>
          <w:szCs w:val="20"/>
        </w:rPr>
        <w:t>Reproductive health</w:t>
      </w:r>
    </w:p>
    <w:p w14:paraId="7D6C7510" w14:textId="119FDDC3" w:rsidR="00FF2E07" w:rsidRPr="00A049E4" w:rsidRDefault="00FF2E07" w:rsidP="003D5E6A">
      <w:pPr>
        <w:pStyle w:val="ListParagraph"/>
        <w:numPr>
          <w:ilvl w:val="0"/>
          <w:numId w:val="77"/>
        </w:numPr>
      </w:pPr>
      <w:bookmarkStart w:id="1158" w:name="_Hlk118372598"/>
      <w:r w:rsidRPr="00A049E4">
        <w:t xml:space="preserve">Awoke MA, Earnest A, </w:t>
      </w:r>
      <w:proofErr w:type="spellStart"/>
      <w:r w:rsidRPr="00A049E4">
        <w:t>Joham</w:t>
      </w:r>
      <w:proofErr w:type="spellEnd"/>
      <w:r w:rsidRPr="00A049E4">
        <w:t xml:space="preserve"> AE, Hodge AM, </w:t>
      </w:r>
      <w:proofErr w:type="spellStart"/>
      <w:r w:rsidRPr="00A049E4">
        <w:t>Teede</w:t>
      </w:r>
      <w:proofErr w:type="spellEnd"/>
      <w:r w:rsidRPr="00A049E4">
        <w:t xml:space="preserve"> HJ, Brown WJ &amp; Moran LJ. (2022). Weight gain and lifestyle factors in women with and without polycystic ovary syndrome. </w:t>
      </w:r>
      <w:r w:rsidRPr="00A049E4">
        <w:rPr>
          <w:i/>
          <w:iCs/>
        </w:rPr>
        <w:t>Human Reproduction</w:t>
      </w:r>
      <w:r w:rsidRPr="00A049E4">
        <w:t xml:space="preserve">, 37(1): 12-141. </w:t>
      </w:r>
      <w:hyperlink r:id="rId101" w:history="1">
        <w:r w:rsidRPr="00A049E4">
          <w:rPr>
            <w:rStyle w:val="Hyperlink"/>
          </w:rPr>
          <w:t>https://doi.org/10.1093/humrep/deab239</w:t>
        </w:r>
      </w:hyperlink>
      <w:r w:rsidRPr="00A049E4">
        <w:t xml:space="preserve"> </w:t>
      </w:r>
    </w:p>
    <w:p w14:paraId="3D0B3551" w14:textId="77777777" w:rsidR="00FF2E07" w:rsidRPr="00A049E4" w:rsidRDefault="00FF2E07" w:rsidP="00A049E4">
      <w:pPr>
        <w:pStyle w:val="ListParagraph"/>
        <w:rPr>
          <w:highlight w:val="yellow"/>
        </w:rPr>
      </w:pPr>
    </w:p>
    <w:p w14:paraId="2F44A08A" w14:textId="4B790974" w:rsidR="00ED60E3" w:rsidRDefault="00ED60E3" w:rsidP="003D5E6A">
      <w:pPr>
        <w:pStyle w:val="ListParagraph"/>
        <w:numPr>
          <w:ilvl w:val="0"/>
          <w:numId w:val="77"/>
        </w:numPr>
        <w:spacing w:before="0" w:after="160"/>
        <w:ind w:left="714" w:hanging="357"/>
        <w:contextualSpacing w:val="0"/>
        <w:jc w:val="left"/>
        <w:rPr>
          <w:rFonts w:eastAsiaTheme="minorHAnsi" w:cs="Arial"/>
          <w:szCs w:val="20"/>
          <w:lang w:eastAsia="en-US"/>
        </w:rPr>
      </w:pPr>
      <w:r>
        <w:t xml:space="preserve">Bagade T, Thapaliya K, Breuer E, Kamath R, Li Z, Sullivan E &amp; Majeed T. (2022). </w:t>
      </w:r>
      <w:r w:rsidRPr="00ED60E3">
        <w:t>Investigating the association between infertility and psychological distress using Australian Longitudinal Study on Women's Health (ALSWH).</w:t>
      </w:r>
      <w:r>
        <w:t xml:space="preserve"> </w:t>
      </w:r>
      <w:r w:rsidRPr="00850F80">
        <w:rPr>
          <w:i/>
          <w:iCs/>
        </w:rPr>
        <w:t>Scientific Reports</w:t>
      </w:r>
      <w:r>
        <w:t xml:space="preserve">, 12, 10808.  </w:t>
      </w:r>
      <w:hyperlink r:id="rId102" w:history="1">
        <w:r w:rsidRPr="00F96BBF">
          <w:rPr>
            <w:rStyle w:val="Hyperlink"/>
          </w:rPr>
          <w:t>https://doi.org/10.1038/s41598-022-15064-2</w:t>
        </w:r>
      </w:hyperlink>
    </w:p>
    <w:p w14:paraId="70576249" w14:textId="16A1A03A" w:rsidR="00665A3E" w:rsidRDefault="00665A3E" w:rsidP="003D5E6A">
      <w:pPr>
        <w:pStyle w:val="ListParagraph"/>
        <w:numPr>
          <w:ilvl w:val="0"/>
          <w:numId w:val="77"/>
        </w:numPr>
        <w:rPr>
          <w:rFonts w:cs="Arial"/>
          <w:szCs w:val="20"/>
        </w:rPr>
      </w:pPr>
      <w:bookmarkStart w:id="1159" w:name="_Hlk118372621"/>
      <w:bookmarkEnd w:id="1158"/>
      <w:r w:rsidRPr="00813201">
        <w:rPr>
          <w:rFonts w:cs="Arial"/>
          <w:szCs w:val="20"/>
        </w:rPr>
        <w:t xml:space="preserve">Bennett CJ, Mansfield DR, Mo L, </w:t>
      </w:r>
      <w:proofErr w:type="spellStart"/>
      <w:r w:rsidRPr="00813201">
        <w:rPr>
          <w:rFonts w:cs="Arial"/>
          <w:szCs w:val="20"/>
        </w:rPr>
        <w:t>Joham</w:t>
      </w:r>
      <w:proofErr w:type="spellEnd"/>
      <w:r w:rsidRPr="00813201">
        <w:rPr>
          <w:rFonts w:cs="Arial"/>
          <w:szCs w:val="20"/>
        </w:rPr>
        <w:t xml:space="preserve"> AE, Cain SW, </w:t>
      </w:r>
      <w:proofErr w:type="spellStart"/>
      <w:r w:rsidRPr="00813201">
        <w:rPr>
          <w:rFonts w:cs="Arial"/>
          <w:szCs w:val="20"/>
        </w:rPr>
        <w:t>Blumfield</w:t>
      </w:r>
      <w:proofErr w:type="spellEnd"/>
      <w:r w:rsidRPr="00813201">
        <w:rPr>
          <w:rFonts w:cs="Arial"/>
          <w:szCs w:val="20"/>
        </w:rPr>
        <w:t xml:space="preserve"> ML, Hodge A &amp; Moran LJ. (2022). Sleep disturbances may influence lifestyle behaviours in women with self-reported polycystic ovary syndrome. </w:t>
      </w:r>
      <w:r w:rsidRPr="00813201">
        <w:rPr>
          <w:rFonts w:cs="Arial"/>
          <w:i/>
          <w:iCs/>
          <w:szCs w:val="20"/>
        </w:rPr>
        <w:t>British Journal of Nutrition</w:t>
      </w:r>
      <w:r w:rsidRPr="00813201">
        <w:rPr>
          <w:rFonts w:cs="Arial"/>
          <w:szCs w:val="20"/>
        </w:rPr>
        <w:t xml:space="preserve">, 127(9); 1395-1403. </w:t>
      </w:r>
      <w:hyperlink r:id="rId103" w:history="1">
        <w:r w:rsidRPr="00813201">
          <w:rPr>
            <w:rStyle w:val="Hyperlink"/>
            <w:rFonts w:cs="Arial"/>
            <w:szCs w:val="20"/>
          </w:rPr>
          <w:t>https://doi.org/10.1017/S0007114521002361</w:t>
        </w:r>
      </w:hyperlink>
      <w:r w:rsidRPr="00813201">
        <w:rPr>
          <w:rFonts w:cs="Arial"/>
          <w:szCs w:val="20"/>
        </w:rPr>
        <w:t xml:space="preserve"> </w:t>
      </w:r>
    </w:p>
    <w:p w14:paraId="518C933B" w14:textId="77777777" w:rsidR="00A049E4" w:rsidRPr="00813201" w:rsidRDefault="00A049E4" w:rsidP="009E6301">
      <w:pPr>
        <w:pStyle w:val="ListParagraph"/>
        <w:rPr>
          <w:rFonts w:cs="Arial"/>
          <w:szCs w:val="20"/>
        </w:rPr>
      </w:pPr>
    </w:p>
    <w:p w14:paraId="06BC8859" w14:textId="58F76F83" w:rsidR="00B06975" w:rsidRPr="00A32D6C" w:rsidRDefault="00B06975" w:rsidP="003D5E6A">
      <w:pPr>
        <w:pStyle w:val="ListParagraph"/>
        <w:numPr>
          <w:ilvl w:val="0"/>
          <w:numId w:val="77"/>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Bizuayehu HM, Harris ML, Chojenta C, Forder PM &amp; </w:t>
      </w:r>
      <w:proofErr w:type="spellStart"/>
      <w:r w:rsidRPr="00A32D6C">
        <w:rPr>
          <w:rFonts w:eastAsiaTheme="minorHAnsi" w:cs="Arial"/>
          <w:szCs w:val="20"/>
          <w:lang w:eastAsia="en-US"/>
        </w:rPr>
        <w:t>Loxon</w:t>
      </w:r>
      <w:proofErr w:type="spellEnd"/>
      <w:r w:rsidRPr="00A32D6C">
        <w:rPr>
          <w:rFonts w:eastAsiaTheme="minorHAnsi" w:cs="Arial"/>
          <w:szCs w:val="20"/>
          <w:lang w:eastAsia="en-US"/>
        </w:rPr>
        <w:t xml:space="preserve"> D. (2022). Biopsychosocial factors influencing the occurrence and recurrence of preterm singleton births among Australian women: A prospective cohort study. </w:t>
      </w:r>
      <w:r w:rsidRPr="00A32D6C">
        <w:rPr>
          <w:rFonts w:eastAsiaTheme="minorHAnsi" w:cs="Arial"/>
          <w:i/>
          <w:iCs/>
          <w:szCs w:val="20"/>
          <w:lang w:eastAsia="en-US"/>
        </w:rPr>
        <w:t>Midwifery</w:t>
      </w:r>
      <w:r w:rsidRPr="00A32D6C">
        <w:rPr>
          <w:rFonts w:eastAsiaTheme="minorHAnsi" w:cs="Arial"/>
          <w:szCs w:val="20"/>
          <w:lang w:eastAsia="en-US"/>
        </w:rPr>
        <w:t xml:space="preserve">; 110: 103334. </w:t>
      </w:r>
      <w:hyperlink r:id="rId104" w:history="1">
        <w:r w:rsidRPr="00A32D6C">
          <w:rPr>
            <w:rFonts w:eastAsiaTheme="minorHAnsi" w:cs="Arial"/>
            <w:color w:val="0000FF" w:themeColor="hyperlink"/>
            <w:szCs w:val="20"/>
            <w:u w:val="single"/>
            <w:lang w:eastAsia="en-US"/>
          </w:rPr>
          <w:t>https://doi.org/10.1016/j.orcp.2022.04.002</w:t>
        </w:r>
      </w:hyperlink>
    </w:p>
    <w:bookmarkEnd w:id="1159"/>
    <w:p w14:paraId="09C76D8A" w14:textId="7958A182" w:rsidR="00B06975" w:rsidRPr="00A32D6C" w:rsidRDefault="00B06975" w:rsidP="003D5E6A">
      <w:pPr>
        <w:pStyle w:val="ListParagraph"/>
        <w:numPr>
          <w:ilvl w:val="0"/>
          <w:numId w:val="77"/>
        </w:numPr>
        <w:spacing w:before="0" w:after="160"/>
        <w:ind w:left="714" w:hanging="357"/>
        <w:contextualSpacing w:val="0"/>
        <w:jc w:val="left"/>
        <w:rPr>
          <w:rFonts w:eastAsiaTheme="minorHAnsi" w:cs="Arial"/>
          <w:szCs w:val="20"/>
          <w:lang w:eastAsia="en-US"/>
        </w:rPr>
      </w:pPr>
      <w:proofErr w:type="spellStart"/>
      <w:r w:rsidRPr="00A32D6C">
        <w:rPr>
          <w:rFonts w:eastAsiaTheme="minorHAnsi" w:cs="Arial"/>
          <w:szCs w:val="20"/>
          <w:lang w:eastAsia="en-US"/>
        </w:rPr>
        <w:t>Botteri</w:t>
      </w:r>
      <w:proofErr w:type="spellEnd"/>
      <w:r w:rsidRPr="00A32D6C">
        <w:rPr>
          <w:rFonts w:eastAsiaTheme="minorHAnsi" w:cs="Arial"/>
          <w:szCs w:val="20"/>
          <w:lang w:eastAsia="en-US"/>
        </w:rPr>
        <w:t xml:space="preserve"> E, Xu Z, </w:t>
      </w:r>
      <w:proofErr w:type="spellStart"/>
      <w:r w:rsidRPr="00A32D6C">
        <w:rPr>
          <w:rFonts w:eastAsiaTheme="minorHAnsi" w:cs="Arial"/>
          <w:szCs w:val="20"/>
          <w:lang w:eastAsia="en-US"/>
        </w:rPr>
        <w:t>Støer</w:t>
      </w:r>
      <w:proofErr w:type="spellEnd"/>
      <w:r w:rsidRPr="00A32D6C">
        <w:rPr>
          <w:rFonts w:eastAsiaTheme="minorHAnsi" w:cs="Arial"/>
          <w:szCs w:val="20"/>
          <w:lang w:eastAsia="en-US"/>
        </w:rPr>
        <w:t xml:space="preserve"> NC &amp; Mishra GD. (2022). Menopausal hormone therapy and melanoma risk in the Australian longitudinal study on women's health</w:t>
      </w:r>
      <w:r w:rsidRPr="00A32D6C">
        <w:rPr>
          <w:rFonts w:eastAsiaTheme="minorHAnsi" w:cs="Arial"/>
          <w:i/>
          <w:iCs/>
          <w:szCs w:val="20"/>
          <w:lang w:eastAsia="en-US"/>
        </w:rPr>
        <w:t xml:space="preserve">. </w:t>
      </w:r>
      <w:proofErr w:type="spellStart"/>
      <w:r w:rsidRPr="00A32D6C">
        <w:rPr>
          <w:rFonts w:eastAsiaTheme="minorHAnsi" w:cs="Arial"/>
          <w:i/>
          <w:iCs/>
          <w:szCs w:val="20"/>
          <w:lang w:eastAsia="en-US"/>
        </w:rPr>
        <w:t>Maturitas</w:t>
      </w:r>
      <w:proofErr w:type="spellEnd"/>
      <w:r w:rsidRPr="00A32D6C">
        <w:rPr>
          <w:rFonts w:eastAsiaTheme="minorHAnsi" w:cs="Arial"/>
          <w:szCs w:val="20"/>
          <w:lang w:eastAsia="en-US"/>
        </w:rPr>
        <w:t xml:space="preserve">; 160: 1-3. </w:t>
      </w:r>
      <w:hyperlink r:id="rId105" w:history="1">
        <w:r w:rsidRPr="00A32D6C">
          <w:rPr>
            <w:rFonts w:eastAsiaTheme="minorHAnsi" w:cs="Arial"/>
            <w:szCs w:val="20"/>
            <w:lang w:eastAsia="en-US"/>
          </w:rPr>
          <w:t>https://doi.org/10.1016/j.maturitas.2022.01.004</w:t>
        </w:r>
      </w:hyperlink>
      <w:r w:rsidR="00A049E4">
        <w:rPr>
          <w:rFonts w:eastAsiaTheme="minorHAnsi" w:cs="Arial"/>
          <w:szCs w:val="20"/>
          <w:lang w:eastAsia="en-US"/>
        </w:rPr>
        <w:t xml:space="preserve"> </w:t>
      </w:r>
    </w:p>
    <w:p w14:paraId="42C20B3E" w14:textId="77777777" w:rsidR="00B06975" w:rsidRPr="00A32D6C" w:rsidRDefault="00B06975" w:rsidP="003D5E6A">
      <w:pPr>
        <w:pStyle w:val="ListParagraph"/>
        <w:numPr>
          <w:ilvl w:val="0"/>
          <w:numId w:val="77"/>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Harris ML, Egan N, Forder PM, Bateson D, Sverdlov AL, Murphy VE &amp; Loxton D. (2022). Patterns of contraceptive use among young Australian women with chronic disease: Findings from a prospective cohort study. </w:t>
      </w:r>
      <w:r w:rsidRPr="00A32D6C">
        <w:rPr>
          <w:rFonts w:eastAsiaTheme="minorHAnsi" w:cs="Arial"/>
          <w:i/>
          <w:iCs/>
          <w:szCs w:val="20"/>
          <w:lang w:eastAsia="en-US"/>
        </w:rPr>
        <w:t>Reproductive Health</w:t>
      </w:r>
      <w:r w:rsidRPr="00A32D6C">
        <w:rPr>
          <w:rFonts w:eastAsiaTheme="minorHAnsi" w:cs="Arial"/>
          <w:szCs w:val="20"/>
          <w:lang w:eastAsia="en-US"/>
        </w:rPr>
        <w:t xml:space="preserve">; </w:t>
      </w:r>
      <w:hyperlink r:id="rId106" w:history="1">
        <w:r w:rsidRPr="00A32D6C">
          <w:rPr>
            <w:rFonts w:eastAsiaTheme="minorHAnsi" w:cs="Arial"/>
            <w:szCs w:val="20"/>
            <w:lang w:eastAsia="en-US"/>
          </w:rPr>
          <w:t>https://doi.org/10.1186/s12978-022-01413-x</w:t>
        </w:r>
      </w:hyperlink>
    </w:p>
    <w:p w14:paraId="17268A77" w14:textId="1EAEA294" w:rsidR="007375B3" w:rsidRPr="00A049E4" w:rsidRDefault="007375B3" w:rsidP="003D5E6A">
      <w:pPr>
        <w:pStyle w:val="ListParagraph"/>
        <w:numPr>
          <w:ilvl w:val="0"/>
          <w:numId w:val="77"/>
        </w:numPr>
        <w:rPr>
          <w:rFonts w:cs="Arial"/>
          <w:szCs w:val="20"/>
        </w:rPr>
      </w:pPr>
      <w:proofErr w:type="spellStart"/>
      <w:r w:rsidRPr="00A049E4">
        <w:rPr>
          <w:rFonts w:cs="Arial"/>
          <w:szCs w:val="20"/>
        </w:rPr>
        <w:lastRenderedPageBreak/>
        <w:t>Kicono</w:t>
      </w:r>
      <w:proofErr w:type="spellEnd"/>
      <w:r w:rsidRPr="00A049E4">
        <w:rPr>
          <w:rFonts w:cs="Arial"/>
          <w:szCs w:val="20"/>
        </w:rPr>
        <w:t xml:space="preserve"> S, </w:t>
      </w:r>
      <w:proofErr w:type="spellStart"/>
      <w:r w:rsidRPr="00A049E4">
        <w:rPr>
          <w:rFonts w:cs="Arial"/>
          <w:szCs w:val="20"/>
        </w:rPr>
        <w:t>Teede</w:t>
      </w:r>
      <w:proofErr w:type="spellEnd"/>
      <w:r w:rsidRPr="00A049E4">
        <w:rPr>
          <w:rFonts w:cs="Arial"/>
          <w:szCs w:val="20"/>
        </w:rPr>
        <w:t xml:space="preserve"> HJ, Earnest A, Loxton D &amp; </w:t>
      </w:r>
      <w:proofErr w:type="spellStart"/>
      <w:r w:rsidRPr="00A049E4">
        <w:rPr>
          <w:rFonts w:cs="Arial"/>
          <w:szCs w:val="20"/>
        </w:rPr>
        <w:t>Joham</w:t>
      </w:r>
      <w:proofErr w:type="spellEnd"/>
      <w:r w:rsidRPr="00A049E4">
        <w:rPr>
          <w:rFonts w:cs="Arial"/>
          <w:szCs w:val="20"/>
        </w:rPr>
        <w:t xml:space="preserve"> AE. (2022). Menstrual cycle regularity as a predictor for heart disease and diabetes: Findings from a large population-based longitudinal cohort study. Clinical Endocrinology, 96(4); 605-616.  </w:t>
      </w:r>
      <w:hyperlink r:id="rId107" w:history="1">
        <w:r w:rsidRPr="00A049E4">
          <w:rPr>
            <w:rStyle w:val="Hyperlink"/>
            <w:rFonts w:cs="Arial"/>
            <w:szCs w:val="20"/>
          </w:rPr>
          <w:t>https://doi.org/10.1111/cen.14640</w:t>
        </w:r>
      </w:hyperlink>
      <w:r w:rsidRPr="00A049E4">
        <w:rPr>
          <w:rFonts w:cs="Arial"/>
          <w:szCs w:val="20"/>
        </w:rPr>
        <w:t xml:space="preserve"> </w:t>
      </w:r>
    </w:p>
    <w:p w14:paraId="2C9FD41E" w14:textId="77777777" w:rsidR="007375B3" w:rsidRPr="007375B3" w:rsidRDefault="007375B3" w:rsidP="00A049E4">
      <w:pPr>
        <w:pStyle w:val="ListParagraph"/>
        <w:rPr>
          <w:rFonts w:cs="Arial"/>
          <w:szCs w:val="20"/>
          <w:highlight w:val="yellow"/>
        </w:rPr>
      </w:pPr>
    </w:p>
    <w:p w14:paraId="293627A3" w14:textId="6B055D10" w:rsidR="00B06975" w:rsidRPr="00A32D6C" w:rsidRDefault="00B06975" w:rsidP="003D5E6A">
      <w:pPr>
        <w:pStyle w:val="ListParagraph"/>
        <w:numPr>
          <w:ilvl w:val="0"/>
          <w:numId w:val="77"/>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Liang C, Chung H-F, Dobson A, Hayashi K, van der Schouw Y, </w:t>
      </w:r>
      <w:proofErr w:type="spellStart"/>
      <w:r w:rsidRPr="00A32D6C">
        <w:rPr>
          <w:rFonts w:eastAsiaTheme="minorHAnsi" w:cs="Arial"/>
          <w:szCs w:val="20"/>
          <w:lang w:eastAsia="en-US"/>
        </w:rPr>
        <w:t>Kuh</w:t>
      </w:r>
      <w:proofErr w:type="spellEnd"/>
      <w:r w:rsidRPr="00A32D6C">
        <w:rPr>
          <w:rFonts w:eastAsiaTheme="minorHAnsi" w:cs="Arial"/>
          <w:szCs w:val="20"/>
          <w:lang w:eastAsia="en-US"/>
        </w:rPr>
        <w:t xml:space="preserve"> D, Hardy R, Derby CA, El </w:t>
      </w:r>
      <w:proofErr w:type="spellStart"/>
      <w:r w:rsidRPr="00A32D6C">
        <w:rPr>
          <w:rFonts w:eastAsiaTheme="minorHAnsi" w:cs="Arial"/>
          <w:szCs w:val="20"/>
          <w:lang w:eastAsia="en-US"/>
        </w:rPr>
        <w:t>Khoudary</w:t>
      </w:r>
      <w:proofErr w:type="spellEnd"/>
      <w:r w:rsidRPr="00A32D6C">
        <w:rPr>
          <w:rFonts w:eastAsiaTheme="minorHAnsi" w:cs="Arial"/>
          <w:szCs w:val="20"/>
          <w:lang w:eastAsia="en-US"/>
        </w:rPr>
        <w:t xml:space="preserve"> SR, Janssen I, </w:t>
      </w:r>
      <w:proofErr w:type="spellStart"/>
      <w:r w:rsidRPr="00A32D6C">
        <w:rPr>
          <w:rFonts w:eastAsiaTheme="minorHAnsi" w:cs="Arial"/>
          <w:szCs w:val="20"/>
          <w:lang w:eastAsia="en-US"/>
        </w:rPr>
        <w:t>Sandin</w:t>
      </w:r>
      <w:proofErr w:type="spellEnd"/>
      <w:r w:rsidRPr="00A32D6C">
        <w:rPr>
          <w:rFonts w:eastAsiaTheme="minorHAnsi" w:cs="Arial"/>
          <w:szCs w:val="20"/>
          <w:lang w:eastAsia="en-US"/>
        </w:rPr>
        <w:t xml:space="preserve"> S, </w:t>
      </w:r>
      <w:proofErr w:type="spellStart"/>
      <w:r w:rsidRPr="00A32D6C">
        <w:rPr>
          <w:rFonts w:eastAsiaTheme="minorHAnsi" w:cs="Arial"/>
          <w:szCs w:val="20"/>
          <w:lang w:eastAsia="en-US"/>
        </w:rPr>
        <w:t>Weiderpass</w:t>
      </w:r>
      <w:proofErr w:type="spellEnd"/>
      <w:r w:rsidRPr="00A32D6C">
        <w:rPr>
          <w:rFonts w:eastAsiaTheme="minorHAnsi" w:cs="Arial"/>
          <w:szCs w:val="20"/>
          <w:lang w:eastAsia="en-US"/>
        </w:rPr>
        <w:t xml:space="preserve"> E &amp; </w:t>
      </w:r>
      <w:proofErr w:type="spellStart"/>
      <w:r w:rsidRPr="00A32D6C">
        <w:rPr>
          <w:rFonts w:eastAsiaTheme="minorHAnsi" w:cs="Arial"/>
          <w:szCs w:val="20"/>
          <w:lang w:eastAsia="en-US"/>
        </w:rPr>
        <w:t>Mishr</w:t>
      </w:r>
      <w:proofErr w:type="spellEnd"/>
      <w:r w:rsidRPr="00A32D6C">
        <w:rPr>
          <w:rFonts w:eastAsiaTheme="minorHAnsi" w:cs="Arial"/>
          <w:szCs w:val="20"/>
          <w:lang w:eastAsia="en-US"/>
        </w:rPr>
        <w:t xml:space="preserve"> GD. (2022). Infertility, recurrent pregnancy loss, and risk of stroke: Pooled analysis of individual patient data of 618,851 women. </w:t>
      </w:r>
      <w:r w:rsidRPr="00A32D6C">
        <w:rPr>
          <w:rFonts w:eastAsiaTheme="minorHAnsi" w:cs="Arial"/>
          <w:i/>
          <w:iCs/>
          <w:szCs w:val="20"/>
          <w:lang w:eastAsia="en-US"/>
        </w:rPr>
        <w:t>BMJ</w:t>
      </w:r>
      <w:r w:rsidRPr="00A32D6C">
        <w:rPr>
          <w:rFonts w:eastAsiaTheme="minorHAnsi" w:cs="Arial"/>
          <w:szCs w:val="20"/>
          <w:lang w:eastAsia="en-US"/>
        </w:rPr>
        <w:t xml:space="preserve">; 377: e070603. </w:t>
      </w:r>
      <w:hyperlink r:id="rId108" w:history="1">
        <w:r w:rsidRPr="00A32D6C">
          <w:rPr>
            <w:rFonts w:eastAsiaTheme="minorHAnsi" w:cs="Arial"/>
            <w:szCs w:val="20"/>
            <w:lang w:eastAsia="en-US"/>
          </w:rPr>
          <w:t>https://doi.org/10.1136/bmj-2022-070603</w:t>
        </w:r>
      </w:hyperlink>
    </w:p>
    <w:p w14:paraId="1D9B5116" w14:textId="77777777" w:rsidR="00B06975" w:rsidRPr="00A32D6C" w:rsidRDefault="00B06975" w:rsidP="003D5E6A">
      <w:pPr>
        <w:pStyle w:val="ListParagraph"/>
        <w:numPr>
          <w:ilvl w:val="0"/>
          <w:numId w:val="77"/>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Magnus MC, Hockey RL, </w:t>
      </w:r>
      <w:proofErr w:type="spellStart"/>
      <w:r w:rsidRPr="00A32D6C">
        <w:rPr>
          <w:rFonts w:eastAsiaTheme="minorHAnsi" w:cs="Arial"/>
          <w:szCs w:val="20"/>
          <w:lang w:eastAsia="en-US"/>
        </w:rPr>
        <w:t>Haberg</w:t>
      </w:r>
      <w:proofErr w:type="spellEnd"/>
      <w:r w:rsidRPr="00A32D6C">
        <w:rPr>
          <w:rFonts w:eastAsiaTheme="minorHAnsi" w:cs="Arial"/>
          <w:szCs w:val="20"/>
          <w:lang w:eastAsia="en-US"/>
        </w:rPr>
        <w:t xml:space="preserve"> SE &amp; Mishra GD. (2022) Pre-pregnancy lifestyle characteristics and risk of miscarriage: The Australian Longitudinal Study on Women’s Health. </w:t>
      </w:r>
      <w:r w:rsidRPr="00A32D6C">
        <w:rPr>
          <w:rFonts w:eastAsiaTheme="minorHAnsi" w:cs="Arial"/>
          <w:i/>
          <w:iCs/>
          <w:szCs w:val="20"/>
          <w:lang w:eastAsia="en-US"/>
        </w:rPr>
        <w:t>BMC Pregnancy and Childbirth</w:t>
      </w:r>
      <w:r w:rsidRPr="00A32D6C">
        <w:rPr>
          <w:rFonts w:eastAsiaTheme="minorHAnsi" w:cs="Arial"/>
          <w:szCs w:val="20"/>
          <w:lang w:eastAsia="en-US"/>
        </w:rPr>
        <w:t xml:space="preserve">; 22:169. </w:t>
      </w:r>
      <w:hyperlink r:id="rId109" w:history="1">
        <w:r w:rsidRPr="00A32D6C">
          <w:rPr>
            <w:rFonts w:eastAsiaTheme="minorHAnsi" w:cs="Arial"/>
            <w:szCs w:val="20"/>
            <w:lang w:eastAsia="en-US"/>
          </w:rPr>
          <w:t>https://doi.org/10.1186/s12884-022-04482-9</w:t>
        </w:r>
      </w:hyperlink>
    </w:p>
    <w:p w14:paraId="6A828DA9" w14:textId="77777777" w:rsidR="00B06975" w:rsidRPr="00A32D6C" w:rsidRDefault="00B06975" w:rsidP="003D5E6A">
      <w:pPr>
        <w:pStyle w:val="ListParagraph"/>
        <w:numPr>
          <w:ilvl w:val="0"/>
          <w:numId w:val="77"/>
        </w:numPr>
        <w:spacing w:before="0" w:after="160"/>
        <w:ind w:left="714" w:hanging="357"/>
        <w:contextualSpacing w:val="0"/>
        <w:jc w:val="left"/>
        <w:rPr>
          <w:rFonts w:eastAsiaTheme="minorHAnsi" w:cs="Arial"/>
          <w:szCs w:val="20"/>
          <w:lang w:eastAsia="en-US"/>
        </w:rPr>
      </w:pPr>
      <w:bookmarkStart w:id="1160" w:name="_Hlk118372656"/>
      <w:r w:rsidRPr="00A32D6C">
        <w:rPr>
          <w:rFonts w:eastAsiaTheme="minorHAnsi" w:cs="Arial"/>
          <w:szCs w:val="20"/>
          <w:lang w:eastAsia="en-US"/>
        </w:rPr>
        <w:t xml:space="preserve">Mishra GD, Baneshi MR, Dobson AJ &amp; Tooth LR. (2022). Maternal factors associated with interbirth intervals in Australia: Results from a population-based longitudinal study. </w:t>
      </w:r>
      <w:r w:rsidRPr="00A32D6C">
        <w:rPr>
          <w:rFonts w:eastAsiaTheme="minorHAnsi" w:cs="Arial"/>
          <w:i/>
          <w:iCs/>
          <w:szCs w:val="20"/>
          <w:lang w:eastAsia="en-US"/>
        </w:rPr>
        <w:t>Birth</w:t>
      </w:r>
      <w:r w:rsidRPr="00A32D6C">
        <w:rPr>
          <w:rFonts w:eastAsiaTheme="minorHAnsi" w:cs="Arial"/>
          <w:szCs w:val="20"/>
          <w:lang w:eastAsia="en-US"/>
        </w:rPr>
        <w:t xml:space="preserve">; </w:t>
      </w:r>
      <w:hyperlink r:id="rId110" w:history="1">
        <w:r w:rsidRPr="00A32D6C">
          <w:rPr>
            <w:rFonts w:eastAsiaTheme="minorHAnsi" w:cs="Arial"/>
            <w:szCs w:val="20"/>
            <w:lang w:eastAsia="en-US"/>
          </w:rPr>
          <w:t>https://doi.org/10.1111/birt.12638</w:t>
        </w:r>
      </w:hyperlink>
      <w:r w:rsidRPr="00A32D6C">
        <w:rPr>
          <w:rFonts w:eastAsiaTheme="minorHAnsi" w:cs="Arial"/>
          <w:szCs w:val="20"/>
          <w:lang w:eastAsia="en-US"/>
        </w:rPr>
        <w:t xml:space="preserve"> </w:t>
      </w:r>
    </w:p>
    <w:bookmarkEnd w:id="1160"/>
    <w:p w14:paraId="2D816FFA" w14:textId="77777777" w:rsidR="00B06975" w:rsidRPr="00A32D6C" w:rsidRDefault="00B06975" w:rsidP="003D5E6A">
      <w:pPr>
        <w:pStyle w:val="ListParagraph"/>
        <w:numPr>
          <w:ilvl w:val="0"/>
          <w:numId w:val="77"/>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Mishra SR, Waller M, Chung H-F &amp; Mishra GD. (2022). Association between reproductive lifespan and risk of incident type 2 diabetes and hypertension in postmenopausal women: Findings from a 20-year prospective study. </w:t>
      </w:r>
      <w:proofErr w:type="spellStart"/>
      <w:r w:rsidRPr="00A32D6C">
        <w:rPr>
          <w:rFonts w:eastAsiaTheme="minorHAnsi" w:cs="Arial"/>
          <w:i/>
          <w:iCs/>
          <w:szCs w:val="20"/>
          <w:lang w:eastAsia="en-US"/>
        </w:rPr>
        <w:t>Maturitas</w:t>
      </w:r>
      <w:proofErr w:type="spellEnd"/>
      <w:r w:rsidRPr="00A32D6C">
        <w:rPr>
          <w:rFonts w:eastAsiaTheme="minorHAnsi" w:cs="Arial"/>
          <w:szCs w:val="20"/>
          <w:lang w:eastAsia="en-US"/>
        </w:rPr>
        <w:t xml:space="preserve">; 159: 52-61. </w:t>
      </w:r>
      <w:hyperlink r:id="rId111" w:history="1">
        <w:r w:rsidRPr="00A32D6C">
          <w:rPr>
            <w:rFonts w:eastAsiaTheme="minorHAnsi" w:cs="Arial"/>
            <w:szCs w:val="20"/>
            <w:lang w:eastAsia="en-US"/>
          </w:rPr>
          <w:t>https://doi.org/10.1016/j.maturitas.2022.01.001</w:t>
        </w:r>
      </w:hyperlink>
    </w:p>
    <w:p w14:paraId="4E036149" w14:textId="0457BEDE" w:rsidR="00ED60E3" w:rsidRDefault="00ED60E3" w:rsidP="003D5E6A">
      <w:pPr>
        <w:pStyle w:val="ListParagraph"/>
        <w:numPr>
          <w:ilvl w:val="0"/>
          <w:numId w:val="77"/>
        </w:numPr>
        <w:spacing w:before="0" w:after="160"/>
        <w:ind w:left="714" w:hanging="357"/>
        <w:contextualSpacing w:val="0"/>
        <w:jc w:val="left"/>
        <w:rPr>
          <w:rFonts w:eastAsiaTheme="minorHAnsi" w:cs="Arial"/>
          <w:szCs w:val="20"/>
          <w:lang w:eastAsia="en-US"/>
        </w:rPr>
      </w:pPr>
      <w:bookmarkStart w:id="1161" w:name="_Hlk118372684"/>
      <w:proofErr w:type="spellStart"/>
      <w:r>
        <w:t>Tapp</w:t>
      </w:r>
      <w:proofErr w:type="spellEnd"/>
      <w:r>
        <w:t xml:space="preserve"> C, Mishra GD, Dobson AJ, Moss KM &amp; Tooth LR. (2022).</w:t>
      </w:r>
      <w:r w:rsidRPr="00850F80">
        <w:rPr>
          <w:b/>
          <w:bCs/>
        </w:rPr>
        <w:t xml:space="preserve"> </w:t>
      </w:r>
      <w:r w:rsidRPr="00ED60E3">
        <w:t xml:space="preserve">History of pre-pregnancy maternal symptoms of binge eating and childhood </w:t>
      </w:r>
      <w:proofErr w:type="spellStart"/>
      <w:r w:rsidRPr="00ED60E3">
        <w:t>behavioral</w:t>
      </w:r>
      <w:proofErr w:type="spellEnd"/>
      <w:r w:rsidRPr="00ED60E3">
        <w:t xml:space="preserve"> problems in girls and boys. </w:t>
      </w:r>
      <w:r>
        <w:t>J</w:t>
      </w:r>
      <w:r w:rsidRPr="00850F80">
        <w:rPr>
          <w:i/>
          <w:iCs/>
        </w:rPr>
        <w:t>ournal of Eating Disorders</w:t>
      </w:r>
      <w:r>
        <w:t xml:space="preserve">, 1-10 </w:t>
      </w:r>
      <w:hyperlink r:id="rId112" w:history="1">
        <w:r w:rsidRPr="00F96BBF">
          <w:rPr>
            <w:rStyle w:val="Hyperlink"/>
          </w:rPr>
          <w:t>https://doi.org/10.1002/eat.23783</w:t>
        </w:r>
      </w:hyperlink>
    </w:p>
    <w:bookmarkEnd w:id="1161"/>
    <w:p w14:paraId="59B18CA8" w14:textId="535DBC08" w:rsidR="00B06975" w:rsidRPr="00A32D6C" w:rsidRDefault="00B06975" w:rsidP="003D5E6A">
      <w:pPr>
        <w:pStyle w:val="ListParagraph"/>
        <w:numPr>
          <w:ilvl w:val="0"/>
          <w:numId w:val="77"/>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Wilson LF, Dobson AJ, Doust J &amp; Mishra GD. (2022). Socioeconomic, behavioural and health factors associated with chlamydia testing in sexually active young women: An Australian observational cohort study. </w:t>
      </w:r>
      <w:r w:rsidRPr="00A32D6C">
        <w:rPr>
          <w:rFonts w:eastAsiaTheme="minorHAnsi" w:cs="Arial"/>
          <w:i/>
          <w:iCs/>
          <w:szCs w:val="20"/>
          <w:lang w:eastAsia="en-US"/>
        </w:rPr>
        <w:t>Sexual Health</w:t>
      </w:r>
      <w:r w:rsidRPr="00A32D6C">
        <w:rPr>
          <w:rFonts w:eastAsiaTheme="minorHAnsi" w:cs="Arial"/>
          <w:szCs w:val="20"/>
          <w:lang w:eastAsia="en-US"/>
        </w:rPr>
        <w:t xml:space="preserve">; </w:t>
      </w:r>
      <w:hyperlink r:id="rId113" w:history="1">
        <w:r w:rsidRPr="00A32D6C">
          <w:rPr>
            <w:rFonts w:eastAsiaTheme="minorHAnsi" w:cs="Arial"/>
            <w:szCs w:val="20"/>
            <w:lang w:eastAsia="en-US"/>
          </w:rPr>
          <w:t>https://doi.org/10.1071/SH21230</w:t>
        </w:r>
      </w:hyperlink>
      <w:r w:rsidRPr="00A32D6C">
        <w:rPr>
          <w:rFonts w:eastAsiaTheme="minorHAnsi" w:cs="Arial"/>
          <w:szCs w:val="20"/>
          <w:lang w:eastAsia="en-US"/>
        </w:rPr>
        <w:t xml:space="preserve"> </w:t>
      </w:r>
    </w:p>
    <w:p w14:paraId="11C7D523" w14:textId="77777777" w:rsidR="00B06975" w:rsidRPr="00A32D6C" w:rsidRDefault="00B06975" w:rsidP="00B06975">
      <w:pPr>
        <w:rPr>
          <w:rFonts w:cs="Arial"/>
          <w:b/>
          <w:bCs/>
          <w:szCs w:val="20"/>
        </w:rPr>
      </w:pPr>
      <w:r w:rsidRPr="00A32D6C">
        <w:rPr>
          <w:rFonts w:cs="Arial"/>
          <w:b/>
          <w:bCs/>
          <w:szCs w:val="20"/>
        </w:rPr>
        <w:t>Mental health</w:t>
      </w:r>
    </w:p>
    <w:p w14:paraId="25F92470" w14:textId="77777777" w:rsidR="00ED60E3" w:rsidRDefault="00ED60E3" w:rsidP="003D5E6A">
      <w:pPr>
        <w:pStyle w:val="ListParagraph"/>
        <w:numPr>
          <w:ilvl w:val="0"/>
          <w:numId w:val="83"/>
        </w:numPr>
        <w:spacing w:before="0" w:after="160"/>
        <w:contextualSpacing w:val="0"/>
        <w:jc w:val="left"/>
        <w:rPr>
          <w:rFonts w:eastAsiaTheme="minorHAnsi" w:cs="Arial"/>
          <w:szCs w:val="20"/>
          <w:lang w:eastAsia="en-US"/>
        </w:rPr>
      </w:pPr>
      <w:r>
        <w:t xml:space="preserve">Bagade T, Thapaliya K, Breuer E, Kamath R, Li Z, Sullivan E &amp; Majeed T. (2022). </w:t>
      </w:r>
      <w:r w:rsidRPr="00813201">
        <w:t>Investigating the association between infertility and psychological distress using Australian Longitudinal Study on Women's Health (ALSWH)</w:t>
      </w:r>
      <w:r w:rsidRPr="00ED60E3">
        <w:t>.</w:t>
      </w:r>
      <w:r>
        <w:t xml:space="preserve"> </w:t>
      </w:r>
      <w:r w:rsidRPr="00850F80">
        <w:rPr>
          <w:i/>
          <w:iCs/>
        </w:rPr>
        <w:t>Scientific Reports</w:t>
      </w:r>
      <w:r>
        <w:t xml:space="preserve">, 12, 10808.  </w:t>
      </w:r>
      <w:hyperlink r:id="rId114" w:history="1">
        <w:r w:rsidRPr="00F96BBF">
          <w:rPr>
            <w:rStyle w:val="Hyperlink"/>
          </w:rPr>
          <w:t>https://doi.org/10.1038/s41598-022-15064-2</w:t>
        </w:r>
      </w:hyperlink>
    </w:p>
    <w:p w14:paraId="3A4847A7" w14:textId="325C9BA4" w:rsidR="00B06975" w:rsidRPr="00A32D6C" w:rsidRDefault="00B06975" w:rsidP="003D5E6A">
      <w:pPr>
        <w:pStyle w:val="ListParagraph"/>
        <w:numPr>
          <w:ilvl w:val="0"/>
          <w:numId w:val="83"/>
        </w:numPr>
        <w:spacing w:before="0" w:after="160"/>
        <w:ind w:left="714" w:hanging="357"/>
        <w:contextualSpacing w:val="0"/>
        <w:jc w:val="left"/>
        <w:rPr>
          <w:rFonts w:eastAsiaTheme="minorHAnsi" w:cs="Arial"/>
          <w:szCs w:val="20"/>
          <w:lang w:eastAsia="en-US"/>
        </w:rPr>
      </w:pPr>
      <w:bookmarkStart w:id="1162" w:name="_Hlk118372712"/>
      <w:r w:rsidRPr="00A32D6C">
        <w:rPr>
          <w:rFonts w:eastAsiaTheme="minorHAnsi" w:cs="Arial"/>
          <w:szCs w:val="20"/>
          <w:lang w:eastAsia="en-US"/>
        </w:rPr>
        <w:t>Campbell A, Perales F, Hughes TL, Everett BG &amp; Baxter J.</w:t>
      </w:r>
      <w:r w:rsidR="00841EDE">
        <w:rPr>
          <w:rFonts w:eastAsiaTheme="minorHAnsi" w:cs="Arial"/>
          <w:szCs w:val="20"/>
          <w:lang w:eastAsia="en-US"/>
        </w:rPr>
        <w:t xml:space="preserve"> </w:t>
      </w:r>
      <w:r w:rsidRPr="00A32D6C">
        <w:rPr>
          <w:rFonts w:eastAsiaTheme="minorHAnsi" w:cs="Arial"/>
          <w:szCs w:val="20"/>
          <w:lang w:eastAsia="en-US"/>
        </w:rPr>
        <w:t xml:space="preserve">(2022). Sexual fluidity and psychological distress: What </w:t>
      </w:r>
      <w:proofErr w:type="gramStart"/>
      <w:r w:rsidRPr="00A32D6C">
        <w:rPr>
          <w:rFonts w:eastAsiaTheme="minorHAnsi" w:cs="Arial"/>
          <w:szCs w:val="20"/>
          <w:lang w:eastAsia="en-US"/>
        </w:rPr>
        <w:t>happens</w:t>
      </w:r>
      <w:proofErr w:type="gramEnd"/>
      <w:r w:rsidRPr="00A32D6C">
        <w:rPr>
          <w:rFonts w:eastAsiaTheme="minorHAnsi" w:cs="Arial"/>
          <w:szCs w:val="20"/>
          <w:lang w:eastAsia="en-US"/>
        </w:rPr>
        <w:t xml:space="preserve"> when young women’s sexual identities change? </w:t>
      </w:r>
      <w:r w:rsidRPr="00A32D6C">
        <w:rPr>
          <w:rFonts w:eastAsiaTheme="minorHAnsi" w:cs="Arial"/>
          <w:i/>
          <w:iCs/>
          <w:szCs w:val="20"/>
          <w:lang w:eastAsia="en-US"/>
        </w:rPr>
        <w:t xml:space="preserve">Journal of Health and Social </w:t>
      </w:r>
      <w:proofErr w:type="spellStart"/>
      <w:r w:rsidRPr="00A32D6C">
        <w:rPr>
          <w:rFonts w:eastAsiaTheme="minorHAnsi" w:cs="Arial"/>
          <w:i/>
          <w:iCs/>
          <w:szCs w:val="20"/>
          <w:lang w:eastAsia="en-US"/>
        </w:rPr>
        <w:t>Behavior</w:t>
      </w:r>
      <w:proofErr w:type="spellEnd"/>
      <w:r w:rsidRPr="00A32D6C">
        <w:rPr>
          <w:rFonts w:eastAsiaTheme="minorHAnsi" w:cs="Arial"/>
          <w:szCs w:val="20"/>
          <w:lang w:eastAsia="en-US"/>
        </w:rPr>
        <w:t xml:space="preserve">; </w:t>
      </w:r>
      <w:hyperlink r:id="rId115" w:history="1">
        <w:r w:rsidRPr="00A32D6C">
          <w:rPr>
            <w:rFonts w:eastAsiaTheme="minorHAnsi" w:cs="Arial"/>
            <w:color w:val="0000FF" w:themeColor="hyperlink"/>
            <w:szCs w:val="20"/>
            <w:u w:val="single"/>
            <w:lang w:eastAsia="en-US"/>
          </w:rPr>
          <w:t>https://doi.org/10.1177/00221465221086335</w:t>
        </w:r>
      </w:hyperlink>
      <w:r w:rsidRPr="00A32D6C">
        <w:rPr>
          <w:rFonts w:eastAsiaTheme="minorHAnsi" w:cs="Arial"/>
          <w:szCs w:val="20"/>
          <w:lang w:eastAsia="en-US"/>
        </w:rPr>
        <w:t xml:space="preserve"> </w:t>
      </w:r>
    </w:p>
    <w:bookmarkEnd w:id="1162"/>
    <w:p w14:paraId="01F1A465" w14:textId="77777777" w:rsidR="00B06975" w:rsidRPr="00A32D6C" w:rsidRDefault="00B06975" w:rsidP="003D5E6A">
      <w:pPr>
        <w:pStyle w:val="ListParagraph"/>
        <w:numPr>
          <w:ilvl w:val="0"/>
          <w:numId w:val="83"/>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Dharmayani PNA, Mishra GD &amp; Mihrshahi S. (2022). Fruit and vegetable consumption and depression symptoms in young women: Results from 1973 to 1978 cohort of the Australian </w:t>
      </w:r>
      <w:r w:rsidRPr="00A32D6C">
        <w:rPr>
          <w:rFonts w:eastAsiaTheme="minorHAnsi" w:cs="Arial"/>
          <w:szCs w:val="20"/>
          <w:lang w:eastAsia="en-US"/>
        </w:rPr>
        <w:lastRenderedPageBreak/>
        <w:t xml:space="preserve">Longitudinal Study on Women's Health. </w:t>
      </w:r>
      <w:r w:rsidRPr="00A32D6C">
        <w:rPr>
          <w:rFonts w:eastAsiaTheme="minorHAnsi" w:cs="Arial"/>
          <w:i/>
          <w:iCs/>
          <w:szCs w:val="20"/>
          <w:lang w:eastAsia="en-US"/>
        </w:rPr>
        <w:t>European Journal of Nutrition</w:t>
      </w:r>
      <w:r w:rsidRPr="00A32D6C">
        <w:rPr>
          <w:rFonts w:eastAsiaTheme="minorHAnsi" w:cs="Arial"/>
          <w:szCs w:val="20"/>
          <w:lang w:eastAsia="en-US"/>
        </w:rPr>
        <w:t xml:space="preserve">; </w:t>
      </w:r>
      <w:hyperlink r:id="rId116" w:history="1">
        <w:r w:rsidRPr="00A32D6C">
          <w:rPr>
            <w:rFonts w:eastAsiaTheme="minorHAnsi" w:cs="Arial"/>
            <w:color w:val="0000FF" w:themeColor="hyperlink"/>
            <w:szCs w:val="20"/>
            <w:u w:val="single"/>
            <w:lang w:eastAsia="en-US"/>
          </w:rPr>
          <w:t>https://doi.org/10.1007/s00394-022-02926-8</w:t>
        </w:r>
      </w:hyperlink>
      <w:r w:rsidRPr="00A32D6C">
        <w:rPr>
          <w:rFonts w:eastAsiaTheme="minorHAnsi" w:cs="Arial"/>
          <w:szCs w:val="20"/>
          <w:lang w:eastAsia="en-US"/>
        </w:rPr>
        <w:t xml:space="preserve"> </w:t>
      </w:r>
    </w:p>
    <w:p w14:paraId="2E3C5830" w14:textId="77777777" w:rsidR="00B06975" w:rsidRPr="00A32D6C" w:rsidRDefault="00B06975" w:rsidP="003D5E6A">
      <w:pPr>
        <w:pStyle w:val="ListParagraph"/>
        <w:numPr>
          <w:ilvl w:val="0"/>
          <w:numId w:val="83"/>
        </w:numPr>
        <w:spacing w:before="0" w:after="160"/>
        <w:ind w:left="714" w:hanging="357"/>
        <w:contextualSpacing w:val="0"/>
        <w:jc w:val="left"/>
        <w:rPr>
          <w:rFonts w:eastAsiaTheme="minorHAnsi" w:cs="Arial"/>
          <w:szCs w:val="20"/>
          <w:lang w:eastAsia="en-US"/>
        </w:rPr>
      </w:pPr>
      <w:bookmarkStart w:id="1163" w:name="_Hlk118372731"/>
      <w:r w:rsidRPr="00A32D6C">
        <w:rPr>
          <w:rFonts w:eastAsiaTheme="minorHAnsi" w:cs="Arial"/>
          <w:szCs w:val="20"/>
          <w:lang w:eastAsia="en-US"/>
        </w:rPr>
        <w:t xml:space="preserve">Dolja-Gore X, Loxton D, </w:t>
      </w:r>
      <w:proofErr w:type="spellStart"/>
      <w:r w:rsidRPr="00A32D6C">
        <w:rPr>
          <w:rFonts w:eastAsiaTheme="minorHAnsi" w:cs="Arial"/>
          <w:szCs w:val="20"/>
          <w:lang w:eastAsia="en-US"/>
        </w:rPr>
        <w:t>D'Este</w:t>
      </w:r>
      <w:proofErr w:type="spellEnd"/>
      <w:r w:rsidRPr="00A32D6C">
        <w:rPr>
          <w:rFonts w:eastAsiaTheme="minorHAnsi" w:cs="Arial"/>
          <w:szCs w:val="20"/>
          <w:lang w:eastAsia="en-US"/>
        </w:rPr>
        <w:t xml:space="preserve"> C &amp; Byles JE. (2022). Transitions in health service use among women with poor mental health: A 7-year follow-up. </w:t>
      </w:r>
      <w:r w:rsidRPr="00A32D6C">
        <w:rPr>
          <w:rFonts w:eastAsiaTheme="minorHAnsi" w:cs="Arial"/>
          <w:i/>
          <w:iCs/>
          <w:szCs w:val="20"/>
          <w:lang w:eastAsia="en-US"/>
        </w:rPr>
        <w:t>Family Medicine and Community Health</w:t>
      </w:r>
      <w:r w:rsidRPr="00A32D6C">
        <w:rPr>
          <w:rFonts w:eastAsiaTheme="minorHAnsi" w:cs="Arial"/>
          <w:szCs w:val="20"/>
          <w:lang w:eastAsia="en-US"/>
        </w:rPr>
        <w:t>; 10</w:t>
      </w:r>
      <w:r w:rsidRPr="00A32D6C">
        <w:rPr>
          <w:rFonts w:eastAsiaTheme="minorHAnsi" w:cs="Arial"/>
          <w:szCs w:val="20"/>
          <w:lang w:eastAsia="en-US"/>
        </w:rPr>
        <w:tab/>
        <w:t xml:space="preserve">2: e001481. </w:t>
      </w:r>
      <w:hyperlink r:id="rId117" w:history="1">
        <w:r w:rsidRPr="00A32D6C">
          <w:rPr>
            <w:rFonts w:eastAsiaTheme="minorHAnsi" w:cs="Arial"/>
            <w:color w:val="0000FF" w:themeColor="hyperlink"/>
            <w:szCs w:val="20"/>
            <w:u w:val="single"/>
            <w:lang w:eastAsia="en-US"/>
          </w:rPr>
          <w:t>http://dx.doi.org/10.1136/fmch-2021-001481</w:t>
        </w:r>
      </w:hyperlink>
      <w:r w:rsidRPr="00A32D6C">
        <w:rPr>
          <w:rFonts w:eastAsiaTheme="minorHAnsi" w:cs="Arial"/>
          <w:szCs w:val="20"/>
          <w:lang w:eastAsia="en-US"/>
        </w:rPr>
        <w:t xml:space="preserve"> </w:t>
      </w:r>
    </w:p>
    <w:p w14:paraId="5A5EB4F4" w14:textId="03210CA5" w:rsidR="00665A3E" w:rsidRPr="00665A3E" w:rsidRDefault="00665A3E" w:rsidP="003D5E6A">
      <w:pPr>
        <w:pStyle w:val="ListParagraph"/>
        <w:numPr>
          <w:ilvl w:val="0"/>
          <w:numId w:val="83"/>
        </w:numPr>
        <w:spacing w:after="160"/>
        <w:ind w:left="714" w:hanging="357"/>
        <w:contextualSpacing w:val="0"/>
        <w:rPr>
          <w:rFonts w:cs="Arial"/>
          <w:szCs w:val="20"/>
        </w:rPr>
      </w:pPr>
      <w:bookmarkStart w:id="1164" w:name="_Hlk118372752"/>
      <w:bookmarkEnd w:id="1163"/>
      <w:r w:rsidRPr="00665A3E">
        <w:rPr>
          <w:rFonts w:cs="Arial"/>
          <w:szCs w:val="20"/>
        </w:rPr>
        <w:t xml:space="preserve">Freak-Poli R, Ryan J, Tran T, Owen A, McHugh Power J, Berk M, Stocks N, Gonzalez-Chica D, </w:t>
      </w:r>
      <w:proofErr w:type="spellStart"/>
      <w:r w:rsidRPr="00665A3E">
        <w:rPr>
          <w:rFonts w:cs="Arial"/>
          <w:szCs w:val="20"/>
        </w:rPr>
        <w:t>Lowthian</w:t>
      </w:r>
      <w:proofErr w:type="spellEnd"/>
      <w:r w:rsidRPr="00665A3E">
        <w:rPr>
          <w:rFonts w:cs="Arial"/>
          <w:szCs w:val="20"/>
        </w:rPr>
        <w:t xml:space="preserve"> J, Fisher J &amp; Byles J. (2022). Social isolation, social support and loneliness as independent concepts, and their relationship with health-related Quality of Life among older women. </w:t>
      </w:r>
      <w:r w:rsidRPr="00665A3E">
        <w:rPr>
          <w:rFonts w:cs="Arial"/>
          <w:i/>
          <w:iCs/>
          <w:szCs w:val="20"/>
        </w:rPr>
        <w:t>Aging and Mental Health</w:t>
      </w:r>
      <w:r w:rsidRPr="00665A3E">
        <w:rPr>
          <w:rFonts w:cs="Arial"/>
          <w:szCs w:val="20"/>
        </w:rPr>
        <w:t>, 26(7); 1335-1344.</w:t>
      </w:r>
      <w:r w:rsidR="009E6301">
        <w:rPr>
          <w:rFonts w:cs="Arial"/>
          <w:szCs w:val="20"/>
        </w:rPr>
        <w:t xml:space="preserve"> </w:t>
      </w:r>
      <w:r w:rsidRPr="00665A3E">
        <w:rPr>
          <w:rFonts w:cs="Arial"/>
          <w:szCs w:val="20"/>
        </w:rPr>
        <w:t xml:space="preserve">  </w:t>
      </w:r>
      <w:hyperlink r:id="rId118" w:history="1">
        <w:r w:rsidRPr="00665A3E">
          <w:rPr>
            <w:rStyle w:val="Hyperlink"/>
            <w:rFonts w:cs="Arial"/>
            <w:szCs w:val="20"/>
          </w:rPr>
          <w:t>https://doi.org/10.1080/13607863.2021.1940097</w:t>
        </w:r>
      </w:hyperlink>
      <w:r w:rsidRPr="00665A3E">
        <w:rPr>
          <w:rFonts w:cs="Arial"/>
          <w:szCs w:val="20"/>
        </w:rPr>
        <w:t xml:space="preserve"> </w:t>
      </w:r>
    </w:p>
    <w:p w14:paraId="5C0FE455" w14:textId="2EF6F020" w:rsidR="00B06975" w:rsidRPr="00A32D6C" w:rsidRDefault="00B06975" w:rsidP="003D5E6A">
      <w:pPr>
        <w:pStyle w:val="ListParagraph"/>
        <w:numPr>
          <w:ilvl w:val="0"/>
          <w:numId w:val="83"/>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Lam J &amp; Campbell A. (2022) Life events and loneliness among older women of diverse sexual identities: Application of the Stress Process Model.</w:t>
      </w:r>
      <w:r w:rsidRPr="00A32D6C">
        <w:rPr>
          <w:rFonts w:eastAsiaTheme="minorHAnsi" w:cs="Arial"/>
          <w:i/>
          <w:iCs/>
          <w:szCs w:val="20"/>
          <w:lang w:eastAsia="en-US"/>
        </w:rPr>
        <w:t xml:space="preserve"> Research on Aging</w:t>
      </w:r>
      <w:r w:rsidRPr="00A32D6C">
        <w:rPr>
          <w:rFonts w:eastAsiaTheme="minorHAnsi" w:cs="Arial"/>
          <w:szCs w:val="20"/>
          <w:lang w:eastAsia="en-US"/>
        </w:rPr>
        <w:t xml:space="preserve">; </w:t>
      </w:r>
      <w:hyperlink r:id="rId119" w:history="1">
        <w:r w:rsidRPr="00A32D6C">
          <w:rPr>
            <w:rFonts w:eastAsiaTheme="minorHAnsi" w:cs="Arial"/>
            <w:color w:val="0000FF" w:themeColor="hyperlink"/>
            <w:szCs w:val="20"/>
            <w:u w:val="single"/>
            <w:lang w:eastAsia="en-US"/>
          </w:rPr>
          <w:t>https://doi.org/10.1177/01640275221090681</w:t>
        </w:r>
      </w:hyperlink>
      <w:r w:rsidRPr="00A32D6C">
        <w:rPr>
          <w:rFonts w:eastAsiaTheme="minorHAnsi" w:cs="Arial"/>
          <w:szCs w:val="20"/>
          <w:lang w:eastAsia="en-US"/>
        </w:rPr>
        <w:t xml:space="preserve"> </w:t>
      </w:r>
    </w:p>
    <w:bookmarkEnd w:id="1164"/>
    <w:p w14:paraId="68B778E1" w14:textId="77777777" w:rsidR="00B06975" w:rsidRPr="00A32D6C" w:rsidRDefault="00B06975" w:rsidP="003D5E6A">
      <w:pPr>
        <w:pStyle w:val="ListParagraph"/>
        <w:numPr>
          <w:ilvl w:val="0"/>
          <w:numId w:val="83"/>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Lee M, Bradbury J, </w:t>
      </w:r>
      <w:proofErr w:type="spellStart"/>
      <w:r w:rsidRPr="00A32D6C">
        <w:rPr>
          <w:rFonts w:eastAsiaTheme="minorHAnsi" w:cs="Arial"/>
          <w:szCs w:val="20"/>
          <w:lang w:eastAsia="en-US"/>
        </w:rPr>
        <w:t>Yoxall</w:t>
      </w:r>
      <w:proofErr w:type="spellEnd"/>
      <w:r w:rsidRPr="00A32D6C">
        <w:rPr>
          <w:rFonts w:eastAsiaTheme="minorHAnsi" w:cs="Arial"/>
          <w:szCs w:val="20"/>
          <w:lang w:eastAsia="en-US"/>
        </w:rPr>
        <w:t xml:space="preserve"> J &amp; </w:t>
      </w:r>
      <w:proofErr w:type="spellStart"/>
      <w:r w:rsidRPr="00A32D6C">
        <w:rPr>
          <w:rFonts w:eastAsiaTheme="minorHAnsi" w:cs="Arial"/>
          <w:szCs w:val="20"/>
          <w:lang w:eastAsia="en-US"/>
        </w:rPr>
        <w:t>Sargeant</w:t>
      </w:r>
      <w:proofErr w:type="spellEnd"/>
      <w:r w:rsidRPr="00A32D6C">
        <w:rPr>
          <w:rFonts w:eastAsiaTheme="minorHAnsi" w:cs="Arial"/>
          <w:szCs w:val="20"/>
          <w:lang w:eastAsia="en-US"/>
        </w:rPr>
        <w:t xml:space="preserve"> S. (2022). Is dietary quality associated with depression? An analysis of the Australian longitudinal study of women’s health data. </w:t>
      </w:r>
      <w:r w:rsidRPr="00A32D6C">
        <w:rPr>
          <w:rFonts w:eastAsiaTheme="minorHAnsi" w:cs="Arial"/>
          <w:i/>
          <w:iCs/>
          <w:szCs w:val="20"/>
          <w:lang w:eastAsia="en-US"/>
        </w:rPr>
        <w:t>British Journal of Nutrition</w:t>
      </w:r>
      <w:r w:rsidRPr="00A32D6C">
        <w:rPr>
          <w:rFonts w:eastAsiaTheme="minorHAnsi" w:cs="Arial"/>
          <w:szCs w:val="20"/>
          <w:lang w:eastAsia="en-US"/>
        </w:rPr>
        <w:t xml:space="preserve">; </w:t>
      </w:r>
      <w:hyperlink r:id="rId120" w:history="1">
        <w:r w:rsidRPr="00A32D6C">
          <w:rPr>
            <w:rFonts w:eastAsiaTheme="minorHAnsi" w:cs="Arial"/>
            <w:color w:val="0000FF" w:themeColor="hyperlink"/>
            <w:szCs w:val="20"/>
            <w:u w:val="single"/>
            <w:lang w:eastAsia="en-US"/>
          </w:rPr>
          <w:t>https://doi.org/10.1017/S0007114522002410</w:t>
        </w:r>
      </w:hyperlink>
      <w:r w:rsidRPr="00A32D6C">
        <w:rPr>
          <w:rFonts w:eastAsiaTheme="minorHAnsi" w:cs="Arial"/>
          <w:szCs w:val="20"/>
          <w:lang w:eastAsia="en-US"/>
        </w:rPr>
        <w:t xml:space="preserve"> </w:t>
      </w:r>
    </w:p>
    <w:p w14:paraId="61A52E12" w14:textId="77777777" w:rsidR="00B06975" w:rsidRPr="00A32D6C" w:rsidRDefault="00B06975" w:rsidP="003D5E6A">
      <w:pPr>
        <w:pStyle w:val="ListParagraph"/>
        <w:numPr>
          <w:ilvl w:val="0"/>
          <w:numId w:val="83"/>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Oorschot T, Adams J &amp; </w:t>
      </w:r>
      <w:proofErr w:type="spellStart"/>
      <w:r w:rsidRPr="00A32D6C">
        <w:rPr>
          <w:rFonts w:eastAsiaTheme="minorHAnsi" w:cs="Arial"/>
          <w:szCs w:val="20"/>
          <w:lang w:eastAsia="en-US"/>
        </w:rPr>
        <w:t>Sibbritt</w:t>
      </w:r>
      <w:proofErr w:type="spellEnd"/>
      <w:r w:rsidRPr="00A32D6C">
        <w:rPr>
          <w:rFonts w:eastAsiaTheme="minorHAnsi" w:cs="Arial"/>
          <w:szCs w:val="20"/>
          <w:lang w:eastAsia="en-US"/>
        </w:rPr>
        <w:t xml:space="preserve"> D. (2022). Is mental health co-morbidity an influencing factor in the health service utilisation of women with diabetes mellitus? </w:t>
      </w:r>
      <w:proofErr w:type="spellStart"/>
      <w:r w:rsidRPr="00A32D6C">
        <w:rPr>
          <w:rFonts w:eastAsiaTheme="minorHAnsi" w:cs="Arial"/>
          <w:i/>
          <w:iCs/>
          <w:szCs w:val="20"/>
          <w:lang w:eastAsia="en-US"/>
        </w:rPr>
        <w:t>PLoS</w:t>
      </w:r>
      <w:proofErr w:type="spellEnd"/>
      <w:r w:rsidRPr="00A32D6C">
        <w:rPr>
          <w:rFonts w:eastAsiaTheme="minorHAnsi" w:cs="Arial"/>
          <w:i/>
          <w:iCs/>
          <w:szCs w:val="20"/>
          <w:lang w:eastAsia="en-US"/>
        </w:rPr>
        <w:t xml:space="preserve"> One</w:t>
      </w:r>
      <w:r w:rsidRPr="00A32D6C">
        <w:rPr>
          <w:rFonts w:eastAsiaTheme="minorHAnsi" w:cs="Arial"/>
          <w:szCs w:val="20"/>
          <w:lang w:eastAsia="en-US"/>
        </w:rPr>
        <w:t xml:space="preserve">; </w:t>
      </w:r>
      <w:hyperlink r:id="rId121" w:history="1">
        <w:r w:rsidRPr="00A32D6C">
          <w:rPr>
            <w:rFonts w:eastAsiaTheme="minorHAnsi" w:cs="Arial"/>
            <w:color w:val="0000FF" w:themeColor="hyperlink"/>
            <w:szCs w:val="20"/>
            <w:u w:val="single"/>
            <w:lang w:eastAsia="en-US"/>
          </w:rPr>
          <w:t>https://doi.org/10.1371/journal.pone.0272041</w:t>
        </w:r>
      </w:hyperlink>
      <w:r w:rsidRPr="00A32D6C">
        <w:rPr>
          <w:rFonts w:eastAsiaTheme="minorHAnsi" w:cs="Arial"/>
          <w:szCs w:val="20"/>
          <w:lang w:eastAsia="en-US"/>
        </w:rPr>
        <w:t xml:space="preserve"> </w:t>
      </w:r>
      <w:r w:rsidRPr="00A32D6C">
        <w:rPr>
          <w:rFonts w:eastAsiaTheme="minorHAnsi" w:cs="Arial"/>
          <w:szCs w:val="20"/>
          <w:lang w:eastAsia="en-US"/>
        </w:rPr>
        <w:tab/>
      </w:r>
    </w:p>
    <w:p w14:paraId="6316A7CB" w14:textId="3541F8BB" w:rsidR="00ED60E3" w:rsidRDefault="00ED60E3" w:rsidP="003D5E6A">
      <w:pPr>
        <w:pStyle w:val="ListParagraph"/>
        <w:numPr>
          <w:ilvl w:val="0"/>
          <w:numId w:val="83"/>
        </w:numPr>
        <w:spacing w:before="0" w:after="160"/>
        <w:contextualSpacing w:val="0"/>
        <w:jc w:val="left"/>
        <w:rPr>
          <w:rFonts w:eastAsiaTheme="minorHAnsi" w:cs="Arial"/>
          <w:szCs w:val="20"/>
          <w:lang w:eastAsia="en-US"/>
        </w:rPr>
      </w:pPr>
      <w:proofErr w:type="spellStart"/>
      <w:r>
        <w:t>Tapp</w:t>
      </w:r>
      <w:proofErr w:type="spellEnd"/>
      <w:r>
        <w:t xml:space="preserve"> C, Mishra GD, Dobson AJ, Moss KM &amp; Tooth LR. (2022).</w:t>
      </w:r>
      <w:r w:rsidRPr="00850F80">
        <w:rPr>
          <w:b/>
          <w:bCs/>
        </w:rPr>
        <w:t xml:space="preserve"> </w:t>
      </w:r>
      <w:r w:rsidRPr="00813201">
        <w:t xml:space="preserve">History of pre-pregnancy maternal symptoms of binge eating and childhood </w:t>
      </w:r>
      <w:proofErr w:type="spellStart"/>
      <w:r w:rsidRPr="00813201">
        <w:t>behavioral</w:t>
      </w:r>
      <w:proofErr w:type="spellEnd"/>
      <w:r w:rsidRPr="00813201">
        <w:t xml:space="preserve"> problems in girls and boys.</w:t>
      </w:r>
      <w:r w:rsidRPr="00ED60E3">
        <w:t xml:space="preserve"> </w:t>
      </w:r>
      <w:r>
        <w:t>J</w:t>
      </w:r>
      <w:r w:rsidRPr="00850F80">
        <w:rPr>
          <w:i/>
          <w:iCs/>
        </w:rPr>
        <w:t>ournal of Eating Disorders</w:t>
      </w:r>
      <w:r>
        <w:t xml:space="preserve">, 1-10 </w:t>
      </w:r>
      <w:hyperlink r:id="rId122" w:history="1">
        <w:r w:rsidRPr="00F96BBF">
          <w:rPr>
            <w:rStyle w:val="Hyperlink"/>
          </w:rPr>
          <w:t>https://doi.org/10.1002/eat.23783</w:t>
        </w:r>
      </w:hyperlink>
    </w:p>
    <w:p w14:paraId="18E55CAE" w14:textId="3C572521" w:rsidR="00B06975" w:rsidRPr="00A32D6C" w:rsidRDefault="00B06975" w:rsidP="003D5E6A">
      <w:pPr>
        <w:pStyle w:val="ListParagraph"/>
        <w:numPr>
          <w:ilvl w:val="0"/>
          <w:numId w:val="83"/>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Tay CT, Loxton D, </w:t>
      </w:r>
      <w:proofErr w:type="spellStart"/>
      <w:r w:rsidRPr="00A32D6C">
        <w:rPr>
          <w:rFonts w:eastAsiaTheme="minorHAnsi" w:cs="Arial"/>
          <w:szCs w:val="20"/>
          <w:lang w:eastAsia="en-US"/>
        </w:rPr>
        <w:t>Khomami</w:t>
      </w:r>
      <w:proofErr w:type="spellEnd"/>
      <w:r w:rsidRPr="00A32D6C">
        <w:rPr>
          <w:rFonts w:eastAsiaTheme="minorHAnsi" w:cs="Arial"/>
          <w:szCs w:val="20"/>
          <w:lang w:eastAsia="en-US"/>
        </w:rPr>
        <w:t xml:space="preserve"> MB, </w:t>
      </w:r>
      <w:proofErr w:type="spellStart"/>
      <w:r w:rsidRPr="00A32D6C">
        <w:rPr>
          <w:rFonts w:eastAsiaTheme="minorHAnsi" w:cs="Arial"/>
          <w:szCs w:val="20"/>
          <w:lang w:eastAsia="en-US"/>
        </w:rPr>
        <w:t>Teede</w:t>
      </w:r>
      <w:proofErr w:type="spellEnd"/>
      <w:r w:rsidRPr="00A32D6C">
        <w:rPr>
          <w:rFonts w:eastAsiaTheme="minorHAnsi" w:cs="Arial"/>
          <w:szCs w:val="20"/>
          <w:lang w:eastAsia="en-US"/>
        </w:rPr>
        <w:t xml:space="preserve"> H &amp; </w:t>
      </w:r>
      <w:proofErr w:type="spellStart"/>
      <w:r w:rsidRPr="00A32D6C">
        <w:rPr>
          <w:rFonts w:eastAsiaTheme="minorHAnsi" w:cs="Arial"/>
          <w:szCs w:val="20"/>
          <w:lang w:eastAsia="en-US"/>
        </w:rPr>
        <w:t>Joham</w:t>
      </w:r>
      <w:proofErr w:type="spellEnd"/>
      <w:r w:rsidRPr="00A32D6C">
        <w:rPr>
          <w:rFonts w:eastAsiaTheme="minorHAnsi" w:cs="Arial"/>
          <w:szCs w:val="20"/>
          <w:lang w:eastAsia="en-US"/>
        </w:rPr>
        <w:t xml:space="preserve"> AE. (2022). Negative associations of ideal family size achievement with hypertension, </w:t>
      </w:r>
      <w:proofErr w:type="gramStart"/>
      <w:r w:rsidRPr="00A32D6C">
        <w:rPr>
          <w:rFonts w:eastAsiaTheme="minorHAnsi" w:cs="Arial"/>
          <w:szCs w:val="20"/>
          <w:lang w:eastAsia="en-US"/>
        </w:rPr>
        <w:t>obesity</w:t>
      </w:r>
      <w:proofErr w:type="gramEnd"/>
      <w:r w:rsidRPr="00A32D6C">
        <w:rPr>
          <w:rFonts w:eastAsiaTheme="minorHAnsi" w:cs="Arial"/>
          <w:szCs w:val="20"/>
          <w:lang w:eastAsia="en-US"/>
        </w:rPr>
        <w:t xml:space="preserve"> and maternal age in women with and without polycystic ovary syndrome. </w:t>
      </w:r>
      <w:r w:rsidRPr="00A32D6C">
        <w:rPr>
          <w:rFonts w:eastAsiaTheme="minorHAnsi" w:cs="Arial"/>
          <w:i/>
          <w:iCs/>
          <w:szCs w:val="20"/>
          <w:lang w:eastAsia="en-US"/>
        </w:rPr>
        <w:t>Clinical Endocrinology</w:t>
      </w:r>
      <w:r w:rsidRPr="00A32D6C">
        <w:rPr>
          <w:rFonts w:eastAsiaTheme="minorHAnsi" w:cs="Arial"/>
          <w:szCs w:val="20"/>
          <w:lang w:eastAsia="en-US"/>
        </w:rPr>
        <w:t xml:space="preserve">; </w:t>
      </w:r>
      <w:hyperlink r:id="rId123" w:history="1">
        <w:r w:rsidRPr="00A32D6C">
          <w:rPr>
            <w:rFonts w:eastAsiaTheme="minorHAnsi" w:cs="Arial"/>
            <w:color w:val="0000FF" w:themeColor="hyperlink"/>
            <w:szCs w:val="20"/>
            <w:u w:val="single"/>
            <w:lang w:eastAsia="en-US"/>
          </w:rPr>
          <w:t>https://doi.org/10.1111/cen.14736</w:t>
        </w:r>
      </w:hyperlink>
      <w:r w:rsidRPr="00A32D6C">
        <w:rPr>
          <w:rFonts w:eastAsiaTheme="minorHAnsi" w:cs="Arial"/>
          <w:szCs w:val="20"/>
          <w:lang w:eastAsia="en-US"/>
        </w:rPr>
        <w:t xml:space="preserve"> </w:t>
      </w:r>
    </w:p>
    <w:p w14:paraId="32214785" w14:textId="77777777" w:rsidR="00B06975" w:rsidRPr="00A32D6C" w:rsidRDefault="00B06975" w:rsidP="00B06975">
      <w:pPr>
        <w:rPr>
          <w:rFonts w:cs="Arial"/>
          <w:szCs w:val="20"/>
        </w:rPr>
      </w:pPr>
    </w:p>
    <w:p w14:paraId="41C177A8" w14:textId="77777777" w:rsidR="00B06975" w:rsidRPr="00A32D6C" w:rsidRDefault="00B06975" w:rsidP="00B06975">
      <w:pPr>
        <w:rPr>
          <w:rFonts w:cs="Arial"/>
          <w:b/>
          <w:bCs/>
          <w:szCs w:val="20"/>
        </w:rPr>
      </w:pPr>
      <w:r w:rsidRPr="00A32D6C">
        <w:rPr>
          <w:rFonts w:cs="Arial"/>
          <w:b/>
          <w:bCs/>
          <w:szCs w:val="20"/>
        </w:rPr>
        <w:t>Ageing and Aged Care</w:t>
      </w:r>
    </w:p>
    <w:p w14:paraId="7FFE8672" w14:textId="08C0D480" w:rsidR="00665A3E" w:rsidRDefault="00665A3E" w:rsidP="003D5E6A">
      <w:pPr>
        <w:pStyle w:val="ListParagraph"/>
        <w:numPr>
          <w:ilvl w:val="0"/>
          <w:numId w:val="78"/>
        </w:numPr>
        <w:rPr>
          <w:rFonts w:cs="Arial"/>
          <w:szCs w:val="20"/>
        </w:rPr>
      </w:pPr>
      <w:r w:rsidRPr="00665A3E">
        <w:rPr>
          <w:rFonts w:cs="Arial"/>
          <w:szCs w:val="20"/>
        </w:rPr>
        <w:t xml:space="preserve">Freak-Poli R, Ryan J, Tran T, Owen A, McHugh Power J, Berk M, Stocks N, Gonzalez-Chica D, </w:t>
      </w:r>
      <w:proofErr w:type="spellStart"/>
      <w:r w:rsidRPr="00665A3E">
        <w:rPr>
          <w:rFonts w:cs="Arial"/>
          <w:szCs w:val="20"/>
        </w:rPr>
        <w:t>Lowthian</w:t>
      </w:r>
      <w:proofErr w:type="spellEnd"/>
      <w:r w:rsidRPr="00665A3E">
        <w:rPr>
          <w:rFonts w:cs="Arial"/>
          <w:szCs w:val="20"/>
        </w:rPr>
        <w:t xml:space="preserve"> J, Fisher J &amp; Byles J. (2022). Social isolation, social support and loneliness as independent concepts, and their relationship with health-related Quality of Life among older women. </w:t>
      </w:r>
      <w:r w:rsidRPr="00665A3E">
        <w:rPr>
          <w:rFonts w:cs="Arial"/>
          <w:i/>
          <w:iCs/>
          <w:szCs w:val="20"/>
        </w:rPr>
        <w:t>Aging and Mental Health</w:t>
      </w:r>
      <w:r w:rsidRPr="00665A3E">
        <w:rPr>
          <w:rFonts w:cs="Arial"/>
          <w:szCs w:val="20"/>
        </w:rPr>
        <w:t xml:space="preserve">, 26(7); 1335-1344.  </w:t>
      </w:r>
      <w:hyperlink r:id="rId124" w:history="1">
        <w:r w:rsidRPr="00665A3E">
          <w:rPr>
            <w:rStyle w:val="Hyperlink"/>
            <w:rFonts w:cs="Arial"/>
            <w:szCs w:val="20"/>
          </w:rPr>
          <w:t>https://doi.org/10.1080/13607863.2021.1940097</w:t>
        </w:r>
      </w:hyperlink>
      <w:r w:rsidRPr="00665A3E">
        <w:rPr>
          <w:rFonts w:cs="Arial"/>
          <w:szCs w:val="20"/>
        </w:rPr>
        <w:t xml:space="preserve"> </w:t>
      </w:r>
    </w:p>
    <w:p w14:paraId="68A4F88E" w14:textId="77777777" w:rsidR="00665A3E" w:rsidRPr="00665A3E" w:rsidRDefault="00665A3E" w:rsidP="00A049E4">
      <w:pPr>
        <w:pStyle w:val="ListParagraph"/>
        <w:rPr>
          <w:rFonts w:cs="Arial"/>
          <w:szCs w:val="20"/>
        </w:rPr>
      </w:pPr>
    </w:p>
    <w:p w14:paraId="361846AB" w14:textId="1F6B8F90" w:rsidR="00B06975" w:rsidRPr="00A32D6C" w:rsidRDefault="00B06975" w:rsidP="003D5E6A">
      <w:pPr>
        <w:pStyle w:val="ListParagraph"/>
        <w:numPr>
          <w:ilvl w:val="0"/>
          <w:numId w:val="78"/>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lastRenderedPageBreak/>
        <w:t xml:space="preserve">Lam J &amp; Campbell A. (2022) </w:t>
      </w:r>
      <w:bookmarkStart w:id="1165" w:name="_Hlk112312684"/>
      <w:r w:rsidRPr="00A32D6C">
        <w:rPr>
          <w:rFonts w:eastAsiaTheme="minorHAnsi" w:cs="Arial"/>
          <w:szCs w:val="20"/>
          <w:lang w:eastAsia="en-US"/>
        </w:rPr>
        <w:t>Life events and loneliness among older women of diverse sexual identities: Application of the Stress Process Model</w:t>
      </w:r>
      <w:bookmarkEnd w:id="1165"/>
      <w:r w:rsidRPr="00A32D6C">
        <w:rPr>
          <w:rFonts w:eastAsiaTheme="minorHAnsi" w:cs="Arial"/>
          <w:szCs w:val="20"/>
          <w:lang w:eastAsia="en-US"/>
        </w:rPr>
        <w:t>.</w:t>
      </w:r>
      <w:r w:rsidRPr="00A32D6C">
        <w:rPr>
          <w:rFonts w:eastAsiaTheme="minorHAnsi" w:cs="Arial"/>
          <w:i/>
          <w:iCs/>
          <w:szCs w:val="20"/>
          <w:lang w:eastAsia="en-US"/>
        </w:rPr>
        <w:t xml:space="preserve"> Research on Aging</w:t>
      </w:r>
      <w:r w:rsidRPr="00A32D6C">
        <w:rPr>
          <w:rFonts w:eastAsiaTheme="minorHAnsi" w:cs="Arial"/>
          <w:szCs w:val="20"/>
          <w:lang w:eastAsia="en-US"/>
        </w:rPr>
        <w:t xml:space="preserve">; </w:t>
      </w:r>
      <w:hyperlink r:id="rId125" w:history="1">
        <w:r w:rsidRPr="00A32D6C">
          <w:rPr>
            <w:rFonts w:eastAsiaTheme="minorHAnsi" w:cs="Arial"/>
            <w:color w:val="0000FF" w:themeColor="hyperlink"/>
            <w:szCs w:val="20"/>
            <w:u w:val="single"/>
            <w:lang w:eastAsia="en-US"/>
          </w:rPr>
          <w:t>https://doi.org/10.1177/01640275221090681</w:t>
        </w:r>
      </w:hyperlink>
      <w:r w:rsidRPr="00A32D6C">
        <w:rPr>
          <w:rFonts w:eastAsiaTheme="minorHAnsi" w:cs="Arial"/>
          <w:szCs w:val="20"/>
          <w:lang w:eastAsia="en-US"/>
        </w:rPr>
        <w:t xml:space="preserve"> </w:t>
      </w:r>
    </w:p>
    <w:p w14:paraId="310155C3" w14:textId="1FB4ABD6" w:rsidR="006E3038" w:rsidRDefault="006E3038" w:rsidP="003D5E6A">
      <w:pPr>
        <w:pStyle w:val="ListParagraph"/>
        <w:numPr>
          <w:ilvl w:val="0"/>
          <w:numId w:val="78"/>
        </w:numPr>
        <w:rPr>
          <w:rFonts w:cs="Arial"/>
          <w:szCs w:val="20"/>
        </w:rPr>
      </w:pPr>
      <w:r w:rsidRPr="00A049E4">
        <w:rPr>
          <w:rFonts w:cs="Arial"/>
          <w:szCs w:val="20"/>
        </w:rPr>
        <w:t>Hambisa MT, Dolja-Gore X &amp; Byles J. (2022).  Determinants of driving among oldest-old Australian women</w:t>
      </w:r>
      <w:r w:rsidRPr="00A049E4">
        <w:rPr>
          <w:rFonts w:cs="Arial"/>
          <w:i/>
          <w:iCs/>
          <w:szCs w:val="20"/>
        </w:rPr>
        <w:t>.  Journal of Women and Aging</w:t>
      </w:r>
      <w:r w:rsidRPr="00A049E4">
        <w:rPr>
          <w:rFonts w:cs="Arial"/>
          <w:szCs w:val="20"/>
        </w:rPr>
        <w:t xml:space="preserve">, 34)3): 351-371.  </w:t>
      </w:r>
      <w:hyperlink r:id="rId126" w:history="1">
        <w:r w:rsidRPr="00A049E4">
          <w:rPr>
            <w:rStyle w:val="Hyperlink"/>
            <w:rFonts w:cs="Arial"/>
            <w:szCs w:val="20"/>
          </w:rPr>
          <w:t>https://doi.org/10.1080/08952841.2021.1937012</w:t>
        </w:r>
      </w:hyperlink>
      <w:r w:rsidRPr="006E3038">
        <w:rPr>
          <w:rFonts w:cs="Arial"/>
          <w:szCs w:val="20"/>
        </w:rPr>
        <w:t xml:space="preserve"> </w:t>
      </w:r>
    </w:p>
    <w:p w14:paraId="7130E796" w14:textId="77777777" w:rsidR="006E3038" w:rsidRPr="00A049E4" w:rsidRDefault="006E3038" w:rsidP="00A049E4">
      <w:pPr>
        <w:pStyle w:val="ListParagraph"/>
        <w:rPr>
          <w:rFonts w:cs="Arial"/>
          <w:szCs w:val="20"/>
        </w:rPr>
      </w:pPr>
    </w:p>
    <w:p w14:paraId="5C5BD168" w14:textId="65CE28D5" w:rsidR="00B06975" w:rsidRPr="00A32D6C" w:rsidRDefault="00B06975" w:rsidP="003D5E6A">
      <w:pPr>
        <w:pStyle w:val="ListParagraph"/>
        <w:numPr>
          <w:ilvl w:val="0"/>
          <w:numId w:val="78"/>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Tay CT, Loxton D, </w:t>
      </w:r>
      <w:proofErr w:type="spellStart"/>
      <w:r w:rsidRPr="00A32D6C">
        <w:rPr>
          <w:rFonts w:eastAsiaTheme="minorHAnsi" w:cs="Arial"/>
          <w:szCs w:val="20"/>
          <w:lang w:eastAsia="en-US"/>
        </w:rPr>
        <w:t>Khomami</w:t>
      </w:r>
      <w:proofErr w:type="spellEnd"/>
      <w:r w:rsidRPr="00A32D6C">
        <w:rPr>
          <w:rFonts w:eastAsiaTheme="minorHAnsi" w:cs="Arial"/>
          <w:szCs w:val="20"/>
          <w:lang w:eastAsia="en-US"/>
        </w:rPr>
        <w:t xml:space="preserve"> MB, </w:t>
      </w:r>
      <w:proofErr w:type="spellStart"/>
      <w:r w:rsidRPr="00A32D6C">
        <w:rPr>
          <w:rFonts w:eastAsiaTheme="minorHAnsi" w:cs="Arial"/>
          <w:szCs w:val="20"/>
          <w:lang w:eastAsia="en-US"/>
        </w:rPr>
        <w:t>Teede</w:t>
      </w:r>
      <w:proofErr w:type="spellEnd"/>
      <w:r w:rsidRPr="00A32D6C">
        <w:rPr>
          <w:rFonts w:eastAsiaTheme="minorHAnsi" w:cs="Arial"/>
          <w:szCs w:val="20"/>
          <w:lang w:eastAsia="en-US"/>
        </w:rPr>
        <w:t xml:space="preserve"> H &amp; </w:t>
      </w:r>
      <w:proofErr w:type="spellStart"/>
      <w:r w:rsidRPr="00A32D6C">
        <w:rPr>
          <w:rFonts w:eastAsiaTheme="minorHAnsi" w:cs="Arial"/>
          <w:szCs w:val="20"/>
          <w:lang w:eastAsia="en-US"/>
        </w:rPr>
        <w:t>Joham</w:t>
      </w:r>
      <w:proofErr w:type="spellEnd"/>
      <w:r w:rsidRPr="00A32D6C">
        <w:rPr>
          <w:rFonts w:eastAsiaTheme="minorHAnsi" w:cs="Arial"/>
          <w:szCs w:val="20"/>
          <w:lang w:eastAsia="en-US"/>
        </w:rPr>
        <w:t xml:space="preserve"> AE. (2022). Negative associations of ideal family size achievement with hypertension, </w:t>
      </w:r>
      <w:proofErr w:type="gramStart"/>
      <w:r w:rsidRPr="00A32D6C">
        <w:rPr>
          <w:rFonts w:eastAsiaTheme="minorHAnsi" w:cs="Arial"/>
          <w:szCs w:val="20"/>
          <w:lang w:eastAsia="en-US"/>
        </w:rPr>
        <w:t>obesity</w:t>
      </w:r>
      <w:proofErr w:type="gramEnd"/>
      <w:r w:rsidRPr="00A32D6C">
        <w:rPr>
          <w:rFonts w:eastAsiaTheme="minorHAnsi" w:cs="Arial"/>
          <w:szCs w:val="20"/>
          <w:lang w:eastAsia="en-US"/>
        </w:rPr>
        <w:t xml:space="preserve"> and maternal age in women with and without polycystic ovary syndrome. </w:t>
      </w:r>
      <w:r w:rsidRPr="00A32D6C">
        <w:rPr>
          <w:rFonts w:eastAsiaTheme="minorHAnsi" w:cs="Arial"/>
          <w:i/>
          <w:iCs/>
          <w:szCs w:val="20"/>
          <w:lang w:eastAsia="en-US"/>
        </w:rPr>
        <w:t>Clinical Endocrinology</w:t>
      </w:r>
      <w:r w:rsidRPr="00A32D6C">
        <w:rPr>
          <w:rFonts w:eastAsiaTheme="minorHAnsi" w:cs="Arial"/>
          <w:szCs w:val="20"/>
          <w:lang w:eastAsia="en-US"/>
        </w:rPr>
        <w:t xml:space="preserve">; </w:t>
      </w:r>
      <w:hyperlink r:id="rId127" w:history="1">
        <w:r w:rsidRPr="00A32D6C">
          <w:rPr>
            <w:rFonts w:eastAsiaTheme="minorHAnsi" w:cs="Arial"/>
            <w:color w:val="0000FF" w:themeColor="hyperlink"/>
            <w:szCs w:val="20"/>
            <w:u w:val="single"/>
            <w:lang w:eastAsia="en-US"/>
          </w:rPr>
          <w:t>https://doi.org/10.1111/cen.14736</w:t>
        </w:r>
      </w:hyperlink>
      <w:r w:rsidRPr="00A32D6C">
        <w:rPr>
          <w:rFonts w:eastAsiaTheme="minorHAnsi" w:cs="Arial"/>
          <w:szCs w:val="20"/>
          <w:lang w:eastAsia="en-US"/>
        </w:rPr>
        <w:t xml:space="preserve"> </w:t>
      </w:r>
    </w:p>
    <w:p w14:paraId="497D60F7" w14:textId="77777777" w:rsidR="00B06975" w:rsidRPr="00A32D6C" w:rsidRDefault="00B06975" w:rsidP="003D5E6A">
      <w:pPr>
        <w:pStyle w:val="ListParagraph"/>
        <w:numPr>
          <w:ilvl w:val="0"/>
          <w:numId w:val="78"/>
        </w:numPr>
        <w:spacing w:before="0" w:after="160"/>
        <w:ind w:left="714" w:hanging="357"/>
        <w:contextualSpacing w:val="0"/>
        <w:jc w:val="left"/>
        <w:rPr>
          <w:rFonts w:eastAsiaTheme="minorHAnsi" w:cs="Arial"/>
          <w:szCs w:val="20"/>
          <w:lang w:eastAsia="en-US"/>
        </w:rPr>
      </w:pPr>
      <w:bookmarkStart w:id="1166" w:name="_Hlk118372790"/>
      <w:r w:rsidRPr="00A32D6C">
        <w:rPr>
          <w:rFonts w:eastAsiaTheme="minorHAnsi" w:cs="Arial"/>
          <w:szCs w:val="20"/>
          <w:lang w:eastAsia="en-US"/>
        </w:rPr>
        <w:t xml:space="preserve">Thiruchelvam K, Byles J, Hasan SS, Egan N &amp; </w:t>
      </w:r>
      <w:proofErr w:type="spellStart"/>
      <w:r w:rsidRPr="00A32D6C">
        <w:rPr>
          <w:rFonts w:eastAsiaTheme="minorHAnsi" w:cs="Arial"/>
          <w:szCs w:val="20"/>
          <w:lang w:eastAsia="en-US"/>
        </w:rPr>
        <w:t>Kairuz</w:t>
      </w:r>
      <w:proofErr w:type="spellEnd"/>
      <w:r w:rsidRPr="00A32D6C">
        <w:rPr>
          <w:rFonts w:eastAsiaTheme="minorHAnsi" w:cs="Arial"/>
          <w:szCs w:val="20"/>
          <w:lang w:eastAsia="en-US"/>
        </w:rPr>
        <w:t xml:space="preserve"> T. (2022). Impact of medication reviews on potentially inappropriate medications and associated costs among older women in aged care. </w:t>
      </w:r>
      <w:r w:rsidRPr="00A32D6C">
        <w:rPr>
          <w:rFonts w:eastAsiaTheme="minorHAnsi" w:cs="Arial"/>
          <w:i/>
          <w:iCs/>
          <w:szCs w:val="20"/>
          <w:lang w:eastAsia="en-US"/>
        </w:rPr>
        <w:t>Research in Social and Administrative Pharmacy</w:t>
      </w:r>
      <w:r w:rsidRPr="00A32D6C">
        <w:rPr>
          <w:rFonts w:eastAsiaTheme="minorHAnsi" w:cs="Arial"/>
          <w:szCs w:val="20"/>
          <w:lang w:eastAsia="en-US"/>
        </w:rPr>
        <w:t xml:space="preserve">; </w:t>
      </w:r>
      <w:hyperlink r:id="rId128" w:history="1">
        <w:r w:rsidRPr="00A32D6C">
          <w:rPr>
            <w:rFonts w:eastAsiaTheme="minorHAnsi" w:cs="Arial"/>
            <w:color w:val="0000FF" w:themeColor="hyperlink"/>
            <w:szCs w:val="20"/>
            <w:u w:val="single"/>
            <w:lang w:eastAsia="en-US"/>
          </w:rPr>
          <w:t>https://doi.org/10.1016/j.sapharm.2022.05.003</w:t>
        </w:r>
      </w:hyperlink>
      <w:r w:rsidRPr="00A32D6C">
        <w:rPr>
          <w:rFonts w:eastAsiaTheme="minorHAnsi" w:cs="Arial"/>
          <w:szCs w:val="20"/>
          <w:lang w:eastAsia="en-US"/>
        </w:rPr>
        <w:t xml:space="preserve"> </w:t>
      </w:r>
    </w:p>
    <w:p w14:paraId="69FDC9EE" w14:textId="77777777" w:rsidR="00B06975" w:rsidRPr="00A32D6C" w:rsidRDefault="00B06975" w:rsidP="003D5E6A">
      <w:pPr>
        <w:pStyle w:val="ListParagraph"/>
        <w:numPr>
          <w:ilvl w:val="0"/>
          <w:numId w:val="78"/>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White J, Hambisa M, Cavenagh D, Dolja-Gore X &amp; Byles J. (2022). Understanding the relationship between eye disease and driving in very old Australian Women: A longitudinal thematic evaluation. </w:t>
      </w:r>
      <w:r w:rsidRPr="00A32D6C">
        <w:rPr>
          <w:rFonts w:eastAsiaTheme="minorHAnsi" w:cs="Arial"/>
          <w:i/>
          <w:iCs/>
          <w:szCs w:val="20"/>
          <w:lang w:eastAsia="en-US"/>
        </w:rPr>
        <w:t>BMC Ophthalmology</w:t>
      </w:r>
      <w:r w:rsidRPr="00A32D6C">
        <w:rPr>
          <w:rFonts w:eastAsiaTheme="minorHAnsi" w:cs="Arial"/>
          <w:szCs w:val="20"/>
          <w:lang w:eastAsia="en-US"/>
        </w:rPr>
        <w:t xml:space="preserve">; 22:277. </w:t>
      </w:r>
      <w:hyperlink r:id="rId129" w:history="1">
        <w:r w:rsidRPr="00A32D6C">
          <w:rPr>
            <w:rFonts w:eastAsiaTheme="minorHAnsi" w:cs="Arial"/>
            <w:color w:val="0000FF" w:themeColor="hyperlink"/>
            <w:szCs w:val="20"/>
            <w:u w:val="single"/>
            <w:lang w:eastAsia="en-US"/>
          </w:rPr>
          <w:t>https://doi.org/10.1186/s12886-022-02506-8</w:t>
        </w:r>
      </w:hyperlink>
    </w:p>
    <w:p w14:paraId="4838A65F" w14:textId="77777777" w:rsidR="00B06975" w:rsidRPr="00A32D6C" w:rsidRDefault="00B06975" w:rsidP="003D5E6A">
      <w:pPr>
        <w:pStyle w:val="ListParagraph"/>
        <w:numPr>
          <w:ilvl w:val="0"/>
          <w:numId w:val="78"/>
        </w:numPr>
        <w:spacing w:before="0" w:after="160"/>
        <w:ind w:left="714" w:hanging="357"/>
        <w:contextualSpacing w:val="0"/>
        <w:jc w:val="left"/>
        <w:rPr>
          <w:rFonts w:eastAsiaTheme="minorHAnsi" w:cs="Arial"/>
          <w:szCs w:val="20"/>
          <w:lang w:eastAsia="en-US"/>
        </w:rPr>
      </w:pPr>
      <w:bookmarkStart w:id="1167" w:name="_Hlk118372825"/>
      <w:bookmarkEnd w:id="1166"/>
      <w:r w:rsidRPr="00A32D6C">
        <w:rPr>
          <w:rFonts w:eastAsiaTheme="minorHAnsi" w:cs="Arial"/>
          <w:szCs w:val="20"/>
          <w:lang w:eastAsia="en-US"/>
        </w:rPr>
        <w:t xml:space="preserve">Byles J, Tavener M &amp; Princehorn E. (2022). Healthy Ageing at very old ages - perspectives from women in the oldest cohort of the Australian Longitudinal Study on Women’s Health. </w:t>
      </w:r>
      <w:r w:rsidRPr="00A32D6C">
        <w:rPr>
          <w:rFonts w:eastAsiaTheme="minorHAnsi" w:cs="Arial"/>
          <w:i/>
          <w:iCs/>
          <w:szCs w:val="20"/>
          <w:lang w:eastAsia="en-US"/>
        </w:rPr>
        <w:t>International Handbook on Contemporary Ageing Issues: Various Narratives</w:t>
      </w:r>
      <w:r w:rsidRPr="00A32D6C">
        <w:rPr>
          <w:rFonts w:eastAsiaTheme="minorHAnsi" w:cs="Arial"/>
          <w:szCs w:val="20"/>
          <w:lang w:eastAsia="en-US"/>
        </w:rPr>
        <w:t>. (Accepted book chapter)</w:t>
      </w:r>
    </w:p>
    <w:bookmarkEnd w:id="1167"/>
    <w:p w14:paraId="5BC1B0E8" w14:textId="77777777" w:rsidR="00B06975" w:rsidRPr="00A32D6C" w:rsidRDefault="00B06975" w:rsidP="00B06975">
      <w:pPr>
        <w:rPr>
          <w:rFonts w:cs="Arial"/>
          <w:b/>
          <w:bCs/>
          <w:szCs w:val="20"/>
        </w:rPr>
      </w:pPr>
      <w:r w:rsidRPr="00A32D6C">
        <w:rPr>
          <w:rFonts w:cs="Arial"/>
          <w:b/>
          <w:bCs/>
          <w:szCs w:val="20"/>
        </w:rPr>
        <w:t>Health service use</w:t>
      </w:r>
    </w:p>
    <w:p w14:paraId="30ACA0C7" w14:textId="77777777" w:rsidR="00B06975" w:rsidRPr="00A32D6C" w:rsidRDefault="00B06975" w:rsidP="003D5E6A">
      <w:pPr>
        <w:pStyle w:val="ListParagraph"/>
        <w:numPr>
          <w:ilvl w:val="0"/>
          <w:numId w:val="82"/>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Dolja-Gore X, Loxton D, </w:t>
      </w:r>
      <w:proofErr w:type="spellStart"/>
      <w:r w:rsidRPr="00A32D6C">
        <w:rPr>
          <w:rFonts w:eastAsiaTheme="minorHAnsi" w:cs="Arial"/>
          <w:szCs w:val="20"/>
          <w:lang w:eastAsia="en-US"/>
        </w:rPr>
        <w:t>D'Este</w:t>
      </w:r>
      <w:proofErr w:type="spellEnd"/>
      <w:r w:rsidRPr="00A32D6C">
        <w:rPr>
          <w:rFonts w:eastAsiaTheme="minorHAnsi" w:cs="Arial"/>
          <w:szCs w:val="20"/>
          <w:lang w:eastAsia="en-US"/>
        </w:rPr>
        <w:t xml:space="preserve"> C &amp; Byles JE. (2022). Transitions in health service use among women with poor mental health: A 7-year follow-up. </w:t>
      </w:r>
      <w:r w:rsidRPr="00A32D6C">
        <w:rPr>
          <w:rFonts w:eastAsiaTheme="minorHAnsi" w:cs="Arial"/>
          <w:i/>
          <w:iCs/>
          <w:szCs w:val="20"/>
          <w:lang w:eastAsia="en-US"/>
        </w:rPr>
        <w:t>Family Medicine and Community Health</w:t>
      </w:r>
      <w:r w:rsidRPr="00A32D6C">
        <w:rPr>
          <w:rFonts w:eastAsiaTheme="minorHAnsi" w:cs="Arial"/>
          <w:szCs w:val="20"/>
          <w:lang w:eastAsia="en-US"/>
        </w:rPr>
        <w:t>; 10</w:t>
      </w:r>
      <w:r w:rsidRPr="00A32D6C">
        <w:rPr>
          <w:rFonts w:eastAsiaTheme="minorHAnsi" w:cs="Arial"/>
          <w:szCs w:val="20"/>
          <w:lang w:eastAsia="en-US"/>
        </w:rPr>
        <w:tab/>
        <w:t xml:space="preserve">2: e001481. </w:t>
      </w:r>
      <w:hyperlink r:id="rId130" w:history="1">
        <w:r w:rsidRPr="00A32D6C">
          <w:rPr>
            <w:rFonts w:eastAsiaTheme="minorHAnsi" w:cs="Arial"/>
            <w:color w:val="0000FF" w:themeColor="hyperlink"/>
            <w:szCs w:val="20"/>
            <w:u w:val="single"/>
            <w:lang w:eastAsia="en-US"/>
          </w:rPr>
          <w:t>http://dx.doi.org/10.1136/fmch-2021-001481</w:t>
        </w:r>
      </w:hyperlink>
      <w:r w:rsidRPr="00A32D6C">
        <w:rPr>
          <w:rFonts w:eastAsiaTheme="minorHAnsi" w:cs="Arial"/>
          <w:szCs w:val="20"/>
          <w:lang w:eastAsia="en-US"/>
        </w:rPr>
        <w:t xml:space="preserve"> </w:t>
      </w:r>
    </w:p>
    <w:p w14:paraId="2A540036" w14:textId="689B080C" w:rsidR="00A46CDE" w:rsidRDefault="00A46CDE" w:rsidP="003D5E6A">
      <w:pPr>
        <w:pStyle w:val="ListParagraph"/>
        <w:numPr>
          <w:ilvl w:val="0"/>
          <w:numId w:val="82"/>
        </w:numPr>
        <w:rPr>
          <w:rFonts w:cs="Arial"/>
          <w:szCs w:val="20"/>
        </w:rPr>
      </w:pPr>
      <w:r w:rsidRPr="00A46CDE">
        <w:rPr>
          <w:rFonts w:cs="Arial"/>
          <w:szCs w:val="20"/>
        </w:rPr>
        <w:t xml:space="preserve">Hambisa MT, Dolja-Gore X &amp; Byles J. (2022).  Application of Anderson-Newman model to assess cataract surgery uptake among older Australian women: Findings from the Australian Longitudinal Study on Women’s Health.  </w:t>
      </w:r>
      <w:r w:rsidRPr="00A46CDE">
        <w:rPr>
          <w:rFonts w:cs="Arial"/>
          <w:i/>
          <w:iCs/>
          <w:szCs w:val="20"/>
        </w:rPr>
        <w:t>Aging Clinical and Experimental Research</w:t>
      </w:r>
      <w:r w:rsidRPr="00A46CDE">
        <w:rPr>
          <w:rFonts w:cs="Arial"/>
          <w:szCs w:val="20"/>
        </w:rPr>
        <w:t xml:space="preserve">, 34(7): 1673-1685. </w:t>
      </w:r>
      <w:hyperlink r:id="rId131" w:history="1">
        <w:r w:rsidRPr="00A46CDE">
          <w:rPr>
            <w:rStyle w:val="Hyperlink"/>
            <w:rFonts w:cs="Arial"/>
            <w:szCs w:val="20"/>
          </w:rPr>
          <w:t>https://doi.org/10.1007/s40520-022-02091-2</w:t>
        </w:r>
      </w:hyperlink>
      <w:r w:rsidRPr="00A46CDE">
        <w:rPr>
          <w:rFonts w:cs="Arial"/>
          <w:szCs w:val="20"/>
        </w:rPr>
        <w:t xml:space="preserve"> </w:t>
      </w:r>
    </w:p>
    <w:p w14:paraId="1E90A07C" w14:textId="77777777" w:rsidR="00A46CDE" w:rsidRPr="00A46CDE" w:rsidRDefault="00A46CDE" w:rsidP="00A049E4">
      <w:pPr>
        <w:pStyle w:val="ListParagraph"/>
        <w:rPr>
          <w:rFonts w:cs="Arial"/>
          <w:szCs w:val="20"/>
        </w:rPr>
      </w:pPr>
    </w:p>
    <w:p w14:paraId="69A0CCBB" w14:textId="61AECEF9" w:rsidR="00B06975" w:rsidRPr="00A32D6C" w:rsidRDefault="00B06975" w:rsidP="003D5E6A">
      <w:pPr>
        <w:pStyle w:val="ListParagraph"/>
        <w:numPr>
          <w:ilvl w:val="0"/>
          <w:numId w:val="82"/>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Oorschot T, Adams J &amp; </w:t>
      </w:r>
      <w:proofErr w:type="spellStart"/>
      <w:r w:rsidRPr="00A32D6C">
        <w:rPr>
          <w:rFonts w:eastAsiaTheme="minorHAnsi" w:cs="Arial"/>
          <w:szCs w:val="20"/>
          <w:lang w:eastAsia="en-US"/>
        </w:rPr>
        <w:t>Sibbritt</w:t>
      </w:r>
      <w:proofErr w:type="spellEnd"/>
      <w:r w:rsidRPr="00A32D6C">
        <w:rPr>
          <w:rFonts w:eastAsiaTheme="minorHAnsi" w:cs="Arial"/>
          <w:szCs w:val="20"/>
          <w:lang w:eastAsia="en-US"/>
        </w:rPr>
        <w:t xml:space="preserve"> D. (2022). Is mental health co-morbidity an influencing factor in the health service utilisation of women with diabetes mellitus? </w:t>
      </w:r>
      <w:proofErr w:type="spellStart"/>
      <w:r w:rsidRPr="00A32D6C">
        <w:rPr>
          <w:rFonts w:eastAsiaTheme="minorHAnsi" w:cs="Arial"/>
          <w:i/>
          <w:iCs/>
          <w:szCs w:val="20"/>
          <w:lang w:eastAsia="en-US"/>
        </w:rPr>
        <w:t>PLoS</w:t>
      </w:r>
      <w:proofErr w:type="spellEnd"/>
      <w:r w:rsidRPr="00A32D6C">
        <w:rPr>
          <w:rFonts w:eastAsiaTheme="minorHAnsi" w:cs="Arial"/>
          <w:i/>
          <w:iCs/>
          <w:szCs w:val="20"/>
          <w:lang w:eastAsia="en-US"/>
        </w:rPr>
        <w:t xml:space="preserve"> One</w:t>
      </w:r>
      <w:r w:rsidRPr="00A32D6C">
        <w:rPr>
          <w:rFonts w:eastAsiaTheme="minorHAnsi" w:cs="Arial"/>
          <w:szCs w:val="20"/>
          <w:lang w:eastAsia="en-US"/>
        </w:rPr>
        <w:t xml:space="preserve">; </w:t>
      </w:r>
      <w:hyperlink r:id="rId132" w:history="1">
        <w:r w:rsidRPr="00A32D6C">
          <w:rPr>
            <w:rFonts w:eastAsiaTheme="minorHAnsi" w:cs="Arial"/>
            <w:color w:val="0000FF" w:themeColor="hyperlink"/>
            <w:szCs w:val="20"/>
            <w:u w:val="single"/>
            <w:lang w:eastAsia="en-US"/>
          </w:rPr>
          <w:t>https://doi.org/10.1371/journal.pone.0272041</w:t>
        </w:r>
      </w:hyperlink>
      <w:r w:rsidRPr="00A32D6C">
        <w:rPr>
          <w:rFonts w:eastAsiaTheme="minorHAnsi" w:cs="Arial"/>
          <w:szCs w:val="20"/>
          <w:lang w:eastAsia="en-US"/>
        </w:rPr>
        <w:t xml:space="preserve"> </w:t>
      </w:r>
      <w:r w:rsidRPr="00A32D6C">
        <w:rPr>
          <w:rFonts w:eastAsiaTheme="minorHAnsi" w:cs="Arial"/>
          <w:szCs w:val="20"/>
          <w:lang w:eastAsia="en-US"/>
        </w:rPr>
        <w:tab/>
      </w:r>
    </w:p>
    <w:p w14:paraId="58DB04FD" w14:textId="77777777" w:rsidR="00B06975" w:rsidRPr="00A32D6C" w:rsidRDefault="00B06975" w:rsidP="003D5E6A">
      <w:pPr>
        <w:pStyle w:val="ListParagraph"/>
        <w:numPr>
          <w:ilvl w:val="0"/>
          <w:numId w:val="82"/>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lastRenderedPageBreak/>
        <w:t xml:space="preserve">Thiruchelvam K, Byles J, Hasan SS, Egan N &amp; </w:t>
      </w:r>
      <w:proofErr w:type="spellStart"/>
      <w:r w:rsidRPr="00A32D6C">
        <w:rPr>
          <w:rFonts w:eastAsiaTheme="minorHAnsi" w:cs="Arial"/>
          <w:szCs w:val="20"/>
          <w:lang w:eastAsia="en-US"/>
        </w:rPr>
        <w:t>Kairuz</w:t>
      </w:r>
      <w:proofErr w:type="spellEnd"/>
      <w:r w:rsidRPr="00A32D6C">
        <w:rPr>
          <w:rFonts w:eastAsiaTheme="minorHAnsi" w:cs="Arial"/>
          <w:szCs w:val="20"/>
          <w:lang w:eastAsia="en-US"/>
        </w:rPr>
        <w:t xml:space="preserve"> T. (2022). Impact of medication reviews on potentially inappropriate medications and associated costs among older women in aged care. </w:t>
      </w:r>
      <w:r w:rsidRPr="00A32D6C">
        <w:rPr>
          <w:rFonts w:eastAsiaTheme="minorHAnsi" w:cs="Arial"/>
          <w:i/>
          <w:iCs/>
          <w:szCs w:val="20"/>
          <w:lang w:eastAsia="en-US"/>
        </w:rPr>
        <w:t>Research in Social and Administrative Pharmacy</w:t>
      </w:r>
      <w:r w:rsidRPr="00A32D6C">
        <w:rPr>
          <w:rFonts w:eastAsiaTheme="minorHAnsi" w:cs="Arial"/>
          <w:szCs w:val="20"/>
          <w:lang w:eastAsia="en-US"/>
        </w:rPr>
        <w:t xml:space="preserve">; </w:t>
      </w:r>
      <w:hyperlink r:id="rId133" w:history="1">
        <w:r w:rsidRPr="00A32D6C">
          <w:rPr>
            <w:rFonts w:eastAsiaTheme="minorHAnsi" w:cs="Arial"/>
            <w:color w:val="0000FF" w:themeColor="hyperlink"/>
            <w:szCs w:val="20"/>
            <w:u w:val="single"/>
            <w:lang w:eastAsia="en-US"/>
          </w:rPr>
          <w:t>https://doi.org/10.1016/j.sapharm.2022.05.003</w:t>
        </w:r>
      </w:hyperlink>
      <w:r w:rsidRPr="00A32D6C">
        <w:rPr>
          <w:rFonts w:eastAsiaTheme="minorHAnsi" w:cs="Arial"/>
          <w:szCs w:val="20"/>
          <w:lang w:eastAsia="en-US"/>
        </w:rPr>
        <w:t xml:space="preserve"> </w:t>
      </w:r>
    </w:p>
    <w:p w14:paraId="655B3CB1" w14:textId="77777777" w:rsidR="00B06975" w:rsidRPr="00A32D6C" w:rsidRDefault="00B06975" w:rsidP="003D5E6A">
      <w:pPr>
        <w:pStyle w:val="ListParagraph"/>
        <w:numPr>
          <w:ilvl w:val="0"/>
          <w:numId w:val="82"/>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Wilson LF, Dobson AJ, Doust J &amp; Mishra GD. (2022). Socioeconomic, behavioural and health factors associated with chlamydia testing in sexually active young women: An Australian observational cohort study. </w:t>
      </w:r>
      <w:r w:rsidRPr="00A32D6C">
        <w:rPr>
          <w:rFonts w:eastAsiaTheme="minorHAnsi" w:cs="Arial"/>
          <w:i/>
          <w:iCs/>
          <w:szCs w:val="20"/>
          <w:lang w:eastAsia="en-US"/>
        </w:rPr>
        <w:t>Sexual Health</w:t>
      </w:r>
      <w:r w:rsidRPr="00A32D6C">
        <w:rPr>
          <w:rFonts w:eastAsiaTheme="minorHAnsi" w:cs="Arial"/>
          <w:szCs w:val="20"/>
          <w:lang w:eastAsia="en-US"/>
        </w:rPr>
        <w:t xml:space="preserve">; </w:t>
      </w:r>
      <w:hyperlink r:id="rId134" w:history="1">
        <w:r w:rsidRPr="00A32D6C">
          <w:rPr>
            <w:rFonts w:eastAsiaTheme="minorHAnsi" w:cs="Arial"/>
            <w:color w:val="0000FF" w:themeColor="hyperlink"/>
            <w:szCs w:val="20"/>
            <w:u w:val="single"/>
            <w:lang w:eastAsia="en-US"/>
          </w:rPr>
          <w:t>https://doi.org/10.1071/SH21230</w:t>
        </w:r>
      </w:hyperlink>
      <w:r w:rsidRPr="00A32D6C">
        <w:rPr>
          <w:rFonts w:eastAsiaTheme="minorHAnsi" w:cs="Arial"/>
          <w:szCs w:val="20"/>
          <w:lang w:eastAsia="en-US"/>
        </w:rPr>
        <w:t xml:space="preserve"> </w:t>
      </w:r>
    </w:p>
    <w:p w14:paraId="09035F69" w14:textId="77777777" w:rsidR="00B06975" w:rsidRPr="00A32D6C" w:rsidRDefault="00B06975" w:rsidP="00B06975">
      <w:pPr>
        <w:rPr>
          <w:rFonts w:cs="Arial"/>
          <w:b/>
          <w:bCs/>
          <w:szCs w:val="20"/>
        </w:rPr>
      </w:pPr>
      <w:r w:rsidRPr="00A32D6C">
        <w:rPr>
          <w:rFonts w:cs="Arial"/>
          <w:b/>
          <w:bCs/>
          <w:szCs w:val="20"/>
        </w:rPr>
        <w:t xml:space="preserve">Tobacco, </w:t>
      </w:r>
      <w:proofErr w:type="gramStart"/>
      <w:r w:rsidRPr="00A32D6C">
        <w:rPr>
          <w:rFonts w:cs="Arial"/>
          <w:b/>
          <w:bCs/>
          <w:szCs w:val="20"/>
        </w:rPr>
        <w:t>alcohol</w:t>
      </w:r>
      <w:proofErr w:type="gramEnd"/>
      <w:r w:rsidRPr="00A32D6C">
        <w:rPr>
          <w:rFonts w:cs="Arial"/>
          <w:b/>
          <w:bCs/>
          <w:szCs w:val="20"/>
        </w:rPr>
        <w:t xml:space="preserve"> and other drugs</w:t>
      </w:r>
    </w:p>
    <w:p w14:paraId="616FFFCE" w14:textId="77777777" w:rsidR="00B06975" w:rsidRPr="00A32D6C" w:rsidRDefault="00B06975" w:rsidP="003D5E6A">
      <w:pPr>
        <w:pStyle w:val="ListParagraph"/>
        <w:numPr>
          <w:ilvl w:val="0"/>
          <w:numId w:val="85"/>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Engel RM, de Luca K, Graham PL, </w:t>
      </w:r>
      <w:proofErr w:type="spellStart"/>
      <w:r w:rsidRPr="00A32D6C">
        <w:rPr>
          <w:rFonts w:eastAsiaTheme="minorHAnsi" w:cs="Arial"/>
          <w:szCs w:val="20"/>
          <w:lang w:eastAsia="en-US"/>
        </w:rPr>
        <w:t>Farshchi</w:t>
      </w:r>
      <w:proofErr w:type="spellEnd"/>
      <w:r w:rsidRPr="00A32D6C">
        <w:rPr>
          <w:rFonts w:eastAsiaTheme="minorHAnsi" w:cs="Arial"/>
          <w:szCs w:val="20"/>
          <w:lang w:eastAsia="en-US"/>
        </w:rPr>
        <w:t xml:space="preserve"> MK, </w:t>
      </w:r>
      <w:proofErr w:type="spellStart"/>
      <w:r w:rsidRPr="00A32D6C">
        <w:rPr>
          <w:rFonts w:eastAsiaTheme="minorHAnsi" w:cs="Arial"/>
          <w:szCs w:val="20"/>
          <w:lang w:eastAsia="en-US"/>
        </w:rPr>
        <w:t>Vemulpad</w:t>
      </w:r>
      <w:proofErr w:type="spellEnd"/>
      <w:r w:rsidRPr="00A32D6C">
        <w:rPr>
          <w:rFonts w:eastAsiaTheme="minorHAnsi" w:cs="Arial"/>
          <w:szCs w:val="20"/>
          <w:lang w:eastAsia="en-US"/>
        </w:rPr>
        <w:t xml:space="preserve"> S &amp; Byles J. (2022). Predictors of chronic obstructive pulmonary disease in women who have never smoked: a cohort study. </w:t>
      </w:r>
      <w:r w:rsidRPr="00A32D6C">
        <w:rPr>
          <w:rFonts w:eastAsiaTheme="minorHAnsi" w:cs="Arial"/>
          <w:i/>
          <w:iCs/>
          <w:szCs w:val="20"/>
          <w:lang w:eastAsia="en-US"/>
        </w:rPr>
        <w:t>ERJ Open Research</w:t>
      </w:r>
      <w:r w:rsidRPr="00A32D6C">
        <w:rPr>
          <w:rFonts w:eastAsiaTheme="minorHAnsi" w:cs="Arial"/>
          <w:szCs w:val="20"/>
          <w:lang w:eastAsia="en-US"/>
        </w:rPr>
        <w:t xml:space="preserve">; 8(2). </w:t>
      </w:r>
      <w:hyperlink r:id="rId135" w:history="1">
        <w:r w:rsidRPr="00A32D6C">
          <w:rPr>
            <w:rFonts w:eastAsiaTheme="minorHAnsi" w:cs="Arial"/>
            <w:color w:val="0000FF" w:themeColor="hyperlink"/>
            <w:szCs w:val="20"/>
            <w:u w:val="single"/>
            <w:lang w:eastAsia="en-US"/>
          </w:rPr>
          <w:t>https://doi.org/10.1183/23120541.00532-2021</w:t>
        </w:r>
      </w:hyperlink>
      <w:r w:rsidRPr="00A32D6C">
        <w:rPr>
          <w:rFonts w:eastAsiaTheme="minorHAnsi" w:cs="Arial"/>
          <w:szCs w:val="20"/>
          <w:lang w:eastAsia="en-US"/>
        </w:rPr>
        <w:t xml:space="preserve"> </w:t>
      </w:r>
    </w:p>
    <w:p w14:paraId="20B578AD" w14:textId="77777777" w:rsidR="00B06975" w:rsidRPr="00A32D6C" w:rsidRDefault="00B06975" w:rsidP="003D5E6A">
      <w:pPr>
        <w:pStyle w:val="ListParagraph"/>
        <w:numPr>
          <w:ilvl w:val="0"/>
          <w:numId w:val="85"/>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Magnus MC, Hockey RL, </w:t>
      </w:r>
      <w:proofErr w:type="spellStart"/>
      <w:r w:rsidRPr="00A32D6C">
        <w:rPr>
          <w:rFonts w:eastAsiaTheme="minorHAnsi" w:cs="Arial"/>
          <w:szCs w:val="20"/>
          <w:lang w:eastAsia="en-US"/>
        </w:rPr>
        <w:t>Haberg</w:t>
      </w:r>
      <w:proofErr w:type="spellEnd"/>
      <w:r w:rsidRPr="00A32D6C">
        <w:rPr>
          <w:rFonts w:eastAsiaTheme="minorHAnsi" w:cs="Arial"/>
          <w:szCs w:val="20"/>
          <w:lang w:eastAsia="en-US"/>
        </w:rPr>
        <w:t xml:space="preserve"> SE &amp; Mishra GD. (2022) Pre-pregnancy lifestyle characteristics and risk of miscarriage: The Australian Longitudinal Study on Women’s Health. BMC </w:t>
      </w:r>
      <w:r w:rsidRPr="00A32D6C">
        <w:rPr>
          <w:rFonts w:eastAsiaTheme="minorHAnsi" w:cs="Arial"/>
          <w:i/>
          <w:iCs/>
          <w:szCs w:val="20"/>
          <w:lang w:eastAsia="en-US"/>
        </w:rPr>
        <w:t>Pregnancy and Childbirth</w:t>
      </w:r>
      <w:r w:rsidRPr="00A32D6C">
        <w:rPr>
          <w:rFonts w:eastAsiaTheme="minorHAnsi" w:cs="Arial"/>
          <w:szCs w:val="20"/>
          <w:lang w:eastAsia="en-US"/>
        </w:rPr>
        <w:t xml:space="preserve">; 22:169. </w:t>
      </w:r>
      <w:hyperlink r:id="rId136" w:history="1">
        <w:r w:rsidRPr="00A32D6C">
          <w:rPr>
            <w:rFonts w:eastAsiaTheme="minorHAnsi" w:cs="Arial"/>
            <w:color w:val="0000FF" w:themeColor="hyperlink"/>
            <w:szCs w:val="20"/>
            <w:u w:val="single"/>
            <w:lang w:eastAsia="en-US"/>
          </w:rPr>
          <w:t>https://doi.org/10.1186/s12884-022-04482-9</w:t>
        </w:r>
      </w:hyperlink>
    </w:p>
    <w:p w14:paraId="6CE33B78" w14:textId="77777777" w:rsidR="00B06975" w:rsidRPr="00A32D6C" w:rsidRDefault="00B06975" w:rsidP="003D5E6A">
      <w:pPr>
        <w:pStyle w:val="ListParagraph"/>
        <w:numPr>
          <w:ilvl w:val="0"/>
          <w:numId w:val="85"/>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Rahman M, Jagger C, Leigh L, Holliday E, </w:t>
      </w:r>
      <w:proofErr w:type="spellStart"/>
      <w:r w:rsidRPr="00A32D6C">
        <w:rPr>
          <w:rFonts w:eastAsiaTheme="minorHAnsi" w:cs="Arial"/>
          <w:szCs w:val="20"/>
          <w:lang w:eastAsia="en-US"/>
        </w:rPr>
        <w:t>Princehor</w:t>
      </w:r>
      <w:proofErr w:type="spellEnd"/>
      <w:r w:rsidRPr="00A32D6C">
        <w:rPr>
          <w:rFonts w:eastAsiaTheme="minorHAnsi" w:cs="Arial"/>
          <w:szCs w:val="20"/>
          <w:lang w:eastAsia="en-US"/>
        </w:rPr>
        <w:t xml:space="preserve"> E, Loxton D, Kowal P, Beard J &amp; Byles J. (2022). The impact of education and lifestyle factors on disability-free life expectancy from mid-life to older age: A multi-cohort study. </w:t>
      </w:r>
      <w:r w:rsidRPr="00A32D6C">
        <w:rPr>
          <w:rFonts w:eastAsiaTheme="minorHAnsi" w:cs="Arial"/>
          <w:i/>
          <w:iCs/>
          <w:szCs w:val="20"/>
          <w:lang w:eastAsia="en-US"/>
        </w:rPr>
        <w:t>International Journal of Public Health</w:t>
      </w:r>
      <w:r w:rsidRPr="00A32D6C">
        <w:rPr>
          <w:rFonts w:eastAsiaTheme="minorHAnsi" w:cs="Arial"/>
          <w:szCs w:val="20"/>
          <w:lang w:eastAsia="en-US"/>
        </w:rPr>
        <w:t xml:space="preserve">; 67. </w:t>
      </w:r>
      <w:hyperlink r:id="rId137" w:history="1">
        <w:r w:rsidRPr="00A32D6C">
          <w:rPr>
            <w:rFonts w:eastAsiaTheme="minorHAnsi" w:cs="Arial"/>
            <w:color w:val="0000FF" w:themeColor="hyperlink"/>
            <w:szCs w:val="20"/>
            <w:u w:val="single"/>
            <w:lang w:eastAsia="en-US"/>
          </w:rPr>
          <w:t>https://doi.org/10.3389/ijph.2022.1605045</w:t>
        </w:r>
      </w:hyperlink>
      <w:r w:rsidRPr="00A32D6C">
        <w:rPr>
          <w:rFonts w:eastAsiaTheme="minorHAnsi" w:cs="Arial"/>
          <w:szCs w:val="20"/>
          <w:lang w:eastAsia="en-US"/>
        </w:rPr>
        <w:t xml:space="preserve"> </w:t>
      </w:r>
    </w:p>
    <w:p w14:paraId="646D5464" w14:textId="77777777" w:rsidR="00B06975" w:rsidRPr="00A32D6C" w:rsidRDefault="00B06975" w:rsidP="003D5E6A">
      <w:pPr>
        <w:pStyle w:val="ListParagraph"/>
        <w:numPr>
          <w:ilvl w:val="0"/>
          <w:numId w:val="85"/>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Wilson LF, Dobson AJ, Doust J &amp; Mishra GD. (2022). Socioeconomic, behavioural and health factors associated with chlamydia testing in sexually active young women: An Australian observational cohort study. </w:t>
      </w:r>
      <w:r w:rsidRPr="00A32D6C">
        <w:rPr>
          <w:rFonts w:eastAsiaTheme="minorHAnsi" w:cs="Arial"/>
          <w:i/>
          <w:iCs/>
          <w:szCs w:val="20"/>
          <w:lang w:eastAsia="en-US"/>
        </w:rPr>
        <w:t>Sexual Health</w:t>
      </w:r>
      <w:r w:rsidRPr="00A32D6C">
        <w:rPr>
          <w:rFonts w:eastAsiaTheme="minorHAnsi" w:cs="Arial"/>
          <w:szCs w:val="20"/>
          <w:lang w:eastAsia="en-US"/>
        </w:rPr>
        <w:t xml:space="preserve">; </w:t>
      </w:r>
      <w:hyperlink r:id="rId138" w:history="1">
        <w:r w:rsidRPr="00A32D6C">
          <w:rPr>
            <w:rFonts w:eastAsiaTheme="minorHAnsi" w:cs="Arial"/>
            <w:color w:val="0000FF" w:themeColor="hyperlink"/>
            <w:szCs w:val="20"/>
            <w:u w:val="single"/>
            <w:lang w:eastAsia="en-US"/>
          </w:rPr>
          <w:t>https://doi.org/10.1071/SH21230</w:t>
        </w:r>
      </w:hyperlink>
      <w:r w:rsidRPr="00A32D6C">
        <w:rPr>
          <w:rFonts w:eastAsiaTheme="minorHAnsi" w:cs="Arial"/>
          <w:szCs w:val="20"/>
          <w:lang w:eastAsia="en-US"/>
        </w:rPr>
        <w:t xml:space="preserve"> </w:t>
      </w:r>
    </w:p>
    <w:p w14:paraId="454507EA" w14:textId="77777777" w:rsidR="00B06975" w:rsidRPr="00A32D6C" w:rsidRDefault="00B06975" w:rsidP="00B06975">
      <w:pPr>
        <w:rPr>
          <w:rFonts w:cs="Arial"/>
          <w:b/>
          <w:bCs/>
          <w:szCs w:val="20"/>
        </w:rPr>
      </w:pPr>
      <w:r w:rsidRPr="00A32D6C">
        <w:rPr>
          <w:rFonts w:cs="Arial"/>
          <w:b/>
          <w:bCs/>
          <w:szCs w:val="20"/>
        </w:rPr>
        <w:t>Social factors in health and wellbeing</w:t>
      </w:r>
    </w:p>
    <w:p w14:paraId="044D7ED8" w14:textId="74554C04" w:rsidR="00B06975" w:rsidRPr="00A32D6C" w:rsidRDefault="00B06975" w:rsidP="003D5E6A">
      <w:pPr>
        <w:pStyle w:val="ListParagraph"/>
        <w:numPr>
          <w:ilvl w:val="0"/>
          <w:numId w:val="81"/>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Campbell A, Perales F, Hughes TL, Everett BG &amp; Baxter J.</w:t>
      </w:r>
      <w:r w:rsidR="00841EDE">
        <w:rPr>
          <w:rFonts w:eastAsiaTheme="minorHAnsi" w:cs="Arial"/>
          <w:szCs w:val="20"/>
          <w:lang w:eastAsia="en-US"/>
        </w:rPr>
        <w:t xml:space="preserve"> </w:t>
      </w:r>
      <w:r w:rsidRPr="00A32D6C">
        <w:rPr>
          <w:rFonts w:eastAsiaTheme="minorHAnsi" w:cs="Arial"/>
          <w:szCs w:val="20"/>
          <w:lang w:eastAsia="en-US"/>
        </w:rPr>
        <w:t xml:space="preserve">(2022). Sexual fluidity and psychological distress: What </w:t>
      </w:r>
      <w:proofErr w:type="gramStart"/>
      <w:r w:rsidRPr="00A32D6C">
        <w:rPr>
          <w:rFonts w:eastAsiaTheme="minorHAnsi" w:cs="Arial"/>
          <w:szCs w:val="20"/>
          <w:lang w:eastAsia="en-US"/>
        </w:rPr>
        <w:t>happens</w:t>
      </w:r>
      <w:proofErr w:type="gramEnd"/>
      <w:r w:rsidRPr="00A32D6C">
        <w:rPr>
          <w:rFonts w:eastAsiaTheme="minorHAnsi" w:cs="Arial"/>
          <w:szCs w:val="20"/>
          <w:lang w:eastAsia="en-US"/>
        </w:rPr>
        <w:t xml:space="preserve"> when young women’s sexual identities change? </w:t>
      </w:r>
      <w:r w:rsidRPr="00A32D6C">
        <w:rPr>
          <w:rFonts w:eastAsiaTheme="minorHAnsi" w:cs="Arial"/>
          <w:i/>
          <w:iCs/>
          <w:szCs w:val="20"/>
          <w:lang w:eastAsia="en-US"/>
        </w:rPr>
        <w:t xml:space="preserve">Journal of Health and Social </w:t>
      </w:r>
      <w:proofErr w:type="spellStart"/>
      <w:r w:rsidRPr="00A32D6C">
        <w:rPr>
          <w:rFonts w:eastAsiaTheme="minorHAnsi" w:cs="Arial"/>
          <w:i/>
          <w:iCs/>
          <w:szCs w:val="20"/>
          <w:lang w:eastAsia="en-US"/>
        </w:rPr>
        <w:t>Behavior</w:t>
      </w:r>
      <w:proofErr w:type="spellEnd"/>
      <w:r w:rsidRPr="00A32D6C">
        <w:rPr>
          <w:rFonts w:eastAsiaTheme="minorHAnsi" w:cs="Arial"/>
          <w:szCs w:val="20"/>
          <w:lang w:eastAsia="en-US"/>
        </w:rPr>
        <w:t xml:space="preserve">; </w:t>
      </w:r>
      <w:hyperlink r:id="rId139" w:history="1">
        <w:r w:rsidRPr="00A32D6C">
          <w:rPr>
            <w:rFonts w:eastAsiaTheme="minorHAnsi" w:cs="Arial"/>
            <w:color w:val="0000FF" w:themeColor="hyperlink"/>
            <w:szCs w:val="20"/>
            <w:u w:val="single"/>
            <w:lang w:eastAsia="en-US"/>
          </w:rPr>
          <w:t>https://doi.org/10.1177/00221465221086335</w:t>
        </w:r>
      </w:hyperlink>
      <w:r w:rsidRPr="00A32D6C">
        <w:rPr>
          <w:rFonts w:eastAsiaTheme="minorHAnsi" w:cs="Arial"/>
          <w:szCs w:val="20"/>
          <w:lang w:eastAsia="en-US"/>
        </w:rPr>
        <w:t xml:space="preserve"> </w:t>
      </w:r>
    </w:p>
    <w:p w14:paraId="5F1729C2" w14:textId="430EF514" w:rsidR="00665A3E" w:rsidRDefault="00665A3E" w:rsidP="003D5E6A">
      <w:pPr>
        <w:pStyle w:val="ListParagraph"/>
        <w:numPr>
          <w:ilvl w:val="0"/>
          <w:numId w:val="81"/>
        </w:numPr>
        <w:rPr>
          <w:rFonts w:cs="Arial"/>
          <w:szCs w:val="20"/>
        </w:rPr>
      </w:pPr>
      <w:r w:rsidRPr="00665A3E">
        <w:rPr>
          <w:rFonts w:cs="Arial"/>
          <w:szCs w:val="20"/>
        </w:rPr>
        <w:t xml:space="preserve">Freak-Poli R, Ryan J, Tran T, Owen A, McHugh Power J, Berk M, Stocks N, Gonzalez-Chica D, </w:t>
      </w:r>
      <w:proofErr w:type="spellStart"/>
      <w:r w:rsidRPr="00665A3E">
        <w:rPr>
          <w:rFonts w:cs="Arial"/>
          <w:szCs w:val="20"/>
        </w:rPr>
        <w:t>Lowthian</w:t>
      </w:r>
      <w:proofErr w:type="spellEnd"/>
      <w:r w:rsidRPr="00665A3E">
        <w:rPr>
          <w:rFonts w:cs="Arial"/>
          <w:szCs w:val="20"/>
        </w:rPr>
        <w:t xml:space="preserve"> J, Fisher J &amp; Byles J. (2022). Social isolation, social support and loneliness as independent concepts, and their relationship with health-related Quality of Life among older women. </w:t>
      </w:r>
      <w:r w:rsidRPr="00665A3E">
        <w:rPr>
          <w:rFonts w:cs="Arial"/>
          <w:i/>
          <w:iCs/>
          <w:szCs w:val="20"/>
        </w:rPr>
        <w:t>Aging and Mental Health</w:t>
      </w:r>
      <w:r w:rsidRPr="00665A3E">
        <w:rPr>
          <w:rFonts w:cs="Arial"/>
          <w:szCs w:val="20"/>
        </w:rPr>
        <w:t xml:space="preserve">, 26(7); 1335-1344.  </w:t>
      </w:r>
      <w:hyperlink r:id="rId140" w:history="1">
        <w:r w:rsidRPr="00665A3E">
          <w:rPr>
            <w:rStyle w:val="Hyperlink"/>
            <w:rFonts w:cs="Arial"/>
            <w:szCs w:val="20"/>
          </w:rPr>
          <w:t>https://doi.org/10.1080/13607863.2021.1940097</w:t>
        </w:r>
      </w:hyperlink>
      <w:r w:rsidRPr="00665A3E">
        <w:rPr>
          <w:rFonts w:cs="Arial"/>
          <w:szCs w:val="20"/>
        </w:rPr>
        <w:t xml:space="preserve"> </w:t>
      </w:r>
    </w:p>
    <w:p w14:paraId="2FDCDA55" w14:textId="77777777" w:rsidR="00665A3E" w:rsidRPr="00A049E4" w:rsidRDefault="00665A3E" w:rsidP="00A049E4">
      <w:pPr>
        <w:pStyle w:val="ListParagraph"/>
        <w:rPr>
          <w:rFonts w:cs="Arial"/>
          <w:szCs w:val="20"/>
        </w:rPr>
      </w:pPr>
    </w:p>
    <w:p w14:paraId="2C07C7FC" w14:textId="19474B0E" w:rsidR="00B06975" w:rsidRPr="00A32D6C" w:rsidRDefault="00B06975" w:rsidP="003D5E6A">
      <w:pPr>
        <w:pStyle w:val="ListParagraph"/>
        <w:numPr>
          <w:ilvl w:val="0"/>
          <w:numId w:val="81"/>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Lam J &amp; Campbell A. (2022) Life events and loneliness among older women of diverse sexual identities: Application of the Stress Process Model.</w:t>
      </w:r>
      <w:r w:rsidRPr="00A32D6C">
        <w:rPr>
          <w:rFonts w:eastAsiaTheme="minorHAnsi" w:cs="Arial"/>
          <w:i/>
          <w:iCs/>
          <w:szCs w:val="20"/>
          <w:lang w:eastAsia="en-US"/>
        </w:rPr>
        <w:t xml:space="preserve"> Research on Aging</w:t>
      </w:r>
      <w:r w:rsidRPr="00A32D6C">
        <w:rPr>
          <w:rFonts w:eastAsiaTheme="minorHAnsi" w:cs="Arial"/>
          <w:szCs w:val="20"/>
          <w:lang w:eastAsia="en-US"/>
        </w:rPr>
        <w:t xml:space="preserve">; </w:t>
      </w:r>
      <w:hyperlink r:id="rId141" w:history="1">
        <w:r w:rsidRPr="00A32D6C">
          <w:rPr>
            <w:rFonts w:eastAsiaTheme="minorHAnsi" w:cs="Arial"/>
            <w:color w:val="0000FF" w:themeColor="hyperlink"/>
            <w:szCs w:val="20"/>
            <w:u w:val="single"/>
            <w:lang w:eastAsia="en-US"/>
          </w:rPr>
          <w:t>https://doi.org/10.1177/01640275221090681</w:t>
        </w:r>
      </w:hyperlink>
      <w:r w:rsidRPr="00A32D6C">
        <w:rPr>
          <w:rFonts w:eastAsiaTheme="minorHAnsi" w:cs="Arial"/>
          <w:szCs w:val="20"/>
          <w:lang w:eastAsia="en-US"/>
        </w:rPr>
        <w:t xml:space="preserve"> </w:t>
      </w:r>
    </w:p>
    <w:p w14:paraId="418FEC22" w14:textId="77777777" w:rsidR="00B06975" w:rsidRPr="00A32D6C" w:rsidRDefault="00B06975" w:rsidP="003D5E6A">
      <w:pPr>
        <w:pStyle w:val="ListParagraph"/>
        <w:numPr>
          <w:ilvl w:val="0"/>
          <w:numId w:val="81"/>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lastRenderedPageBreak/>
        <w:t xml:space="preserve">Mishra GD, Baneshi MR, Dobson AJ &amp; Tooth LR. (2022). Maternal factors associated with interbirth intervals in Australia: Results from a population-based longitudinal study. </w:t>
      </w:r>
      <w:r w:rsidRPr="00A32D6C">
        <w:rPr>
          <w:rFonts w:eastAsiaTheme="minorHAnsi" w:cs="Arial"/>
          <w:i/>
          <w:iCs/>
          <w:szCs w:val="20"/>
          <w:lang w:eastAsia="en-US"/>
        </w:rPr>
        <w:t>Birth</w:t>
      </w:r>
      <w:r w:rsidRPr="00A32D6C">
        <w:rPr>
          <w:rFonts w:eastAsiaTheme="minorHAnsi" w:cs="Arial"/>
          <w:szCs w:val="20"/>
          <w:lang w:eastAsia="en-US"/>
        </w:rPr>
        <w:t xml:space="preserve">; </w:t>
      </w:r>
      <w:hyperlink r:id="rId142" w:history="1">
        <w:r w:rsidRPr="00A32D6C">
          <w:rPr>
            <w:rFonts w:eastAsiaTheme="minorHAnsi" w:cs="Arial"/>
            <w:color w:val="0000FF" w:themeColor="hyperlink"/>
            <w:szCs w:val="20"/>
            <w:u w:val="single"/>
            <w:lang w:eastAsia="en-US"/>
          </w:rPr>
          <w:t>https://doi.org/10.1111/birt.12638</w:t>
        </w:r>
      </w:hyperlink>
      <w:r w:rsidRPr="00A32D6C">
        <w:rPr>
          <w:rFonts w:eastAsiaTheme="minorHAnsi" w:cs="Arial"/>
          <w:szCs w:val="20"/>
          <w:lang w:eastAsia="en-US"/>
        </w:rPr>
        <w:t xml:space="preserve"> </w:t>
      </w:r>
    </w:p>
    <w:p w14:paraId="4962A92C" w14:textId="1636C892" w:rsidR="00B06975" w:rsidRDefault="00B06975" w:rsidP="003D5E6A">
      <w:pPr>
        <w:pStyle w:val="ListParagraph"/>
        <w:numPr>
          <w:ilvl w:val="0"/>
          <w:numId w:val="81"/>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Rahman M, Jagger C, Leigh L, Holliday E, </w:t>
      </w:r>
      <w:proofErr w:type="spellStart"/>
      <w:r w:rsidRPr="00A32D6C">
        <w:rPr>
          <w:rFonts w:eastAsiaTheme="minorHAnsi" w:cs="Arial"/>
          <w:szCs w:val="20"/>
          <w:lang w:eastAsia="en-US"/>
        </w:rPr>
        <w:t>Princehor</w:t>
      </w:r>
      <w:proofErr w:type="spellEnd"/>
      <w:r w:rsidRPr="00A32D6C">
        <w:rPr>
          <w:rFonts w:eastAsiaTheme="minorHAnsi" w:cs="Arial"/>
          <w:szCs w:val="20"/>
          <w:lang w:eastAsia="en-US"/>
        </w:rPr>
        <w:t xml:space="preserve"> E, Loxton D, Kowal P, Beard J &amp; Byles J. (2022). The impact of education and lifestyle factors on disability-free life expectancy from mid-life to older age: A multi-cohort study. </w:t>
      </w:r>
      <w:r w:rsidRPr="00A32D6C">
        <w:rPr>
          <w:rFonts w:eastAsiaTheme="minorHAnsi" w:cs="Arial"/>
          <w:i/>
          <w:iCs/>
          <w:szCs w:val="20"/>
          <w:lang w:eastAsia="en-US"/>
        </w:rPr>
        <w:t>International Journal of Public Health</w:t>
      </w:r>
      <w:r w:rsidRPr="00A32D6C">
        <w:rPr>
          <w:rFonts w:eastAsiaTheme="minorHAnsi" w:cs="Arial"/>
          <w:szCs w:val="20"/>
          <w:lang w:eastAsia="en-US"/>
        </w:rPr>
        <w:t xml:space="preserve">; 67. </w:t>
      </w:r>
      <w:hyperlink r:id="rId143" w:history="1">
        <w:r w:rsidRPr="00A32D6C">
          <w:rPr>
            <w:rFonts w:eastAsiaTheme="minorHAnsi" w:cs="Arial"/>
            <w:color w:val="0000FF" w:themeColor="hyperlink"/>
            <w:szCs w:val="20"/>
            <w:u w:val="single"/>
            <w:lang w:eastAsia="en-US"/>
          </w:rPr>
          <w:t>https://doi.org/10.3389/ijph.2022.1605045</w:t>
        </w:r>
      </w:hyperlink>
      <w:r w:rsidRPr="00A32D6C">
        <w:rPr>
          <w:rFonts w:eastAsiaTheme="minorHAnsi" w:cs="Arial"/>
          <w:szCs w:val="20"/>
          <w:lang w:eastAsia="en-US"/>
        </w:rPr>
        <w:t xml:space="preserve"> </w:t>
      </w:r>
    </w:p>
    <w:p w14:paraId="3794D49C" w14:textId="77777777" w:rsidR="006E3038" w:rsidRPr="006E3038" w:rsidRDefault="006E3038" w:rsidP="003D5E6A">
      <w:pPr>
        <w:pStyle w:val="ListParagraph"/>
        <w:numPr>
          <w:ilvl w:val="0"/>
          <w:numId w:val="81"/>
        </w:numPr>
        <w:spacing w:before="0" w:after="160"/>
        <w:jc w:val="left"/>
        <w:rPr>
          <w:rFonts w:eastAsiaTheme="minorHAnsi" w:cs="Arial"/>
          <w:szCs w:val="20"/>
          <w:lang w:eastAsia="en-US"/>
        </w:rPr>
      </w:pPr>
      <w:r w:rsidRPr="006E3038">
        <w:rPr>
          <w:rFonts w:cs="Arial"/>
          <w:szCs w:val="20"/>
        </w:rPr>
        <w:t xml:space="preserve">Wilson LF, Xu Z, Doust J, Mishra GD &amp; Dobson AJ. (2022).  Associations of socioeconomic and health factors with dental non-attendance: A comparison of three cohorts of women.  </w:t>
      </w:r>
      <w:r w:rsidRPr="006E3038">
        <w:rPr>
          <w:rFonts w:cs="Arial"/>
          <w:i/>
          <w:iCs/>
          <w:szCs w:val="20"/>
        </w:rPr>
        <w:t xml:space="preserve">Community Dentistry and Oral Epidemiology. </w:t>
      </w:r>
      <w:r w:rsidRPr="006E3038">
        <w:rPr>
          <w:rFonts w:cs="Arial"/>
          <w:szCs w:val="20"/>
        </w:rPr>
        <w:t xml:space="preserve"> </w:t>
      </w:r>
      <w:hyperlink r:id="rId144" w:history="1">
        <w:r w:rsidRPr="006E3038">
          <w:rPr>
            <w:rStyle w:val="Hyperlink"/>
            <w:rFonts w:cs="Arial"/>
            <w:szCs w:val="20"/>
          </w:rPr>
          <w:t>https://doi.org/10.1111/cdoe.12776</w:t>
        </w:r>
      </w:hyperlink>
      <w:r w:rsidRPr="006E3038">
        <w:rPr>
          <w:rFonts w:cs="Arial"/>
          <w:szCs w:val="20"/>
        </w:rPr>
        <w:t xml:space="preserve"> </w:t>
      </w:r>
    </w:p>
    <w:p w14:paraId="5E0AC7AC" w14:textId="77777777" w:rsidR="00B06975" w:rsidRPr="00A32D6C" w:rsidRDefault="00B06975" w:rsidP="00B06975">
      <w:pPr>
        <w:rPr>
          <w:rFonts w:cs="Arial"/>
          <w:b/>
          <w:bCs/>
          <w:szCs w:val="20"/>
        </w:rPr>
      </w:pPr>
      <w:r w:rsidRPr="00A32D6C">
        <w:rPr>
          <w:rFonts w:cs="Arial"/>
          <w:b/>
          <w:bCs/>
          <w:szCs w:val="20"/>
        </w:rPr>
        <w:t>Children’s health and development</w:t>
      </w:r>
    </w:p>
    <w:p w14:paraId="5E9AECF8" w14:textId="77777777" w:rsidR="00B06975" w:rsidRPr="00A32D6C" w:rsidRDefault="00B06975" w:rsidP="003D5E6A">
      <w:pPr>
        <w:pStyle w:val="ListParagraph"/>
        <w:numPr>
          <w:ilvl w:val="0"/>
          <w:numId w:val="86"/>
        </w:numPr>
        <w:spacing w:before="0" w:after="160"/>
        <w:ind w:left="714" w:hanging="357"/>
        <w:contextualSpacing w:val="0"/>
        <w:jc w:val="left"/>
        <w:rPr>
          <w:rFonts w:eastAsiaTheme="minorHAnsi" w:cs="Arial"/>
          <w:szCs w:val="20"/>
          <w:lang w:eastAsia="en-US"/>
        </w:rPr>
      </w:pPr>
      <w:bookmarkStart w:id="1168" w:name="_Hlk118372887"/>
      <w:r w:rsidRPr="00A32D6C">
        <w:rPr>
          <w:rFonts w:eastAsiaTheme="minorHAnsi" w:cs="Arial"/>
          <w:szCs w:val="20"/>
          <w:lang w:eastAsia="en-US"/>
        </w:rPr>
        <w:t xml:space="preserve">Ahmed SM, Knibbs LD, Moss KM, Mouly TA, Yang IA &amp; Mishra GD. (2022). Residential greenspace and early childhood development and academic performance: A longitudinal analysis of Australian children aged 4-12 years. Science of The Total Environment; 833: 155214. </w:t>
      </w:r>
      <w:hyperlink r:id="rId145" w:history="1">
        <w:r w:rsidRPr="00A32D6C">
          <w:rPr>
            <w:rFonts w:eastAsiaTheme="minorHAnsi" w:cs="Arial"/>
            <w:color w:val="0000FF" w:themeColor="hyperlink"/>
            <w:szCs w:val="20"/>
            <w:u w:val="single"/>
            <w:lang w:eastAsia="en-US"/>
          </w:rPr>
          <w:t>https://doi.org/10.1016/j.scitotenv.2022.155214</w:t>
        </w:r>
      </w:hyperlink>
      <w:r w:rsidRPr="00A32D6C">
        <w:rPr>
          <w:rFonts w:eastAsiaTheme="minorHAnsi" w:cs="Arial"/>
          <w:szCs w:val="20"/>
          <w:lang w:eastAsia="en-US"/>
        </w:rPr>
        <w:t xml:space="preserve"> </w:t>
      </w:r>
    </w:p>
    <w:bookmarkEnd w:id="1168"/>
    <w:p w14:paraId="35632D67" w14:textId="08FC6010" w:rsidR="006E3038" w:rsidRPr="00A049E4" w:rsidRDefault="006E3038" w:rsidP="003D5E6A">
      <w:pPr>
        <w:pStyle w:val="ListParagraph"/>
        <w:numPr>
          <w:ilvl w:val="0"/>
          <w:numId w:val="86"/>
        </w:numPr>
        <w:spacing w:before="0" w:after="160"/>
        <w:jc w:val="left"/>
        <w:rPr>
          <w:rFonts w:eastAsiaTheme="minorHAnsi" w:cs="Arial"/>
          <w:szCs w:val="20"/>
          <w:lang w:eastAsia="en-US"/>
        </w:rPr>
      </w:pPr>
      <w:r w:rsidRPr="00A049E4">
        <w:rPr>
          <w:rFonts w:cs="Arial"/>
          <w:szCs w:val="20"/>
        </w:rPr>
        <w:t xml:space="preserve">Ahmed SM, Mishra GD, Moss KM, Mouly TA, Yang IA &amp; Knibbs LD. (2022). Association between greenspace and health-related quality of life in children aged 0-12 years.  </w:t>
      </w:r>
      <w:r w:rsidRPr="00A049E4">
        <w:rPr>
          <w:rFonts w:cs="Arial"/>
          <w:i/>
          <w:iCs/>
          <w:szCs w:val="20"/>
        </w:rPr>
        <w:t>Environmental Research,</w:t>
      </w:r>
      <w:r w:rsidRPr="00A049E4">
        <w:rPr>
          <w:rFonts w:cs="Arial"/>
          <w:szCs w:val="20"/>
        </w:rPr>
        <w:t xml:space="preserve"> 214(1): 113759.  </w:t>
      </w:r>
      <w:hyperlink r:id="rId146" w:history="1">
        <w:r w:rsidRPr="00A049E4">
          <w:rPr>
            <w:rStyle w:val="Hyperlink"/>
            <w:rFonts w:cs="Arial"/>
            <w:szCs w:val="20"/>
          </w:rPr>
          <w:t>https://doi.org/10.1016/j.envres.2022.113759</w:t>
        </w:r>
      </w:hyperlink>
      <w:r w:rsidRPr="006E3038">
        <w:rPr>
          <w:rFonts w:cs="Arial"/>
          <w:szCs w:val="20"/>
        </w:rPr>
        <w:t xml:space="preserve"> </w:t>
      </w:r>
    </w:p>
    <w:p w14:paraId="54FDFAC9" w14:textId="77777777" w:rsidR="006E3038" w:rsidRPr="006E3038" w:rsidRDefault="006E3038" w:rsidP="00A049E4">
      <w:pPr>
        <w:pStyle w:val="ListParagraph"/>
        <w:spacing w:before="0" w:after="160"/>
        <w:jc w:val="left"/>
        <w:rPr>
          <w:rFonts w:eastAsiaTheme="minorHAnsi" w:cs="Arial"/>
          <w:szCs w:val="20"/>
          <w:lang w:eastAsia="en-US"/>
        </w:rPr>
      </w:pPr>
    </w:p>
    <w:p w14:paraId="7881DDFA" w14:textId="345538E3" w:rsidR="00B06975" w:rsidRPr="00A32D6C" w:rsidRDefault="00B06975" w:rsidP="003D5E6A">
      <w:pPr>
        <w:pStyle w:val="ListParagraph"/>
        <w:numPr>
          <w:ilvl w:val="0"/>
          <w:numId w:val="86"/>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Gete DG, Waller M &amp; Mishra GD. (2022). The role of child diets in the association between pre-pregnancy diets and childhood </w:t>
      </w:r>
      <w:proofErr w:type="spellStart"/>
      <w:r w:rsidRPr="00A32D6C">
        <w:rPr>
          <w:rFonts w:eastAsiaTheme="minorHAnsi" w:cs="Arial"/>
          <w:szCs w:val="20"/>
          <w:lang w:eastAsia="en-US"/>
        </w:rPr>
        <w:t>behavioral</w:t>
      </w:r>
      <w:proofErr w:type="spellEnd"/>
      <w:r w:rsidRPr="00A32D6C">
        <w:rPr>
          <w:rFonts w:eastAsiaTheme="minorHAnsi" w:cs="Arial"/>
          <w:szCs w:val="20"/>
          <w:lang w:eastAsia="en-US"/>
        </w:rPr>
        <w:t xml:space="preserve"> problems: A mediation analysis. </w:t>
      </w:r>
      <w:r w:rsidRPr="00A32D6C">
        <w:rPr>
          <w:rFonts w:eastAsiaTheme="minorHAnsi" w:cs="Arial"/>
          <w:i/>
          <w:iCs/>
          <w:szCs w:val="20"/>
          <w:lang w:eastAsia="en-US"/>
        </w:rPr>
        <w:t>Public Health Nutrition</w:t>
      </w:r>
      <w:r w:rsidRPr="00A32D6C">
        <w:rPr>
          <w:rFonts w:eastAsiaTheme="minorHAnsi" w:cs="Arial"/>
          <w:szCs w:val="20"/>
          <w:lang w:eastAsia="en-US"/>
        </w:rPr>
        <w:t xml:space="preserve">; </w:t>
      </w:r>
      <w:hyperlink r:id="rId147" w:history="1">
        <w:r w:rsidRPr="00A32D6C">
          <w:rPr>
            <w:rStyle w:val="Hyperlink"/>
            <w:rFonts w:eastAsiaTheme="minorHAnsi" w:cs="Arial"/>
            <w:szCs w:val="20"/>
            <w:lang w:eastAsia="en-US"/>
          </w:rPr>
          <w:t>https://doi</w:t>
        </w:r>
      </w:hyperlink>
      <w:r w:rsidRPr="00A32D6C">
        <w:rPr>
          <w:rFonts w:eastAsiaTheme="minorHAnsi" w:cs="Arial"/>
          <w:szCs w:val="20"/>
          <w:lang w:eastAsia="en-US"/>
        </w:rPr>
        <w:t>.org/10.1017/S1368980022001410</w:t>
      </w:r>
    </w:p>
    <w:p w14:paraId="292DB1A3" w14:textId="77777777" w:rsidR="00B06975" w:rsidRPr="00A32D6C" w:rsidRDefault="00B06975" w:rsidP="003D5E6A">
      <w:pPr>
        <w:pStyle w:val="ListParagraph"/>
        <w:numPr>
          <w:ilvl w:val="0"/>
          <w:numId w:val="86"/>
        </w:numPr>
        <w:spacing w:before="0" w:after="160"/>
        <w:ind w:left="714" w:hanging="357"/>
        <w:contextualSpacing w:val="0"/>
        <w:jc w:val="left"/>
        <w:rPr>
          <w:rFonts w:eastAsiaTheme="minorHAnsi" w:cs="Arial"/>
          <w:szCs w:val="20"/>
          <w:lang w:eastAsia="en-US"/>
        </w:rPr>
      </w:pPr>
      <w:bookmarkStart w:id="1169" w:name="_Hlk118372915"/>
      <w:r w:rsidRPr="00A32D6C">
        <w:rPr>
          <w:rFonts w:eastAsiaTheme="minorHAnsi" w:cs="Arial"/>
          <w:szCs w:val="20"/>
          <w:lang w:eastAsia="en-US"/>
        </w:rPr>
        <w:t xml:space="preserve">Tooth LR, Moss KM &amp; Mishra GD. (2022). Adherence to screen time guidelines among families in Australia with children of different ages. </w:t>
      </w:r>
      <w:r w:rsidRPr="00A32D6C">
        <w:rPr>
          <w:rFonts w:eastAsiaTheme="minorHAnsi" w:cs="Arial"/>
          <w:i/>
          <w:iCs/>
          <w:szCs w:val="20"/>
          <w:lang w:eastAsia="en-US"/>
        </w:rPr>
        <w:t xml:space="preserve">JAMA </w:t>
      </w:r>
      <w:proofErr w:type="spellStart"/>
      <w:r w:rsidRPr="00A32D6C">
        <w:rPr>
          <w:rFonts w:eastAsiaTheme="minorHAnsi" w:cs="Arial"/>
          <w:i/>
          <w:iCs/>
          <w:szCs w:val="20"/>
          <w:lang w:eastAsia="en-US"/>
        </w:rPr>
        <w:t>Pediatrics</w:t>
      </w:r>
      <w:proofErr w:type="spellEnd"/>
      <w:r w:rsidRPr="00A32D6C">
        <w:rPr>
          <w:rFonts w:eastAsiaTheme="minorHAnsi" w:cs="Arial"/>
          <w:szCs w:val="20"/>
          <w:lang w:eastAsia="en-US"/>
        </w:rPr>
        <w:t xml:space="preserve">; </w:t>
      </w:r>
      <w:hyperlink r:id="rId148" w:history="1">
        <w:r w:rsidRPr="00A32D6C">
          <w:rPr>
            <w:rFonts w:eastAsiaTheme="minorHAnsi" w:cs="Arial"/>
            <w:color w:val="0000FF" w:themeColor="hyperlink"/>
            <w:szCs w:val="20"/>
            <w:u w:val="single"/>
            <w:lang w:eastAsia="en-US"/>
          </w:rPr>
          <w:t>https://doi.org/10.1001/jamapediatrics.2021.6382</w:t>
        </w:r>
      </w:hyperlink>
    </w:p>
    <w:bookmarkEnd w:id="1169"/>
    <w:p w14:paraId="1F323473" w14:textId="77777777" w:rsidR="00B06975" w:rsidRPr="00A46CDE" w:rsidRDefault="00B06975" w:rsidP="00B06975">
      <w:pPr>
        <w:rPr>
          <w:rFonts w:cs="Arial"/>
          <w:b/>
          <w:bCs/>
          <w:szCs w:val="20"/>
        </w:rPr>
      </w:pPr>
      <w:r w:rsidRPr="00A46CDE">
        <w:rPr>
          <w:rFonts w:cs="Arial"/>
          <w:b/>
          <w:bCs/>
          <w:szCs w:val="20"/>
        </w:rPr>
        <w:t>Methodology</w:t>
      </w:r>
    </w:p>
    <w:p w14:paraId="6412EEAD" w14:textId="77777777" w:rsidR="00B06975" w:rsidRPr="00A46CDE" w:rsidRDefault="00B06975" w:rsidP="003D5E6A">
      <w:pPr>
        <w:pStyle w:val="ListParagraph"/>
        <w:numPr>
          <w:ilvl w:val="0"/>
          <w:numId w:val="84"/>
        </w:numPr>
        <w:spacing w:before="0" w:after="160"/>
        <w:ind w:left="714" w:hanging="357"/>
        <w:contextualSpacing w:val="0"/>
        <w:jc w:val="left"/>
        <w:rPr>
          <w:rFonts w:eastAsiaTheme="minorHAnsi" w:cs="Arial"/>
          <w:szCs w:val="20"/>
          <w:lang w:eastAsia="en-US"/>
        </w:rPr>
      </w:pPr>
      <w:r w:rsidRPr="00A46CDE">
        <w:rPr>
          <w:rFonts w:eastAsiaTheme="minorHAnsi" w:cs="Arial"/>
          <w:szCs w:val="20"/>
          <w:lang w:eastAsia="en-US"/>
        </w:rPr>
        <w:t xml:space="preserve">Rahman M, Jagger C, Princehorn EM, Holliday EG, Leigh L, Loxton D, Beard J, Kowal P, &amp; Byles JE. (2022). Onset and progression of chronic disease and disability in a large cohort of older Australian women. </w:t>
      </w:r>
      <w:proofErr w:type="spellStart"/>
      <w:r w:rsidRPr="00A46CDE">
        <w:rPr>
          <w:rFonts w:eastAsiaTheme="minorHAnsi" w:cs="Arial"/>
          <w:szCs w:val="20"/>
          <w:lang w:eastAsia="en-US"/>
        </w:rPr>
        <w:t>Maturitas</w:t>
      </w:r>
      <w:proofErr w:type="spellEnd"/>
      <w:r w:rsidRPr="00A46CDE">
        <w:rPr>
          <w:rFonts w:eastAsiaTheme="minorHAnsi" w:cs="Arial"/>
          <w:szCs w:val="20"/>
          <w:lang w:eastAsia="en-US"/>
        </w:rPr>
        <w:t xml:space="preserve">; 158(1): 25-33. </w:t>
      </w:r>
      <w:hyperlink r:id="rId149" w:history="1">
        <w:r w:rsidRPr="00A46CDE">
          <w:rPr>
            <w:rFonts w:eastAsiaTheme="minorHAnsi" w:cs="Arial"/>
            <w:color w:val="0000FF" w:themeColor="hyperlink"/>
            <w:szCs w:val="20"/>
            <w:u w:val="single"/>
            <w:lang w:eastAsia="en-US"/>
          </w:rPr>
          <w:t>https://doi.org/10.1016/j.maturitas.2021.11.007</w:t>
        </w:r>
      </w:hyperlink>
      <w:r w:rsidRPr="00A46CDE">
        <w:rPr>
          <w:rFonts w:eastAsiaTheme="minorHAnsi" w:cs="Arial"/>
          <w:szCs w:val="20"/>
          <w:lang w:eastAsia="en-US"/>
        </w:rPr>
        <w:t xml:space="preserve"> </w:t>
      </w:r>
    </w:p>
    <w:p w14:paraId="455B46F4" w14:textId="77777777" w:rsidR="00B06975" w:rsidRPr="00A32D6C" w:rsidRDefault="00B06975" w:rsidP="003D5E6A">
      <w:pPr>
        <w:pStyle w:val="ListParagraph"/>
        <w:numPr>
          <w:ilvl w:val="0"/>
          <w:numId w:val="84"/>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Xu Z, Hockey R, McElwee P, Waller M &amp; Dobson A. (2022). Accuracy of death certifications of diabetes, dementia, and cancer in Australia: a population-based cohort study. </w:t>
      </w:r>
      <w:r w:rsidRPr="00A32D6C">
        <w:rPr>
          <w:rFonts w:eastAsiaTheme="minorHAnsi" w:cs="Arial"/>
          <w:i/>
          <w:iCs/>
          <w:szCs w:val="20"/>
          <w:lang w:eastAsia="en-US"/>
        </w:rPr>
        <w:t>BMC Public Health</w:t>
      </w:r>
      <w:r w:rsidRPr="00A32D6C">
        <w:rPr>
          <w:rFonts w:eastAsiaTheme="minorHAnsi" w:cs="Arial"/>
          <w:szCs w:val="20"/>
          <w:lang w:eastAsia="en-US"/>
        </w:rPr>
        <w:t xml:space="preserve">; 22(1): 902. </w:t>
      </w:r>
      <w:hyperlink r:id="rId150" w:history="1">
        <w:r w:rsidRPr="00A32D6C">
          <w:rPr>
            <w:rFonts w:eastAsiaTheme="minorHAnsi" w:cs="Arial"/>
            <w:color w:val="0000FF" w:themeColor="hyperlink"/>
            <w:szCs w:val="20"/>
            <w:u w:val="single"/>
            <w:lang w:eastAsia="en-US"/>
          </w:rPr>
          <w:t>https://doi.org/10.1186/s12889-022-13304-8</w:t>
        </w:r>
      </w:hyperlink>
    </w:p>
    <w:p w14:paraId="59BDCBE4" w14:textId="77777777" w:rsidR="00B06975" w:rsidRPr="00A32D6C" w:rsidRDefault="00B06975" w:rsidP="00B06975">
      <w:pPr>
        <w:pStyle w:val="ListParagraph"/>
        <w:spacing w:before="0" w:after="160"/>
        <w:ind w:left="714"/>
        <w:contextualSpacing w:val="0"/>
        <w:jc w:val="left"/>
        <w:rPr>
          <w:rFonts w:eastAsiaTheme="minorHAnsi" w:cs="Arial"/>
          <w:szCs w:val="20"/>
          <w:lang w:eastAsia="en-US"/>
        </w:rPr>
      </w:pPr>
      <w:r w:rsidRPr="00A32D6C">
        <w:rPr>
          <w:rFonts w:eastAsiaTheme="minorHAnsi" w:cs="Arial"/>
          <w:szCs w:val="20"/>
          <w:lang w:eastAsia="en-US"/>
        </w:rPr>
        <w:t xml:space="preserve"> </w:t>
      </w:r>
    </w:p>
    <w:p w14:paraId="6143CE15" w14:textId="77777777" w:rsidR="00B06975" w:rsidRPr="00A32D6C" w:rsidRDefault="00B06975" w:rsidP="00B06975">
      <w:pPr>
        <w:rPr>
          <w:rFonts w:cs="Arial"/>
          <w:b/>
          <w:bCs/>
          <w:szCs w:val="20"/>
        </w:rPr>
      </w:pPr>
      <w:r w:rsidRPr="00A32D6C">
        <w:rPr>
          <w:rFonts w:cs="Arial"/>
          <w:b/>
          <w:bCs/>
          <w:szCs w:val="20"/>
        </w:rPr>
        <w:lastRenderedPageBreak/>
        <w:t>Abuse</w:t>
      </w:r>
    </w:p>
    <w:p w14:paraId="0145D6D2" w14:textId="77777777" w:rsidR="00B06975" w:rsidRPr="00A32D6C" w:rsidRDefault="00B06975" w:rsidP="003D5E6A">
      <w:pPr>
        <w:pStyle w:val="ListParagraph"/>
        <w:numPr>
          <w:ilvl w:val="0"/>
          <w:numId w:val="85"/>
        </w:numPr>
        <w:spacing w:before="0" w:after="160"/>
        <w:ind w:left="714" w:hanging="357"/>
        <w:contextualSpacing w:val="0"/>
        <w:jc w:val="left"/>
        <w:rPr>
          <w:rFonts w:eastAsiaTheme="minorHAnsi" w:cs="Arial"/>
          <w:szCs w:val="20"/>
          <w:lang w:eastAsia="en-US"/>
        </w:rPr>
      </w:pPr>
      <w:r w:rsidRPr="00A32D6C">
        <w:rPr>
          <w:rFonts w:eastAsiaTheme="minorHAnsi" w:cs="Arial"/>
          <w:szCs w:val="20"/>
          <w:lang w:eastAsia="en-US"/>
        </w:rPr>
        <w:t xml:space="preserve">Abdulbasit M. Seid, Gita D. Mishra, Annette J. Dobson. (2022). The association between childhood sexual abuse and historical intimate partner violence with body mass index and diabetes: Evidence from the Australian Longitudinal Study on Women’s Health. </w:t>
      </w:r>
      <w:r w:rsidRPr="00A32D6C">
        <w:rPr>
          <w:rFonts w:eastAsiaTheme="minorHAnsi" w:cs="Arial"/>
          <w:i/>
          <w:iCs/>
          <w:szCs w:val="20"/>
          <w:lang w:eastAsia="en-US"/>
        </w:rPr>
        <w:t>Preventive Medicin</w:t>
      </w:r>
      <w:r w:rsidRPr="00A32D6C">
        <w:rPr>
          <w:rFonts w:eastAsiaTheme="minorHAnsi" w:cs="Arial"/>
          <w:szCs w:val="20"/>
          <w:lang w:eastAsia="en-US"/>
        </w:rPr>
        <w:t xml:space="preserve">e; 161: 107134. </w:t>
      </w:r>
      <w:hyperlink r:id="rId151" w:history="1">
        <w:r w:rsidRPr="00A32D6C">
          <w:rPr>
            <w:rFonts w:eastAsiaTheme="minorHAnsi" w:cs="Arial"/>
            <w:color w:val="0000FF" w:themeColor="hyperlink"/>
            <w:szCs w:val="20"/>
            <w:u w:val="single"/>
            <w:lang w:eastAsia="en-US"/>
          </w:rPr>
          <w:t>https://doi.org/10.1016/j.ypmed.2022.107134</w:t>
        </w:r>
      </w:hyperlink>
      <w:r w:rsidRPr="00A32D6C">
        <w:rPr>
          <w:rFonts w:eastAsiaTheme="minorHAnsi" w:cs="Arial"/>
          <w:szCs w:val="20"/>
          <w:lang w:eastAsia="en-US"/>
        </w:rPr>
        <w:t xml:space="preserve"> </w:t>
      </w:r>
    </w:p>
    <w:p w14:paraId="41BE3220" w14:textId="5552D99A" w:rsidR="00B06975" w:rsidRPr="00A32D6C" w:rsidRDefault="00B06975" w:rsidP="00B06975">
      <w:pPr>
        <w:rPr>
          <w:rFonts w:cs="Arial"/>
          <w:b/>
          <w:bCs/>
          <w:szCs w:val="20"/>
        </w:rPr>
      </w:pPr>
      <w:r w:rsidRPr="00A32D6C">
        <w:rPr>
          <w:rFonts w:cs="Arial"/>
          <w:b/>
          <w:bCs/>
          <w:szCs w:val="20"/>
        </w:rPr>
        <w:t>Environmental health</w:t>
      </w:r>
    </w:p>
    <w:p w14:paraId="3895D635" w14:textId="77777777" w:rsidR="00B06975" w:rsidRPr="00A32D6C" w:rsidRDefault="00B06975" w:rsidP="003D5E6A">
      <w:pPr>
        <w:pStyle w:val="ListParagraph"/>
        <w:numPr>
          <w:ilvl w:val="0"/>
          <w:numId w:val="87"/>
        </w:numPr>
        <w:spacing w:before="0" w:after="0"/>
        <w:ind w:left="714" w:hanging="357"/>
        <w:jc w:val="left"/>
        <w:rPr>
          <w:rFonts w:cs="Arial"/>
          <w:szCs w:val="20"/>
        </w:rPr>
      </w:pPr>
      <w:r w:rsidRPr="00A32D6C">
        <w:rPr>
          <w:rFonts w:cs="Arial"/>
          <w:szCs w:val="20"/>
        </w:rPr>
        <w:t xml:space="preserve">Ahmed SM, Knibbs LD, Moss KM, Mouly TA, Yang IA &amp; Mishra GD. (2022). Residential greenspace and early childhood development and academic performance: A longitudinal analysis of Australian children aged 4-12 years. Science of The Total Environment; 833: 155214. </w:t>
      </w:r>
      <w:hyperlink r:id="rId152" w:history="1">
        <w:r w:rsidRPr="00A32D6C">
          <w:rPr>
            <w:rStyle w:val="Hyperlink"/>
            <w:rFonts w:eastAsiaTheme="majorEastAsia" w:cs="Arial"/>
            <w:szCs w:val="20"/>
          </w:rPr>
          <w:t>https://doi.org/10.1016/j.scitotenv.2022.155214</w:t>
        </w:r>
      </w:hyperlink>
      <w:r w:rsidRPr="00A32D6C">
        <w:rPr>
          <w:rFonts w:cs="Arial"/>
          <w:szCs w:val="20"/>
        </w:rPr>
        <w:t xml:space="preserve"> </w:t>
      </w:r>
    </w:p>
    <w:p w14:paraId="2569B0BD" w14:textId="77777777" w:rsidR="006E3038" w:rsidRPr="00813201" w:rsidRDefault="006E3038" w:rsidP="003D5E6A">
      <w:pPr>
        <w:pStyle w:val="ListParagraph"/>
        <w:numPr>
          <w:ilvl w:val="0"/>
          <w:numId w:val="87"/>
        </w:numPr>
        <w:spacing w:before="0" w:after="160"/>
        <w:jc w:val="left"/>
        <w:rPr>
          <w:rFonts w:eastAsiaTheme="minorHAnsi" w:cs="Arial"/>
          <w:szCs w:val="20"/>
          <w:lang w:eastAsia="en-US"/>
        </w:rPr>
      </w:pPr>
      <w:r w:rsidRPr="00813201">
        <w:rPr>
          <w:rFonts w:cs="Arial"/>
          <w:szCs w:val="20"/>
        </w:rPr>
        <w:t xml:space="preserve">Ahmed SM, Mishra GD, Moss KM, Mouly TA, Yang IA &amp; Knibbs LD. (2022). Association between greenspace and health-related quality of life in children aged 0-12 years.  </w:t>
      </w:r>
      <w:r w:rsidRPr="00813201">
        <w:rPr>
          <w:rFonts w:cs="Arial"/>
          <w:i/>
          <w:iCs/>
          <w:szCs w:val="20"/>
        </w:rPr>
        <w:t>Environmental Research,</w:t>
      </w:r>
      <w:r w:rsidRPr="00813201">
        <w:rPr>
          <w:rFonts w:cs="Arial"/>
          <w:szCs w:val="20"/>
        </w:rPr>
        <w:t xml:space="preserve"> 214(1): 113759.  </w:t>
      </w:r>
      <w:hyperlink r:id="rId153" w:history="1">
        <w:r w:rsidRPr="00813201">
          <w:rPr>
            <w:rStyle w:val="Hyperlink"/>
            <w:rFonts w:cs="Arial"/>
            <w:szCs w:val="20"/>
          </w:rPr>
          <w:t>https://doi.org/10.1016/j.envres.2022.113759</w:t>
        </w:r>
      </w:hyperlink>
      <w:r w:rsidRPr="006E3038">
        <w:rPr>
          <w:rFonts w:cs="Arial"/>
          <w:szCs w:val="20"/>
        </w:rPr>
        <w:t xml:space="preserve"> </w:t>
      </w:r>
    </w:p>
    <w:p w14:paraId="3F298678" w14:textId="77777777" w:rsidR="00B06975" w:rsidRPr="00A32D6C" w:rsidRDefault="00B06975" w:rsidP="00B06975">
      <w:pPr>
        <w:rPr>
          <w:rFonts w:cs="Arial"/>
          <w:b/>
          <w:bCs/>
          <w:szCs w:val="20"/>
        </w:rPr>
      </w:pPr>
      <w:r w:rsidRPr="00A32D6C">
        <w:rPr>
          <w:rFonts w:cs="Arial"/>
          <w:b/>
          <w:bCs/>
          <w:szCs w:val="20"/>
        </w:rPr>
        <w:t>Formal and informal work patterns and work-family life balance</w:t>
      </w:r>
    </w:p>
    <w:p w14:paraId="3718732D" w14:textId="77777777" w:rsidR="00B06975" w:rsidRPr="00A32D6C" w:rsidRDefault="00B06975" w:rsidP="003D5E6A">
      <w:pPr>
        <w:pStyle w:val="ListParagraph"/>
        <w:numPr>
          <w:ilvl w:val="0"/>
          <w:numId w:val="87"/>
        </w:numPr>
        <w:spacing w:before="0" w:after="160"/>
        <w:jc w:val="left"/>
        <w:rPr>
          <w:rFonts w:eastAsiaTheme="minorHAnsi" w:cs="Arial"/>
          <w:szCs w:val="20"/>
          <w:lang w:eastAsia="en-US"/>
        </w:rPr>
      </w:pPr>
      <w:r w:rsidRPr="00A32D6C">
        <w:rPr>
          <w:rFonts w:eastAsiaTheme="minorHAnsi" w:cs="Arial"/>
          <w:szCs w:val="20"/>
          <w:lang w:eastAsia="en-US"/>
        </w:rPr>
        <w:t xml:space="preserve">Rowlands I, Hockey R, Abbott J, Montgomery G &amp; Mishra G. (2022). Longitudinal changes in employment following a diagnosis of endometriosis: Findings from an Australian cohort study. </w:t>
      </w:r>
      <w:r w:rsidRPr="00A32D6C">
        <w:rPr>
          <w:rFonts w:eastAsiaTheme="minorHAnsi" w:cs="Arial"/>
          <w:i/>
          <w:iCs/>
          <w:szCs w:val="20"/>
          <w:lang w:eastAsia="en-US"/>
        </w:rPr>
        <w:t>Annals of Epidemiology</w:t>
      </w:r>
      <w:r w:rsidRPr="00A32D6C">
        <w:rPr>
          <w:rFonts w:eastAsiaTheme="minorHAnsi" w:cs="Arial"/>
          <w:szCs w:val="20"/>
          <w:lang w:eastAsia="en-US"/>
        </w:rPr>
        <w:t xml:space="preserve">; 69: 1-8. </w:t>
      </w:r>
      <w:hyperlink r:id="rId154" w:history="1">
        <w:r w:rsidRPr="00A32D6C">
          <w:rPr>
            <w:rFonts w:eastAsiaTheme="minorHAnsi" w:cs="Arial"/>
            <w:color w:val="0000FF" w:themeColor="hyperlink"/>
            <w:szCs w:val="20"/>
            <w:u w:val="single"/>
            <w:lang w:eastAsia="en-US"/>
          </w:rPr>
          <w:t>https://doi.org/10.1016/j.annepidem.2021.10.005</w:t>
        </w:r>
      </w:hyperlink>
      <w:r w:rsidRPr="00A32D6C">
        <w:rPr>
          <w:rFonts w:eastAsiaTheme="minorHAnsi" w:cs="Arial"/>
          <w:szCs w:val="20"/>
          <w:lang w:eastAsia="en-US"/>
        </w:rPr>
        <w:t xml:space="preserve"> </w:t>
      </w:r>
    </w:p>
    <w:p w14:paraId="723DEFC0" w14:textId="77777777" w:rsidR="00B06975" w:rsidRPr="00A32D6C" w:rsidRDefault="00B06975" w:rsidP="00B06975">
      <w:pPr>
        <w:rPr>
          <w:rFonts w:cs="Arial"/>
          <w:b/>
          <w:bCs/>
          <w:szCs w:val="20"/>
        </w:rPr>
      </w:pPr>
      <w:r w:rsidRPr="00A32D6C">
        <w:rPr>
          <w:rFonts w:cs="Arial"/>
          <w:b/>
          <w:bCs/>
          <w:szCs w:val="20"/>
        </w:rPr>
        <w:t>Medications</w:t>
      </w:r>
    </w:p>
    <w:p w14:paraId="4D2388C4" w14:textId="77777777" w:rsidR="00B06975" w:rsidRPr="00A32D6C" w:rsidRDefault="00B06975" w:rsidP="003D5E6A">
      <w:pPr>
        <w:pStyle w:val="ListParagraph"/>
        <w:numPr>
          <w:ilvl w:val="0"/>
          <w:numId w:val="87"/>
        </w:numPr>
        <w:spacing w:before="0" w:after="160"/>
        <w:ind w:left="714" w:hanging="357"/>
        <w:jc w:val="left"/>
        <w:rPr>
          <w:rFonts w:eastAsiaTheme="minorHAnsi" w:cs="Arial"/>
          <w:szCs w:val="20"/>
          <w:lang w:eastAsia="en-US"/>
        </w:rPr>
      </w:pPr>
      <w:r w:rsidRPr="00A32D6C">
        <w:rPr>
          <w:rFonts w:eastAsiaTheme="minorHAnsi" w:cs="Arial"/>
          <w:szCs w:val="20"/>
          <w:lang w:eastAsia="en-US"/>
        </w:rPr>
        <w:t xml:space="preserve">Thiruchelvam K, Byles J, Hasan SS, Egan N &amp; </w:t>
      </w:r>
      <w:proofErr w:type="spellStart"/>
      <w:r w:rsidRPr="00A32D6C">
        <w:rPr>
          <w:rFonts w:eastAsiaTheme="minorHAnsi" w:cs="Arial"/>
          <w:szCs w:val="20"/>
          <w:lang w:eastAsia="en-US"/>
        </w:rPr>
        <w:t>Kairuz</w:t>
      </w:r>
      <w:proofErr w:type="spellEnd"/>
      <w:r w:rsidRPr="00A32D6C">
        <w:rPr>
          <w:rFonts w:eastAsiaTheme="minorHAnsi" w:cs="Arial"/>
          <w:szCs w:val="20"/>
          <w:lang w:eastAsia="en-US"/>
        </w:rPr>
        <w:t xml:space="preserve"> T. (2022). Impact of medication reviews on potentially inappropriate medications and associated costs among older women in aged care. </w:t>
      </w:r>
      <w:r w:rsidRPr="00A32D6C">
        <w:rPr>
          <w:rFonts w:eastAsiaTheme="minorHAnsi" w:cs="Arial"/>
          <w:i/>
          <w:iCs/>
          <w:szCs w:val="20"/>
          <w:lang w:eastAsia="en-US"/>
        </w:rPr>
        <w:t>Research in Social and Administrative Pharmacy</w:t>
      </w:r>
      <w:r w:rsidRPr="00A32D6C">
        <w:rPr>
          <w:rFonts w:eastAsiaTheme="minorHAnsi" w:cs="Arial"/>
          <w:szCs w:val="20"/>
          <w:lang w:eastAsia="en-US"/>
        </w:rPr>
        <w:t xml:space="preserve">; </w:t>
      </w:r>
      <w:hyperlink r:id="rId155" w:history="1">
        <w:r w:rsidRPr="00A32D6C">
          <w:rPr>
            <w:rFonts w:eastAsiaTheme="minorHAnsi" w:cs="Arial"/>
            <w:color w:val="0000FF" w:themeColor="hyperlink"/>
            <w:szCs w:val="20"/>
            <w:u w:val="single"/>
            <w:lang w:eastAsia="en-US"/>
          </w:rPr>
          <w:t>https://doi.org/10.1016/j.sapharm.2022.05.003</w:t>
        </w:r>
      </w:hyperlink>
      <w:r w:rsidRPr="00A32D6C">
        <w:rPr>
          <w:rFonts w:eastAsiaTheme="minorHAnsi" w:cs="Arial"/>
          <w:szCs w:val="20"/>
          <w:lang w:eastAsia="en-US"/>
        </w:rPr>
        <w:t xml:space="preserve"> </w:t>
      </w:r>
    </w:p>
    <w:p w14:paraId="05594FF1" w14:textId="77777777" w:rsidR="00B06975" w:rsidRPr="00A32D6C" w:rsidRDefault="00B06975" w:rsidP="00B06975">
      <w:pPr>
        <w:rPr>
          <w:rFonts w:cs="Arial"/>
          <w:b/>
          <w:bCs/>
          <w:szCs w:val="20"/>
        </w:rPr>
      </w:pPr>
      <w:r w:rsidRPr="00A32D6C">
        <w:rPr>
          <w:rFonts w:cs="Arial"/>
          <w:b/>
          <w:bCs/>
          <w:szCs w:val="20"/>
        </w:rPr>
        <w:t>Physical health</w:t>
      </w:r>
    </w:p>
    <w:p w14:paraId="4E5C9675" w14:textId="0B5E610D" w:rsidR="00B06975" w:rsidRPr="00A049E4" w:rsidRDefault="00B06975" w:rsidP="003D5E6A">
      <w:pPr>
        <w:pStyle w:val="ListParagraph"/>
        <w:numPr>
          <w:ilvl w:val="0"/>
          <w:numId w:val="87"/>
        </w:numPr>
        <w:spacing w:before="0" w:after="160"/>
        <w:ind w:left="714" w:hanging="357"/>
        <w:jc w:val="left"/>
        <w:rPr>
          <w:rFonts w:eastAsiaTheme="minorHAnsi" w:cs="Arial"/>
          <w:szCs w:val="20"/>
          <w:lang w:eastAsia="en-US"/>
        </w:rPr>
      </w:pPr>
      <w:r w:rsidRPr="00A32D6C">
        <w:rPr>
          <w:rFonts w:eastAsiaTheme="minorHAnsi" w:cs="Arial"/>
          <w:szCs w:val="20"/>
          <w:lang w:eastAsia="en-US"/>
        </w:rPr>
        <w:t xml:space="preserve">White J, Hambisa M, Cavenagh D, Dolja-Gore X &amp; Byles J. (2022). Understanding the relationship between eye disease and driving in very old Australian women: A longitudinal thematic evaluation. </w:t>
      </w:r>
      <w:r w:rsidRPr="00A32D6C">
        <w:rPr>
          <w:rFonts w:eastAsiaTheme="minorHAnsi" w:cs="Arial"/>
          <w:i/>
          <w:iCs/>
          <w:szCs w:val="20"/>
          <w:lang w:eastAsia="en-US"/>
        </w:rPr>
        <w:t>BMC Ophthalmology</w:t>
      </w:r>
      <w:r w:rsidRPr="00A32D6C">
        <w:rPr>
          <w:rFonts w:eastAsiaTheme="minorHAnsi" w:cs="Arial"/>
          <w:szCs w:val="20"/>
          <w:lang w:eastAsia="en-US"/>
        </w:rPr>
        <w:t xml:space="preserve">; 22:277. </w:t>
      </w:r>
      <w:hyperlink r:id="rId156" w:history="1">
        <w:r w:rsidRPr="00A32D6C">
          <w:rPr>
            <w:rFonts w:eastAsiaTheme="minorHAnsi" w:cs="Arial"/>
            <w:color w:val="0000FF" w:themeColor="hyperlink"/>
            <w:szCs w:val="20"/>
            <w:u w:val="single"/>
            <w:lang w:eastAsia="en-US"/>
          </w:rPr>
          <w:t>https://doi.org/10.1186/s12886-022-02506-8</w:t>
        </w:r>
      </w:hyperlink>
    </w:p>
    <w:p w14:paraId="3274AF97" w14:textId="32AC50F1" w:rsidR="006E3038" w:rsidRDefault="00A46CDE" w:rsidP="003D5E6A">
      <w:pPr>
        <w:pStyle w:val="ListParagraph"/>
        <w:numPr>
          <w:ilvl w:val="0"/>
          <w:numId w:val="87"/>
        </w:numPr>
        <w:spacing w:after="160"/>
        <w:ind w:left="714" w:hanging="357"/>
        <w:contextualSpacing w:val="0"/>
        <w:rPr>
          <w:rFonts w:cs="Arial"/>
          <w:szCs w:val="20"/>
        </w:rPr>
      </w:pPr>
      <w:r w:rsidRPr="00A46CDE">
        <w:rPr>
          <w:rFonts w:cs="Arial"/>
          <w:szCs w:val="20"/>
        </w:rPr>
        <w:t xml:space="preserve">Hambisa MT, Dolja-Gore X &amp; Byles J. (2022).  Application of Anderson-Newman model to assess cataract surgery uptake among older Australian women: Findings from the Australian Longitudinal Study on Women’s Health.  </w:t>
      </w:r>
      <w:r w:rsidRPr="00A46CDE">
        <w:rPr>
          <w:rFonts w:cs="Arial"/>
          <w:i/>
          <w:iCs/>
          <w:szCs w:val="20"/>
        </w:rPr>
        <w:t>Aging Clinical and Experimental Research</w:t>
      </w:r>
      <w:r w:rsidRPr="00A46CDE">
        <w:rPr>
          <w:rFonts w:cs="Arial"/>
          <w:szCs w:val="20"/>
        </w:rPr>
        <w:t xml:space="preserve">, 34(7): 1673-1685. </w:t>
      </w:r>
      <w:hyperlink r:id="rId157" w:history="1">
        <w:r w:rsidRPr="00A46CDE">
          <w:rPr>
            <w:rStyle w:val="Hyperlink"/>
            <w:rFonts w:cs="Arial"/>
            <w:szCs w:val="20"/>
          </w:rPr>
          <w:t>https://doi.org/10.1007/s40520-022-02091-2</w:t>
        </w:r>
      </w:hyperlink>
      <w:r w:rsidRPr="00A46CDE">
        <w:rPr>
          <w:rFonts w:cs="Arial"/>
          <w:szCs w:val="20"/>
        </w:rPr>
        <w:t xml:space="preserve"> </w:t>
      </w:r>
    </w:p>
    <w:p w14:paraId="1266BCA0" w14:textId="77777777" w:rsidR="006E3038" w:rsidRPr="006E3038" w:rsidRDefault="006E3038" w:rsidP="003D5E6A">
      <w:pPr>
        <w:pStyle w:val="ListParagraph"/>
        <w:numPr>
          <w:ilvl w:val="0"/>
          <w:numId w:val="87"/>
        </w:numPr>
        <w:spacing w:before="0" w:after="160"/>
        <w:jc w:val="left"/>
        <w:rPr>
          <w:rFonts w:eastAsiaTheme="minorHAnsi" w:cs="Arial"/>
          <w:szCs w:val="20"/>
          <w:lang w:eastAsia="en-US"/>
        </w:rPr>
      </w:pPr>
      <w:r w:rsidRPr="006E3038">
        <w:rPr>
          <w:rFonts w:cs="Arial"/>
          <w:szCs w:val="20"/>
        </w:rPr>
        <w:t xml:space="preserve">Wilson LF, Xu Z, Doust J, Mishra GD &amp; Dobson AJ. (2022).  Associations of socioeconomic and health factors with dental non-attendance: A comparison of three cohorts of women.  </w:t>
      </w:r>
      <w:r w:rsidRPr="006E3038">
        <w:rPr>
          <w:rFonts w:cs="Arial"/>
          <w:i/>
          <w:iCs/>
          <w:szCs w:val="20"/>
        </w:rPr>
        <w:t xml:space="preserve">Community Dentistry and Oral Epidemiology. </w:t>
      </w:r>
      <w:r w:rsidRPr="006E3038">
        <w:rPr>
          <w:rFonts w:cs="Arial"/>
          <w:szCs w:val="20"/>
        </w:rPr>
        <w:t xml:space="preserve"> </w:t>
      </w:r>
      <w:hyperlink r:id="rId158" w:history="1">
        <w:r w:rsidRPr="006E3038">
          <w:rPr>
            <w:rStyle w:val="Hyperlink"/>
            <w:rFonts w:cs="Arial"/>
            <w:szCs w:val="20"/>
          </w:rPr>
          <w:t>https://doi.org/10.1111/cdoe.12776</w:t>
        </w:r>
      </w:hyperlink>
      <w:r w:rsidRPr="006E3038">
        <w:rPr>
          <w:rFonts w:cs="Arial"/>
          <w:szCs w:val="20"/>
        </w:rPr>
        <w:t xml:space="preserve"> </w:t>
      </w:r>
    </w:p>
    <w:p w14:paraId="60BAA468" w14:textId="20A09AAF" w:rsidR="009E6BD0" w:rsidRDefault="009E6BD0">
      <w:pPr>
        <w:spacing w:before="0" w:after="0" w:line="240" w:lineRule="auto"/>
        <w:jc w:val="left"/>
      </w:pPr>
      <w:r>
        <w:br w:type="page"/>
      </w:r>
    </w:p>
    <w:p w14:paraId="12B8DDE0" w14:textId="2E1856EC" w:rsidR="009D480D" w:rsidRDefault="009D480D" w:rsidP="006B02B6">
      <w:pPr>
        <w:pStyle w:val="Heading2"/>
      </w:pPr>
      <w:bookmarkStart w:id="1170" w:name="Reproductivehealth"/>
      <w:bookmarkStart w:id="1171" w:name="Socialfactors"/>
      <w:bookmarkStart w:id="1172" w:name="Healthserviceuse"/>
      <w:bookmarkStart w:id="1173" w:name="Ageing"/>
      <w:bookmarkStart w:id="1174" w:name="Methodology"/>
      <w:bookmarkStart w:id="1175" w:name="Formalandinformalworklifebalance"/>
      <w:bookmarkStart w:id="1176" w:name="Abuse"/>
      <w:bookmarkStart w:id="1177" w:name="Tobaccoalcoholdrugs"/>
      <w:bookmarkStart w:id="1178" w:name="Medications"/>
      <w:bookmarkStart w:id="1179" w:name="Arearesidenceenvironment"/>
      <w:bookmarkStart w:id="1180" w:name="_Toc46315471"/>
      <w:bookmarkStart w:id="1181" w:name="_Toc46319380"/>
      <w:bookmarkStart w:id="1182" w:name="_Toc46315472"/>
      <w:bookmarkStart w:id="1183" w:name="_Toc46319381"/>
      <w:bookmarkStart w:id="1184" w:name="_Toc46315473"/>
      <w:bookmarkStart w:id="1185" w:name="_Toc46319382"/>
      <w:bookmarkStart w:id="1186" w:name="_Toc46315474"/>
      <w:bookmarkStart w:id="1187" w:name="_Toc46319383"/>
      <w:bookmarkStart w:id="1188" w:name="_Toc46315475"/>
      <w:bookmarkStart w:id="1189" w:name="_Toc46319384"/>
      <w:bookmarkStart w:id="1190" w:name="_Toc46315476"/>
      <w:bookmarkStart w:id="1191" w:name="_Toc46319385"/>
      <w:bookmarkStart w:id="1192" w:name="_Toc46315477"/>
      <w:bookmarkStart w:id="1193" w:name="_Toc46319386"/>
      <w:bookmarkStart w:id="1194" w:name="_Toc46315478"/>
      <w:bookmarkStart w:id="1195" w:name="_Toc46319387"/>
      <w:bookmarkStart w:id="1196" w:name="_Toc46315479"/>
      <w:bookmarkStart w:id="1197" w:name="_Toc46319388"/>
      <w:bookmarkStart w:id="1198" w:name="_Toc46315480"/>
      <w:bookmarkStart w:id="1199" w:name="_Toc46319389"/>
      <w:bookmarkStart w:id="1200" w:name="_Toc46315481"/>
      <w:bookmarkStart w:id="1201" w:name="_Toc46319390"/>
      <w:bookmarkStart w:id="1202" w:name="_Toc46315482"/>
      <w:bookmarkStart w:id="1203" w:name="_Toc46319391"/>
      <w:bookmarkStart w:id="1204" w:name="_Toc46315483"/>
      <w:bookmarkStart w:id="1205" w:name="_Toc46319392"/>
      <w:bookmarkStart w:id="1206" w:name="_Toc498092020"/>
      <w:bookmarkStart w:id="1207" w:name="_Toc12476282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rsidRPr="00D75065">
        <w:lastRenderedPageBreak/>
        <w:t>Conference Presentations</w:t>
      </w:r>
      <w:bookmarkEnd w:id="1206"/>
      <w:bookmarkEnd w:id="1207"/>
    </w:p>
    <w:p w14:paraId="32A7918D" w14:textId="3339E8BC" w:rsidR="00A63B18" w:rsidRDefault="00A63B18" w:rsidP="00555E24">
      <w:r>
        <w:t>Due to COVID-19</w:t>
      </w:r>
      <w:r w:rsidR="00407370">
        <w:t>, conference participation in 202</w:t>
      </w:r>
      <w:r w:rsidR="00A32D6C">
        <w:t>2</w:t>
      </w:r>
      <w:r w:rsidR="00407370">
        <w:t xml:space="preserve"> has continued to be mainly online. </w:t>
      </w:r>
      <w:r w:rsidR="00A32D6C">
        <w:t xml:space="preserve">Twenty-six </w:t>
      </w:r>
      <w:r>
        <w:t xml:space="preserve">presentations using ALSWH data </w:t>
      </w:r>
      <w:r w:rsidR="00057668">
        <w:t>ha</w:t>
      </w:r>
      <w:r w:rsidR="00593118">
        <w:t>ve</w:t>
      </w:r>
      <w:r w:rsidR="00057668">
        <w:t xml:space="preserve"> been recorded in our database since the last Technical Report</w:t>
      </w:r>
      <w:r>
        <w:t xml:space="preserve">.  </w:t>
      </w:r>
    </w:p>
    <w:p w14:paraId="617D9D39" w14:textId="6A06D70F" w:rsidR="00A32D6C" w:rsidRDefault="00A32D6C" w:rsidP="00A32D6C">
      <w:pPr>
        <w:rPr>
          <w:b/>
          <w:bCs/>
        </w:rPr>
      </w:pPr>
      <w:r>
        <w:rPr>
          <w:b/>
          <w:bCs/>
        </w:rPr>
        <w:t xml:space="preserve">Conference </w:t>
      </w:r>
      <w:r w:rsidRPr="0018764F">
        <w:rPr>
          <w:b/>
          <w:bCs/>
        </w:rPr>
        <w:t>P</w:t>
      </w:r>
      <w:r>
        <w:rPr>
          <w:b/>
          <w:bCs/>
        </w:rPr>
        <w:t>resentations</w:t>
      </w:r>
    </w:p>
    <w:p w14:paraId="2B058DEB" w14:textId="5239F0BA" w:rsidR="00A32D6C" w:rsidRPr="00FA0617" w:rsidRDefault="00A32D6C" w:rsidP="003D5E6A">
      <w:pPr>
        <w:pStyle w:val="ListParagraph"/>
        <w:numPr>
          <w:ilvl w:val="0"/>
          <w:numId w:val="88"/>
        </w:numPr>
        <w:spacing w:before="0" w:after="240"/>
        <w:ind w:left="357" w:hanging="357"/>
        <w:jc w:val="left"/>
      </w:pPr>
      <w:r w:rsidRPr="00FA0617">
        <w:t xml:space="preserve">Baneshi MR, McElwee P &amp; Dobson A. </w:t>
      </w:r>
      <w:r w:rsidRPr="00FA0617">
        <w:rPr>
          <w:b/>
          <w:bCs/>
        </w:rPr>
        <w:t>Exploring the association between causes of death listed in Part II of death certificates by comparison of the observed and expected frequency of pairs and triads of diseases: a Bayesian approach</w:t>
      </w:r>
      <w:r w:rsidRPr="00FA0617">
        <w:t xml:space="preserve">. </w:t>
      </w:r>
      <w:r w:rsidRPr="00FA0617">
        <w:rPr>
          <w:i/>
          <w:iCs/>
        </w:rPr>
        <w:t>5</w:t>
      </w:r>
      <w:r w:rsidRPr="00FA0617">
        <w:rPr>
          <w:i/>
          <w:iCs/>
          <w:vertAlign w:val="superscript"/>
        </w:rPr>
        <w:t>th</w:t>
      </w:r>
      <w:r w:rsidR="00FA0617">
        <w:rPr>
          <w:i/>
          <w:iCs/>
        </w:rPr>
        <w:t xml:space="preserve"> M</w:t>
      </w:r>
      <w:r w:rsidRPr="00FA0617">
        <w:rPr>
          <w:i/>
          <w:iCs/>
        </w:rPr>
        <w:t xml:space="preserve">eeting of the </w:t>
      </w:r>
      <w:proofErr w:type="spellStart"/>
      <w:r w:rsidRPr="00FA0617">
        <w:rPr>
          <w:i/>
          <w:iCs/>
        </w:rPr>
        <w:t>MultiCause</w:t>
      </w:r>
      <w:proofErr w:type="spellEnd"/>
      <w:r w:rsidRPr="00FA0617">
        <w:rPr>
          <w:i/>
          <w:iCs/>
        </w:rPr>
        <w:t xml:space="preserve"> Network</w:t>
      </w:r>
      <w:r w:rsidRPr="00FA0617">
        <w:t>, Bonn Germany, 19-20 May 2022</w:t>
      </w:r>
    </w:p>
    <w:p w14:paraId="0F222DAA" w14:textId="77777777" w:rsidR="00A32D6C" w:rsidRPr="00FA0617" w:rsidRDefault="00A32D6C" w:rsidP="00FA0617">
      <w:pPr>
        <w:pStyle w:val="ListParagraph"/>
        <w:spacing w:after="240"/>
        <w:ind w:left="357"/>
      </w:pPr>
    </w:p>
    <w:p w14:paraId="2D3E9C90" w14:textId="13D4E0DF" w:rsidR="00A32D6C" w:rsidRPr="00FA0617" w:rsidRDefault="00A32D6C" w:rsidP="003D5E6A">
      <w:pPr>
        <w:pStyle w:val="ListParagraph"/>
        <w:numPr>
          <w:ilvl w:val="0"/>
          <w:numId w:val="88"/>
        </w:numPr>
        <w:spacing w:before="0" w:after="240"/>
        <w:ind w:left="357" w:hanging="357"/>
        <w:jc w:val="left"/>
      </w:pPr>
      <w:r w:rsidRPr="00FA0617">
        <w:t xml:space="preserve">Baneshi, MR, McElwee P &amp; Dobson A. </w:t>
      </w:r>
      <w:r w:rsidRPr="00FA0617">
        <w:rPr>
          <w:b/>
          <w:bCs/>
        </w:rPr>
        <w:t>Exploring the underlying patterns among causes of death listed in Part II of death certificates using Social Network Analysis.</w:t>
      </w:r>
      <w:r w:rsidRPr="00FA0617">
        <w:t xml:space="preserve"> </w:t>
      </w:r>
      <w:r w:rsidRPr="00FA0617">
        <w:rPr>
          <w:i/>
          <w:iCs/>
        </w:rPr>
        <w:t>5</w:t>
      </w:r>
      <w:r w:rsidRPr="00FA0617">
        <w:rPr>
          <w:i/>
          <w:iCs/>
          <w:vertAlign w:val="superscript"/>
        </w:rPr>
        <w:t>th</w:t>
      </w:r>
      <w:r w:rsidR="00FA0617">
        <w:rPr>
          <w:i/>
          <w:iCs/>
        </w:rPr>
        <w:t xml:space="preserve"> M</w:t>
      </w:r>
      <w:r w:rsidRPr="00FA0617">
        <w:rPr>
          <w:i/>
          <w:iCs/>
        </w:rPr>
        <w:t xml:space="preserve">eeting of the </w:t>
      </w:r>
      <w:proofErr w:type="spellStart"/>
      <w:r w:rsidRPr="00FA0617">
        <w:rPr>
          <w:i/>
          <w:iCs/>
        </w:rPr>
        <w:t>MultiCause</w:t>
      </w:r>
      <w:proofErr w:type="spellEnd"/>
      <w:r w:rsidRPr="00FA0617">
        <w:rPr>
          <w:i/>
          <w:iCs/>
        </w:rPr>
        <w:t xml:space="preserve"> Network</w:t>
      </w:r>
      <w:r w:rsidRPr="00FA0617">
        <w:t>, Bonn, Germany, 19-20 May 2022</w:t>
      </w:r>
    </w:p>
    <w:p w14:paraId="560916EE" w14:textId="77777777" w:rsidR="00A32D6C" w:rsidRPr="00FA0617" w:rsidRDefault="00A32D6C" w:rsidP="00FA0617">
      <w:pPr>
        <w:pStyle w:val="ListParagraph"/>
        <w:spacing w:after="240"/>
        <w:ind w:left="357"/>
      </w:pPr>
    </w:p>
    <w:p w14:paraId="35C18167" w14:textId="56997371" w:rsidR="00A32D6C" w:rsidRPr="00FA0617" w:rsidRDefault="00A32D6C" w:rsidP="003D5E6A">
      <w:pPr>
        <w:pStyle w:val="ListParagraph"/>
        <w:numPr>
          <w:ilvl w:val="0"/>
          <w:numId w:val="88"/>
        </w:numPr>
        <w:spacing w:before="0" w:after="240"/>
        <w:ind w:left="357" w:hanging="357"/>
        <w:jc w:val="left"/>
      </w:pPr>
      <w:r w:rsidRPr="00FA0617">
        <w:t xml:space="preserve">Byles J. </w:t>
      </w:r>
      <w:r w:rsidRPr="00FA0617">
        <w:rPr>
          <w:b/>
          <w:bCs/>
        </w:rPr>
        <w:t xml:space="preserve">100 and not out: Health and healthy ageing for women approaching 100 years of age. </w:t>
      </w:r>
      <w:r w:rsidRPr="00FA0617">
        <w:rPr>
          <w:i/>
          <w:iCs/>
        </w:rPr>
        <w:t>IAGG 2022: 22</w:t>
      </w:r>
      <w:r w:rsidRPr="00FA0617">
        <w:rPr>
          <w:i/>
          <w:iCs/>
          <w:vertAlign w:val="superscript"/>
        </w:rPr>
        <w:t>nd</w:t>
      </w:r>
      <w:r w:rsidR="00FA0617">
        <w:rPr>
          <w:i/>
          <w:iCs/>
        </w:rPr>
        <w:t xml:space="preserve"> </w:t>
      </w:r>
      <w:r w:rsidRPr="00FA0617">
        <w:rPr>
          <w:i/>
          <w:iCs/>
        </w:rPr>
        <w:t>World Congress of Gerontology and Geriatrics</w:t>
      </w:r>
      <w:r w:rsidRPr="00FA0617">
        <w:t>, Virtual, 12-16 June 2022</w:t>
      </w:r>
    </w:p>
    <w:p w14:paraId="5B8E1732" w14:textId="77777777" w:rsidR="00A32D6C" w:rsidRPr="00FA0617" w:rsidRDefault="00A32D6C" w:rsidP="00FA0617">
      <w:pPr>
        <w:pStyle w:val="ListParagraph"/>
        <w:spacing w:after="240"/>
        <w:ind w:left="357"/>
      </w:pPr>
    </w:p>
    <w:p w14:paraId="751CBDA4" w14:textId="77777777" w:rsidR="00A32D6C" w:rsidRPr="00FA0617" w:rsidRDefault="00A32D6C" w:rsidP="003D5E6A">
      <w:pPr>
        <w:pStyle w:val="ListParagraph"/>
        <w:numPr>
          <w:ilvl w:val="0"/>
          <w:numId w:val="88"/>
        </w:numPr>
        <w:spacing w:before="0" w:after="240"/>
        <w:ind w:left="357" w:hanging="357"/>
        <w:jc w:val="left"/>
      </w:pPr>
      <w:r w:rsidRPr="00FA0617">
        <w:t xml:space="preserve">Francis L &amp; </w:t>
      </w:r>
      <w:proofErr w:type="spellStart"/>
      <w:r w:rsidRPr="00FA0617">
        <w:t>Stulz</w:t>
      </w:r>
      <w:proofErr w:type="spellEnd"/>
      <w:r w:rsidRPr="00FA0617">
        <w:t xml:space="preserve"> V.</w:t>
      </w:r>
      <w:r w:rsidRPr="00FA0617">
        <w:rPr>
          <w:b/>
          <w:bCs/>
        </w:rPr>
        <w:t xml:space="preserve"> Finding a life without domestic violence: Analysing free text data from the ALSWH.</w:t>
      </w:r>
      <w:r w:rsidRPr="00FA0617">
        <w:t xml:space="preserve"> </w:t>
      </w:r>
      <w:r w:rsidRPr="00FA0617">
        <w:rPr>
          <w:i/>
          <w:iCs/>
        </w:rPr>
        <w:t>Stop Domestic Violence Conference 2022</w:t>
      </w:r>
      <w:r w:rsidRPr="00FA0617">
        <w:t>, Gold Coast, QLD, 30 November - 2 December 2022</w:t>
      </w:r>
    </w:p>
    <w:p w14:paraId="6AA42CAB" w14:textId="77777777" w:rsidR="00A32D6C" w:rsidRPr="00FA0617" w:rsidRDefault="00A32D6C" w:rsidP="00FA0617">
      <w:pPr>
        <w:pStyle w:val="ListParagraph"/>
        <w:spacing w:after="240"/>
        <w:ind w:left="357"/>
      </w:pPr>
    </w:p>
    <w:p w14:paraId="37529222" w14:textId="36C4279D" w:rsidR="00A32D6C" w:rsidRDefault="00A32D6C" w:rsidP="003D5E6A">
      <w:pPr>
        <w:pStyle w:val="ListParagraph"/>
        <w:numPr>
          <w:ilvl w:val="0"/>
          <w:numId w:val="88"/>
        </w:numPr>
        <w:spacing w:before="0" w:after="240"/>
        <w:ind w:left="357" w:hanging="357"/>
        <w:jc w:val="left"/>
      </w:pPr>
      <w:r w:rsidRPr="00FA0617">
        <w:t xml:space="preserve">Gete D. </w:t>
      </w:r>
      <w:r w:rsidRPr="00FA0617">
        <w:rPr>
          <w:b/>
          <w:bCs/>
        </w:rPr>
        <w:t xml:space="preserve">The role of child diets in the association between pre-pregnancy diets and childhood </w:t>
      </w:r>
      <w:proofErr w:type="spellStart"/>
      <w:r w:rsidRPr="00FA0617">
        <w:rPr>
          <w:b/>
          <w:bCs/>
        </w:rPr>
        <w:t>behavioral</w:t>
      </w:r>
      <w:proofErr w:type="spellEnd"/>
      <w:r w:rsidRPr="00FA0617">
        <w:rPr>
          <w:b/>
          <w:bCs/>
        </w:rPr>
        <w:t xml:space="preserve"> problems: A mediation analysis (poster presentation)</w:t>
      </w:r>
      <w:r w:rsidRPr="00FA0617">
        <w:t xml:space="preserve">. </w:t>
      </w:r>
      <w:r w:rsidRPr="00FA0617">
        <w:rPr>
          <w:i/>
          <w:iCs/>
        </w:rPr>
        <w:t>Nutrition 2022</w:t>
      </w:r>
      <w:r w:rsidRPr="00FA0617">
        <w:t>, Online, 14-16 June 2022</w:t>
      </w:r>
    </w:p>
    <w:p w14:paraId="1E307267" w14:textId="77777777" w:rsidR="00FA0617" w:rsidRDefault="00FA0617" w:rsidP="00FA0617">
      <w:pPr>
        <w:pStyle w:val="ListParagraph"/>
        <w:spacing w:before="0" w:after="240"/>
        <w:ind w:left="357"/>
        <w:jc w:val="left"/>
      </w:pPr>
    </w:p>
    <w:p w14:paraId="6E9F4FE9" w14:textId="2A132235" w:rsidR="00A32D6C" w:rsidRPr="00FA0617" w:rsidRDefault="00A32D6C" w:rsidP="003D5E6A">
      <w:pPr>
        <w:pStyle w:val="ListParagraph"/>
        <w:numPr>
          <w:ilvl w:val="0"/>
          <w:numId w:val="88"/>
        </w:numPr>
        <w:spacing w:before="0" w:after="240"/>
        <w:ind w:left="357" w:hanging="357"/>
        <w:jc w:val="left"/>
      </w:pPr>
      <w:r w:rsidRPr="00FA0617">
        <w:t xml:space="preserve">Hambisa M. </w:t>
      </w:r>
      <w:r w:rsidRPr="00FA0617">
        <w:rPr>
          <w:b/>
          <w:bCs/>
        </w:rPr>
        <w:t xml:space="preserve">Application of Andersen-Newman model to assess cataract surgery uptake among older Australian women: Findings from the Australian Longitudinal Study on Women’s Health (ALSWH). </w:t>
      </w:r>
      <w:r w:rsidRPr="00FA0617">
        <w:rPr>
          <w:i/>
          <w:iCs/>
        </w:rPr>
        <w:t>Australian Society for Medical Research (ASMR) Hunter Region Annual Scientific Meeting</w:t>
      </w:r>
      <w:r w:rsidRPr="00FA0617">
        <w:t>, Newcastle, NSW, 6 June 2022</w:t>
      </w:r>
    </w:p>
    <w:p w14:paraId="70C985B8" w14:textId="77777777" w:rsidR="00A32D6C" w:rsidRPr="00FA0617" w:rsidRDefault="00A32D6C" w:rsidP="00A32D6C">
      <w:pPr>
        <w:pStyle w:val="ListParagraph"/>
        <w:spacing w:after="240"/>
        <w:ind w:left="357"/>
      </w:pPr>
    </w:p>
    <w:p w14:paraId="7E1BC938" w14:textId="77777777" w:rsidR="00A32D6C" w:rsidRPr="00FA0617" w:rsidRDefault="00A32D6C" w:rsidP="003D5E6A">
      <w:pPr>
        <w:pStyle w:val="ListParagraph"/>
        <w:numPr>
          <w:ilvl w:val="0"/>
          <w:numId w:val="88"/>
        </w:numPr>
        <w:spacing w:before="0" w:after="240"/>
        <w:ind w:left="357" w:hanging="357"/>
        <w:jc w:val="left"/>
      </w:pPr>
      <w:r w:rsidRPr="00FA0617">
        <w:t xml:space="preserve">Koller-Smith L. </w:t>
      </w:r>
      <w:r w:rsidRPr="00FA0617">
        <w:rPr>
          <w:b/>
          <w:bCs/>
        </w:rPr>
        <w:t>Estimating the prevalence of rheumatoid arthritis in Australia (poster presentation)</w:t>
      </w:r>
      <w:r w:rsidRPr="00FA0617">
        <w:t xml:space="preserve">. </w:t>
      </w:r>
      <w:r w:rsidRPr="00FA0617">
        <w:rPr>
          <w:i/>
          <w:iCs/>
        </w:rPr>
        <w:t>Australian Rheumatology Conference ASM 2022</w:t>
      </w:r>
      <w:r w:rsidRPr="00FA0617">
        <w:t>, Perth, WA, 6-9 May 2022</w:t>
      </w:r>
    </w:p>
    <w:p w14:paraId="0B036069" w14:textId="77777777" w:rsidR="00A32D6C" w:rsidRPr="00FA0617" w:rsidRDefault="00A32D6C" w:rsidP="00A32D6C">
      <w:pPr>
        <w:pStyle w:val="ListParagraph"/>
        <w:spacing w:after="240"/>
        <w:ind w:left="357"/>
      </w:pPr>
    </w:p>
    <w:p w14:paraId="1B964163" w14:textId="00E068B8" w:rsidR="00A32D6C" w:rsidRPr="00FA0617" w:rsidRDefault="00A32D6C" w:rsidP="003D5E6A">
      <w:pPr>
        <w:pStyle w:val="ListParagraph"/>
        <w:numPr>
          <w:ilvl w:val="0"/>
          <w:numId w:val="88"/>
        </w:numPr>
        <w:spacing w:before="0" w:after="240"/>
        <w:ind w:left="357" w:hanging="357"/>
        <w:jc w:val="left"/>
      </w:pPr>
      <w:r w:rsidRPr="00FA0617">
        <w:t xml:space="preserve">Kwok W. </w:t>
      </w:r>
      <w:r w:rsidRPr="00FA0617">
        <w:rPr>
          <w:b/>
          <w:bCs/>
        </w:rPr>
        <w:t>Falls and physical activity in older Australian women from two different generations.</w:t>
      </w:r>
      <w:r w:rsidRPr="00FA0617">
        <w:t xml:space="preserve"> </w:t>
      </w:r>
      <w:r w:rsidRPr="00FA0617">
        <w:rPr>
          <w:i/>
          <w:iCs/>
        </w:rPr>
        <w:t>Safety 2022: 14</w:t>
      </w:r>
      <w:r w:rsidRPr="00FA0617">
        <w:rPr>
          <w:i/>
          <w:iCs/>
          <w:vertAlign w:val="superscript"/>
        </w:rPr>
        <w:t>th</w:t>
      </w:r>
      <w:r w:rsidR="00FA0617">
        <w:rPr>
          <w:i/>
          <w:iCs/>
        </w:rPr>
        <w:t xml:space="preserve"> </w:t>
      </w:r>
      <w:r w:rsidRPr="00FA0617">
        <w:rPr>
          <w:i/>
          <w:iCs/>
        </w:rPr>
        <w:t>World Conference on Injury Prevention &amp; Safety Promotion</w:t>
      </w:r>
      <w:r w:rsidRPr="00FA0617">
        <w:t>, Adelaide, SA, 27-30 November 2022</w:t>
      </w:r>
    </w:p>
    <w:p w14:paraId="6E573101" w14:textId="77777777" w:rsidR="00A32D6C" w:rsidRPr="00FA0617" w:rsidRDefault="00A32D6C" w:rsidP="00A32D6C">
      <w:pPr>
        <w:pStyle w:val="ListParagraph"/>
        <w:spacing w:after="240"/>
        <w:ind w:left="357"/>
      </w:pPr>
    </w:p>
    <w:p w14:paraId="21FFDC7D" w14:textId="0510D0B5" w:rsidR="00A32D6C" w:rsidRPr="00FA0617" w:rsidRDefault="00A32D6C" w:rsidP="003D5E6A">
      <w:pPr>
        <w:pStyle w:val="ListParagraph"/>
        <w:numPr>
          <w:ilvl w:val="0"/>
          <w:numId w:val="88"/>
        </w:numPr>
        <w:spacing w:before="0" w:after="240"/>
        <w:ind w:left="357" w:hanging="357"/>
      </w:pPr>
      <w:r w:rsidRPr="00FA0617">
        <w:lastRenderedPageBreak/>
        <w:t>Kwok W.</w:t>
      </w:r>
      <w:r w:rsidRPr="00FA0617">
        <w:rPr>
          <w:b/>
          <w:bCs/>
        </w:rPr>
        <w:t xml:space="preserve"> Associations between different amounts and types of physical activity (PA) and injurious falls in older Australian women (poster presentation).</w:t>
      </w:r>
      <w:r w:rsidRPr="00FA0617">
        <w:t xml:space="preserve"> </w:t>
      </w:r>
      <w:r w:rsidRPr="00FA0617">
        <w:rPr>
          <w:i/>
          <w:iCs/>
        </w:rPr>
        <w:t>IAGG 2022: 22</w:t>
      </w:r>
      <w:r w:rsidRPr="00FA0617">
        <w:rPr>
          <w:i/>
          <w:iCs/>
          <w:vertAlign w:val="superscript"/>
        </w:rPr>
        <w:t>nd</w:t>
      </w:r>
      <w:r w:rsidR="00FA0617">
        <w:rPr>
          <w:i/>
          <w:iCs/>
        </w:rPr>
        <w:t xml:space="preserve"> </w:t>
      </w:r>
      <w:r w:rsidRPr="00FA0617">
        <w:rPr>
          <w:i/>
          <w:iCs/>
        </w:rPr>
        <w:t>World Congress of Gerontology and Geriatrics</w:t>
      </w:r>
      <w:r w:rsidRPr="00FA0617">
        <w:t>, Virtual, 12-16 June</w:t>
      </w:r>
      <w:r w:rsidR="00FA0617">
        <w:t xml:space="preserve"> </w:t>
      </w:r>
      <w:r w:rsidRPr="00FA0617">
        <w:t>2022</w:t>
      </w:r>
      <w:r w:rsidR="00FA0617">
        <w:t xml:space="preserve"> </w:t>
      </w:r>
    </w:p>
    <w:p w14:paraId="6FBA7B41" w14:textId="77777777" w:rsidR="00A32D6C" w:rsidRPr="00FA0617" w:rsidRDefault="00A32D6C" w:rsidP="00A32D6C">
      <w:pPr>
        <w:pStyle w:val="ListParagraph"/>
        <w:spacing w:after="240"/>
        <w:ind w:left="357"/>
      </w:pPr>
    </w:p>
    <w:p w14:paraId="60175044" w14:textId="68884C6B" w:rsidR="00A32D6C" w:rsidRPr="00FA0617" w:rsidRDefault="00A32D6C" w:rsidP="003D5E6A">
      <w:pPr>
        <w:pStyle w:val="ListParagraph"/>
        <w:numPr>
          <w:ilvl w:val="0"/>
          <w:numId w:val="88"/>
        </w:numPr>
        <w:spacing w:before="0" w:after="240"/>
        <w:ind w:left="357" w:hanging="357"/>
        <w:jc w:val="left"/>
      </w:pPr>
      <w:r w:rsidRPr="00FA0617">
        <w:t xml:space="preserve">Kwok W. </w:t>
      </w:r>
      <w:r w:rsidRPr="00FA0617">
        <w:rPr>
          <w:b/>
          <w:bCs/>
        </w:rPr>
        <w:t>Are there any differences in falls, physical activity (PA) and the associations between PA and falls in older women from two different generations?</w:t>
      </w:r>
      <w:r w:rsidRPr="00FA0617">
        <w:t xml:space="preserve"> I</w:t>
      </w:r>
      <w:r w:rsidRPr="00FA0617">
        <w:rPr>
          <w:i/>
          <w:iCs/>
        </w:rPr>
        <w:t>AGG 2022: 22</w:t>
      </w:r>
      <w:r w:rsidRPr="00FA0617">
        <w:rPr>
          <w:i/>
          <w:iCs/>
          <w:vertAlign w:val="superscript"/>
        </w:rPr>
        <w:t>nd</w:t>
      </w:r>
      <w:r w:rsidR="00FA0617">
        <w:rPr>
          <w:i/>
          <w:iCs/>
        </w:rPr>
        <w:t xml:space="preserve"> </w:t>
      </w:r>
      <w:r w:rsidRPr="00FA0617">
        <w:rPr>
          <w:i/>
          <w:iCs/>
        </w:rPr>
        <w:t>World Congress of Gerontology and Geriatrics</w:t>
      </w:r>
      <w:r w:rsidRPr="00FA0617">
        <w:t>, Virtual, 12-16 June 2022</w:t>
      </w:r>
    </w:p>
    <w:p w14:paraId="796F3104" w14:textId="77777777" w:rsidR="00A32D6C" w:rsidRPr="00FA0617" w:rsidRDefault="00A32D6C" w:rsidP="00A32D6C">
      <w:pPr>
        <w:pStyle w:val="ListParagraph"/>
        <w:spacing w:after="240"/>
        <w:ind w:left="357"/>
      </w:pPr>
    </w:p>
    <w:p w14:paraId="39B8715F" w14:textId="4FE88275" w:rsidR="00A32D6C" w:rsidRPr="00FA0617" w:rsidRDefault="00A32D6C" w:rsidP="003D5E6A">
      <w:pPr>
        <w:pStyle w:val="ListParagraph"/>
        <w:numPr>
          <w:ilvl w:val="0"/>
          <w:numId w:val="88"/>
        </w:numPr>
        <w:spacing w:before="0" w:after="240"/>
        <w:ind w:left="357" w:hanging="357"/>
        <w:jc w:val="left"/>
      </w:pPr>
      <w:r w:rsidRPr="00FA0617">
        <w:t xml:space="preserve">Kwok W. </w:t>
      </w:r>
      <w:r w:rsidRPr="00FA0617">
        <w:rPr>
          <w:b/>
          <w:bCs/>
        </w:rPr>
        <w:t>Understanding physical activity and falls in Australian women.</w:t>
      </w:r>
      <w:r w:rsidRPr="00FA0617">
        <w:rPr>
          <w:i/>
          <w:iCs/>
        </w:rPr>
        <w:t xml:space="preserve"> NSW Fall Prevention and Healthy Ageing Network Annual </w:t>
      </w:r>
      <w:proofErr w:type="spellStart"/>
      <w:proofErr w:type="gramStart"/>
      <w:r w:rsidRPr="00FA0617">
        <w:rPr>
          <w:i/>
          <w:iCs/>
        </w:rPr>
        <w:t>Forum,</w:t>
      </w:r>
      <w:r w:rsidRPr="00FA0617">
        <w:t>Sydney</w:t>
      </w:r>
      <w:proofErr w:type="spellEnd"/>
      <w:proofErr w:type="gramEnd"/>
      <w:r w:rsidRPr="00FA0617">
        <w:t>, NSW, 27-May 2022</w:t>
      </w:r>
    </w:p>
    <w:p w14:paraId="73E21A5B" w14:textId="77777777" w:rsidR="00A32D6C" w:rsidRPr="00FA0617" w:rsidRDefault="00A32D6C" w:rsidP="00A32D6C">
      <w:pPr>
        <w:pStyle w:val="ListParagraph"/>
        <w:spacing w:after="240"/>
        <w:ind w:left="357"/>
      </w:pPr>
    </w:p>
    <w:p w14:paraId="441A14E3" w14:textId="77777777" w:rsidR="00A32D6C" w:rsidRPr="00FA0617" w:rsidRDefault="00A32D6C" w:rsidP="003D5E6A">
      <w:pPr>
        <w:pStyle w:val="ListParagraph"/>
        <w:numPr>
          <w:ilvl w:val="0"/>
          <w:numId w:val="88"/>
        </w:numPr>
        <w:spacing w:before="0" w:after="240"/>
        <w:ind w:left="357" w:hanging="357"/>
        <w:jc w:val="left"/>
      </w:pPr>
      <w:r w:rsidRPr="00FA0617">
        <w:t xml:space="preserve">Lithgow S. </w:t>
      </w:r>
      <w:r w:rsidRPr="00FA0617">
        <w:rPr>
          <w:b/>
          <w:bCs/>
        </w:rPr>
        <w:t>The terminology of abuse among older Australian women from the Australian Longitudinal Study on Women's Health.</w:t>
      </w:r>
      <w:r w:rsidRPr="00FA0617">
        <w:t xml:space="preserve"> </w:t>
      </w:r>
      <w:r w:rsidRPr="00FA0617">
        <w:rPr>
          <w:i/>
          <w:iCs/>
        </w:rPr>
        <w:t>National Elder Abuse Conference</w:t>
      </w:r>
      <w:r w:rsidRPr="00FA0617">
        <w:t>, Hobart, TAS, 14-15 February 2022</w:t>
      </w:r>
    </w:p>
    <w:p w14:paraId="37A01DCF" w14:textId="77777777" w:rsidR="00A32D6C" w:rsidRPr="00FA0617" w:rsidRDefault="00A32D6C" w:rsidP="00A32D6C">
      <w:pPr>
        <w:pStyle w:val="ListParagraph"/>
        <w:spacing w:after="240"/>
        <w:ind w:left="357"/>
      </w:pPr>
    </w:p>
    <w:p w14:paraId="14A463C5" w14:textId="25E19753" w:rsidR="00A32D6C" w:rsidRPr="00FA0617" w:rsidRDefault="00A32D6C" w:rsidP="003D5E6A">
      <w:pPr>
        <w:pStyle w:val="ListParagraph"/>
        <w:numPr>
          <w:ilvl w:val="0"/>
          <w:numId w:val="88"/>
        </w:numPr>
        <w:spacing w:before="0" w:after="240"/>
        <w:ind w:left="357" w:hanging="357"/>
        <w:jc w:val="left"/>
      </w:pPr>
      <w:r w:rsidRPr="00FA0617">
        <w:t>McElwee P, Baneshi MR, Nguyen K-H &amp; Dobson A.</w:t>
      </w:r>
      <w:r w:rsidRPr="00FA0617">
        <w:rPr>
          <w:b/>
          <w:bCs/>
        </w:rPr>
        <w:t xml:space="preserve"> A new data driven weighting method for Multiple Cause of Death analysis.</w:t>
      </w:r>
      <w:r w:rsidRPr="00FA0617">
        <w:t xml:space="preserve"> </w:t>
      </w:r>
      <w:r w:rsidRPr="00FA0617">
        <w:rPr>
          <w:i/>
          <w:iCs/>
        </w:rPr>
        <w:t>5</w:t>
      </w:r>
      <w:r w:rsidRPr="00FA0617">
        <w:rPr>
          <w:i/>
          <w:iCs/>
          <w:vertAlign w:val="superscript"/>
        </w:rPr>
        <w:t>th</w:t>
      </w:r>
      <w:r w:rsidR="00FA0617">
        <w:rPr>
          <w:i/>
          <w:iCs/>
        </w:rPr>
        <w:t xml:space="preserve"> M</w:t>
      </w:r>
      <w:r w:rsidRPr="00FA0617">
        <w:rPr>
          <w:i/>
          <w:iCs/>
        </w:rPr>
        <w:t xml:space="preserve">eeting of the </w:t>
      </w:r>
      <w:proofErr w:type="spellStart"/>
      <w:r w:rsidRPr="00FA0617">
        <w:rPr>
          <w:i/>
          <w:iCs/>
        </w:rPr>
        <w:t>MultiCause</w:t>
      </w:r>
      <w:proofErr w:type="spellEnd"/>
      <w:r w:rsidRPr="00FA0617">
        <w:rPr>
          <w:i/>
          <w:iCs/>
        </w:rPr>
        <w:t xml:space="preserve"> network</w:t>
      </w:r>
      <w:r w:rsidRPr="00FA0617">
        <w:t>, Bonn, Germany, 19-20 May 2022</w:t>
      </w:r>
    </w:p>
    <w:p w14:paraId="019440AE" w14:textId="77777777" w:rsidR="00A32D6C" w:rsidRPr="00FA0617" w:rsidRDefault="00A32D6C" w:rsidP="00A32D6C">
      <w:pPr>
        <w:pStyle w:val="ListParagraph"/>
        <w:spacing w:after="240"/>
        <w:ind w:left="357"/>
      </w:pPr>
    </w:p>
    <w:p w14:paraId="2F820AF5" w14:textId="5A77164E" w:rsidR="00A32D6C" w:rsidRPr="00FA0617" w:rsidRDefault="00A32D6C" w:rsidP="003D5E6A">
      <w:pPr>
        <w:pStyle w:val="ListParagraph"/>
        <w:numPr>
          <w:ilvl w:val="0"/>
          <w:numId w:val="88"/>
        </w:numPr>
        <w:spacing w:before="0" w:after="240"/>
        <w:ind w:left="357" w:hanging="357"/>
        <w:jc w:val="left"/>
      </w:pPr>
      <w:r w:rsidRPr="00FA0617">
        <w:t xml:space="preserve">McElwee P, Baneshi MR, Nguyen K-H &amp; Dobson </w:t>
      </w:r>
      <w:r w:rsidRPr="00FA0617">
        <w:rPr>
          <w:b/>
          <w:bCs/>
        </w:rPr>
        <w:t>A. Development of an Australian categorisation for Multiple Cause of Death analysis.</w:t>
      </w:r>
      <w:r w:rsidRPr="00FA0617">
        <w:t xml:space="preserve"> </w:t>
      </w:r>
      <w:r w:rsidRPr="00FA0617">
        <w:rPr>
          <w:i/>
          <w:iCs/>
        </w:rPr>
        <w:t>5</w:t>
      </w:r>
      <w:r w:rsidRPr="00FA0617">
        <w:rPr>
          <w:i/>
          <w:iCs/>
          <w:vertAlign w:val="superscript"/>
        </w:rPr>
        <w:t>th</w:t>
      </w:r>
      <w:r w:rsidR="00FA0617">
        <w:rPr>
          <w:i/>
          <w:iCs/>
        </w:rPr>
        <w:t xml:space="preserve"> M</w:t>
      </w:r>
      <w:r w:rsidRPr="00FA0617">
        <w:rPr>
          <w:i/>
          <w:iCs/>
        </w:rPr>
        <w:t xml:space="preserve">eeting of the </w:t>
      </w:r>
      <w:proofErr w:type="spellStart"/>
      <w:r w:rsidRPr="00FA0617">
        <w:rPr>
          <w:i/>
          <w:iCs/>
        </w:rPr>
        <w:t>MultiCause</w:t>
      </w:r>
      <w:proofErr w:type="spellEnd"/>
      <w:r w:rsidRPr="00FA0617">
        <w:rPr>
          <w:i/>
          <w:iCs/>
        </w:rPr>
        <w:t xml:space="preserve"> Network</w:t>
      </w:r>
      <w:r w:rsidRPr="00FA0617">
        <w:t>, Bonn, Germany, 19-20 May 2022</w:t>
      </w:r>
    </w:p>
    <w:p w14:paraId="2AEB383E" w14:textId="77777777" w:rsidR="00A32D6C" w:rsidRPr="00FA0617" w:rsidRDefault="00A32D6C" w:rsidP="00A32D6C">
      <w:pPr>
        <w:pStyle w:val="ListParagraph"/>
      </w:pPr>
    </w:p>
    <w:p w14:paraId="1CD95C55" w14:textId="77777777" w:rsidR="00A32D6C" w:rsidRPr="00FA0617" w:rsidRDefault="00A32D6C" w:rsidP="003D5E6A">
      <w:pPr>
        <w:pStyle w:val="ListParagraph"/>
        <w:numPr>
          <w:ilvl w:val="0"/>
          <w:numId w:val="88"/>
        </w:numPr>
        <w:spacing w:before="0" w:after="240"/>
        <w:ind w:left="357" w:hanging="357"/>
        <w:jc w:val="left"/>
      </w:pPr>
      <w:r w:rsidRPr="00FA0617">
        <w:t xml:space="preserve">Mena G. </w:t>
      </w:r>
      <w:r w:rsidRPr="00FA0617">
        <w:rPr>
          <w:b/>
          <w:bCs/>
        </w:rPr>
        <w:t>The role of physical activity in fertility.</w:t>
      </w:r>
      <w:r w:rsidRPr="00FA0617">
        <w:t xml:space="preserve"> </w:t>
      </w:r>
      <w:r w:rsidRPr="00FA0617">
        <w:rPr>
          <w:i/>
          <w:iCs/>
        </w:rPr>
        <w:t>FACTS Conference 2022 For the Future of Women’s Health</w:t>
      </w:r>
      <w:r w:rsidRPr="00FA0617">
        <w:t>, Virtual, 23 July 2022</w:t>
      </w:r>
    </w:p>
    <w:p w14:paraId="59B7F4BE" w14:textId="77777777" w:rsidR="00A32D6C" w:rsidRPr="00FA0617" w:rsidRDefault="00A32D6C" w:rsidP="00A32D6C">
      <w:pPr>
        <w:pStyle w:val="ListParagraph"/>
        <w:spacing w:after="240"/>
        <w:ind w:left="357"/>
      </w:pPr>
    </w:p>
    <w:p w14:paraId="013506A4" w14:textId="75490BBB" w:rsidR="00A32D6C" w:rsidRPr="00FA0617" w:rsidRDefault="00A32D6C" w:rsidP="003D5E6A">
      <w:pPr>
        <w:pStyle w:val="ListParagraph"/>
        <w:numPr>
          <w:ilvl w:val="0"/>
          <w:numId w:val="88"/>
        </w:numPr>
        <w:spacing w:before="0" w:after="240"/>
        <w:ind w:left="357" w:hanging="357"/>
        <w:jc w:val="left"/>
      </w:pPr>
      <w:r w:rsidRPr="00FA0617">
        <w:t xml:space="preserve">Mielke G. </w:t>
      </w:r>
      <w:r w:rsidRPr="00FA0617">
        <w:rPr>
          <w:b/>
          <w:bCs/>
        </w:rPr>
        <w:t xml:space="preserve">Magic mirror on the wall - who is the most inactive of them all? </w:t>
      </w:r>
      <w:r w:rsidRPr="00FA0617">
        <w:rPr>
          <w:i/>
          <w:iCs/>
        </w:rPr>
        <w:t>9</w:t>
      </w:r>
      <w:r w:rsidRPr="00FA0617">
        <w:rPr>
          <w:i/>
          <w:iCs/>
          <w:vertAlign w:val="superscript"/>
        </w:rPr>
        <w:t>th</w:t>
      </w:r>
      <w:r w:rsidR="00FA0617">
        <w:rPr>
          <w:i/>
          <w:iCs/>
        </w:rPr>
        <w:t xml:space="preserve"> </w:t>
      </w:r>
      <w:r w:rsidRPr="00FA0617">
        <w:rPr>
          <w:i/>
          <w:iCs/>
        </w:rPr>
        <w:t>International Society for Physical Activity and Health (ISPAH) Congress</w:t>
      </w:r>
      <w:r w:rsidRPr="00FA0617">
        <w:t>, Abu Dhabi, 23-26 October 2022</w:t>
      </w:r>
    </w:p>
    <w:p w14:paraId="6A4C62B2" w14:textId="77777777" w:rsidR="00A32D6C" w:rsidRPr="00FA0617" w:rsidRDefault="00A32D6C" w:rsidP="00A32D6C">
      <w:pPr>
        <w:pStyle w:val="ListParagraph"/>
        <w:spacing w:after="240"/>
        <w:ind w:left="357"/>
      </w:pPr>
    </w:p>
    <w:p w14:paraId="0F732B72" w14:textId="0E53FCD2" w:rsidR="00A32D6C" w:rsidRPr="00FA0617" w:rsidRDefault="00A32D6C" w:rsidP="003D5E6A">
      <w:pPr>
        <w:pStyle w:val="ListParagraph"/>
        <w:numPr>
          <w:ilvl w:val="0"/>
          <w:numId w:val="88"/>
        </w:numPr>
        <w:spacing w:before="0" w:after="240"/>
        <w:ind w:left="357" w:hanging="357"/>
        <w:jc w:val="left"/>
      </w:pPr>
      <w:r w:rsidRPr="00FA0617">
        <w:t xml:space="preserve">Mielke G. </w:t>
      </w:r>
      <w:r w:rsidRPr="00FA0617">
        <w:rPr>
          <w:b/>
          <w:bCs/>
        </w:rPr>
        <w:t xml:space="preserve">Physical activity during pregnancy: guidelines, </w:t>
      </w:r>
      <w:proofErr w:type="gramStart"/>
      <w:r w:rsidRPr="00FA0617">
        <w:rPr>
          <w:b/>
          <w:bCs/>
        </w:rPr>
        <w:t>patterns</w:t>
      </w:r>
      <w:proofErr w:type="gramEnd"/>
      <w:r w:rsidRPr="00FA0617">
        <w:rPr>
          <w:b/>
          <w:bCs/>
        </w:rPr>
        <w:t xml:space="preserve"> and interventions.</w:t>
      </w:r>
      <w:r w:rsidRPr="00FA0617">
        <w:t xml:space="preserve"> </w:t>
      </w:r>
      <w:r w:rsidRPr="00FA0617">
        <w:rPr>
          <w:i/>
          <w:iCs/>
        </w:rPr>
        <w:t>9</w:t>
      </w:r>
      <w:r w:rsidRPr="00FA0617">
        <w:rPr>
          <w:i/>
          <w:iCs/>
          <w:vertAlign w:val="superscript"/>
        </w:rPr>
        <w:t>th</w:t>
      </w:r>
      <w:r w:rsidRPr="00FA0617">
        <w:rPr>
          <w:i/>
          <w:iCs/>
        </w:rPr>
        <w:t xml:space="preserve"> International Society for Physical Activity and Health (ISPAH) Congress</w:t>
      </w:r>
      <w:r w:rsidRPr="00FA0617">
        <w:t>, Abu Dhabi, 23-26 October 2022</w:t>
      </w:r>
    </w:p>
    <w:p w14:paraId="50567F1E" w14:textId="77777777" w:rsidR="00A32D6C" w:rsidRPr="00FA0617" w:rsidRDefault="00A32D6C" w:rsidP="00A32D6C">
      <w:pPr>
        <w:pStyle w:val="ListParagraph"/>
        <w:spacing w:after="240"/>
        <w:ind w:left="357"/>
      </w:pPr>
    </w:p>
    <w:p w14:paraId="21577F69" w14:textId="130D00B8" w:rsidR="00A32D6C" w:rsidRPr="00FA0617" w:rsidRDefault="00A32D6C" w:rsidP="003D5E6A">
      <w:pPr>
        <w:pStyle w:val="ListParagraph"/>
        <w:numPr>
          <w:ilvl w:val="0"/>
          <w:numId w:val="88"/>
        </w:numPr>
        <w:spacing w:before="0" w:after="240"/>
        <w:ind w:left="357" w:hanging="357"/>
        <w:jc w:val="left"/>
      </w:pPr>
      <w:r w:rsidRPr="00FA0617">
        <w:t xml:space="preserve">Moss K. </w:t>
      </w:r>
      <w:r w:rsidRPr="00FA0617">
        <w:rPr>
          <w:b/>
          <w:bCs/>
        </w:rPr>
        <w:t>What is the best fertility treatment for women with endometriosis - IUI or IVF?</w:t>
      </w:r>
      <w:r w:rsidRPr="00FA0617">
        <w:t xml:space="preserve"> </w:t>
      </w:r>
      <w:r w:rsidRPr="00FA0617">
        <w:rPr>
          <w:i/>
          <w:iCs/>
        </w:rPr>
        <w:t>Royal Australian and New Zealand College of Obstetricians and Gynaecologists (RANZCOG) Annual Scientific Meeting 2022</w:t>
      </w:r>
      <w:r w:rsidRPr="00FA0617">
        <w:t>, Gold Coast, QLD, 10-12 October 2022</w:t>
      </w:r>
    </w:p>
    <w:p w14:paraId="02FCF653" w14:textId="77777777" w:rsidR="0072409A" w:rsidRPr="00FA0617" w:rsidRDefault="0072409A" w:rsidP="00FA0617">
      <w:pPr>
        <w:pStyle w:val="ListParagraph"/>
      </w:pPr>
    </w:p>
    <w:p w14:paraId="7A1A44EF" w14:textId="015DE590" w:rsidR="0072409A" w:rsidRPr="00FA0617" w:rsidRDefault="0072409A" w:rsidP="003D5E6A">
      <w:pPr>
        <w:pStyle w:val="ListParagraph"/>
        <w:numPr>
          <w:ilvl w:val="0"/>
          <w:numId w:val="88"/>
        </w:numPr>
        <w:spacing w:before="0" w:after="240"/>
        <w:ind w:left="357" w:hanging="357"/>
        <w:jc w:val="left"/>
      </w:pPr>
      <w:r w:rsidRPr="00FA0617">
        <w:lastRenderedPageBreak/>
        <w:t xml:space="preserve">Moss K. </w:t>
      </w:r>
      <w:r w:rsidRPr="00FA0617">
        <w:rPr>
          <w:b/>
          <w:bCs/>
        </w:rPr>
        <w:t>Making a difference after natural disasters – reducing the influence of prenatal flood-related stress on pregnancy and childhood outcomes</w:t>
      </w:r>
      <w:r w:rsidRPr="00FA0617">
        <w:t xml:space="preserve">. </w:t>
      </w:r>
      <w:r w:rsidRPr="00FA0617">
        <w:rPr>
          <w:i/>
          <w:iCs/>
        </w:rPr>
        <w:t>2022 SOMANZ Annual Scientific Meeting</w:t>
      </w:r>
      <w:r w:rsidRPr="00FA0617">
        <w:t>, Hobart, TAS, 14-16 October 2022</w:t>
      </w:r>
    </w:p>
    <w:p w14:paraId="360081DE" w14:textId="77777777" w:rsidR="0072409A" w:rsidRPr="00FA0617" w:rsidRDefault="0072409A" w:rsidP="00FA0617">
      <w:pPr>
        <w:pStyle w:val="ListParagraph"/>
      </w:pPr>
    </w:p>
    <w:p w14:paraId="7E87ACE3" w14:textId="2F6A433A" w:rsidR="0072409A" w:rsidRDefault="0072409A" w:rsidP="003D5E6A">
      <w:pPr>
        <w:pStyle w:val="ListParagraph"/>
        <w:numPr>
          <w:ilvl w:val="0"/>
          <w:numId w:val="88"/>
        </w:numPr>
        <w:spacing w:before="0" w:after="240"/>
        <w:ind w:left="357" w:hanging="357"/>
        <w:jc w:val="left"/>
      </w:pPr>
      <w:r w:rsidRPr="00FA0617">
        <w:t xml:space="preserve">Pan K, Charlton BM, </w:t>
      </w:r>
      <w:proofErr w:type="spellStart"/>
      <w:r w:rsidRPr="00FA0617">
        <w:t>Chavarro</w:t>
      </w:r>
      <w:proofErr w:type="spellEnd"/>
      <w:r w:rsidRPr="00FA0617">
        <w:t xml:space="preserve"> JE, Gunderson EP, Hart J, </w:t>
      </w:r>
      <w:proofErr w:type="spellStart"/>
      <w:r w:rsidRPr="00FA0617">
        <w:t>Jukic</w:t>
      </w:r>
      <w:proofErr w:type="spellEnd"/>
      <w:r w:rsidRPr="00FA0617">
        <w:t xml:space="preserve"> AM, Ley S, Mishra GD, Mumford SL, Shaffer JG, Wise LA &amp; Harville EW. </w:t>
      </w:r>
      <w:r w:rsidRPr="00FA0617">
        <w:rPr>
          <w:b/>
          <w:bCs/>
        </w:rPr>
        <w:t xml:space="preserve">Preconception cannabis use and gestational diabetes (GDM): The </w:t>
      </w:r>
      <w:proofErr w:type="spellStart"/>
      <w:r w:rsidRPr="00FA0617">
        <w:rPr>
          <w:b/>
          <w:bCs/>
        </w:rPr>
        <w:t>PrePARED</w:t>
      </w:r>
      <w:proofErr w:type="spellEnd"/>
      <w:r w:rsidRPr="00FA0617">
        <w:rPr>
          <w:b/>
          <w:bCs/>
        </w:rPr>
        <w:t xml:space="preserve"> consortium</w:t>
      </w:r>
      <w:r w:rsidRPr="00FA0617">
        <w:t xml:space="preserve">. </w:t>
      </w:r>
      <w:r w:rsidRPr="009E6301">
        <w:rPr>
          <w:i/>
          <w:iCs/>
        </w:rPr>
        <w:t>35</w:t>
      </w:r>
      <w:r w:rsidRPr="009E6301">
        <w:rPr>
          <w:i/>
          <w:iCs/>
          <w:vertAlign w:val="superscript"/>
        </w:rPr>
        <w:t>th</w:t>
      </w:r>
      <w:r w:rsidRPr="009E6301">
        <w:rPr>
          <w:i/>
          <w:iCs/>
        </w:rPr>
        <w:t xml:space="preserve"> Annual Meeting of the Society for </w:t>
      </w:r>
      <w:proofErr w:type="spellStart"/>
      <w:r w:rsidRPr="009E6301">
        <w:rPr>
          <w:i/>
          <w:iCs/>
        </w:rPr>
        <w:t>Pediatric</w:t>
      </w:r>
      <w:proofErr w:type="spellEnd"/>
      <w:r w:rsidRPr="009E6301">
        <w:rPr>
          <w:i/>
          <w:iCs/>
        </w:rPr>
        <w:t xml:space="preserve"> and Perinatal Epidemiologic Research (SPER)</w:t>
      </w:r>
      <w:r w:rsidRPr="00FA0617">
        <w:t>, Chicago, USA, 13-14 June 2022</w:t>
      </w:r>
    </w:p>
    <w:p w14:paraId="4F059D95" w14:textId="77777777" w:rsidR="00FA0617" w:rsidRDefault="00FA0617" w:rsidP="00FA0617">
      <w:pPr>
        <w:pStyle w:val="ListParagraph"/>
      </w:pPr>
    </w:p>
    <w:p w14:paraId="617DD0B4" w14:textId="6CF5438A" w:rsidR="00FA0617" w:rsidRDefault="00FA0617" w:rsidP="003D5E6A">
      <w:pPr>
        <w:pStyle w:val="ListParagraph"/>
        <w:numPr>
          <w:ilvl w:val="0"/>
          <w:numId w:val="88"/>
        </w:numPr>
        <w:spacing w:before="0" w:after="240"/>
        <w:ind w:left="357" w:hanging="357"/>
        <w:jc w:val="left"/>
      </w:pPr>
      <w:r w:rsidRPr="00FA0617">
        <w:t xml:space="preserve">Pan K, Charlton BM, </w:t>
      </w:r>
      <w:proofErr w:type="spellStart"/>
      <w:r w:rsidRPr="00FA0617">
        <w:t>Chavarro</w:t>
      </w:r>
      <w:proofErr w:type="spellEnd"/>
      <w:r w:rsidRPr="00FA0617">
        <w:t xml:space="preserve"> JE, Gunderson EP, Hart J, </w:t>
      </w:r>
      <w:proofErr w:type="spellStart"/>
      <w:r w:rsidRPr="00FA0617">
        <w:t>Jukic</w:t>
      </w:r>
      <w:proofErr w:type="spellEnd"/>
      <w:r w:rsidRPr="00FA0617">
        <w:t xml:space="preserve"> AM, Ley S, Mishra GD, Mumford SL, Shaffer JG, Wise LA &amp; Harville EW. </w:t>
      </w:r>
      <w:r w:rsidRPr="00FA0617">
        <w:rPr>
          <w:b/>
          <w:bCs/>
        </w:rPr>
        <w:t>Preconception cannabis use</w:t>
      </w:r>
      <w:r>
        <w:rPr>
          <w:b/>
          <w:bCs/>
        </w:rPr>
        <w:t xml:space="preserve">, </w:t>
      </w:r>
      <w:r w:rsidRPr="00FA0617">
        <w:rPr>
          <w:b/>
          <w:bCs/>
        </w:rPr>
        <w:t xml:space="preserve">gestational </w:t>
      </w:r>
      <w:r>
        <w:rPr>
          <w:b/>
          <w:bCs/>
        </w:rPr>
        <w:t>hypertension, and pre-eclampsia</w:t>
      </w:r>
      <w:r w:rsidRPr="00FA0617">
        <w:rPr>
          <w:b/>
          <w:bCs/>
        </w:rPr>
        <w:t xml:space="preserve">: The </w:t>
      </w:r>
      <w:proofErr w:type="spellStart"/>
      <w:r w:rsidRPr="00FA0617">
        <w:rPr>
          <w:b/>
          <w:bCs/>
        </w:rPr>
        <w:t>PrePARED</w:t>
      </w:r>
      <w:proofErr w:type="spellEnd"/>
      <w:r w:rsidRPr="00FA0617">
        <w:rPr>
          <w:b/>
          <w:bCs/>
        </w:rPr>
        <w:t xml:space="preserve"> consortium</w:t>
      </w:r>
      <w:r w:rsidRPr="00FA0617">
        <w:t xml:space="preserve">. </w:t>
      </w:r>
      <w:r w:rsidRPr="009E6301">
        <w:rPr>
          <w:i/>
          <w:iCs/>
        </w:rPr>
        <w:t>35</w:t>
      </w:r>
      <w:r w:rsidRPr="009E6301">
        <w:rPr>
          <w:i/>
          <w:iCs/>
          <w:vertAlign w:val="superscript"/>
        </w:rPr>
        <w:t>th</w:t>
      </w:r>
      <w:r w:rsidRPr="009E6301">
        <w:rPr>
          <w:i/>
          <w:iCs/>
        </w:rPr>
        <w:t xml:space="preserve"> Annual Meeting of the Society for </w:t>
      </w:r>
      <w:proofErr w:type="spellStart"/>
      <w:r w:rsidRPr="009E6301">
        <w:rPr>
          <w:i/>
          <w:iCs/>
        </w:rPr>
        <w:t>Pediatric</w:t>
      </w:r>
      <w:proofErr w:type="spellEnd"/>
      <w:r w:rsidRPr="009E6301">
        <w:rPr>
          <w:i/>
          <w:iCs/>
        </w:rPr>
        <w:t xml:space="preserve"> and Perinatal Epidemiologic Research (SPER)</w:t>
      </w:r>
      <w:r w:rsidRPr="00FA0617">
        <w:t>, Chicago, USA, 13-14 June 2022</w:t>
      </w:r>
    </w:p>
    <w:p w14:paraId="11F6CC9C" w14:textId="77777777" w:rsidR="00FA0617" w:rsidRPr="00FA0617" w:rsidRDefault="00FA0617" w:rsidP="00FA0617">
      <w:pPr>
        <w:pStyle w:val="ListParagraph"/>
        <w:spacing w:before="0" w:after="240"/>
        <w:ind w:left="357"/>
        <w:jc w:val="left"/>
      </w:pPr>
    </w:p>
    <w:p w14:paraId="385C81E9" w14:textId="77777777" w:rsidR="00A32D6C" w:rsidRPr="00FA0617" w:rsidRDefault="00A32D6C" w:rsidP="003D5E6A">
      <w:pPr>
        <w:pStyle w:val="ListParagraph"/>
        <w:numPr>
          <w:ilvl w:val="0"/>
          <w:numId w:val="88"/>
        </w:numPr>
        <w:spacing w:before="0" w:after="240"/>
        <w:ind w:left="357" w:hanging="357"/>
        <w:jc w:val="left"/>
      </w:pPr>
      <w:proofErr w:type="spellStart"/>
      <w:r w:rsidRPr="00FA0617">
        <w:t>Paudel</w:t>
      </w:r>
      <w:proofErr w:type="spellEnd"/>
      <w:r w:rsidRPr="00FA0617">
        <w:t xml:space="preserve"> S. </w:t>
      </w:r>
      <w:r w:rsidRPr="00FA0617">
        <w:rPr>
          <w:b/>
          <w:bCs/>
        </w:rPr>
        <w:t>Does the prevalence of overweight/obesity, physical activity and sitting time differ by CALD background? A secondary analysis of the Australian Longitudinal Study on Women’s Health</w:t>
      </w:r>
      <w:r w:rsidRPr="00FA0617">
        <w:t xml:space="preserve">. </w:t>
      </w:r>
      <w:r w:rsidRPr="00FA0617">
        <w:rPr>
          <w:i/>
          <w:iCs/>
        </w:rPr>
        <w:t>International Congress on Obesity (ICO) 2022</w:t>
      </w:r>
      <w:r w:rsidRPr="00FA0617">
        <w:t>, Melbourne, VIC, 18-22 October 2022</w:t>
      </w:r>
    </w:p>
    <w:p w14:paraId="4FF0A83A" w14:textId="77777777" w:rsidR="00A32D6C" w:rsidRPr="00FA0617" w:rsidRDefault="00A32D6C" w:rsidP="00A32D6C">
      <w:pPr>
        <w:pStyle w:val="ListParagraph"/>
        <w:spacing w:after="240"/>
        <w:ind w:left="357"/>
      </w:pPr>
    </w:p>
    <w:p w14:paraId="5760EF47" w14:textId="2F887C5F" w:rsidR="0072409A" w:rsidRPr="00FA0617" w:rsidRDefault="0072409A" w:rsidP="003D5E6A">
      <w:pPr>
        <w:pStyle w:val="ListParagraph"/>
        <w:numPr>
          <w:ilvl w:val="0"/>
          <w:numId w:val="88"/>
        </w:numPr>
        <w:spacing w:before="0" w:after="240"/>
        <w:ind w:left="357" w:hanging="357"/>
        <w:jc w:val="left"/>
      </w:pPr>
      <w:r w:rsidRPr="00FA0617">
        <w:t xml:space="preserve">Tooth L. </w:t>
      </w:r>
      <w:r w:rsidRPr="00FA0617">
        <w:rPr>
          <w:b/>
          <w:bCs/>
        </w:rPr>
        <w:t>Delayed health care access during the pandemic</w:t>
      </w:r>
      <w:r w:rsidRPr="00FA0617">
        <w:t xml:space="preserve">.  </w:t>
      </w:r>
      <w:r w:rsidRPr="00FA0617">
        <w:rPr>
          <w:i/>
          <w:iCs/>
        </w:rPr>
        <w:t>Queensland Women’s Health Forum</w:t>
      </w:r>
      <w:r w:rsidRPr="00FA0617">
        <w:t xml:space="preserve">, Toowoomba, QLD, 12-13 September 2022. </w:t>
      </w:r>
    </w:p>
    <w:p w14:paraId="3CC868AF" w14:textId="77777777" w:rsidR="0072409A" w:rsidRPr="00FA0617" w:rsidRDefault="0072409A" w:rsidP="00FA0617">
      <w:pPr>
        <w:pStyle w:val="ListParagraph"/>
      </w:pPr>
    </w:p>
    <w:p w14:paraId="5E729814" w14:textId="0ADCE59A" w:rsidR="00A32D6C" w:rsidRPr="00FA0617" w:rsidRDefault="00A32D6C" w:rsidP="003D5E6A">
      <w:pPr>
        <w:pStyle w:val="ListParagraph"/>
        <w:numPr>
          <w:ilvl w:val="0"/>
          <w:numId w:val="88"/>
        </w:numPr>
        <w:spacing w:before="0" w:after="240"/>
        <w:ind w:left="357" w:hanging="357"/>
        <w:jc w:val="left"/>
      </w:pPr>
      <w:r w:rsidRPr="00FA0617">
        <w:t xml:space="preserve">Tooth L, Moss K, Hockey R, Mishra G. </w:t>
      </w:r>
      <w:r w:rsidRPr="00FA0617">
        <w:rPr>
          <w:b/>
          <w:bCs/>
        </w:rPr>
        <w:t xml:space="preserve">Are screen time guidelines </w:t>
      </w:r>
      <w:proofErr w:type="gramStart"/>
      <w:r w:rsidRPr="00FA0617">
        <w:rPr>
          <w:b/>
          <w:bCs/>
        </w:rPr>
        <w:t>actually working</w:t>
      </w:r>
      <w:proofErr w:type="gramEnd"/>
      <w:r w:rsidRPr="00FA0617">
        <w:rPr>
          <w:b/>
          <w:bCs/>
        </w:rPr>
        <w:t xml:space="preserve"> for Australian families?</w:t>
      </w:r>
      <w:r w:rsidRPr="00FA0617">
        <w:t xml:space="preserve"> </w:t>
      </w:r>
      <w:r w:rsidRPr="00FA0617">
        <w:rPr>
          <w:i/>
          <w:iCs/>
        </w:rPr>
        <w:t>Population Health Congress</w:t>
      </w:r>
      <w:r w:rsidRPr="00FA0617">
        <w:t>, Adelaide, SA, 21-23 September 2022</w:t>
      </w:r>
    </w:p>
    <w:p w14:paraId="76CDDE0A" w14:textId="77777777" w:rsidR="00FA0617" w:rsidRDefault="00A32D6C" w:rsidP="00A213C3">
      <w:pPr>
        <w:widowControl w:val="0"/>
        <w:numPr>
          <w:ilvl w:val="0"/>
          <w:numId w:val="53"/>
        </w:numPr>
        <w:tabs>
          <w:tab w:val="left" w:pos="90"/>
        </w:tabs>
        <w:autoSpaceDE w:val="0"/>
        <w:autoSpaceDN w:val="0"/>
        <w:adjustRightInd w:val="0"/>
        <w:spacing w:before="160" w:after="40" w:line="300" w:lineRule="auto"/>
        <w:ind w:left="426" w:hanging="426"/>
      </w:pPr>
      <w:r w:rsidRPr="00FA0617">
        <w:t xml:space="preserve">William J &amp; Parkinson B. </w:t>
      </w:r>
      <w:r w:rsidRPr="00FA0617">
        <w:rPr>
          <w:b/>
          <w:bCs/>
        </w:rPr>
        <w:t>The lifetime health system costs of women who experience domestic violence.</w:t>
      </w:r>
      <w:r w:rsidRPr="00FA0617">
        <w:t xml:space="preserve"> </w:t>
      </w:r>
      <w:r w:rsidRPr="00FA0617">
        <w:rPr>
          <w:i/>
          <w:iCs/>
        </w:rPr>
        <w:t>Australian Gender Economics Workshop 2022</w:t>
      </w:r>
      <w:r w:rsidRPr="00FA0617">
        <w:t>, Virtual, 10-11 February 2022</w:t>
      </w:r>
    </w:p>
    <w:p w14:paraId="4505DDC3" w14:textId="1BEE41A2" w:rsidR="008F45E1" w:rsidRPr="00FA0617" w:rsidRDefault="00A32D6C" w:rsidP="00A213C3">
      <w:pPr>
        <w:widowControl w:val="0"/>
        <w:numPr>
          <w:ilvl w:val="0"/>
          <w:numId w:val="53"/>
        </w:numPr>
        <w:tabs>
          <w:tab w:val="left" w:pos="90"/>
        </w:tabs>
        <w:autoSpaceDE w:val="0"/>
        <w:autoSpaceDN w:val="0"/>
        <w:adjustRightInd w:val="0"/>
        <w:spacing w:before="160" w:after="40" w:line="300" w:lineRule="auto"/>
        <w:ind w:left="426" w:hanging="426"/>
      </w:pPr>
      <w:r w:rsidRPr="00FA0617">
        <w:t xml:space="preserve">Xu Z, McElwee P, Hockey R &amp; Dobson A. </w:t>
      </w:r>
      <w:r w:rsidRPr="00FA0617">
        <w:rPr>
          <w:b/>
          <w:bCs/>
        </w:rPr>
        <w:t>Accuracy of death certifications of diabetes, dementia, and cancer in Australia.</w:t>
      </w:r>
      <w:r w:rsidRPr="00FA0617">
        <w:t xml:space="preserve"> </w:t>
      </w:r>
      <w:r w:rsidRPr="00FA0617">
        <w:rPr>
          <w:i/>
          <w:iCs/>
        </w:rPr>
        <w:t>5</w:t>
      </w:r>
      <w:proofErr w:type="gramStart"/>
      <w:r w:rsidRPr="00FA0617">
        <w:rPr>
          <w:i/>
          <w:iCs/>
          <w:vertAlign w:val="superscript"/>
        </w:rPr>
        <w:t>th</w:t>
      </w:r>
      <w:r w:rsidR="00FA0617">
        <w:rPr>
          <w:i/>
          <w:iCs/>
        </w:rPr>
        <w:t xml:space="preserve"> </w:t>
      </w:r>
      <w:r w:rsidRPr="00FA0617">
        <w:rPr>
          <w:i/>
          <w:iCs/>
        </w:rPr>
        <w:t xml:space="preserve"> </w:t>
      </w:r>
      <w:r w:rsidR="00FA0617">
        <w:rPr>
          <w:i/>
          <w:iCs/>
        </w:rPr>
        <w:t>M</w:t>
      </w:r>
      <w:r w:rsidRPr="00FA0617">
        <w:rPr>
          <w:i/>
          <w:iCs/>
        </w:rPr>
        <w:t>eeting</w:t>
      </w:r>
      <w:proofErr w:type="gramEnd"/>
      <w:r w:rsidRPr="00FA0617">
        <w:rPr>
          <w:i/>
          <w:iCs/>
        </w:rPr>
        <w:t xml:space="preserve"> of the </w:t>
      </w:r>
      <w:proofErr w:type="spellStart"/>
      <w:r w:rsidRPr="00FA0617">
        <w:rPr>
          <w:i/>
          <w:iCs/>
        </w:rPr>
        <w:t>MultiCause</w:t>
      </w:r>
      <w:proofErr w:type="spellEnd"/>
      <w:r w:rsidRPr="00FA0617">
        <w:rPr>
          <w:i/>
          <w:iCs/>
        </w:rPr>
        <w:t xml:space="preserve"> Networ</w:t>
      </w:r>
      <w:r w:rsidRPr="00FA0617">
        <w:t>k, Bonn, Germany, 19-20 May 2022.</w:t>
      </w:r>
    </w:p>
    <w:p w14:paraId="03F6CD26" w14:textId="77777777" w:rsidR="003E3038" w:rsidRDefault="003E3038" w:rsidP="003E3038">
      <w:pPr>
        <w:widowControl w:val="0"/>
        <w:tabs>
          <w:tab w:val="left" w:pos="90"/>
        </w:tabs>
        <w:autoSpaceDE w:val="0"/>
        <w:autoSpaceDN w:val="0"/>
        <w:adjustRightInd w:val="0"/>
        <w:spacing w:before="160" w:after="40" w:line="300" w:lineRule="auto"/>
        <w:ind w:left="426"/>
      </w:pPr>
    </w:p>
    <w:p w14:paraId="28F88DD3" w14:textId="29A556AC" w:rsidR="008F45E1" w:rsidRDefault="00B20702" w:rsidP="008F45E1">
      <w:pPr>
        <w:pStyle w:val="Heading2"/>
      </w:pPr>
      <w:bookmarkStart w:id="1208" w:name="_Toc498092021"/>
      <w:bookmarkStart w:id="1209" w:name="_Toc124762830"/>
      <w:bookmarkStart w:id="1210" w:name="_Toc406674888"/>
      <w:bookmarkStart w:id="1211" w:name="_Toc433032223"/>
      <w:r w:rsidRPr="002906F0">
        <w:t>Media</w:t>
      </w:r>
      <w:bookmarkEnd w:id="1208"/>
      <w:bookmarkEnd w:id="1209"/>
    </w:p>
    <w:p w14:paraId="427335BB" w14:textId="56BC0C9A" w:rsidR="00F67987" w:rsidRDefault="008F45E1" w:rsidP="009E3565">
      <w:pPr>
        <w:pStyle w:val="BodyText"/>
      </w:pPr>
      <w:r>
        <w:t xml:space="preserve">Media monitoring is carried out for the </w:t>
      </w:r>
      <w:r w:rsidR="00574134">
        <w:t>S</w:t>
      </w:r>
      <w:r>
        <w:t>tudy by The University of Queensland and the Hunter Medical Research Institute (in collaboration with the University of Newcastle</w:t>
      </w:r>
      <w:r w:rsidR="00966E31">
        <w:t xml:space="preserve">), </w:t>
      </w:r>
      <w:r>
        <w:t>us</w:t>
      </w:r>
      <w:r w:rsidR="00966E31">
        <w:t>ing</w:t>
      </w:r>
      <w:r>
        <w:t xml:space="preserve"> the Meltwater media monitoring system. </w:t>
      </w:r>
      <w:r w:rsidR="008077B1">
        <w:t>In addition to</w:t>
      </w:r>
      <w:r>
        <w:t xml:space="preserve"> </w:t>
      </w:r>
      <w:r w:rsidR="008077B1">
        <w:t xml:space="preserve">Study </w:t>
      </w:r>
      <w:r>
        <w:t>media that mention</w:t>
      </w:r>
      <w:r w:rsidR="008077B1">
        <w:t xml:space="preserve">s </w:t>
      </w:r>
      <w:r>
        <w:t>the host universities</w:t>
      </w:r>
      <w:r w:rsidR="008077B1">
        <w:t xml:space="preserve">, </w:t>
      </w:r>
      <w:r w:rsidR="003B11FA">
        <w:t xml:space="preserve">this system picks up </w:t>
      </w:r>
      <w:r>
        <w:t>media generated by collaborating researchers at other univers</w:t>
      </w:r>
      <w:r w:rsidR="00F67987">
        <w:t>ities</w:t>
      </w:r>
      <w:r w:rsidR="003B11FA">
        <w:t>,</w:t>
      </w:r>
      <w:r w:rsidR="00F67987">
        <w:t xml:space="preserve"> or independently by journalists and bloggers</w:t>
      </w:r>
      <w:r w:rsidR="003B11FA">
        <w:t>. From 1 October 2021 to 31</w:t>
      </w:r>
      <w:r w:rsidR="0054283C">
        <w:t>October</w:t>
      </w:r>
      <w:r w:rsidR="003B11FA">
        <w:t xml:space="preserve"> 2022, there were </w:t>
      </w:r>
      <w:r w:rsidR="0054283C">
        <w:t xml:space="preserve">948 </w:t>
      </w:r>
      <w:r w:rsidR="003B11FA">
        <w:t xml:space="preserve">mentions of the Study and major </w:t>
      </w:r>
      <w:r w:rsidR="003B11FA">
        <w:lastRenderedPageBreak/>
        <w:t xml:space="preserve">projects using Study data in news media, encompassing </w:t>
      </w:r>
      <w:r w:rsidR="0054283C">
        <w:t xml:space="preserve">37 </w:t>
      </w:r>
      <w:r w:rsidR="003B11FA">
        <w:t xml:space="preserve">topics and across 45 countries. Details of some major media items are shown in </w:t>
      </w:r>
      <w:r w:rsidR="00574134">
        <w:fldChar w:fldCharType="begin"/>
      </w:r>
      <w:r w:rsidR="00574134">
        <w:instrText xml:space="preserve"> REF _Ref113374228 \h </w:instrText>
      </w:r>
      <w:r w:rsidR="009E3565">
        <w:instrText xml:space="preserve"> \* MERGEFORMAT </w:instrText>
      </w:r>
      <w:r w:rsidR="00574134">
        <w:fldChar w:fldCharType="separate"/>
      </w:r>
      <w:r w:rsidR="007D19D7">
        <w:t xml:space="preserve">Table </w:t>
      </w:r>
      <w:r w:rsidR="007D19D7">
        <w:rPr>
          <w:noProof/>
        </w:rPr>
        <w:t>9</w:t>
      </w:r>
      <w:r w:rsidR="007D19D7">
        <w:rPr>
          <w:noProof/>
        </w:rPr>
        <w:noBreakHyphen/>
        <w:t>2</w:t>
      </w:r>
      <w:r w:rsidR="00574134">
        <w:fldChar w:fldCharType="end"/>
      </w:r>
      <w:r w:rsidR="00574134">
        <w:t>.</w:t>
      </w:r>
    </w:p>
    <w:p w14:paraId="4E9817CC" w14:textId="77777777" w:rsidR="00574134" w:rsidRDefault="00574134" w:rsidP="00574134">
      <w:pPr>
        <w:pStyle w:val="Heading2"/>
      </w:pPr>
      <w:bookmarkStart w:id="1212" w:name="_Toc124762831"/>
      <w:r>
        <w:t>Social media</w:t>
      </w:r>
      <w:bookmarkEnd w:id="1212"/>
    </w:p>
    <w:p w14:paraId="3BD5B9C3" w14:textId="77777777" w:rsidR="00574134" w:rsidRDefault="00574134" w:rsidP="003E3038">
      <w:pPr>
        <w:pStyle w:val="2012TechReportBodytext"/>
      </w:pPr>
      <w:r>
        <w:t xml:space="preserve">During the year, details of Study outcomes and activities have been posted on the Study’s social media accounts on Facebook, Twitter, </w:t>
      </w:r>
      <w:proofErr w:type="gramStart"/>
      <w:r>
        <w:t>Instagram</w:t>
      </w:r>
      <w:proofErr w:type="gramEnd"/>
      <w:r>
        <w:t xml:space="preserve"> and LinkedIn. Content is repurposed and reformatted so that it can be efficiently shared across multiple social media platforms where appropriate. </w:t>
      </w:r>
    </w:p>
    <w:p w14:paraId="114440B7" w14:textId="77777777" w:rsidR="00574134" w:rsidRDefault="00574134" w:rsidP="003E3038">
      <w:pPr>
        <w:pStyle w:val="2012TechReportBodytext"/>
      </w:pPr>
    </w:p>
    <w:p w14:paraId="1E99D2A9" w14:textId="4FA24AFD" w:rsidR="00574134" w:rsidRDefault="00574134" w:rsidP="003E3038">
      <w:pPr>
        <w:pStyle w:val="2012TechReportBodytext"/>
      </w:pPr>
      <w:r w:rsidRPr="007A6FD9">
        <w:rPr>
          <w:b/>
          <w:bCs/>
        </w:rPr>
        <w:t>Facebook</w:t>
      </w:r>
      <w:r w:rsidR="009E3565">
        <w:rPr>
          <w:b/>
          <w:bCs/>
        </w:rPr>
        <w:t xml:space="preserve">: </w:t>
      </w:r>
      <w:r>
        <w:t xml:space="preserve">Content posted to Facebook continues to be aimed at a lay audience - particularly participants. The Facebook page is used to post reminders about open surveys and </w:t>
      </w:r>
      <w:proofErr w:type="spellStart"/>
      <w:r>
        <w:t>substudies</w:t>
      </w:r>
      <w:proofErr w:type="spellEnd"/>
      <w:r>
        <w:t xml:space="preserve"> and to inform participants of research outcomes. The Study’s </w:t>
      </w:r>
      <w:hyperlink r:id="rId159" w:history="1">
        <w:r w:rsidRPr="002A7798">
          <w:rPr>
            <w:rStyle w:val="Hyperlink"/>
          </w:rPr>
          <w:t>Facebook</w:t>
        </w:r>
      </w:hyperlink>
      <w:r>
        <w:t xml:space="preserve"> has around 9,711 followers. </w:t>
      </w:r>
      <w:r w:rsidRPr="00B47D16">
        <w:t>Roughly 9</w:t>
      </w:r>
      <w:r>
        <w:t>7</w:t>
      </w:r>
      <w:r w:rsidRPr="00B47D16">
        <w:t>% of the audience is female</w:t>
      </w:r>
      <w:r>
        <w:t xml:space="preserve">. </w:t>
      </w:r>
      <w:r w:rsidRPr="00B47D16">
        <w:t xml:space="preserve"> </w:t>
      </w:r>
      <w:r>
        <w:t xml:space="preserve">Over 80% are </w:t>
      </w:r>
      <w:r w:rsidRPr="00B47D16">
        <w:t xml:space="preserve">likely to be participants from the </w:t>
      </w:r>
      <w:r>
        <w:t>1989-95 cohort, less than 10% from the 1973-78 cohort, and 2% from the 1946-51 cohort</w:t>
      </w:r>
      <w:r w:rsidRPr="00B47D16">
        <w:t xml:space="preserve">. </w:t>
      </w:r>
      <w:r>
        <w:t xml:space="preserve">Posts made to the Facebook page reach between 200 and 1,400 followers. </w:t>
      </w:r>
    </w:p>
    <w:p w14:paraId="1AC64317" w14:textId="2023ABD2" w:rsidR="00574134" w:rsidRDefault="00574134" w:rsidP="003E3038">
      <w:pPr>
        <w:pStyle w:val="2012TechReportBodytext"/>
      </w:pPr>
      <w:r>
        <w:rPr>
          <w:b/>
          <w:bCs/>
        </w:rPr>
        <w:t>Twitter</w:t>
      </w:r>
      <w:r w:rsidR="009E3565">
        <w:rPr>
          <w:b/>
          <w:bCs/>
        </w:rPr>
        <w:t xml:space="preserve">: </w:t>
      </w:r>
      <w:r>
        <w:t xml:space="preserve">The </w:t>
      </w:r>
      <w:hyperlink r:id="rId160" w:history="1">
        <w:r w:rsidRPr="002A7798">
          <w:rPr>
            <w:rStyle w:val="Hyperlink"/>
          </w:rPr>
          <w:t>Twitter account</w:t>
        </w:r>
      </w:hyperlink>
      <w:r>
        <w:t xml:space="preserve"> promotes engagement with collaborators, other researchers, media professionals, policy makers, and non-government organisations (NGOs) as well as the </w:t>
      </w:r>
      <w:proofErr w:type="gramStart"/>
      <w:r>
        <w:t>general public</w:t>
      </w:r>
      <w:proofErr w:type="gramEnd"/>
      <w:r>
        <w:t>. Tweets highlight</w:t>
      </w:r>
      <w:r w:rsidRPr="00B47D16">
        <w:t xml:space="preserve"> study news, data releases, journal papers, lay summaries and attendance at conferences. The account currently has 1,</w:t>
      </w:r>
      <w:r>
        <w:t>829</w:t>
      </w:r>
      <w:r w:rsidRPr="00B47D16">
        <w:t xml:space="preserve"> followers</w:t>
      </w:r>
      <w:r>
        <w:t xml:space="preserve"> and its Tweets receive between 2,500 to 5000 impressions each month. </w:t>
      </w:r>
    </w:p>
    <w:p w14:paraId="7D1773EF" w14:textId="13835DF3" w:rsidR="00574134" w:rsidRDefault="00574134" w:rsidP="003E3038">
      <w:pPr>
        <w:pStyle w:val="2012TechReportBodytext"/>
      </w:pPr>
      <w:r w:rsidRPr="007A6FD9">
        <w:rPr>
          <w:b/>
          <w:bCs/>
        </w:rPr>
        <w:t>Instagram</w:t>
      </w:r>
      <w:r w:rsidR="009E3565">
        <w:rPr>
          <w:b/>
          <w:bCs/>
        </w:rPr>
        <w:t xml:space="preserve">: </w:t>
      </w:r>
      <w:r>
        <w:t xml:space="preserve">This account is aimed at a lay audience and is promoted to participants. It also acquires new followers and post views from people following specific hashtags. The Instagram account currently has 430 followers and posts receive between 90 and 150 impressions. </w:t>
      </w:r>
    </w:p>
    <w:p w14:paraId="3D7ACE63" w14:textId="6B652B28" w:rsidR="00574134" w:rsidRPr="007A6FD9" w:rsidRDefault="00574134" w:rsidP="003E3038">
      <w:pPr>
        <w:pStyle w:val="2012TechReportBodytext"/>
      </w:pPr>
      <w:r>
        <w:rPr>
          <w:b/>
          <w:bCs/>
        </w:rPr>
        <w:t>LinkedIn</w:t>
      </w:r>
      <w:r w:rsidR="009E3565">
        <w:rPr>
          <w:b/>
          <w:bCs/>
        </w:rPr>
        <w:t xml:space="preserve">: </w:t>
      </w:r>
      <w:r>
        <w:t xml:space="preserve">The </w:t>
      </w:r>
      <w:hyperlink r:id="rId161" w:history="1">
        <w:r w:rsidRPr="007A6FD9">
          <w:rPr>
            <w:rStyle w:val="Hyperlink"/>
          </w:rPr>
          <w:t>ALSWH LinkedIn page</w:t>
        </w:r>
      </w:hyperlink>
      <w:r>
        <w:t xml:space="preserve"> was started in 2020 with the aim of providing professionals in policy, advocacy, and research with updates on ALSWH research outcomes and impact. The Study’s LinkedIn following has grown to </w:t>
      </w:r>
      <w:r w:rsidR="0054283C">
        <w:t xml:space="preserve">over 200 </w:t>
      </w:r>
      <w:r>
        <w:t xml:space="preserve">followers. </w:t>
      </w:r>
    </w:p>
    <w:p w14:paraId="4176511B" w14:textId="77777777" w:rsidR="00574134" w:rsidRDefault="00574134" w:rsidP="008F45E1">
      <w:pPr>
        <w:pStyle w:val="BodyText"/>
        <w:jc w:val="left"/>
      </w:pPr>
    </w:p>
    <w:p w14:paraId="2B75334B" w14:textId="77777777" w:rsidR="00E6705E" w:rsidRDefault="00E6705E" w:rsidP="002B68F4">
      <w:pPr>
        <w:pStyle w:val="BodyText"/>
        <w:jc w:val="center"/>
        <w:sectPr w:rsidR="00E6705E" w:rsidSect="00E37288">
          <w:headerReference w:type="even" r:id="rId162"/>
          <w:headerReference w:type="default" r:id="rId163"/>
          <w:footerReference w:type="even" r:id="rId164"/>
          <w:footerReference w:type="default" r:id="rId165"/>
          <w:headerReference w:type="first" r:id="rId166"/>
          <w:footerReference w:type="first" r:id="rId167"/>
          <w:pgSz w:w="11906" w:h="16838"/>
          <w:pgMar w:top="1440" w:right="1440" w:bottom="1440" w:left="1440" w:header="708" w:footer="708" w:gutter="0"/>
          <w:cols w:space="708"/>
          <w:docGrid w:linePitch="360"/>
        </w:sectPr>
      </w:pPr>
    </w:p>
    <w:p w14:paraId="507168FB" w14:textId="3FD28819" w:rsidR="008F45E1" w:rsidRDefault="008F45E1" w:rsidP="0000266C">
      <w:pPr>
        <w:pStyle w:val="Caption"/>
      </w:pPr>
      <w:bookmarkStart w:id="1213" w:name="_Ref113374228"/>
      <w:bookmarkStart w:id="1214" w:name="_Toc56167063"/>
      <w:r>
        <w:lastRenderedPageBreak/>
        <w:t xml:space="preserve">Table </w:t>
      </w:r>
      <w:fldSimple w:instr=" STYLEREF 1 \s ">
        <w:r w:rsidR="007D19D7">
          <w:rPr>
            <w:noProof/>
          </w:rPr>
          <w:t>9</w:t>
        </w:r>
      </w:fldSimple>
      <w:r w:rsidR="00327D59">
        <w:noBreakHyphen/>
      </w:r>
      <w:fldSimple w:instr=" SEQ Table \* ARABIC \s 1 ">
        <w:r w:rsidR="007D19D7">
          <w:rPr>
            <w:noProof/>
          </w:rPr>
          <w:t>2</w:t>
        </w:r>
      </w:fldSimple>
      <w:bookmarkEnd w:id="1213"/>
      <w:r>
        <w:t xml:space="preserve"> ALSWH media highlights from </w:t>
      </w:r>
      <w:r w:rsidR="001301BE">
        <w:t>December</w:t>
      </w:r>
      <w:r>
        <w:t xml:space="preserve"> 2021 – </w:t>
      </w:r>
      <w:bookmarkEnd w:id="1214"/>
      <w:r w:rsidR="00B5465F">
        <w:t xml:space="preserve">November </w:t>
      </w:r>
      <w:r w:rsidR="00E270C7">
        <w:t>2022</w:t>
      </w:r>
    </w:p>
    <w:tbl>
      <w:tblPr>
        <w:tblStyle w:val="GridTable4-Accent1"/>
        <w:tblW w:w="14170" w:type="dxa"/>
        <w:tblBorders>
          <w:top w:val="single" w:sz="4" w:space="0" w:color="A488B6"/>
          <w:left w:val="single" w:sz="4" w:space="0" w:color="A488B6"/>
          <w:bottom w:val="single" w:sz="4" w:space="0" w:color="A488B6"/>
          <w:right w:val="single" w:sz="4" w:space="0" w:color="A488B6"/>
          <w:insideH w:val="single" w:sz="4" w:space="0" w:color="A488B6"/>
          <w:insideV w:val="single" w:sz="4" w:space="0" w:color="A488B6"/>
        </w:tblBorders>
        <w:tblCellMar>
          <w:top w:w="85" w:type="dxa"/>
          <w:left w:w="85" w:type="dxa"/>
          <w:bottom w:w="85" w:type="dxa"/>
          <w:right w:w="85" w:type="dxa"/>
        </w:tblCellMar>
        <w:tblLook w:val="0420" w:firstRow="1" w:lastRow="0" w:firstColumn="0" w:lastColumn="0" w:noHBand="0" w:noVBand="1"/>
      </w:tblPr>
      <w:tblGrid>
        <w:gridCol w:w="1422"/>
        <w:gridCol w:w="2942"/>
        <w:gridCol w:w="3387"/>
        <w:gridCol w:w="6419"/>
      </w:tblGrid>
      <w:tr w:rsidR="008F45E1" w:rsidRPr="002B68F4" w14:paraId="45B36E41" w14:textId="77777777" w:rsidTr="002B68F4">
        <w:trPr>
          <w:cnfStyle w:val="100000000000" w:firstRow="1" w:lastRow="0" w:firstColumn="0" w:lastColumn="0" w:oddVBand="0" w:evenVBand="0" w:oddHBand="0" w:evenHBand="0" w:firstRowFirstColumn="0" w:firstRowLastColumn="0" w:lastRowFirstColumn="0" w:lastRowLastColumn="0"/>
          <w:tblHeader/>
        </w:trPr>
        <w:tc>
          <w:tcPr>
            <w:tcW w:w="1422" w:type="dxa"/>
            <w:shd w:val="clear" w:color="auto" w:fill="652D86"/>
          </w:tcPr>
          <w:p w14:paraId="29D5429F" w14:textId="77777777" w:rsidR="008F45E1" w:rsidRPr="002B68F4" w:rsidRDefault="008F45E1" w:rsidP="00E24F54">
            <w:pPr>
              <w:rPr>
                <w:rFonts w:cs="Arial"/>
                <w:sz w:val="20"/>
                <w:szCs w:val="20"/>
              </w:rPr>
            </w:pPr>
            <w:r w:rsidRPr="002B68F4">
              <w:rPr>
                <w:rFonts w:cs="Arial"/>
                <w:sz w:val="20"/>
                <w:szCs w:val="20"/>
              </w:rPr>
              <w:t>Date</w:t>
            </w:r>
          </w:p>
        </w:tc>
        <w:tc>
          <w:tcPr>
            <w:tcW w:w="2942" w:type="dxa"/>
            <w:shd w:val="clear" w:color="auto" w:fill="652D86"/>
          </w:tcPr>
          <w:p w14:paraId="756994A4" w14:textId="77777777" w:rsidR="008F45E1" w:rsidRPr="002B68F4" w:rsidRDefault="008F45E1" w:rsidP="00E24F54">
            <w:pPr>
              <w:rPr>
                <w:rFonts w:cs="Arial"/>
                <w:sz w:val="20"/>
                <w:szCs w:val="20"/>
              </w:rPr>
            </w:pPr>
            <w:r w:rsidRPr="002B68F4">
              <w:rPr>
                <w:rFonts w:cs="Arial"/>
                <w:sz w:val="20"/>
                <w:szCs w:val="20"/>
              </w:rPr>
              <w:t>Topic</w:t>
            </w:r>
          </w:p>
        </w:tc>
        <w:tc>
          <w:tcPr>
            <w:tcW w:w="3387" w:type="dxa"/>
            <w:shd w:val="clear" w:color="auto" w:fill="652D86"/>
          </w:tcPr>
          <w:p w14:paraId="6E785156" w14:textId="77777777" w:rsidR="008F45E1" w:rsidRPr="002B68F4" w:rsidRDefault="008F45E1" w:rsidP="00E24F54">
            <w:pPr>
              <w:rPr>
                <w:rFonts w:cs="Arial"/>
                <w:sz w:val="20"/>
                <w:szCs w:val="20"/>
              </w:rPr>
            </w:pPr>
            <w:r w:rsidRPr="002B68F4">
              <w:rPr>
                <w:rFonts w:cs="Arial"/>
                <w:sz w:val="20"/>
                <w:szCs w:val="20"/>
              </w:rPr>
              <w:t>Collaborator and Institute</w:t>
            </w:r>
          </w:p>
        </w:tc>
        <w:tc>
          <w:tcPr>
            <w:tcW w:w="6419" w:type="dxa"/>
            <w:shd w:val="clear" w:color="auto" w:fill="652D86"/>
          </w:tcPr>
          <w:p w14:paraId="18D53087" w14:textId="77777777" w:rsidR="008F45E1" w:rsidRPr="002B68F4" w:rsidRDefault="008F45E1" w:rsidP="00E24F54">
            <w:pPr>
              <w:rPr>
                <w:rFonts w:cs="Arial"/>
                <w:sz w:val="20"/>
                <w:szCs w:val="20"/>
              </w:rPr>
            </w:pPr>
            <w:r w:rsidRPr="002B68F4">
              <w:rPr>
                <w:rFonts w:cs="Arial"/>
                <w:sz w:val="20"/>
                <w:szCs w:val="20"/>
              </w:rPr>
              <w:t>Highlights</w:t>
            </w:r>
          </w:p>
        </w:tc>
      </w:tr>
      <w:tr w:rsidR="0054283C" w:rsidRPr="002B68F4" w14:paraId="0B2C02DA" w14:textId="77777777" w:rsidTr="00E06588">
        <w:trPr>
          <w:cnfStyle w:val="000000100000" w:firstRow="0" w:lastRow="0" w:firstColumn="0" w:lastColumn="0" w:oddVBand="0" w:evenVBand="0" w:oddHBand="1" w:evenHBand="0" w:firstRowFirstColumn="0" w:firstRowLastColumn="0" w:lastRowFirstColumn="0" w:lastRowLastColumn="0"/>
        </w:trPr>
        <w:tc>
          <w:tcPr>
            <w:tcW w:w="1422" w:type="dxa"/>
            <w:shd w:val="clear" w:color="auto" w:fill="auto"/>
          </w:tcPr>
          <w:p w14:paraId="041ACDBE" w14:textId="77777777" w:rsidR="0054283C" w:rsidRPr="009E6301" w:rsidRDefault="0054283C" w:rsidP="00E06588">
            <w:pPr>
              <w:jc w:val="left"/>
              <w:rPr>
                <w:rFonts w:cs="Arial"/>
                <w:sz w:val="20"/>
                <w:szCs w:val="20"/>
              </w:rPr>
            </w:pPr>
            <w:r w:rsidRPr="009E6301">
              <w:rPr>
                <w:rFonts w:cs="Arial"/>
                <w:sz w:val="20"/>
                <w:szCs w:val="20"/>
              </w:rPr>
              <w:t>August-Sept 2022</w:t>
            </w:r>
          </w:p>
        </w:tc>
        <w:tc>
          <w:tcPr>
            <w:tcW w:w="2942" w:type="dxa"/>
            <w:shd w:val="clear" w:color="auto" w:fill="auto"/>
          </w:tcPr>
          <w:p w14:paraId="1353AC19" w14:textId="77777777" w:rsidR="0054283C" w:rsidRPr="009E6301" w:rsidRDefault="0054283C" w:rsidP="00E06588">
            <w:pPr>
              <w:jc w:val="left"/>
              <w:rPr>
                <w:rFonts w:cs="Arial"/>
                <w:sz w:val="20"/>
                <w:szCs w:val="20"/>
              </w:rPr>
            </w:pPr>
            <w:r w:rsidRPr="009E6301">
              <w:rPr>
                <w:rFonts w:cs="Arial"/>
                <w:sz w:val="20"/>
                <w:szCs w:val="20"/>
              </w:rPr>
              <w:t>ANROWS report – A life course approach to determining the prevalence and impact of sexual violence in Australia</w:t>
            </w:r>
          </w:p>
        </w:tc>
        <w:tc>
          <w:tcPr>
            <w:tcW w:w="3387" w:type="dxa"/>
            <w:shd w:val="clear" w:color="auto" w:fill="auto"/>
          </w:tcPr>
          <w:p w14:paraId="0BFDE5CB" w14:textId="77777777" w:rsidR="0054283C" w:rsidRPr="009E6301" w:rsidRDefault="0054283C" w:rsidP="00E06588">
            <w:pPr>
              <w:jc w:val="left"/>
              <w:rPr>
                <w:rFonts w:eastAsiaTheme="majorEastAsia" w:cs="Arial"/>
                <w:sz w:val="20"/>
                <w:szCs w:val="20"/>
                <w:shd w:val="clear" w:color="auto" w:fill="FFFFFF"/>
              </w:rPr>
            </w:pPr>
            <w:r w:rsidRPr="009E6301">
              <w:rPr>
                <w:rFonts w:eastAsiaTheme="majorEastAsia" w:cs="Arial"/>
                <w:sz w:val="20"/>
                <w:szCs w:val="20"/>
                <w:shd w:val="clear" w:color="auto" w:fill="FFFFFF"/>
              </w:rPr>
              <w:t xml:space="preserve">Australia’s National Research Organisation for Women’s Safety (ANROWS) </w:t>
            </w:r>
          </w:p>
          <w:p w14:paraId="266564C1" w14:textId="3FD4B600" w:rsidR="0054283C" w:rsidRPr="009E6301" w:rsidRDefault="0054283C" w:rsidP="00E06588">
            <w:pPr>
              <w:jc w:val="left"/>
              <w:rPr>
                <w:rFonts w:cs="Arial"/>
                <w:sz w:val="20"/>
                <w:szCs w:val="20"/>
              </w:rPr>
            </w:pPr>
            <w:r w:rsidRPr="009E6301">
              <w:rPr>
                <w:rFonts w:eastAsiaTheme="majorEastAsia" w:cs="Arial"/>
                <w:sz w:val="20"/>
                <w:szCs w:val="20"/>
                <w:shd w:val="clear" w:color="auto" w:fill="FFFFFF"/>
              </w:rPr>
              <w:t xml:space="preserve">Natalie Townsend, Deborah Loxton, Nicholas Egan, Isabelle Barnes, Emily Byrnes &amp; Peta </w:t>
            </w:r>
            <w:proofErr w:type="gramStart"/>
            <w:r w:rsidRPr="009E6301">
              <w:rPr>
                <w:rFonts w:eastAsiaTheme="majorEastAsia" w:cs="Arial"/>
                <w:sz w:val="20"/>
                <w:szCs w:val="20"/>
                <w:shd w:val="clear" w:color="auto" w:fill="FFFFFF"/>
              </w:rPr>
              <w:t>Forder,  University</w:t>
            </w:r>
            <w:proofErr w:type="gramEnd"/>
            <w:r w:rsidRPr="009E6301">
              <w:rPr>
                <w:rFonts w:eastAsiaTheme="majorEastAsia" w:cs="Arial"/>
                <w:sz w:val="20"/>
                <w:szCs w:val="20"/>
                <w:shd w:val="clear" w:color="auto" w:fill="FFFFFF"/>
              </w:rPr>
              <w:t xml:space="preserve"> of Newcastle</w:t>
            </w:r>
          </w:p>
        </w:tc>
        <w:tc>
          <w:tcPr>
            <w:tcW w:w="6419" w:type="dxa"/>
            <w:shd w:val="clear" w:color="auto" w:fill="auto"/>
          </w:tcPr>
          <w:p w14:paraId="1AD708F2" w14:textId="77777777" w:rsidR="0054283C" w:rsidRPr="009E6301" w:rsidRDefault="0054283C" w:rsidP="00E06588">
            <w:pPr>
              <w:rPr>
                <w:rFonts w:cs="Arial"/>
                <w:sz w:val="20"/>
                <w:szCs w:val="20"/>
              </w:rPr>
            </w:pPr>
            <w:r w:rsidRPr="009E6301">
              <w:rPr>
                <w:rFonts w:cs="Arial"/>
                <w:sz w:val="20"/>
                <w:szCs w:val="20"/>
              </w:rPr>
              <w:t xml:space="preserve">National print, radio, and digital coverage including: </w:t>
            </w:r>
          </w:p>
          <w:p w14:paraId="467EF4AB" w14:textId="47DA344D" w:rsidR="0054283C" w:rsidRPr="009E6301" w:rsidRDefault="000C3B3F" w:rsidP="003D5E6A">
            <w:pPr>
              <w:pStyle w:val="ListParagraph"/>
              <w:numPr>
                <w:ilvl w:val="0"/>
                <w:numId w:val="91"/>
              </w:numPr>
              <w:rPr>
                <w:rStyle w:val="Hyperlink"/>
                <w:rFonts w:cs="Arial"/>
                <w:sz w:val="20"/>
                <w:szCs w:val="20"/>
              </w:rPr>
            </w:pPr>
            <w:r w:rsidRPr="009E6301">
              <w:rPr>
                <w:rFonts w:cs="Arial"/>
                <w:szCs w:val="20"/>
              </w:rPr>
              <w:fldChar w:fldCharType="begin"/>
            </w:r>
            <w:r w:rsidRPr="009E6301">
              <w:rPr>
                <w:rFonts w:cs="Arial"/>
                <w:sz w:val="20"/>
                <w:szCs w:val="20"/>
              </w:rPr>
              <w:instrText xml:space="preserve"> HYPERLINK "https://www.theaustralian.com.au/the-oz/news/if-you-sexually-violate-a-20something-woman-in-australia-you-better-get-a-lawyer-son/news-story/fd0b96bd5c54f5e04ced25f63d04864a" </w:instrText>
            </w:r>
            <w:r w:rsidRPr="009E6301">
              <w:rPr>
                <w:rFonts w:cs="Arial"/>
                <w:szCs w:val="20"/>
              </w:rPr>
            </w:r>
            <w:r w:rsidRPr="009E6301">
              <w:rPr>
                <w:rFonts w:cs="Arial"/>
                <w:szCs w:val="20"/>
              </w:rPr>
              <w:fldChar w:fldCharType="separate"/>
            </w:r>
            <w:r w:rsidR="0054283C" w:rsidRPr="009E6301">
              <w:rPr>
                <w:rStyle w:val="Hyperlink"/>
                <w:rFonts w:cs="Arial"/>
                <w:sz w:val="20"/>
                <w:szCs w:val="20"/>
              </w:rPr>
              <w:t>The Australian</w:t>
            </w:r>
          </w:p>
          <w:p w14:paraId="0F7D2C46" w14:textId="150FD569" w:rsidR="0054283C" w:rsidRPr="009E6301" w:rsidRDefault="000C3B3F" w:rsidP="003D5E6A">
            <w:pPr>
              <w:pStyle w:val="ListParagraph"/>
              <w:numPr>
                <w:ilvl w:val="0"/>
                <w:numId w:val="91"/>
              </w:numPr>
              <w:rPr>
                <w:rFonts w:cs="Arial"/>
                <w:sz w:val="20"/>
                <w:szCs w:val="20"/>
              </w:rPr>
            </w:pPr>
            <w:r w:rsidRPr="009E6301">
              <w:rPr>
                <w:rFonts w:cs="Arial"/>
                <w:szCs w:val="20"/>
              </w:rPr>
              <w:fldChar w:fldCharType="end"/>
            </w:r>
            <w:hyperlink r:id="rId168" w:history="1">
              <w:r w:rsidR="0054283C" w:rsidRPr="009E6301">
                <w:rPr>
                  <w:rStyle w:val="Hyperlink"/>
                  <w:rFonts w:cs="Arial"/>
                  <w:sz w:val="20"/>
                  <w:szCs w:val="20"/>
                </w:rPr>
                <w:t>The Conversation</w:t>
              </w:r>
            </w:hyperlink>
          </w:p>
          <w:p w14:paraId="50183F56" w14:textId="77777777" w:rsidR="0054283C" w:rsidRPr="009E6301" w:rsidRDefault="005B3C73" w:rsidP="003D5E6A">
            <w:pPr>
              <w:pStyle w:val="ListParagraph"/>
              <w:numPr>
                <w:ilvl w:val="0"/>
                <w:numId w:val="91"/>
              </w:numPr>
              <w:rPr>
                <w:rFonts w:cs="Arial"/>
                <w:sz w:val="20"/>
                <w:szCs w:val="20"/>
              </w:rPr>
            </w:pPr>
            <w:hyperlink r:id="rId169" w:history="1">
              <w:proofErr w:type="spellStart"/>
              <w:r w:rsidR="0054283C" w:rsidRPr="009E6301">
                <w:rPr>
                  <w:rStyle w:val="Hyperlink"/>
                  <w:rFonts w:cs="Arial"/>
                  <w:sz w:val="20"/>
                  <w:szCs w:val="20"/>
                </w:rPr>
                <w:t>Junkee</w:t>
              </w:r>
              <w:proofErr w:type="spellEnd"/>
            </w:hyperlink>
          </w:p>
          <w:p w14:paraId="4D42B223" w14:textId="77777777" w:rsidR="0054283C" w:rsidRPr="009E6301" w:rsidRDefault="005B3C73" w:rsidP="003D5E6A">
            <w:pPr>
              <w:pStyle w:val="ListParagraph"/>
              <w:numPr>
                <w:ilvl w:val="0"/>
                <w:numId w:val="91"/>
              </w:numPr>
              <w:rPr>
                <w:rFonts w:cs="Arial"/>
                <w:sz w:val="20"/>
                <w:szCs w:val="20"/>
              </w:rPr>
            </w:pPr>
            <w:hyperlink r:id="rId170" w:history="1">
              <w:r w:rsidR="0054283C" w:rsidRPr="009E6301">
                <w:rPr>
                  <w:rStyle w:val="Hyperlink"/>
                  <w:rFonts w:cs="Arial"/>
                  <w:sz w:val="20"/>
                  <w:szCs w:val="20"/>
                </w:rPr>
                <w:t>The Guardian</w:t>
              </w:r>
            </w:hyperlink>
          </w:p>
          <w:p w14:paraId="12B8D823" w14:textId="77777777" w:rsidR="0054283C" w:rsidRPr="009E6301" w:rsidRDefault="005B3C73" w:rsidP="003D5E6A">
            <w:pPr>
              <w:pStyle w:val="ListParagraph"/>
              <w:numPr>
                <w:ilvl w:val="0"/>
                <w:numId w:val="91"/>
              </w:numPr>
              <w:rPr>
                <w:rFonts w:cs="Arial"/>
                <w:sz w:val="20"/>
                <w:szCs w:val="20"/>
              </w:rPr>
            </w:pPr>
            <w:hyperlink r:id="rId171" w:history="1">
              <w:r w:rsidR="0054283C" w:rsidRPr="009E6301">
                <w:rPr>
                  <w:rStyle w:val="Hyperlink"/>
                  <w:rFonts w:cs="Arial"/>
                  <w:sz w:val="20"/>
                  <w:szCs w:val="20"/>
                </w:rPr>
                <w:t>Women’s Agenda</w:t>
              </w:r>
            </w:hyperlink>
          </w:p>
          <w:p w14:paraId="6DB144E0" w14:textId="31B1C08A" w:rsidR="0054283C" w:rsidRPr="009E6301" w:rsidRDefault="005B3C73" w:rsidP="000C3B3F">
            <w:pPr>
              <w:pStyle w:val="ListParagraph"/>
              <w:rPr>
                <w:rFonts w:cs="Arial"/>
                <w:sz w:val="20"/>
                <w:szCs w:val="20"/>
              </w:rPr>
            </w:pPr>
            <w:hyperlink r:id="rId172" w:history="1">
              <w:r w:rsidR="0054283C" w:rsidRPr="009E6301">
                <w:rPr>
                  <w:rStyle w:val="Hyperlink"/>
                  <w:rFonts w:cs="Arial"/>
                  <w:sz w:val="20"/>
                  <w:szCs w:val="20"/>
                </w:rPr>
                <w:t>Australian Women’s Health</w:t>
              </w:r>
            </w:hyperlink>
          </w:p>
          <w:p w14:paraId="41B9ACEE" w14:textId="77777777" w:rsidR="0054283C" w:rsidRPr="009E6301" w:rsidRDefault="0054283C" w:rsidP="00E06588">
            <w:pPr>
              <w:rPr>
                <w:rFonts w:cs="Arial"/>
                <w:sz w:val="20"/>
                <w:szCs w:val="20"/>
              </w:rPr>
            </w:pPr>
          </w:p>
        </w:tc>
      </w:tr>
      <w:tr w:rsidR="002B68F4" w:rsidRPr="002B68F4" w14:paraId="0E2DD32C" w14:textId="77777777" w:rsidTr="001301BE">
        <w:tc>
          <w:tcPr>
            <w:tcW w:w="1422" w:type="dxa"/>
            <w:shd w:val="clear" w:color="auto" w:fill="auto"/>
          </w:tcPr>
          <w:p w14:paraId="0F998AD5" w14:textId="1CA217F1" w:rsidR="008F45E1" w:rsidRPr="002B68F4" w:rsidRDefault="008F45E1" w:rsidP="002B68F4">
            <w:pPr>
              <w:jc w:val="left"/>
              <w:rPr>
                <w:rFonts w:cs="Arial"/>
                <w:sz w:val="20"/>
                <w:szCs w:val="20"/>
              </w:rPr>
            </w:pPr>
            <w:r w:rsidRPr="002B68F4">
              <w:rPr>
                <w:rFonts w:cs="Arial"/>
                <w:sz w:val="20"/>
                <w:szCs w:val="20"/>
              </w:rPr>
              <w:t>Jun – Aug 2022</w:t>
            </w:r>
          </w:p>
        </w:tc>
        <w:tc>
          <w:tcPr>
            <w:tcW w:w="2942" w:type="dxa"/>
            <w:shd w:val="clear" w:color="auto" w:fill="auto"/>
          </w:tcPr>
          <w:p w14:paraId="106FD158" w14:textId="4E4BBCD4" w:rsidR="008F45E1" w:rsidRPr="002B68F4" w:rsidRDefault="008F45E1" w:rsidP="002B68F4">
            <w:pPr>
              <w:jc w:val="left"/>
              <w:rPr>
                <w:rFonts w:cs="Arial"/>
                <w:sz w:val="20"/>
                <w:szCs w:val="20"/>
              </w:rPr>
            </w:pPr>
            <w:r w:rsidRPr="002B68F4">
              <w:rPr>
                <w:rFonts w:cs="Arial"/>
                <w:sz w:val="20"/>
                <w:szCs w:val="20"/>
              </w:rPr>
              <w:t xml:space="preserve">Psychological toll lasts long after </w:t>
            </w:r>
            <w:r w:rsidR="001301BE" w:rsidRPr="002B68F4">
              <w:rPr>
                <w:rFonts w:cs="Arial"/>
                <w:sz w:val="20"/>
                <w:szCs w:val="20"/>
              </w:rPr>
              <w:t>f</w:t>
            </w:r>
            <w:r w:rsidRPr="002B68F4">
              <w:rPr>
                <w:rFonts w:cs="Arial"/>
                <w:sz w:val="20"/>
                <w:szCs w:val="20"/>
              </w:rPr>
              <w:t xml:space="preserve">ertility </w:t>
            </w:r>
            <w:r w:rsidR="001301BE" w:rsidRPr="002B68F4">
              <w:rPr>
                <w:rFonts w:cs="Arial"/>
                <w:sz w:val="20"/>
                <w:szCs w:val="20"/>
              </w:rPr>
              <w:t>i</w:t>
            </w:r>
            <w:r w:rsidRPr="002B68F4">
              <w:rPr>
                <w:rFonts w:cs="Arial"/>
                <w:sz w:val="20"/>
                <w:szCs w:val="20"/>
              </w:rPr>
              <w:t xml:space="preserve">ssues resolved. </w:t>
            </w:r>
          </w:p>
        </w:tc>
        <w:tc>
          <w:tcPr>
            <w:tcW w:w="3387" w:type="dxa"/>
            <w:shd w:val="clear" w:color="auto" w:fill="auto"/>
          </w:tcPr>
          <w:p w14:paraId="2CBEC6C8" w14:textId="77777777" w:rsidR="008F45E1" w:rsidRPr="002B68F4" w:rsidRDefault="008F45E1" w:rsidP="002B68F4">
            <w:pPr>
              <w:jc w:val="left"/>
              <w:rPr>
                <w:rFonts w:cs="Arial"/>
                <w:sz w:val="20"/>
                <w:szCs w:val="20"/>
              </w:rPr>
            </w:pPr>
            <w:r w:rsidRPr="002B68F4">
              <w:rPr>
                <w:rFonts w:cs="Arial"/>
                <w:sz w:val="20"/>
                <w:szCs w:val="20"/>
              </w:rPr>
              <w:t>Dr Tanmay Bagade, Hunter Medical Research Institute</w:t>
            </w:r>
          </w:p>
        </w:tc>
        <w:tc>
          <w:tcPr>
            <w:tcW w:w="6419" w:type="dxa"/>
            <w:shd w:val="clear" w:color="auto" w:fill="auto"/>
          </w:tcPr>
          <w:p w14:paraId="051D047D" w14:textId="2BE06795" w:rsidR="008F45E1" w:rsidRPr="002B68F4" w:rsidRDefault="005B3C73" w:rsidP="00E24F54">
            <w:pPr>
              <w:rPr>
                <w:rFonts w:cs="Arial"/>
                <w:sz w:val="20"/>
                <w:szCs w:val="20"/>
              </w:rPr>
            </w:pPr>
            <w:hyperlink r:id="rId173" w:history="1">
              <w:r w:rsidR="008F45E1" w:rsidRPr="000C3B3F">
                <w:rPr>
                  <w:rStyle w:val="Hyperlink"/>
                  <w:rFonts w:cs="Arial"/>
                  <w:sz w:val="20"/>
                  <w:szCs w:val="20"/>
                </w:rPr>
                <w:t>8 media placements</w:t>
              </w:r>
            </w:hyperlink>
          </w:p>
          <w:p w14:paraId="4541F3AB" w14:textId="6B8372CE" w:rsidR="008F45E1" w:rsidRPr="002B68F4" w:rsidRDefault="008F45E1" w:rsidP="00E24F54">
            <w:pPr>
              <w:rPr>
                <w:rFonts w:cs="Arial"/>
                <w:sz w:val="20"/>
                <w:szCs w:val="20"/>
              </w:rPr>
            </w:pPr>
          </w:p>
        </w:tc>
      </w:tr>
      <w:tr w:rsidR="002B68F4" w:rsidRPr="002B68F4" w14:paraId="431E0FE6" w14:textId="77777777" w:rsidTr="001301BE">
        <w:trPr>
          <w:cnfStyle w:val="000000100000" w:firstRow="0" w:lastRow="0" w:firstColumn="0" w:lastColumn="0" w:oddVBand="0" w:evenVBand="0" w:oddHBand="1" w:evenHBand="0" w:firstRowFirstColumn="0" w:firstRowLastColumn="0" w:lastRowFirstColumn="0" w:lastRowLastColumn="0"/>
        </w:trPr>
        <w:tc>
          <w:tcPr>
            <w:tcW w:w="1422" w:type="dxa"/>
            <w:shd w:val="clear" w:color="auto" w:fill="auto"/>
          </w:tcPr>
          <w:p w14:paraId="0F0AEF9E" w14:textId="4ACBC04D" w:rsidR="008F45E1" w:rsidRPr="002B68F4" w:rsidRDefault="008F45E1" w:rsidP="002B68F4">
            <w:pPr>
              <w:jc w:val="left"/>
              <w:rPr>
                <w:rFonts w:cs="Arial"/>
                <w:sz w:val="20"/>
                <w:szCs w:val="20"/>
              </w:rPr>
            </w:pPr>
            <w:r w:rsidRPr="002B68F4">
              <w:rPr>
                <w:rFonts w:cs="Arial"/>
                <w:sz w:val="20"/>
                <w:szCs w:val="20"/>
              </w:rPr>
              <w:t>Jul 2022</w:t>
            </w:r>
          </w:p>
        </w:tc>
        <w:tc>
          <w:tcPr>
            <w:tcW w:w="2942" w:type="dxa"/>
            <w:shd w:val="clear" w:color="auto" w:fill="auto"/>
          </w:tcPr>
          <w:p w14:paraId="31972F74" w14:textId="77777777" w:rsidR="008F45E1" w:rsidRPr="002B68F4" w:rsidRDefault="008F45E1" w:rsidP="002B68F4">
            <w:pPr>
              <w:jc w:val="left"/>
              <w:rPr>
                <w:rFonts w:cs="Arial"/>
                <w:sz w:val="20"/>
                <w:szCs w:val="20"/>
              </w:rPr>
            </w:pPr>
            <w:r w:rsidRPr="002B68F4">
              <w:rPr>
                <w:rFonts w:cs="Arial"/>
                <w:sz w:val="20"/>
                <w:szCs w:val="20"/>
              </w:rPr>
              <w:t>Menopause weight loss</w:t>
            </w:r>
          </w:p>
        </w:tc>
        <w:tc>
          <w:tcPr>
            <w:tcW w:w="3387" w:type="dxa"/>
            <w:shd w:val="clear" w:color="auto" w:fill="auto"/>
          </w:tcPr>
          <w:p w14:paraId="100451AE" w14:textId="77777777" w:rsidR="008F45E1" w:rsidRPr="002B68F4" w:rsidRDefault="008F45E1" w:rsidP="002B68F4">
            <w:pPr>
              <w:jc w:val="left"/>
              <w:rPr>
                <w:rFonts w:cs="Arial"/>
                <w:sz w:val="20"/>
                <w:szCs w:val="20"/>
              </w:rPr>
            </w:pPr>
            <w:r w:rsidRPr="002B68F4">
              <w:rPr>
                <w:rFonts w:cs="Arial"/>
                <w:sz w:val="20"/>
                <w:szCs w:val="20"/>
              </w:rPr>
              <w:t>NA</w:t>
            </w:r>
          </w:p>
        </w:tc>
        <w:tc>
          <w:tcPr>
            <w:tcW w:w="6419" w:type="dxa"/>
            <w:shd w:val="clear" w:color="auto" w:fill="auto"/>
          </w:tcPr>
          <w:p w14:paraId="6DB1C302" w14:textId="11A1879E" w:rsidR="008F45E1" w:rsidRPr="002B68F4" w:rsidRDefault="008F45E1" w:rsidP="00E24F54">
            <w:pPr>
              <w:rPr>
                <w:rFonts w:cs="Arial"/>
                <w:sz w:val="20"/>
                <w:szCs w:val="20"/>
              </w:rPr>
            </w:pPr>
            <w:r w:rsidRPr="002B68F4">
              <w:rPr>
                <w:rFonts w:cs="Arial"/>
                <w:sz w:val="20"/>
                <w:szCs w:val="20"/>
              </w:rPr>
              <w:t xml:space="preserve">Syndicated on </w:t>
            </w:r>
            <w:hyperlink r:id="rId174" w:history="1">
              <w:r w:rsidRPr="000C3B3F">
                <w:rPr>
                  <w:rStyle w:val="Hyperlink"/>
                  <w:rFonts w:cs="Arial"/>
                  <w:sz w:val="20"/>
                  <w:szCs w:val="20"/>
                </w:rPr>
                <w:t>MSN</w:t>
              </w:r>
            </w:hyperlink>
          </w:p>
          <w:p w14:paraId="579325CD" w14:textId="77777777" w:rsidR="008F45E1" w:rsidRPr="002B68F4" w:rsidRDefault="005B3C73" w:rsidP="00E24F54">
            <w:pPr>
              <w:rPr>
                <w:rFonts w:cs="Arial"/>
                <w:sz w:val="20"/>
                <w:szCs w:val="20"/>
              </w:rPr>
            </w:pPr>
            <w:hyperlink r:id="rId175" w:history="1">
              <w:r w:rsidR="008F45E1" w:rsidRPr="002B68F4">
                <w:rPr>
                  <w:rStyle w:val="Hyperlink"/>
                  <w:rFonts w:cs="Arial"/>
                  <w:sz w:val="20"/>
                  <w:szCs w:val="20"/>
                </w:rPr>
                <w:t>https://www.msn.com/en-ie/health/fitness/menopause-weight-loss-diet-changes-to-help-beat-menopausal-weight-gain/ar-AAZYvy3</w:t>
              </w:r>
            </w:hyperlink>
            <w:r w:rsidR="008F45E1" w:rsidRPr="002B68F4">
              <w:rPr>
                <w:rFonts w:cs="Arial"/>
                <w:sz w:val="20"/>
                <w:szCs w:val="20"/>
              </w:rPr>
              <w:t xml:space="preserve"> </w:t>
            </w:r>
          </w:p>
        </w:tc>
      </w:tr>
      <w:tr w:rsidR="002B68F4" w:rsidRPr="002B68F4" w14:paraId="53452D99" w14:textId="77777777" w:rsidTr="001301BE">
        <w:tc>
          <w:tcPr>
            <w:tcW w:w="1422" w:type="dxa"/>
            <w:shd w:val="clear" w:color="auto" w:fill="auto"/>
          </w:tcPr>
          <w:p w14:paraId="7354D001" w14:textId="2C533958" w:rsidR="008F45E1" w:rsidRPr="002B68F4" w:rsidRDefault="008F45E1" w:rsidP="002B68F4">
            <w:pPr>
              <w:jc w:val="left"/>
              <w:rPr>
                <w:rFonts w:cs="Arial"/>
                <w:sz w:val="20"/>
                <w:szCs w:val="20"/>
              </w:rPr>
            </w:pPr>
            <w:r w:rsidRPr="002B68F4">
              <w:rPr>
                <w:rFonts w:cs="Arial"/>
                <w:sz w:val="20"/>
                <w:szCs w:val="20"/>
              </w:rPr>
              <w:t>Jul 2022</w:t>
            </w:r>
          </w:p>
        </w:tc>
        <w:tc>
          <w:tcPr>
            <w:tcW w:w="2942" w:type="dxa"/>
            <w:shd w:val="clear" w:color="auto" w:fill="auto"/>
          </w:tcPr>
          <w:p w14:paraId="17BCB452" w14:textId="77777777" w:rsidR="008F45E1" w:rsidRPr="002B68F4" w:rsidRDefault="008F45E1" w:rsidP="002B68F4">
            <w:pPr>
              <w:jc w:val="left"/>
              <w:rPr>
                <w:rFonts w:cs="Arial"/>
                <w:sz w:val="20"/>
                <w:szCs w:val="20"/>
              </w:rPr>
            </w:pPr>
            <w:r w:rsidRPr="002B68F4">
              <w:rPr>
                <w:rFonts w:cs="Arial"/>
                <w:sz w:val="20"/>
                <w:szCs w:val="20"/>
              </w:rPr>
              <w:t>Recurrent miscarriage increases the risk of stroke</w:t>
            </w:r>
          </w:p>
        </w:tc>
        <w:tc>
          <w:tcPr>
            <w:tcW w:w="3387" w:type="dxa"/>
            <w:shd w:val="clear" w:color="auto" w:fill="auto"/>
          </w:tcPr>
          <w:p w14:paraId="6ABA68DF" w14:textId="50120E13" w:rsidR="008F45E1" w:rsidRPr="002B68F4" w:rsidRDefault="008F45E1" w:rsidP="002B68F4">
            <w:pPr>
              <w:jc w:val="left"/>
              <w:rPr>
                <w:rFonts w:cs="Arial"/>
                <w:sz w:val="20"/>
                <w:szCs w:val="20"/>
              </w:rPr>
            </w:pPr>
            <w:r w:rsidRPr="002B68F4">
              <w:rPr>
                <w:rFonts w:cs="Arial"/>
                <w:sz w:val="20"/>
                <w:szCs w:val="20"/>
              </w:rPr>
              <w:t>Prof Gita Mishra, The University of Queensland</w:t>
            </w:r>
          </w:p>
          <w:p w14:paraId="0C56183E" w14:textId="77777777" w:rsidR="008F45E1" w:rsidRPr="002B68F4" w:rsidRDefault="008F45E1" w:rsidP="002B68F4">
            <w:pPr>
              <w:jc w:val="left"/>
              <w:rPr>
                <w:rFonts w:cs="Arial"/>
                <w:sz w:val="20"/>
                <w:szCs w:val="20"/>
              </w:rPr>
            </w:pPr>
            <w:r w:rsidRPr="002B68F4">
              <w:rPr>
                <w:rFonts w:cs="Arial"/>
                <w:sz w:val="20"/>
                <w:szCs w:val="20"/>
              </w:rPr>
              <w:lastRenderedPageBreak/>
              <w:t xml:space="preserve">(ALSWH data used in the InterLACE collaboration) </w:t>
            </w:r>
          </w:p>
        </w:tc>
        <w:tc>
          <w:tcPr>
            <w:tcW w:w="6419" w:type="dxa"/>
            <w:shd w:val="clear" w:color="auto" w:fill="auto"/>
          </w:tcPr>
          <w:p w14:paraId="5DECC535" w14:textId="11B25B70" w:rsidR="008F45E1" w:rsidRPr="002B68F4" w:rsidRDefault="008F45E1" w:rsidP="00E24F54">
            <w:pPr>
              <w:rPr>
                <w:rFonts w:cs="Arial"/>
                <w:sz w:val="20"/>
                <w:szCs w:val="20"/>
              </w:rPr>
            </w:pPr>
            <w:r w:rsidRPr="002B68F4">
              <w:rPr>
                <w:rFonts w:cs="Arial"/>
                <w:sz w:val="20"/>
                <w:szCs w:val="20"/>
              </w:rPr>
              <w:lastRenderedPageBreak/>
              <w:t xml:space="preserve">75+ media mentions including </w:t>
            </w:r>
            <w:hyperlink r:id="rId176" w:history="1">
              <w:r w:rsidRPr="000C3B3F">
                <w:rPr>
                  <w:rStyle w:val="Hyperlink"/>
                  <w:rFonts w:cs="Arial"/>
                  <w:sz w:val="20"/>
                  <w:szCs w:val="20"/>
                </w:rPr>
                <w:t>ABC TV</w:t>
              </w:r>
            </w:hyperlink>
            <w:r w:rsidRPr="002B68F4">
              <w:rPr>
                <w:rFonts w:cs="Arial"/>
                <w:sz w:val="20"/>
                <w:szCs w:val="20"/>
              </w:rPr>
              <w:t xml:space="preserve">, ABC radio interviews, and digital news stories in mainstream media and </w:t>
            </w:r>
            <w:hyperlink r:id="rId177" w:history="1">
              <w:r w:rsidRPr="000C3B3F">
                <w:rPr>
                  <w:rStyle w:val="Hyperlink"/>
                  <w:rFonts w:cs="Arial"/>
                  <w:sz w:val="20"/>
                  <w:szCs w:val="20"/>
                </w:rPr>
                <w:t>The Conversation</w:t>
              </w:r>
            </w:hyperlink>
            <w:r w:rsidRPr="002B68F4">
              <w:rPr>
                <w:rFonts w:cs="Arial"/>
                <w:sz w:val="20"/>
                <w:szCs w:val="20"/>
              </w:rPr>
              <w:t xml:space="preserve">. </w:t>
            </w:r>
          </w:p>
          <w:p w14:paraId="5F56756B" w14:textId="77777777" w:rsidR="008F45E1" w:rsidRPr="002B68F4" w:rsidRDefault="008F45E1" w:rsidP="00E24F54">
            <w:pPr>
              <w:rPr>
                <w:rFonts w:cs="Arial"/>
                <w:sz w:val="20"/>
                <w:szCs w:val="20"/>
              </w:rPr>
            </w:pPr>
          </w:p>
          <w:p w14:paraId="443F8103" w14:textId="77777777" w:rsidR="008F45E1" w:rsidRPr="002B68F4" w:rsidRDefault="008F45E1" w:rsidP="000C3B3F">
            <w:pPr>
              <w:rPr>
                <w:rFonts w:cs="Arial"/>
                <w:sz w:val="20"/>
                <w:szCs w:val="20"/>
              </w:rPr>
            </w:pPr>
          </w:p>
        </w:tc>
      </w:tr>
      <w:tr w:rsidR="002B68F4" w:rsidRPr="002B68F4" w14:paraId="798D2928" w14:textId="77777777" w:rsidTr="001301BE">
        <w:trPr>
          <w:cnfStyle w:val="000000100000" w:firstRow="0" w:lastRow="0" w:firstColumn="0" w:lastColumn="0" w:oddVBand="0" w:evenVBand="0" w:oddHBand="1" w:evenHBand="0" w:firstRowFirstColumn="0" w:firstRowLastColumn="0" w:lastRowFirstColumn="0" w:lastRowLastColumn="0"/>
        </w:trPr>
        <w:tc>
          <w:tcPr>
            <w:tcW w:w="1422" w:type="dxa"/>
            <w:shd w:val="clear" w:color="auto" w:fill="auto"/>
          </w:tcPr>
          <w:p w14:paraId="1FF33ACC" w14:textId="7B4D3F6A" w:rsidR="008F45E1" w:rsidRPr="002B68F4" w:rsidRDefault="008F45E1" w:rsidP="002B68F4">
            <w:pPr>
              <w:jc w:val="left"/>
              <w:rPr>
                <w:rFonts w:cs="Arial"/>
                <w:sz w:val="20"/>
                <w:szCs w:val="20"/>
              </w:rPr>
            </w:pPr>
            <w:r w:rsidRPr="002B68F4">
              <w:rPr>
                <w:rFonts w:cs="Arial"/>
                <w:sz w:val="20"/>
                <w:szCs w:val="20"/>
              </w:rPr>
              <w:lastRenderedPageBreak/>
              <w:t>Jun 2022</w:t>
            </w:r>
          </w:p>
        </w:tc>
        <w:tc>
          <w:tcPr>
            <w:tcW w:w="2942" w:type="dxa"/>
            <w:shd w:val="clear" w:color="auto" w:fill="auto"/>
          </w:tcPr>
          <w:p w14:paraId="51237362" w14:textId="77777777" w:rsidR="008F45E1" w:rsidRPr="002B68F4" w:rsidRDefault="008F45E1" w:rsidP="002B68F4">
            <w:pPr>
              <w:jc w:val="left"/>
              <w:rPr>
                <w:rFonts w:cs="Arial"/>
                <w:sz w:val="20"/>
                <w:szCs w:val="20"/>
              </w:rPr>
            </w:pPr>
            <w:r w:rsidRPr="002B68F4">
              <w:rPr>
                <w:rFonts w:cs="Arial"/>
                <w:sz w:val="20"/>
                <w:szCs w:val="20"/>
              </w:rPr>
              <w:t>Young women's psychological distress increases when they change their identity away from the heterosexual norm</w:t>
            </w:r>
          </w:p>
        </w:tc>
        <w:tc>
          <w:tcPr>
            <w:tcW w:w="3387" w:type="dxa"/>
            <w:shd w:val="clear" w:color="auto" w:fill="auto"/>
          </w:tcPr>
          <w:p w14:paraId="350D6D47" w14:textId="196CD44A" w:rsidR="002B68F4" w:rsidRPr="002B68F4" w:rsidRDefault="008F45E1" w:rsidP="002B68F4">
            <w:pPr>
              <w:contextualSpacing/>
              <w:jc w:val="left"/>
              <w:rPr>
                <w:rFonts w:cs="Arial"/>
                <w:sz w:val="20"/>
                <w:szCs w:val="20"/>
              </w:rPr>
            </w:pPr>
            <w:r w:rsidRPr="002B68F4">
              <w:rPr>
                <w:rFonts w:cs="Arial"/>
                <w:sz w:val="20"/>
                <w:szCs w:val="20"/>
              </w:rPr>
              <w:t>Dr Alice Campbell,</w:t>
            </w:r>
            <w:r w:rsidR="002B68F4" w:rsidRPr="002B68F4">
              <w:rPr>
                <w:rFonts w:cs="Arial"/>
                <w:sz w:val="20"/>
                <w:szCs w:val="20"/>
              </w:rPr>
              <w:t xml:space="preserve"> </w:t>
            </w:r>
            <w:r w:rsidRPr="002B68F4">
              <w:rPr>
                <w:rFonts w:cs="Arial"/>
                <w:sz w:val="20"/>
                <w:szCs w:val="20"/>
              </w:rPr>
              <w:t xml:space="preserve">The University of Queensland </w:t>
            </w:r>
          </w:p>
          <w:p w14:paraId="580E572F" w14:textId="222F115D" w:rsidR="008F45E1" w:rsidRPr="002B68F4" w:rsidRDefault="008F45E1" w:rsidP="002B68F4">
            <w:pPr>
              <w:jc w:val="left"/>
              <w:rPr>
                <w:rFonts w:cs="Arial"/>
                <w:sz w:val="20"/>
                <w:szCs w:val="20"/>
              </w:rPr>
            </w:pPr>
          </w:p>
        </w:tc>
        <w:tc>
          <w:tcPr>
            <w:tcW w:w="6419" w:type="dxa"/>
            <w:shd w:val="clear" w:color="auto" w:fill="auto"/>
          </w:tcPr>
          <w:p w14:paraId="08855CC3" w14:textId="7A481562" w:rsidR="008F45E1" w:rsidRPr="002B68F4" w:rsidRDefault="008F45E1" w:rsidP="00E24F54">
            <w:pPr>
              <w:rPr>
                <w:rFonts w:cs="Arial"/>
                <w:sz w:val="20"/>
                <w:szCs w:val="20"/>
              </w:rPr>
            </w:pPr>
            <w:r w:rsidRPr="002B68F4">
              <w:rPr>
                <w:rFonts w:cs="Arial"/>
                <w:sz w:val="20"/>
                <w:szCs w:val="20"/>
              </w:rPr>
              <w:t xml:space="preserve">19 mentions stemming from an interview with </w:t>
            </w:r>
            <w:hyperlink r:id="rId178" w:history="1">
              <w:proofErr w:type="spellStart"/>
              <w:r w:rsidRPr="000C3B3F">
                <w:rPr>
                  <w:rStyle w:val="Hyperlink"/>
                  <w:rFonts w:cs="Arial"/>
                  <w:sz w:val="20"/>
                  <w:szCs w:val="20"/>
                </w:rPr>
                <w:t>PsyPost</w:t>
              </w:r>
              <w:proofErr w:type="spellEnd"/>
            </w:hyperlink>
            <w:r w:rsidRPr="002B68F4">
              <w:rPr>
                <w:rFonts w:cs="Arial"/>
                <w:sz w:val="20"/>
                <w:szCs w:val="20"/>
              </w:rPr>
              <w:t xml:space="preserve">. </w:t>
            </w:r>
          </w:p>
          <w:p w14:paraId="7F44480D" w14:textId="30C21A69" w:rsidR="008F45E1" w:rsidRPr="002B68F4" w:rsidRDefault="008F45E1" w:rsidP="00E24F54">
            <w:pPr>
              <w:rPr>
                <w:rFonts w:cs="Arial"/>
                <w:sz w:val="20"/>
                <w:szCs w:val="20"/>
              </w:rPr>
            </w:pPr>
          </w:p>
        </w:tc>
      </w:tr>
      <w:tr w:rsidR="002B68F4" w:rsidRPr="002B68F4" w14:paraId="6260CDBA" w14:textId="77777777" w:rsidTr="001301BE">
        <w:tc>
          <w:tcPr>
            <w:tcW w:w="1422" w:type="dxa"/>
            <w:shd w:val="clear" w:color="auto" w:fill="auto"/>
          </w:tcPr>
          <w:p w14:paraId="3770EF46" w14:textId="50D356C2" w:rsidR="008F45E1" w:rsidRPr="002B68F4" w:rsidRDefault="008F45E1" w:rsidP="002B68F4">
            <w:pPr>
              <w:jc w:val="left"/>
              <w:rPr>
                <w:rFonts w:cs="Arial"/>
                <w:sz w:val="20"/>
                <w:szCs w:val="20"/>
              </w:rPr>
            </w:pPr>
            <w:r w:rsidRPr="002B68F4">
              <w:rPr>
                <w:rFonts w:cs="Arial"/>
                <w:sz w:val="20"/>
                <w:szCs w:val="20"/>
              </w:rPr>
              <w:t>May - Jun 2022</w:t>
            </w:r>
          </w:p>
        </w:tc>
        <w:tc>
          <w:tcPr>
            <w:tcW w:w="2942" w:type="dxa"/>
            <w:shd w:val="clear" w:color="auto" w:fill="auto"/>
          </w:tcPr>
          <w:p w14:paraId="02982122" w14:textId="77777777" w:rsidR="008F45E1" w:rsidRPr="002B68F4" w:rsidRDefault="008F45E1" w:rsidP="002B68F4">
            <w:pPr>
              <w:jc w:val="left"/>
              <w:rPr>
                <w:rFonts w:cs="Arial"/>
                <w:sz w:val="20"/>
                <w:szCs w:val="20"/>
              </w:rPr>
            </w:pPr>
            <w:r w:rsidRPr="002B68F4">
              <w:rPr>
                <w:rFonts w:cs="Arial"/>
                <w:sz w:val="20"/>
                <w:szCs w:val="20"/>
              </w:rPr>
              <w:t>Migrant women needed to join ALSWH</w:t>
            </w:r>
          </w:p>
        </w:tc>
        <w:tc>
          <w:tcPr>
            <w:tcW w:w="3387" w:type="dxa"/>
            <w:shd w:val="clear" w:color="auto" w:fill="auto"/>
          </w:tcPr>
          <w:p w14:paraId="213BBA85" w14:textId="77777777" w:rsidR="008F45E1" w:rsidRPr="002B68F4" w:rsidRDefault="008F45E1" w:rsidP="002B68F4">
            <w:pPr>
              <w:jc w:val="left"/>
              <w:rPr>
                <w:rFonts w:cs="Arial"/>
                <w:sz w:val="20"/>
                <w:szCs w:val="20"/>
              </w:rPr>
            </w:pPr>
            <w:r w:rsidRPr="002B68F4">
              <w:rPr>
                <w:rFonts w:cs="Arial"/>
                <w:sz w:val="20"/>
                <w:szCs w:val="20"/>
              </w:rPr>
              <w:t xml:space="preserve">Prof Gita Mishra, The University of Queensland </w:t>
            </w:r>
          </w:p>
          <w:p w14:paraId="0B6F3765" w14:textId="77777777" w:rsidR="008F45E1" w:rsidRPr="002B68F4" w:rsidRDefault="008F45E1" w:rsidP="002B68F4">
            <w:pPr>
              <w:jc w:val="left"/>
              <w:rPr>
                <w:rFonts w:cs="Arial"/>
                <w:sz w:val="20"/>
                <w:szCs w:val="20"/>
              </w:rPr>
            </w:pPr>
          </w:p>
          <w:p w14:paraId="44ACD537" w14:textId="77777777" w:rsidR="008F45E1" w:rsidRPr="002B68F4" w:rsidRDefault="008F45E1" w:rsidP="002B68F4">
            <w:pPr>
              <w:jc w:val="left"/>
              <w:rPr>
                <w:rFonts w:cs="Arial"/>
                <w:sz w:val="20"/>
                <w:szCs w:val="20"/>
              </w:rPr>
            </w:pPr>
            <w:r w:rsidRPr="002B68F4">
              <w:rPr>
                <w:rFonts w:cs="Arial"/>
                <w:sz w:val="20"/>
                <w:szCs w:val="20"/>
              </w:rPr>
              <w:t>Prof Deborah Loxton, University of Newcastle</w:t>
            </w:r>
          </w:p>
        </w:tc>
        <w:tc>
          <w:tcPr>
            <w:tcW w:w="6419" w:type="dxa"/>
            <w:shd w:val="clear" w:color="auto" w:fill="auto"/>
          </w:tcPr>
          <w:p w14:paraId="00E0DCBC" w14:textId="687D0BB9" w:rsidR="008F45E1" w:rsidRPr="002B68F4" w:rsidRDefault="008F45E1" w:rsidP="00E24F54">
            <w:pPr>
              <w:rPr>
                <w:rFonts w:cs="Arial"/>
                <w:sz w:val="20"/>
                <w:szCs w:val="20"/>
              </w:rPr>
            </w:pPr>
            <w:r w:rsidRPr="002B68F4">
              <w:rPr>
                <w:rFonts w:cs="Arial"/>
                <w:sz w:val="20"/>
                <w:szCs w:val="20"/>
              </w:rPr>
              <w:t xml:space="preserve">Featured on local radio, digital news sites as well as translated coverage on </w:t>
            </w:r>
            <w:hyperlink r:id="rId179" w:history="1">
              <w:r w:rsidRPr="000C3B3F">
                <w:rPr>
                  <w:rStyle w:val="Hyperlink"/>
                  <w:rFonts w:cs="Arial"/>
                  <w:sz w:val="20"/>
                  <w:szCs w:val="20"/>
                </w:rPr>
                <w:t>SBS news websites</w:t>
              </w:r>
            </w:hyperlink>
            <w:r w:rsidRPr="002B68F4">
              <w:rPr>
                <w:rFonts w:cs="Arial"/>
                <w:sz w:val="20"/>
                <w:szCs w:val="20"/>
              </w:rPr>
              <w:t xml:space="preserve"> and podcasts. </w:t>
            </w:r>
          </w:p>
          <w:p w14:paraId="4D80D464" w14:textId="2AAD89DD" w:rsidR="008F45E1" w:rsidRPr="002B68F4" w:rsidRDefault="008F45E1" w:rsidP="00E24F54">
            <w:pPr>
              <w:rPr>
                <w:rFonts w:cs="Arial"/>
                <w:sz w:val="20"/>
                <w:szCs w:val="20"/>
              </w:rPr>
            </w:pPr>
          </w:p>
        </w:tc>
      </w:tr>
      <w:tr w:rsidR="002B68F4" w:rsidRPr="002B68F4" w14:paraId="1E567407" w14:textId="77777777" w:rsidTr="001301BE">
        <w:trPr>
          <w:cnfStyle w:val="000000100000" w:firstRow="0" w:lastRow="0" w:firstColumn="0" w:lastColumn="0" w:oddVBand="0" w:evenVBand="0" w:oddHBand="1" w:evenHBand="0" w:firstRowFirstColumn="0" w:firstRowLastColumn="0" w:lastRowFirstColumn="0" w:lastRowLastColumn="0"/>
        </w:trPr>
        <w:tc>
          <w:tcPr>
            <w:tcW w:w="1422" w:type="dxa"/>
            <w:shd w:val="clear" w:color="auto" w:fill="auto"/>
          </w:tcPr>
          <w:p w14:paraId="36C1563A" w14:textId="44F13921" w:rsidR="008F45E1" w:rsidRPr="002B68F4" w:rsidRDefault="008F45E1" w:rsidP="002B68F4">
            <w:pPr>
              <w:jc w:val="left"/>
              <w:rPr>
                <w:rFonts w:cs="Arial"/>
                <w:sz w:val="20"/>
                <w:szCs w:val="20"/>
              </w:rPr>
            </w:pPr>
            <w:r w:rsidRPr="002B68F4">
              <w:rPr>
                <w:rFonts w:cs="Arial"/>
                <w:sz w:val="20"/>
                <w:szCs w:val="20"/>
              </w:rPr>
              <w:t>Mar 2022</w:t>
            </w:r>
          </w:p>
        </w:tc>
        <w:tc>
          <w:tcPr>
            <w:tcW w:w="2942" w:type="dxa"/>
            <w:shd w:val="clear" w:color="auto" w:fill="auto"/>
          </w:tcPr>
          <w:p w14:paraId="3215BA00" w14:textId="77777777" w:rsidR="008F45E1" w:rsidRPr="002B68F4" w:rsidRDefault="008F45E1" w:rsidP="002B68F4">
            <w:pPr>
              <w:jc w:val="left"/>
              <w:rPr>
                <w:rFonts w:cs="Arial"/>
                <w:sz w:val="20"/>
                <w:szCs w:val="20"/>
              </w:rPr>
            </w:pPr>
            <w:r w:rsidRPr="002B68F4">
              <w:rPr>
                <w:rFonts w:cs="Arial"/>
                <w:sz w:val="20"/>
                <w:szCs w:val="20"/>
              </w:rPr>
              <w:t>Endometriosis can end women’s careers</w:t>
            </w:r>
          </w:p>
        </w:tc>
        <w:tc>
          <w:tcPr>
            <w:tcW w:w="3387" w:type="dxa"/>
            <w:shd w:val="clear" w:color="auto" w:fill="auto"/>
          </w:tcPr>
          <w:p w14:paraId="068D5E0E" w14:textId="77777777" w:rsidR="008F45E1" w:rsidRPr="002B68F4" w:rsidRDefault="008F45E1" w:rsidP="002B68F4">
            <w:pPr>
              <w:jc w:val="left"/>
              <w:rPr>
                <w:rFonts w:cs="Arial"/>
                <w:sz w:val="20"/>
                <w:szCs w:val="20"/>
              </w:rPr>
            </w:pPr>
            <w:r w:rsidRPr="002B68F4">
              <w:rPr>
                <w:rFonts w:cs="Arial"/>
                <w:sz w:val="20"/>
                <w:szCs w:val="20"/>
              </w:rPr>
              <w:t xml:space="preserve">Dr Ingrid Rowlands, The University of Queensland </w:t>
            </w:r>
          </w:p>
          <w:p w14:paraId="785E0092" w14:textId="77777777" w:rsidR="008F45E1" w:rsidRPr="002B68F4" w:rsidRDefault="008F45E1" w:rsidP="002B68F4">
            <w:pPr>
              <w:jc w:val="left"/>
              <w:rPr>
                <w:rFonts w:cs="Arial"/>
                <w:sz w:val="20"/>
                <w:szCs w:val="20"/>
              </w:rPr>
            </w:pPr>
            <w:r w:rsidRPr="002B68F4">
              <w:rPr>
                <w:rFonts w:cs="Arial"/>
                <w:sz w:val="20"/>
                <w:szCs w:val="20"/>
              </w:rPr>
              <w:t xml:space="preserve">Prof Gita Mishra, The University of Queensland </w:t>
            </w:r>
          </w:p>
          <w:p w14:paraId="4948D7CD" w14:textId="33B008F5" w:rsidR="008F45E1" w:rsidRPr="002B68F4" w:rsidRDefault="008F45E1" w:rsidP="002B68F4">
            <w:pPr>
              <w:jc w:val="left"/>
              <w:rPr>
                <w:rFonts w:cs="Arial"/>
                <w:sz w:val="20"/>
                <w:szCs w:val="20"/>
              </w:rPr>
            </w:pPr>
            <w:r w:rsidRPr="002B68F4">
              <w:rPr>
                <w:rFonts w:cs="Arial"/>
                <w:sz w:val="20"/>
                <w:szCs w:val="20"/>
              </w:rPr>
              <w:lastRenderedPageBreak/>
              <w:t>Prof Jason Abbot, University of New South Wales</w:t>
            </w:r>
          </w:p>
        </w:tc>
        <w:tc>
          <w:tcPr>
            <w:tcW w:w="6419" w:type="dxa"/>
            <w:shd w:val="clear" w:color="auto" w:fill="auto"/>
          </w:tcPr>
          <w:p w14:paraId="2AF4EE34" w14:textId="04857F33" w:rsidR="008F45E1" w:rsidRPr="002B68F4" w:rsidRDefault="008F45E1" w:rsidP="00E24F54">
            <w:pPr>
              <w:rPr>
                <w:rFonts w:cs="Arial"/>
                <w:sz w:val="20"/>
                <w:szCs w:val="20"/>
              </w:rPr>
            </w:pPr>
            <w:r w:rsidRPr="002B68F4">
              <w:rPr>
                <w:rFonts w:cs="Arial"/>
                <w:sz w:val="20"/>
                <w:szCs w:val="20"/>
              </w:rPr>
              <w:lastRenderedPageBreak/>
              <w:t xml:space="preserve">Article from </w:t>
            </w:r>
            <w:hyperlink r:id="rId180" w:history="1">
              <w:r w:rsidRPr="000C3B3F">
                <w:rPr>
                  <w:rStyle w:val="Hyperlink"/>
                  <w:rFonts w:cs="Arial"/>
                  <w:sz w:val="20"/>
                  <w:szCs w:val="20"/>
                </w:rPr>
                <w:t>The Conversation</w:t>
              </w:r>
            </w:hyperlink>
            <w:r w:rsidRPr="002B68F4">
              <w:rPr>
                <w:rFonts w:cs="Arial"/>
                <w:sz w:val="20"/>
                <w:szCs w:val="20"/>
              </w:rPr>
              <w:t xml:space="preserve"> republished 17 times. </w:t>
            </w:r>
          </w:p>
          <w:p w14:paraId="11630228" w14:textId="77777777" w:rsidR="008F45E1" w:rsidRPr="002B68F4" w:rsidRDefault="005B3C73" w:rsidP="00E24F54">
            <w:pPr>
              <w:rPr>
                <w:rFonts w:cs="Arial"/>
                <w:sz w:val="20"/>
                <w:szCs w:val="20"/>
              </w:rPr>
            </w:pPr>
            <w:hyperlink r:id="rId181" w:history="1">
              <w:r w:rsidR="008F45E1" w:rsidRPr="002B68F4">
                <w:rPr>
                  <w:rStyle w:val="Hyperlink"/>
                  <w:rFonts w:cs="Arial"/>
                  <w:sz w:val="20"/>
                  <w:szCs w:val="20"/>
                </w:rPr>
                <w:t>https://theconversation.com/endometriosis-can-end-womens-careers-and-stall-their-education-thats-everyones-business-179846</w:t>
              </w:r>
            </w:hyperlink>
            <w:r w:rsidR="008F45E1" w:rsidRPr="002B68F4">
              <w:rPr>
                <w:rFonts w:cs="Arial"/>
                <w:sz w:val="20"/>
                <w:szCs w:val="20"/>
              </w:rPr>
              <w:t xml:space="preserve"> </w:t>
            </w:r>
          </w:p>
        </w:tc>
      </w:tr>
      <w:tr w:rsidR="002B68F4" w:rsidRPr="002B68F4" w14:paraId="18C961FF" w14:textId="77777777" w:rsidTr="001301BE">
        <w:tc>
          <w:tcPr>
            <w:tcW w:w="1422" w:type="dxa"/>
            <w:shd w:val="clear" w:color="auto" w:fill="auto"/>
          </w:tcPr>
          <w:p w14:paraId="75ADEC8F" w14:textId="57E4B33B" w:rsidR="008F45E1" w:rsidRPr="002B68F4" w:rsidRDefault="008F45E1" w:rsidP="002B68F4">
            <w:pPr>
              <w:jc w:val="left"/>
              <w:rPr>
                <w:rFonts w:cs="Arial"/>
                <w:sz w:val="20"/>
                <w:szCs w:val="20"/>
              </w:rPr>
            </w:pPr>
            <w:r w:rsidRPr="002B68F4">
              <w:rPr>
                <w:rFonts w:cs="Arial"/>
                <w:sz w:val="20"/>
                <w:szCs w:val="20"/>
              </w:rPr>
              <w:t>Mar 2022</w:t>
            </w:r>
          </w:p>
        </w:tc>
        <w:tc>
          <w:tcPr>
            <w:tcW w:w="2942" w:type="dxa"/>
            <w:shd w:val="clear" w:color="auto" w:fill="auto"/>
          </w:tcPr>
          <w:p w14:paraId="2C5916BF" w14:textId="77777777" w:rsidR="008F45E1" w:rsidRPr="002B68F4" w:rsidRDefault="008F45E1" w:rsidP="002B68F4">
            <w:pPr>
              <w:jc w:val="left"/>
              <w:rPr>
                <w:rFonts w:cs="Arial"/>
                <w:sz w:val="20"/>
                <w:szCs w:val="20"/>
              </w:rPr>
            </w:pPr>
            <w:r w:rsidRPr="002B68F4">
              <w:rPr>
                <w:rFonts w:cs="Arial"/>
                <w:sz w:val="20"/>
                <w:szCs w:val="20"/>
              </w:rPr>
              <w:t>Managing screen time is harder in families with multiple children</w:t>
            </w:r>
          </w:p>
        </w:tc>
        <w:tc>
          <w:tcPr>
            <w:tcW w:w="3387" w:type="dxa"/>
            <w:shd w:val="clear" w:color="auto" w:fill="auto"/>
          </w:tcPr>
          <w:p w14:paraId="70CA6D55" w14:textId="77777777" w:rsidR="008F45E1" w:rsidRPr="002B68F4" w:rsidRDefault="008F45E1" w:rsidP="002B68F4">
            <w:pPr>
              <w:jc w:val="left"/>
              <w:rPr>
                <w:rFonts w:cs="Arial"/>
                <w:sz w:val="20"/>
                <w:szCs w:val="20"/>
              </w:rPr>
            </w:pPr>
            <w:r w:rsidRPr="002B68F4">
              <w:rPr>
                <w:rFonts w:cs="Arial"/>
                <w:sz w:val="20"/>
                <w:szCs w:val="20"/>
              </w:rPr>
              <w:t>A/Prof Leigh Tooth, The University of Queensland</w:t>
            </w:r>
          </w:p>
        </w:tc>
        <w:tc>
          <w:tcPr>
            <w:tcW w:w="6419" w:type="dxa"/>
            <w:shd w:val="clear" w:color="auto" w:fill="auto"/>
          </w:tcPr>
          <w:p w14:paraId="20D14ED1" w14:textId="77777777" w:rsidR="008F45E1" w:rsidRPr="002B68F4" w:rsidRDefault="008F45E1" w:rsidP="00E24F54">
            <w:pPr>
              <w:rPr>
                <w:rFonts w:cs="Arial"/>
                <w:sz w:val="20"/>
                <w:szCs w:val="20"/>
              </w:rPr>
            </w:pPr>
          </w:p>
        </w:tc>
      </w:tr>
      <w:tr w:rsidR="002B68F4" w:rsidRPr="002B68F4" w14:paraId="653B7CEB" w14:textId="77777777" w:rsidTr="001301BE">
        <w:trPr>
          <w:cnfStyle w:val="000000100000" w:firstRow="0" w:lastRow="0" w:firstColumn="0" w:lastColumn="0" w:oddVBand="0" w:evenVBand="0" w:oddHBand="1" w:evenHBand="0" w:firstRowFirstColumn="0" w:firstRowLastColumn="0" w:lastRowFirstColumn="0" w:lastRowLastColumn="0"/>
        </w:trPr>
        <w:tc>
          <w:tcPr>
            <w:tcW w:w="1422" w:type="dxa"/>
            <w:shd w:val="clear" w:color="auto" w:fill="auto"/>
          </w:tcPr>
          <w:p w14:paraId="00C144B7" w14:textId="77777777" w:rsidR="008F45E1" w:rsidRPr="002B68F4" w:rsidRDefault="008F45E1" w:rsidP="002B68F4">
            <w:pPr>
              <w:jc w:val="left"/>
              <w:rPr>
                <w:rFonts w:cs="Arial"/>
                <w:sz w:val="20"/>
                <w:szCs w:val="20"/>
              </w:rPr>
            </w:pPr>
            <w:r w:rsidRPr="002B68F4">
              <w:rPr>
                <w:rFonts w:cs="Arial"/>
                <w:sz w:val="20"/>
                <w:szCs w:val="20"/>
              </w:rPr>
              <w:t>Jan 2022</w:t>
            </w:r>
          </w:p>
        </w:tc>
        <w:tc>
          <w:tcPr>
            <w:tcW w:w="2942" w:type="dxa"/>
            <w:shd w:val="clear" w:color="auto" w:fill="auto"/>
          </w:tcPr>
          <w:p w14:paraId="1175C220" w14:textId="77777777" w:rsidR="008F45E1" w:rsidRPr="002B68F4" w:rsidRDefault="008F45E1" w:rsidP="002B68F4">
            <w:pPr>
              <w:jc w:val="left"/>
              <w:rPr>
                <w:rFonts w:cs="Arial"/>
                <w:sz w:val="20"/>
                <w:szCs w:val="20"/>
              </w:rPr>
            </w:pPr>
            <w:r w:rsidRPr="002B68F4">
              <w:rPr>
                <w:rFonts w:cs="Arial"/>
                <w:sz w:val="20"/>
                <w:szCs w:val="20"/>
              </w:rPr>
              <w:t>Prof Julie Byles awarded an Order of Australia</w:t>
            </w:r>
          </w:p>
        </w:tc>
        <w:tc>
          <w:tcPr>
            <w:tcW w:w="3387" w:type="dxa"/>
            <w:shd w:val="clear" w:color="auto" w:fill="auto"/>
          </w:tcPr>
          <w:p w14:paraId="6DA50E74" w14:textId="40A5D861" w:rsidR="008F45E1" w:rsidRPr="002B68F4" w:rsidRDefault="008F45E1" w:rsidP="002B68F4">
            <w:pPr>
              <w:jc w:val="left"/>
              <w:rPr>
                <w:rFonts w:cs="Arial"/>
                <w:sz w:val="20"/>
                <w:szCs w:val="20"/>
              </w:rPr>
            </w:pPr>
            <w:r w:rsidRPr="002B68F4">
              <w:rPr>
                <w:rFonts w:cs="Arial"/>
                <w:sz w:val="20"/>
                <w:szCs w:val="20"/>
              </w:rPr>
              <w:t>Professor Julie Byles, University of Newcastle</w:t>
            </w:r>
          </w:p>
        </w:tc>
        <w:tc>
          <w:tcPr>
            <w:tcW w:w="6419" w:type="dxa"/>
            <w:shd w:val="clear" w:color="auto" w:fill="auto"/>
          </w:tcPr>
          <w:p w14:paraId="30A280FF" w14:textId="536C762C" w:rsidR="008F45E1" w:rsidRPr="002B68F4" w:rsidRDefault="008F45E1" w:rsidP="00E24F54">
            <w:pPr>
              <w:rPr>
                <w:rFonts w:cs="Arial"/>
                <w:sz w:val="20"/>
                <w:szCs w:val="20"/>
              </w:rPr>
            </w:pPr>
            <w:r w:rsidRPr="002B68F4">
              <w:rPr>
                <w:rFonts w:cs="Arial"/>
                <w:sz w:val="20"/>
                <w:szCs w:val="20"/>
              </w:rPr>
              <w:t xml:space="preserve">Prof Byles award and her achievements, including the Study, were mentioned 47 times on </w:t>
            </w:r>
            <w:hyperlink r:id="rId182" w:history="1">
              <w:r w:rsidRPr="000C3B3F">
                <w:rPr>
                  <w:rStyle w:val="Hyperlink"/>
                  <w:rFonts w:cs="Arial"/>
                  <w:sz w:val="20"/>
                  <w:szCs w:val="20"/>
                </w:rPr>
                <w:t>radio and digital media</w:t>
              </w:r>
            </w:hyperlink>
            <w:r w:rsidRPr="002B68F4">
              <w:rPr>
                <w:rFonts w:cs="Arial"/>
                <w:sz w:val="20"/>
                <w:szCs w:val="20"/>
              </w:rPr>
              <w:t xml:space="preserve">, mostly in the Newcastle region. </w:t>
            </w:r>
          </w:p>
        </w:tc>
      </w:tr>
      <w:tr w:rsidR="002B68F4" w:rsidRPr="002B68F4" w14:paraId="25A2D82A" w14:textId="77777777" w:rsidTr="001301BE">
        <w:tc>
          <w:tcPr>
            <w:tcW w:w="1422" w:type="dxa"/>
            <w:shd w:val="clear" w:color="auto" w:fill="auto"/>
          </w:tcPr>
          <w:p w14:paraId="36342BBF" w14:textId="77777777" w:rsidR="008F45E1" w:rsidRPr="002B68F4" w:rsidRDefault="008F45E1" w:rsidP="002B68F4">
            <w:pPr>
              <w:jc w:val="left"/>
              <w:rPr>
                <w:rFonts w:cs="Arial"/>
                <w:sz w:val="20"/>
                <w:szCs w:val="20"/>
              </w:rPr>
            </w:pPr>
            <w:r w:rsidRPr="002B68F4">
              <w:rPr>
                <w:rFonts w:cs="Arial"/>
                <w:sz w:val="20"/>
                <w:szCs w:val="20"/>
              </w:rPr>
              <w:t>Dec 2021</w:t>
            </w:r>
          </w:p>
        </w:tc>
        <w:tc>
          <w:tcPr>
            <w:tcW w:w="2942" w:type="dxa"/>
            <w:shd w:val="clear" w:color="auto" w:fill="auto"/>
          </w:tcPr>
          <w:p w14:paraId="0A7F1934" w14:textId="77777777" w:rsidR="008F45E1" w:rsidRPr="002B68F4" w:rsidRDefault="008F45E1" w:rsidP="002B68F4">
            <w:pPr>
              <w:jc w:val="left"/>
              <w:rPr>
                <w:rFonts w:cs="Arial"/>
                <w:sz w:val="20"/>
                <w:szCs w:val="20"/>
              </w:rPr>
            </w:pPr>
            <w:r w:rsidRPr="002B68F4">
              <w:rPr>
                <w:rFonts w:cs="Arial"/>
                <w:sz w:val="20"/>
                <w:szCs w:val="20"/>
              </w:rPr>
              <w:t>Irregular periods may signal a heart disease and diabetes risk</w:t>
            </w:r>
          </w:p>
        </w:tc>
        <w:tc>
          <w:tcPr>
            <w:tcW w:w="3387" w:type="dxa"/>
            <w:shd w:val="clear" w:color="auto" w:fill="auto"/>
          </w:tcPr>
          <w:p w14:paraId="48F69910" w14:textId="47B53A3C" w:rsidR="008F45E1" w:rsidRPr="002B68F4" w:rsidRDefault="008F45E1" w:rsidP="002B68F4">
            <w:pPr>
              <w:jc w:val="left"/>
              <w:rPr>
                <w:rFonts w:cs="Arial"/>
                <w:sz w:val="20"/>
                <w:szCs w:val="20"/>
              </w:rPr>
            </w:pPr>
            <w:r w:rsidRPr="002B68F4">
              <w:rPr>
                <w:rFonts w:cs="Arial"/>
                <w:sz w:val="20"/>
                <w:szCs w:val="20"/>
              </w:rPr>
              <w:t>Syl</w:t>
            </w:r>
            <w:r w:rsidR="000C3B3F">
              <w:rPr>
                <w:rFonts w:cs="Arial"/>
                <w:sz w:val="20"/>
                <w:szCs w:val="20"/>
              </w:rPr>
              <w:t>via</w:t>
            </w:r>
            <w:r w:rsidRPr="002B68F4">
              <w:rPr>
                <w:rFonts w:cs="Arial"/>
                <w:sz w:val="20"/>
                <w:szCs w:val="20"/>
              </w:rPr>
              <w:t xml:space="preserve"> </w:t>
            </w:r>
            <w:proofErr w:type="spellStart"/>
            <w:r w:rsidRPr="002B68F4">
              <w:rPr>
                <w:rFonts w:cs="Arial"/>
                <w:sz w:val="20"/>
                <w:szCs w:val="20"/>
              </w:rPr>
              <w:t>Ki</w:t>
            </w:r>
            <w:r w:rsidR="000C3B3F">
              <w:rPr>
                <w:rFonts w:cs="Arial"/>
                <w:sz w:val="20"/>
                <w:szCs w:val="20"/>
              </w:rPr>
              <w:t>c</w:t>
            </w:r>
            <w:r w:rsidRPr="002B68F4">
              <w:rPr>
                <w:rFonts w:cs="Arial"/>
                <w:sz w:val="20"/>
                <w:szCs w:val="20"/>
              </w:rPr>
              <w:t>on</w:t>
            </w:r>
            <w:r w:rsidR="000C3B3F">
              <w:rPr>
                <w:rFonts w:cs="Arial"/>
                <w:sz w:val="20"/>
                <w:szCs w:val="20"/>
              </w:rPr>
              <w:t>c</w:t>
            </w:r>
            <w:r w:rsidRPr="002B68F4">
              <w:rPr>
                <w:rFonts w:cs="Arial"/>
                <w:sz w:val="20"/>
                <w:szCs w:val="20"/>
              </w:rPr>
              <w:t>o</w:t>
            </w:r>
            <w:proofErr w:type="spellEnd"/>
            <w:r w:rsidRPr="002B68F4">
              <w:rPr>
                <w:rFonts w:cs="Arial"/>
                <w:sz w:val="20"/>
                <w:szCs w:val="20"/>
              </w:rPr>
              <w:t>, Monash University</w:t>
            </w:r>
          </w:p>
        </w:tc>
        <w:tc>
          <w:tcPr>
            <w:tcW w:w="6419" w:type="dxa"/>
            <w:shd w:val="clear" w:color="auto" w:fill="auto"/>
          </w:tcPr>
          <w:p w14:paraId="496D607C" w14:textId="63E2A735" w:rsidR="008F45E1" w:rsidRPr="002B68F4" w:rsidRDefault="008F45E1" w:rsidP="00E24F54">
            <w:pPr>
              <w:rPr>
                <w:rFonts w:cs="Arial"/>
                <w:sz w:val="20"/>
                <w:szCs w:val="20"/>
              </w:rPr>
            </w:pPr>
            <w:r w:rsidRPr="002B68F4">
              <w:rPr>
                <w:rFonts w:cs="Arial"/>
                <w:sz w:val="20"/>
                <w:szCs w:val="20"/>
              </w:rPr>
              <w:t xml:space="preserve">An Australian exclusive in </w:t>
            </w:r>
            <w:hyperlink r:id="rId183" w:history="1">
              <w:r w:rsidRPr="000C3B3F">
                <w:rPr>
                  <w:rStyle w:val="Hyperlink"/>
                  <w:rFonts w:cs="Arial"/>
                  <w:sz w:val="20"/>
                  <w:szCs w:val="20"/>
                </w:rPr>
                <w:t>The Australian</w:t>
              </w:r>
            </w:hyperlink>
            <w:r w:rsidRPr="002B68F4">
              <w:rPr>
                <w:rFonts w:cs="Arial"/>
                <w:sz w:val="20"/>
                <w:szCs w:val="20"/>
              </w:rPr>
              <w:t xml:space="preserve">, and international pickup on health and wellness and diabetes related </w:t>
            </w:r>
            <w:hyperlink r:id="rId184" w:history="1">
              <w:r w:rsidRPr="000C3B3F">
                <w:rPr>
                  <w:rStyle w:val="Hyperlink"/>
                  <w:rFonts w:cs="Arial"/>
                  <w:sz w:val="20"/>
                  <w:szCs w:val="20"/>
                </w:rPr>
                <w:t>websites</w:t>
              </w:r>
            </w:hyperlink>
            <w:r w:rsidRPr="002B68F4">
              <w:rPr>
                <w:rFonts w:cs="Arial"/>
                <w:sz w:val="20"/>
                <w:szCs w:val="20"/>
              </w:rPr>
              <w:t xml:space="preserve">. </w:t>
            </w:r>
          </w:p>
          <w:p w14:paraId="041B47EC" w14:textId="77777777" w:rsidR="008F45E1" w:rsidRPr="002B68F4" w:rsidRDefault="005B3C73" w:rsidP="00E24F54">
            <w:pPr>
              <w:rPr>
                <w:rFonts w:cs="Arial"/>
                <w:sz w:val="20"/>
                <w:szCs w:val="20"/>
              </w:rPr>
            </w:pPr>
            <w:hyperlink r:id="rId185" w:history="1">
              <w:r w:rsidR="008F45E1" w:rsidRPr="002B68F4">
                <w:rPr>
                  <w:rStyle w:val="Hyperlink"/>
                  <w:rFonts w:cs="Arial"/>
                  <w:sz w:val="20"/>
                  <w:szCs w:val="20"/>
                </w:rPr>
                <w:t>https://www.healio.com/news/endocrinology/20211215/irregular-menses-may-signal-heart-disease-diabetes-risk</w:t>
              </w:r>
            </w:hyperlink>
            <w:r w:rsidR="008F45E1" w:rsidRPr="002B68F4">
              <w:rPr>
                <w:rFonts w:cs="Arial"/>
                <w:sz w:val="20"/>
                <w:szCs w:val="20"/>
              </w:rPr>
              <w:t xml:space="preserve"> </w:t>
            </w:r>
          </w:p>
        </w:tc>
      </w:tr>
    </w:tbl>
    <w:p w14:paraId="2BF10F88" w14:textId="77777777" w:rsidR="008F45E1" w:rsidRDefault="008F45E1" w:rsidP="008F45E1"/>
    <w:p w14:paraId="59EDA15B" w14:textId="77777777" w:rsidR="008F45E1" w:rsidRDefault="008F45E1" w:rsidP="008F45E1">
      <w:pPr>
        <w:sectPr w:rsidR="008F45E1" w:rsidSect="00013275">
          <w:pgSz w:w="16838" w:h="11906" w:orient="landscape"/>
          <w:pgMar w:top="1440" w:right="1440" w:bottom="1440" w:left="1440" w:header="708" w:footer="708" w:gutter="0"/>
          <w:cols w:space="708"/>
          <w:docGrid w:linePitch="360"/>
        </w:sectPr>
      </w:pPr>
    </w:p>
    <w:p w14:paraId="068E2382" w14:textId="24421941" w:rsidR="008F45E1" w:rsidRPr="002906F0" w:rsidRDefault="00E6705E" w:rsidP="00472CFC">
      <w:pPr>
        <w:pStyle w:val="Heading2"/>
      </w:pPr>
      <w:bookmarkStart w:id="1215" w:name="_Toc113370095"/>
      <w:bookmarkStart w:id="1216" w:name="_Toc113370251"/>
      <w:bookmarkEnd w:id="1215"/>
      <w:bookmarkEnd w:id="1216"/>
      <w:r>
        <w:lastRenderedPageBreak/>
        <w:t xml:space="preserve"> </w:t>
      </w:r>
      <w:bookmarkStart w:id="1217" w:name="_Toc124762832"/>
      <w:r w:rsidR="008F45E1">
        <w:t>Website</w:t>
      </w:r>
      <w:bookmarkEnd w:id="1217"/>
    </w:p>
    <w:p w14:paraId="15F4E914" w14:textId="77777777" w:rsidR="008F45E1" w:rsidRDefault="008F45E1" w:rsidP="00472CFC">
      <w:pPr>
        <w:pStyle w:val="2012TechReportBodytext"/>
      </w:pPr>
      <w:r w:rsidRPr="002571D8">
        <w:t>The ALSWH website (</w:t>
      </w:r>
      <w:hyperlink r:id="rId186" w:history="1">
        <w:r w:rsidRPr="002571D8">
          <w:rPr>
            <w:color w:val="0000FF"/>
            <w:u w:val="single"/>
          </w:rPr>
          <w:t>www.alswh.org.au</w:t>
        </w:r>
      </w:hyperlink>
      <w:r w:rsidRPr="002571D8">
        <w:t>) continues to be an important portal for communication of ALSWH act</w:t>
      </w:r>
      <w:r>
        <w:t xml:space="preserve">ivities to the wider community. The website is the main gateway for information about ALSWH data, data applications, </w:t>
      </w:r>
      <w:proofErr w:type="gramStart"/>
      <w:r>
        <w:t>and also</w:t>
      </w:r>
      <w:proofErr w:type="gramEnd"/>
      <w:r>
        <w:t xml:space="preserve"> provides updates on Study news, events, publications and similar items. During the 2021-22 year the website team have focused on improving access to information and the user experience for collaborating researchers with updates to the Data User Portal and For Data Users sections of the site. </w:t>
      </w:r>
    </w:p>
    <w:p w14:paraId="2BD1849B" w14:textId="0D1D4EC5" w:rsidR="008F45E1" w:rsidRDefault="008F45E1" w:rsidP="008F45E1">
      <w:pPr>
        <w:pStyle w:val="Heading2"/>
        <w:tabs>
          <w:tab w:val="num" w:pos="360"/>
        </w:tabs>
        <w:spacing w:line="240" w:lineRule="auto"/>
        <w:ind w:left="567" w:hanging="567"/>
        <w:jc w:val="left"/>
      </w:pPr>
      <w:bookmarkStart w:id="1218" w:name="_Toc124762833"/>
      <w:r>
        <w:t>Newsletters</w:t>
      </w:r>
      <w:bookmarkEnd w:id="1218"/>
    </w:p>
    <w:p w14:paraId="1FD8FC76" w14:textId="77777777" w:rsidR="008F45E1" w:rsidRPr="00891219" w:rsidRDefault="008F45E1" w:rsidP="00472CFC">
      <w:pPr>
        <w:pStyle w:val="2012TechReportBodytext"/>
      </w:pPr>
      <w:r>
        <w:t xml:space="preserve">Every year a newsletter is produced for Study participants. The participant newsletter describes current events at </w:t>
      </w:r>
      <w:proofErr w:type="gramStart"/>
      <w:r>
        <w:t>ALSWH</w:t>
      </w:r>
      <w:proofErr w:type="gramEnd"/>
      <w:r>
        <w:t xml:space="preserve"> and features results on prominent issues arising from information about themselves that the participants have provided to ALSWH. The ALSWH participant newsletter (2021 year in review) was distributed in August 2022. It was provided online to all participants in the 1989-95 cohort, as well as to those participants in the 1973-78 and 1946-51 cohorts who have provided email addresses. Participants in the 1973-78 and 1946-51 cohorts who have not provided email addresses, or who prefer to receive hard copies, and all members of the 1921-26 cohort were provided with printed copies of the newsletter. Copies of all participant newsletters are available </w:t>
      </w:r>
      <w:hyperlink r:id="rId187" w:history="1">
        <w:r w:rsidRPr="001375BC">
          <w:rPr>
            <w:rStyle w:val="Hyperlink"/>
          </w:rPr>
          <w:t>here</w:t>
        </w:r>
      </w:hyperlink>
      <w:r>
        <w:t>.</w:t>
      </w:r>
    </w:p>
    <w:p w14:paraId="31B179C4" w14:textId="77777777" w:rsidR="008F45E1" w:rsidRDefault="008F45E1" w:rsidP="008F45E1">
      <w:pPr>
        <w:pStyle w:val="2012TechReportBodytext"/>
        <w:jc w:val="left"/>
        <w:rPr>
          <w:rFonts w:cs="Arial"/>
          <w:szCs w:val="20"/>
        </w:rPr>
      </w:pPr>
      <w:r w:rsidRPr="00906968">
        <w:rPr>
          <w:rFonts w:cs="Arial"/>
          <w:szCs w:val="20"/>
        </w:rPr>
        <w:t xml:space="preserve">The Study also prepares two electronic newsletters - ‘Study News’ which is for all stakeholders with an interest in women’s health policy and practice, and ‘Data Updates’ which is for data users. </w:t>
      </w:r>
    </w:p>
    <w:p w14:paraId="10880229" w14:textId="77777777" w:rsidR="008F45E1" w:rsidRPr="00906968" w:rsidRDefault="008F45E1" w:rsidP="008F45E1">
      <w:pPr>
        <w:pStyle w:val="2012TechReportBodytext"/>
        <w:jc w:val="left"/>
        <w:rPr>
          <w:rFonts w:cs="Arial"/>
          <w:szCs w:val="20"/>
        </w:rPr>
      </w:pPr>
      <w:r w:rsidRPr="00906968">
        <w:rPr>
          <w:rFonts w:cs="Arial"/>
          <w:szCs w:val="20"/>
        </w:rPr>
        <w:t>The Study News is sent to a list of over 670 subscribers</w:t>
      </w:r>
      <w:r>
        <w:rPr>
          <w:rFonts w:cs="Arial"/>
          <w:szCs w:val="20"/>
        </w:rPr>
        <w:t>, at least 3 times per year</w:t>
      </w:r>
      <w:r w:rsidRPr="00906968">
        <w:rPr>
          <w:rFonts w:cs="Arial"/>
          <w:szCs w:val="20"/>
        </w:rPr>
        <w:t xml:space="preserve"> and includes:</w:t>
      </w:r>
    </w:p>
    <w:p w14:paraId="4CC7A2C8" w14:textId="77777777" w:rsidR="008F45E1" w:rsidRPr="00906968" w:rsidRDefault="008F45E1" w:rsidP="003D5E6A">
      <w:pPr>
        <w:pStyle w:val="ListParagraph"/>
        <w:numPr>
          <w:ilvl w:val="0"/>
          <w:numId w:val="72"/>
        </w:numPr>
        <w:tabs>
          <w:tab w:val="left" w:pos="993"/>
        </w:tabs>
        <w:spacing w:after="0"/>
        <w:ind w:left="993" w:hanging="567"/>
        <w:jc w:val="left"/>
        <w:rPr>
          <w:rFonts w:cs="Arial"/>
          <w:szCs w:val="20"/>
        </w:rPr>
      </w:pPr>
      <w:r w:rsidRPr="00906968">
        <w:rPr>
          <w:rFonts w:cs="Arial"/>
          <w:szCs w:val="20"/>
        </w:rPr>
        <w:t>links to lay summaries or media coverage of noteworthy publications and reports</w:t>
      </w:r>
    </w:p>
    <w:p w14:paraId="21BCA75D" w14:textId="77777777" w:rsidR="008F45E1" w:rsidRPr="00906968" w:rsidRDefault="008F45E1" w:rsidP="003D5E6A">
      <w:pPr>
        <w:pStyle w:val="ListParagraph"/>
        <w:numPr>
          <w:ilvl w:val="0"/>
          <w:numId w:val="72"/>
        </w:numPr>
        <w:tabs>
          <w:tab w:val="left" w:pos="993"/>
        </w:tabs>
        <w:spacing w:after="0"/>
        <w:ind w:left="993" w:hanging="567"/>
        <w:jc w:val="left"/>
        <w:rPr>
          <w:rFonts w:cs="Arial"/>
          <w:szCs w:val="20"/>
        </w:rPr>
      </w:pPr>
      <w:r w:rsidRPr="00906968">
        <w:rPr>
          <w:rFonts w:cs="Arial"/>
          <w:szCs w:val="20"/>
        </w:rPr>
        <w:t>updates on upcoming noteworthy seminars, presentations and conferences that will make use of ALSWH data</w:t>
      </w:r>
    </w:p>
    <w:p w14:paraId="5D6D6EB4" w14:textId="77777777" w:rsidR="008F45E1" w:rsidRPr="00906968" w:rsidRDefault="008F45E1" w:rsidP="003D5E6A">
      <w:pPr>
        <w:pStyle w:val="ListParagraph"/>
        <w:numPr>
          <w:ilvl w:val="0"/>
          <w:numId w:val="72"/>
        </w:numPr>
        <w:tabs>
          <w:tab w:val="left" w:pos="993"/>
        </w:tabs>
        <w:spacing w:after="0"/>
        <w:ind w:left="993" w:hanging="567"/>
        <w:jc w:val="left"/>
        <w:rPr>
          <w:rFonts w:cs="Arial"/>
          <w:szCs w:val="20"/>
        </w:rPr>
      </w:pPr>
      <w:r w:rsidRPr="00906968">
        <w:rPr>
          <w:rFonts w:cs="Arial"/>
          <w:szCs w:val="20"/>
        </w:rPr>
        <w:t>other related items of interest.</w:t>
      </w:r>
    </w:p>
    <w:p w14:paraId="4A3CDA03" w14:textId="77777777" w:rsidR="008F45E1" w:rsidRPr="00906968" w:rsidRDefault="008F45E1" w:rsidP="008F45E1">
      <w:pPr>
        <w:pStyle w:val="ListParagraph"/>
        <w:tabs>
          <w:tab w:val="left" w:pos="993"/>
        </w:tabs>
        <w:spacing w:before="0" w:after="0"/>
        <w:ind w:left="992"/>
        <w:jc w:val="left"/>
        <w:rPr>
          <w:rFonts w:cs="Arial"/>
          <w:szCs w:val="20"/>
        </w:rPr>
      </w:pPr>
      <w:r w:rsidRPr="00906968">
        <w:rPr>
          <w:rFonts w:cs="Arial"/>
          <w:szCs w:val="20"/>
        </w:rPr>
        <w:t xml:space="preserve"> </w:t>
      </w:r>
    </w:p>
    <w:p w14:paraId="1B849124" w14:textId="77777777" w:rsidR="008F45E1" w:rsidRPr="00906968" w:rsidRDefault="008F45E1" w:rsidP="008F45E1">
      <w:pPr>
        <w:spacing w:after="0"/>
        <w:rPr>
          <w:rFonts w:cs="Arial"/>
          <w:szCs w:val="20"/>
        </w:rPr>
      </w:pPr>
      <w:r w:rsidRPr="00906968">
        <w:rPr>
          <w:rFonts w:cs="Arial"/>
          <w:szCs w:val="20"/>
        </w:rPr>
        <w:t>The Data Update</w:t>
      </w:r>
      <w:r>
        <w:rPr>
          <w:rFonts w:cs="Arial"/>
          <w:szCs w:val="20"/>
        </w:rPr>
        <w:t xml:space="preserve"> is sent as relevant information becomes available. It</w:t>
      </w:r>
      <w:r w:rsidRPr="00906968">
        <w:rPr>
          <w:rFonts w:cs="Arial"/>
          <w:szCs w:val="20"/>
        </w:rPr>
        <w:t xml:space="preserve"> includes:</w:t>
      </w:r>
    </w:p>
    <w:p w14:paraId="47C0C2B5" w14:textId="77777777" w:rsidR="008F45E1" w:rsidRPr="00906968" w:rsidRDefault="008F45E1" w:rsidP="003D5E6A">
      <w:pPr>
        <w:pStyle w:val="ListParagraph"/>
        <w:numPr>
          <w:ilvl w:val="0"/>
          <w:numId w:val="72"/>
        </w:numPr>
        <w:tabs>
          <w:tab w:val="left" w:pos="993"/>
        </w:tabs>
        <w:spacing w:after="0"/>
        <w:ind w:left="993" w:hanging="567"/>
        <w:jc w:val="left"/>
        <w:rPr>
          <w:rFonts w:cs="Arial"/>
          <w:szCs w:val="20"/>
        </w:rPr>
      </w:pPr>
      <w:r w:rsidRPr="00906968">
        <w:rPr>
          <w:rFonts w:cs="Arial"/>
          <w:szCs w:val="20"/>
        </w:rPr>
        <w:t>details of recent data releases</w:t>
      </w:r>
      <w:r>
        <w:rPr>
          <w:rFonts w:cs="Arial"/>
          <w:szCs w:val="20"/>
        </w:rPr>
        <w:t xml:space="preserve"> including ALSWH surveys and linked data</w:t>
      </w:r>
    </w:p>
    <w:p w14:paraId="48FA6F2C" w14:textId="77777777" w:rsidR="008F45E1" w:rsidRPr="00906968" w:rsidRDefault="008F45E1" w:rsidP="003D5E6A">
      <w:pPr>
        <w:pStyle w:val="ListParagraph"/>
        <w:numPr>
          <w:ilvl w:val="0"/>
          <w:numId w:val="72"/>
        </w:numPr>
        <w:tabs>
          <w:tab w:val="left" w:pos="993"/>
        </w:tabs>
        <w:spacing w:after="0"/>
        <w:ind w:left="993" w:hanging="567"/>
        <w:jc w:val="left"/>
        <w:rPr>
          <w:rFonts w:cs="Arial"/>
          <w:szCs w:val="20"/>
        </w:rPr>
      </w:pPr>
      <w:r w:rsidRPr="00906968">
        <w:rPr>
          <w:rFonts w:cs="Arial"/>
          <w:szCs w:val="20"/>
        </w:rPr>
        <w:t>details of current and forthcoming surveys</w:t>
      </w:r>
    </w:p>
    <w:p w14:paraId="4A87C785" w14:textId="77777777" w:rsidR="008F45E1" w:rsidRPr="00906968" w:rsidRDefault="008F45E1" w:rsidP="003D5E6A">
      <w:pPr>
        <w:pStyle w:val="ListParagraph"/>
        <w:numPr>
          <w:ilvl w:val="0"/>
          <w:numId w:val="72"/>
        </w:numPr>
        <w:tabs>
          <w:tab w:val="left" w:pos="993"/>
        </w:tabs>
        <w:spacing w:after="0"/>
        <w:ind w:left="993" w:hanging="567"/>
        <w:jc w:val="left"/>
        <w:rPr>
          <w:rFonts w:cs="Arial"/>
          <w:szCs w:val="20"/>
        </w:rPr>
      </w:pPr>
      <w:r w:rsidRPr="00906968">
        <w:rPr>
          <w:rFonts w:cs="Arial"/>
          <w:szCs w:val="20"/>
        </w:rPr>
        <w:t>updates on recent publications, presentations and seminars and upcoming conferences</w:t>
      </w:r>
    </w:p>
    <w:p w14:paraId="1111C19C" w14:textId="04E2FAC8" w:rsidR="008F45E1" w:rsidRPr="00906968" w:rsidRDefault="00241571" w:rsidP="008F45E1">
      <w:pPr>
        <w:rPr>
          <w:rFonts w:cs="Arial"/>
          <w:szCs w:val="20"/>
        </w:rPr>
      </w:pPr>
      <w:r>
        <w:rPr>
          <w:rFonts w:cs="Arial"/>
          <w:szCs w:val="20"/>
        </w:rPr>
        <w:t xml:space="preserve">Since November 2021, </w:t>
      </w:r>
      <w:r w:rsidR="008F45E1" w:rsidRPr="00906968">
        <w:rPr>
          <w:rFonts w:cs="Arial"/>
          <w:szCs w:val="20"/>
        </w:rPr>
        <w:t xml:space="preserve">the Data Updates newsletter </w:t>
      </w:r>
      <w:r>
        <w:rPr>
          <w:rFonts w:cs="Arial"/>
          <w:szCs w:val="20"/>
        </w:rPr>
        <w:t>has been</w:t>
      </w:r>
      <w:r w:rsidR="008F45E1" w:rsidRPr="00906968">
        <w:rPr>
          <w:rFonts w:cs="Arial"/>
          <w:szCs w:val="20"/>
        </w:rPr>
        <w:t xml:space="preserve"> distributed </w:t>
      </w:r>
      <w:r w:rsidR="008C7F42">
        <w:rPr>
          <w:rFonts w:cs="Arial"/>
          <w:szCs w:val="20"/>
        </w:rPr>
        <w:t xml:space="preserve">once, </w:t>
      </w:r>
      <w:r w:rsidR="008F45E1" w:rsidRPr="00906968">
        <w:rPr>
          <w:rFonts w:cs="Arial"/>
          <w:szCs w:val="20"/>
        </w:rPr>
        <w:t xml:space="preserve">in </w:t>
      </w:r>
      <w:r w:rsidR="008F45E1">
        <w:rPr>
          <w:rFonts w:cs="Arial"/>
          <w:szCs w:val="20"/>
        </w:rPr>
        <w:t>December 2021</w:t>
      </w:r>
      <w:r w:rsidR="008C7F42">
        <w:rPr>
          <w:rFonts w:cs="Arial"/>
          <w:szCs w:val="20"/>
        </w:rPr>
        <w:t>, and t</w:t>
      </w:r>
      <w:r w:rsidR="008F45E1" w:rsidRPr="00906968">
        <w:rPr>
          <w:rFonts w:cs="Arial"/>
          <w:szCs w:val="20"/>
        </w:rPr>
        <w:t xml:space="preserve">he Study News </w:t>
      </w:r>
      <w:r w:rsidR="008C7F42">
        <w:rPr>
          <w:rFonts w:cs="Arial"/>
          <w:szCs w:val="20"/>
        </w:rPr>
        <w:t xml:space="preserve">newsletter twice, </w:t>
      </w:r>
      <w:r w:rsidR="008F45E1" w:rsidRPr="00906968">
        <w:rPr>
          <w:rFonts w:cs="Arial"/>
          <w:szCs w:val="20"/>
        </w:rPr>
        <w:t>in December 202</w:t>
      </w:r>
      <w:r w:rsidR="008F45E1">
        <w:rPr>
          <w:rFonts w:cs="Arial"/>
          <w:szCs w:val="20"/>
        </w:rPr>
        <w:t>1</w:t>
      </w:r>
      <w:r w:rsidR="008F45E1" w:rsidRPr="00906968">
        <w:rPr>
          <w:rFonts w:cs="Arial"/>
          <w:szCs w:val="20"/>
        </w:rPr>
        <w:t xml:space="preserve"> and </w:t>
      </w:r>
      <w:r w:rsidR="008F45E1">
        <w:rPr>
          <w:rFonts w:cs="Arial"/>
          <w:szCs w:val="20"/>
        </w:rPr>
        <w:t xml:space="preserve">June 2022. </w:t>
      </w:r>
    </w:p>
    <w:p w14:paraId="159B9380" w14:textId="77777777" w:rsidR="008F45E1" w:rsidRDefault="008F45E1" w:rsidP="008F45E1">
      <w:pPr>
        <w:sectPr w:rsidR="008F45E1" w:rsidSect="008E14A4">
          <w:pgSz w:w="11906" w:h="16838"/>
          <w:pgMar w:top="1440" w:right="1440" w:bottom="1440" w:left="1440" w:header="680" w:footer="708" w:gutter="0"/>
          <w:cols w:space="708"/>
          <w:formProt w:val="0"/>
          <w:docGrid w:linePitch="360"/>
        </w:sectPr>
      </w:pPr>
    </w:p>
    <w:p w14:paraId="5659324A" w14:textId="77777777" w:rsidR="00842161" w:rsidRPr="00DE377E" w:rsidRDefault="00842161" w:rsidP="006B02B6">
      <w:pPr>
        <w:pStyle w:val="Heading1"/>
        <w:spacing w:line="276" w:lineRule="auto"/>
        <w:rPr>
          <w:rFonts w:cs="Arial"/>
        </w:rPr>
      </w:pPr>
      <w:bookmarkStart w:id="1219" w:name="_Toc498092023"/>
      <w:bookmarkStart w:id="1220" w:name="_Toc124762834"/>
      <w:bookmarkStart w:id="1221" w:name="_Toc310480530"/>
      <w:bookmarkStart w:id="1222" w:name="_Toc184608149"/>
      <w:bookmarkStart w:id="1223" w:name="_Toc185053724"/>
      <w:bookmarkEnd w:id="1210"/>
      <w:bookmarkEnd w:id="1211"/>
      <w:r w:rsidRPr="00DE377E">
        <w:rPr>
          <w:rFonts w:cs="Arial"/>
        </w:rPr>
        <w:lastRenderedPageBreak/>
        <w:t>Collaborative Research Activities</w:t>
      </w:r>
      <w:bookmarkEnd w:id="1219"/>
      <w:bookmarkEnd w:id="1220"/>
    </w:p>
    <w:p w14:paraId="34370071" w14:textId="78584F5E" w:rsidR="00E37288" w:rsidRPr="00E37288" w:rsidRDefault="00E37288" w:rsidP="00425B97">
      <w:pPr>
        <w:pStyle w:val="Heading2"/>
      </w:pPr>
      <w:bookmarkStart w:id="1224" w:name="_Toc406674890"/>
      <w:bookmarkStart w:id="1225" w:name="_Toc433032225"/>
      <w:bookmarkStart w:id="1226" w:name="_Toc498092024"/>
      <w:bookmarkStart w:id="1227" w:name="_Toc34753694"/>
      <w:bookmarkStart w:id="1228" w:name="_Toc124762835"/>
      <w:bookmarkEnd w:id="1221"/>
      <w:bookmarkEnd w:id="1222"/>
      <w:bookmarkEnd w:id="1223"/>
      <w:r w:rsidRPr="00E37288">
        <w:t>Scientific meetings and teleconferences among the research team</w:t>
      </w:r>
      <w:bookmarkEnd w:id="1224"/>
      <w:bookmarkEnd w:id="1225"/>
      <w:bookmarkEnd w:id="1226"/>
      <w:bookmarkEnd w:id="1227"/>
      <w:bookmarkEnd w:id="1228"/>
    </w:p>
    <w:p w14:paraId="3D18C897" w14:textId="4D04223E" w:rsidR="00E37288" w:rsidRPr="00E37288" w:rsidRDefault="00B14D91" w:rsidP="00425B97">
      <w:pPr>
        <w:pStyle w:val="Heading3"/>
      </w:pPr>
      <w:bookmarkStart w:id="1229" w:name="_Toc406674891"/>
      <w:bookmarkStart w:id="1230" w:name="_Toc433032226"/>
      <w:bookmarkStart w:id="1231" w:name="_Toc491786604"/>
      <w:bookmarkStart w:id="1232" w:name="_Toc498092025"/>
      <w:bookmarkStart w:id="1233" w:name="_Toc34753695"/>
      <w:r>
        <w:t xml:space="preserve"> </w:t>
      </w:r>
      <w:bookmarkStart w:id="1234" w:name="_Toc124762836"/>
      <w:r w:rsidR="00E37288" w:rsidRPr="00E37288">
        <w:t>Management Committee</w:t>
      </w:r>
      <w:bookmarkEnd w:id="1229"/>
      <w:bookmarkEnd w:id="1230"/>
      <w:bookmarkEnd w:id="1231"/>
      <w:bookmarkEnd w:id="1232"/>
      <w:bookmarkEnd w:id="1233"/>
      <w:bookmarkEnd w:id="1234"/>
    </w:p>
    <w:p w14:paraId="7AD42504" w14:textId="76260D02" w:rsidR="00E37288" w:rsidRPr="00E37288" w:rsidRDefault="00E37288" w:rsidP="00555E24">
      <w:r w:rsidRPr="00E37288">
        <w:t xml:space="preserve">The Study Management Committee (SMC) oversees all aspects of ALSWH, ensuring that all contractual obligations are fulfilled and leading strategic planning for the Study (beyond contractual obligations). </w:t>
      </w:r>
      <w:r w:rsidRPr="00E37288">
        <w:rPr>
          <w:rFonts w:cs="Arial"/>
        </w:rPr>
        <w:t>Membership of t</w:t>
      </w:r>
      <w:r w:rsidRPr="00E37288">
        <w:t>he SMC comprises the ALSWH Directors and Deputy-Directors. During 20</w:t>
      </w:r>
      <w:r>
        <w:t>2</w:t>
      </w:r>
      <w:r w:rsidR="0012763E">
        <w:t>2</w:t>
      </w:r>
      <w:r w:rsidRPr="00E37288">
        <w:t xml:space="preserve">, SMC meetings </w:t>
      </w:r>
      <w:r w:rsidR="00BE27E5">
        <w:t>have been conducted as videoconference</w:t>
      </w:r>
      <w:r w:rsidR="00347EAA">
        <w:t>s</w:t>
      </w:r>
      <w:r w:rsidR="00BE27E5">
        <w:t xml:space="preserve"> (Zoom)  </w:t>
      </w:r>
      <w:r w:rsidRPr="00E37288">
        <w:t xml:space="preserve"> </w:t>
      </w:r>
    </w:p>
    <w:p w14:paraId="6BCF9CC6" w14:textId="2872EAD9" w:rsidR="00E37288" w:rsidRPr="00E37288" w:rsidRDefault="00E37288" w:rsidP="00425B97">
      <w:pPr>
        <w:pStyle w:val="Heading3"/>
      </w:pPr>
      <w:bookmarkStart w:id="1235" w:name="_Toc406674892"/>
      <w:bookmarkStart w:id="1236" w:name="_Toc433032227"/>
      <w:bookmarkStart w:id="1237" w:name="_Toc491786605"/>
      <w:bookmarkStart w:id="1238" w:name="_Toc498092026"/>
      <w:bookmarkStart w:id="1239" w:name="_Toc34753696"/>
      <w:bookmarkStart w:id="1240" w:name="_Toc124762837"/>
      <w:r w:rsidRPr="00E37288">
        <w:t>Data Management Group</w:t>
      </w:r>
      <w:bookmarkEnd w:id="1235"/>
      <w:bookmarkEnd w:id="1236"/>
      <w:bookmarkEnd w:id="1237"/>
      <w:bookmarkEnd w:id="1238"/>
      <w:bookmarkEnd w:id="1239"/>
      <w:bookmarkEnd w:id="1240"/>
    </w:p>
    <w:p w14:paraId="16BE4986" w14:textId="77777777" w:rsidR="00E37288" w:rsidRPr="00E37288" w:rsidRDefault="00E37288" w:rsidP="00555E24">
      <w:pPr>
        <w:rPr>
          <w:b/>
          <w:i/>
        </w:rPr>
      </w:pPr>
      <w:r w:rsidRPr="00E37288">
        <w:t>The Data Management Group (DMG) is responsible for all technical issues involving ALSWH data. The group’s primary tasks include:</w:t>
      </w:r>
    </w:p>
    <w:p w14:paraId="1D175B3F" w14:textId="77777777" w:rsidR="00E37288" w:rsidRPr="00E37288" w:rsidRDefault="00E37288" w:rsidP="0001215E">
      <w:pPr>
        <w:numPr>
          <w:ilvl w:val="0"/>
          <w:numId w:val="56"/>
        </w:numPr>
        <w:spacing w:before="0" w:after="40"/>
        <w:jc w:val="left"/>
      </w:pPr>
      <w:r w:rsidRPr="00E37288">
        <w:t>Providing a forum for discussion of all aspects of data management within ALSWH</w:t>
      </w:r>
    </w:p>
    <w:p w14:paraId="241430E4" w14:textId="77777777" w:rsidR="00E37288" w:rsidRPr="00E37288" w:rsidRDefault="00E37288" w:rsidP="0001215E">
      <w:pPr>
        <w:numPr>
          <w:ilvl w:val="0"/>
          <w:numId w:val="56"/>
        </w:numPr>
        <w:spacing w:before="0" w:after="40"/>
        <w:jc w:val="left"/>
      </w:pPr>
      <w:r w:rsidRPr="00E37288">
        <w:t>Disseminating summaries of current data management activities to the research team and collaborators</w:t>
      </w:r>
    </w:p>
    <w:p w14:paraId="35A46CBA" w14:textId="77777777" w:rsidR="00E37288" w:rsidRPr="00E37288" w:rsidRDefault="00E37288" w:rsidP="0001215E">
      <w:pPr>
        <w:numPr>
          <w:ilvl w:val="0"/>
          <w:numId w:val="56"/>
        </w:numPr>
        <w:spacing w:before="0" w:after="40"/>
        <w:jc w:val="left"/>
      </w:pPr>
      <w:r w:rsidRPr="00E37288">
        <w:t xml:space="preserve">Assessing the validity, </w:t>
      </w:r>
      <w:proofErr w:type="gramStart"/>
      <w:r w:rsidRPr="00E37288">
        <w:t>reliability</w:t>
      </w:r>
      <w:proofErr w:type="gramEnd"/>
      <w:r w:rsidRPr="00E37288">
        <w:t xml:space="preserve"> and responsiveness of new survey items</w:t>
      </w:r>
    </w:p>
    <w:p w14:paraId="7FEBE37F" w14:textId="77777777" w:rsidR="00E37288" w:rsidRPr="00E37288" w:rsidRDefault="00E37288" w:rsidP="0001215E">
      <w:pPr>
        <w:numPr>
          <w:ilvl w:val="0"/>
          <w:numId w:val="56"/>
        </w:numPr>
        <w:spacing w:before="0" w:after="40"/>
        <w:jc w:val="left"/>
      </w:pPr>
      <w:r w:rsidRPr="00E37288">
        <w:t>Maintaining scale evaluation procedures</w:t>
      </w:r>
    </w:p>
    <w:p w14:paraId="17838DBA" w14:textId="77777777" w:rsidR="00E37288" w:rsidRPr="00E37288" w:rsidRDefault="00E37288" w:rsidP="0001215E">
      <w:pPr>
        <w:numPr>
          <w:ilvl w:val="0"/>
          <w:numId w:val="56"/>
        </w:numPr>
        <w:spacing w:before="0" w:after="40"/>
        <w:jc w:val="left"/>
      </w:pPr>
      <w:r w:rsidRPr="00E37288">
        <w:t>Evaluating and documenting the validity and reliability of new scales included on surveys</w:t>
      </w:r>
    </w:p>
    <w:p w14:paraId="2CE0E586" w14:textId="77777777" w:rsidR="00E37288" w:rsidRPr="00E37288" w:rsidRDefault="00E37288" w:rsidP="0001215E">
      <w:pPr>
        <w:numPr>
          <w:ilvl w:val="0"/>
          <w:numId w:val="55"/>
        </w:numPr>
        <w:spacing w:before="0" w:after="40"/>
        <w:jc w:val="left"/>
      </w:pPr>
      <w:r w:rsidRPr="00E37288">
        <w:t>Developing and documenting definitions for derived variables in survey and other data sets</w:t>
      </w:r>
    </w:p>
    <w:p w14:paraId="4AD20E0F" w14:textId="77777777" w:rsidR="00E37288" w:rsidRPr="00593118" w:rsidRDefault="00E37288" w:rsidP="0001215E">
      <w:pPr>
        <w:numPr>
          <w:ilvl w:val="0"/>
          <w:numId w:val="55"/>
        </w:numPr>
        <w:spacing w:before="0" w:after="40"/>
        <w:jc w:val="left"/>
      </w:pPr>
      <w:r w:rsidRPr="00E37288">
        <w:t xml:space="preserve">Documenting datasets through the preparation of variable labels and formats, and the </w:t>
      </w:r>
      <w:r w:rsidRPr="00593118">
        <w:t>maintenance of the Data Dictionary and its Supplement</w:t>
      </w:r>
    </w:p>
    <w:p w14:paraId="7772411E" w14:textId="7AE472E1" w:rsidR="00E37288" w:rsidRDefault="00E37288" w:rsidP="0001215E">
      <w:pPr>
        <w:numPr>
          <w:ilvl w:val="0"/>
          <w:numId w:val="55"/>
        </w:numPr>
        <w:spacing w:before="0" w:after="40"/>
        <w:jc w:val="left"/>
      </w:pPr>
      <w:r w:rsidRPr="00593118">
        <w:t xml:space="preserve">Maintaining archival procedures for all datasets </w:t>
      </w:r>
    </w:p>
    <w:p w14:paraId="10B08100" w14:textId="7FBF90BB" w:rsidR="00670F37" w:rsidRPr="00670F37" w:rsidRDefault="00BE27E5" w:rsidP="00670F37">
      <w:r w:rsidRPr="00670F37">
        <w:t xml:space="preserve">This year, </w:t>
      </w:r>
      <w:r w:rsidR="00E37288" w:rsidRPr="00670F37">
        <w:t xml:space="preserve">the DMG has reviewed all items for Survey </w:t>
      </w:r>
      <w:r w:rsidR="00925DCF">
        <w:t>10</w:t>
      </w:r>
      <w:r w:rsidR="00925DCF" w:rsidRPr="00670F37">
        <w:t xml:space="preserve"> </w:t>
      </w:r>
      <w:r w:rsidR="00E37288" w:rsidRPr="00670F37">
        <w:t xml:space="preserve">of the </w:t>
      </w:r>
      <w:r w:rsidR="00925DCF">
        <w:t>1946-51</w:t>
      </w:r>
      <w:r w:rsidR="00E37288" w:rsidRPr="00670F37">
        <w:t xml:space="preserve"> cohort</w:t>
      </w:r>
      <w:r w:rsidR="00593118" w:rsidRPr="00670F37">
        <w:t xml:space="preserve"> and</w:t>
      </w:r>
      <w:r w:rsidR="00E37288" w:rsidRPr="00670F37">
        <w:t xml:space="preserve"> has </w:t>
      </w:r>
      <w:r w:rsidRPr="00670F37">
        <w:t>provided advice on preparation of the ‘</w:t>
      </w:r>
      <w:r w:rsidR="00925DCF">
        <w:t>Common</w:t>
      </w:r>
      <w:r w:rsidR="00925DCF" w:rsidRPr="00670F37">
        <w:t xml:space="preserve"> </w:t>
      </w:r>
      <w:r w:rsidR="00593118" w:rsidRPr="00670F37">
        <w:t>conditions from multiple sources (CCMS)’ datasets.</w:t>
      </w:r>
      <w:r w:rsidR="00E37288" w:rsidRPr="00670F37">
        <w:t xml:space="preserve"> The DMG meets monthly by teleconference</w:t>
      </w:r>
      <w:r w:rsidRPr="00670F37">
        <w:t xml:space="preserve"> or videoconference</w:t>
      </w:r>
      <w:r w:rsidR="00E37288" w:rsidRPr="00670F37">
        <w:t xml:space="preserve"> and is chaired by David Fitzgerald (Data Manager – The University of Queensland) and </w:t>
      </w:r>
      <w:r w:rsidR="00925DCF">
        <w:t>Ryan Tuckerman</w:t>
      </w:r>
      <w:r w:rsidR="00E37288" w:rsidRPr="00670F37">
        <w:t xml:space="preserve"> (</w:t>
      </w:r>
      <w:r w:rsidR="0037291B">
        <w:t>Database</w:t>
      </w:r>
      <w:r w:rsidR="0037291B" w:rsidRPr="00670F37">
        <w:t xml:space="preserve"> </w:t>
      </w:r>
      <w:r w:rsidR="00E37288" w:rsidRPr="00670F37">
        <w:t xml:space="preserve">Manager - The University of Newcastle). Members in </w:t>
      </w:r>
      <w:r w:rsidR="005524EE" w:rsidRPr="00670F37">
        <w:t>202</w:t>
      </w:r>
      <w:r w:rsidR="00925DCF">
        <w:t>2</w:t>
      </w:r>
      <w:r w:rsidR="005524EE" w:rsidRPr="00670F37">
        <w:t xml:space="preserve"> </w:t>
      </w:r>
      <w:r w:rsidR="00E37288" w:rsidRPr="00670F37">
        <w:t>have included:</w:t>
      </w:r>
    </w:p>
    <w:p w14:paraId="7870B222" w14:textId="5746521E" w:rsidR="00E37288" w:rsidRDefault="00E37288" w:rsidP="0001215E">
      <w:pPr>
        <w:numPr>
          <w:ilvl w:val="0"/>
          <w:numId w:val="54"/>
        </w:numPr>
        <w:spacing w:before="160" w:after="40" w:line="240" w:lineRule="auto"/>
        <w:ind w:left="1077" w:hanging="357"/>
        <w:jc w:val="left"/>
        <w:rPr>
          <w:rFonts w:cs="Arial"/>
        </w:rPr>
      </w:pPr>
      <w:r w:rsidRPr="00593118">
        <w:rPr>
          <w:rFonts w:cs="Arial"/>
        </w:rPr>
        <w:t>David Fitzgerald</w:t>
      </w:r>
    </w:p>
    <w:p w14:paraId="3FC93758" w14:textId="13B20A76" w:rsidR="00925DCF" w:rsidRDefault="00925DCF" w:rsidP="0001215E">
      <w:pPr>
        <w:numPr>
          <w:ilvl w:val="0"/>
          <w:numId w:val="54"/>
        </w:numPr>
        <w:spacing w:before="160" w:after="40" w:line="240" w:lineRule="auto"/>
        <w:ind w:left="1077" w:hanging="357"/>
        <w:jc w:val="left"/>
        <w:rPr>
          <w:rFonts w:cs="Arial"/>
        </w:rPr>
      </w:pPr>
      <w:r>
        <w:rPr>
          <w:rFonts w:cs="Arial"/>
        </w:rPr>
        <w:t>Anna Graves</w:t>
      </w:r>
    </w:p>
    <w:p w14:paraId="3048173A" w14:textId="18026A4A" w:rsidR="00925DCF" w:rsidRPr="00593118" w:rsidRDefault="00925DCF" w:rsidP="0001215E">
      <w:pPr>
        <w:numPr>
          <w:ilvl w:val="0"/>
          <w:numId w:val="54"/>
        </w:numPr>
        <w:spacing w:before="160" w:after="40" w:line="240" w:lineRule="auto"/>
        <w:ind w:left="1077" w:hanging="357"/>
        <w:jc w:val="left"/>
        <w:rPr>
          <w:rFonts w:cs="Arial"/>
        </w:rPr>
      </w:pPr>
      <w:r>
        <w:rPr>
          <w:rFonts w:cs="Arial"/>
        </w:rPr>
        <w:t>Ryan Tuckerman</w:t>
      </w:r>
    </w:p>
    <w:p w14:paraId="166EBB70" w14:textId="77777777" w:rsidR="00E37288" w:rsidRPr="00593118" w:rsidRDefault="00E37288" w:rsidP="0001215E">
      <w:pPr>
        <w:numPr>
          <w:ilvl w:val="0"/>
          <w:numId w:val="54"/>
        </w:numPr>
        <w:spacing w:before="160" w:after="40" w:line="240" w:lineRule="auto"/>
        <w:ind w:left="1077" w:hanging="357"/>
        <w:jc w:val="left"/>
        <w:rPr>
          <w:rFonts w:cs="Arial"/>
        </w:rPr>
      </w:pPr>
      <w:r w:rsidRPr="00593118">
        <w:rPr>
          <w:rFonts w:cs="Arial"/>
        </w:rPr>
        <w:t xml:space="preserve">Professor Gita Mishra </w:t>
      </w:r>
    </w:p>
    <w:p w14:paraId="31197F8C" w14:textId="77777777" w:rsidR="00E37288" w:rsidRPr="00593118" w:rsidRDefault="00E37288" w:rsidP="0001215E">
      <w:pPr>
        <w:numPr>
          <w:ilvl w:val="0"/>
          <w:numId w:val="54"/>
        </w:numPr>
        <w:spacing w:before="160" w:after="40" w:line="240" w:lineRule="auto"/>
        <w:ind w:left="1077" w:hanging="357"/>
        <w:jc w:val="left"/>
        <w:rPr>
          <w:rFonts w:cs="Arial"/>
        </w:rPr>
      </w:pPr>
      <w:r w:rsidRPr="00593118">
        <w:rPr>
          <w:rFonts w:cs="Arial"/>
        </w:rPr>
        <w:t xml:space="preserve">Professor Julie Byles </w:t>
      </w:r>
    </w:p>
    <w:p w14:paraId="3A3ED8C1" w14:textId="77777777" w:rsidR="00E37288" w:rsidRPr="00593118" w:rsidRDefault="00E37288" w:rsidP="0001215E">
      <w:pPr>
        <w:numPr>
          <w:ilvl w:val="0"/>
          <w:numId w:val="54"/>
        </w:numPr>
        <w:spacing w:before="160" w:after="40" w:line="240" w:lineRule="auto"/>
        <w:ind w:left="1077" w:hanging="357"/>
        <w:jc w:val="left"/>
        <w:rPr>
          <w:rFonts w:cs="Arial"/>
        </w:rPr>
      </w:pPr>
      <w:r w:rsidRPr="00593118">
        <w:rPr>
          <w:rFonts w:cs="Arial"/>
        </w:rPr>
        <w:t xml:space="preserve">Professor Deborah Loxton </w:t>
      </w:r>
    </w:p>
    <w:p w14:paraId="180E351D" w14:textId="77777777" w:rsidR="00E37288" w:rsidRPr="00593118" w:rsidRDefault="00E37288" w:rsidP="0001215E">
      <w:pPr>
        <w:numPr>
          <w:ilvl w:val="0"/>
          <w:numId w:val="54"/>
        </w:numPr>
        <w:spacing w:before="160" w:after="40" w:line="240" w:lineRule="auto"/>
        <w:ind w:left="1077" w:hanging="357"/>
        <w:jc w:val="left"/>
        <w:rPr>
          <w:rFonts w:cs="Arial"/>
        </w:rPr>
      </w:pPr>
      <w:r w:rsidRPr="00593118">
        <w:rPr>
          <w:rFonts w:cs="Arial"/>
        </w:rPr>
        <w:t xml:space="preserve">Associate Professor Leigh Tooth </w:t>
      </w:r>
    </w:p>
    <w:p w14:paraId="74185A92" w14:textId="0F793653" w:rsidR="00E37288" w:rsidRPr="00593118" w:rsidRDefault="00E37288" w:rsidP="0001215E">
      <w:pPr>
        <w:numPr>
          <w:ilvl w:val="0"/>
          <w:numId w:val="54"/>
        </w:numPr>
        <w:spacing w:before="160" w:after="40" w:line="240" w:lineRule="auto"/>
        <w:ind w:left="1077" w:hanging="357"/>
        <w:jc w:val="left"/>
        <w:rPr>
          <w:rFonts w:cs="Arial"/>
        </w:rPr>
      </w:pPr>
      <w:r w:rsidRPr="00593118">
        <w:rPr>
          <w:rFonts w:cs="Arial"/>
        </w:rPr>
        <w:lastRenderedPageBreak/>
        <w:t xml:space="preserve">Richard Hockey </w:t>
      </w:r>
    </w:p>
    <w:p w14:paraId="3825C2C1" w14:textId="00702153" w:rsidR="005524EE" w:rsidRPr="00593118" w:rsidRDefault="005524EE" w:rsidP="0001215E">
      <w:pPr>
        <w:numPr>
          <w:ilvl w:val="0"/>
          <w:numId w:val="54"/>
        </w:numPr>
        <w:spacing w:before="160" w:after="40" w:line="240" w:lineRule="auto"/>
        <w:ind w:left="1077" w:hanging="357"/>
        <w:jc w:val="left"/>
        <w:rPr>
          <w:rFonts w:cs="Arial"/>
        </w:rPr>
      </w:pPr>
      <w:r w:rsidRPr="00593118">
        <w:rPr>
          <w:rFonts w:cs="Arial"/>
        </w:rPr>
        <w:t>Dominic Cavenagh</w:t>
      </w:r>
    </w:p>
    <w:p w14:paraId="69CA1983" w14:textId="77777777" w:rsidR="00E37288" w:rsidRPr="00593118" w:rsidRDefault="00E37288" w:rsidP="0001215E">
      <w:pPr>
        <w:numPr>
          <w:ilvl w:val="0"/>
          <w:numId w:val="54"/>
        </w:numPr>
        <w:spacing w:before="160" w:after="40" w:line="240" w:lineRule="auto"/>
        <w:ind w:left="1077" w:hanging="357"/>
        <w:jc w:val="left"/>
        <w:rPr>
          <w:rFonts w:cs="Arial"/>
        </w:rPr>
      </w:pPr>
      <w:r w:rsidRPr="00593118">
        <w:rPr>
          <w:rFonts w:cs="Arial"/>
        </w:rPr>
        <w:t>Professor Annette Dobson</w:t>
      </w:r>
    </w:p>
    <w:p w14:paraId="370612D4" w14:textId="77777777" w:rsidR="00E37288" w:rsidRPr="00593118" w:rsidRDefault="00E37288" w:rsidP="0001215E">
      <w:pPr>
        <w:numPr>
          <w:ilvl w:val="0"/>
          <w:numId w:val="54"/>
        </w:numPr>
        <w:spacing w:before="160" w:after="40" w:line="240" w:lineRule="auto"/>
        <w:ind w:left="1077" w:hanging="357"/>
        <w:jc w:val="left"/>
        <w:rPr>
          <w:rFonts w:cs="Arial"/>
        </w:rPr>
      </w:pPr>
      <w:r w:rsidRPr="00593118">
        <w:rPr>
          <w:rFonts w:cs="Arial"/>
        </w:rPr>
        <w:t>Peta Forder</w:t>
      </w:r>
    </w:p>
    <w:p w14:paraId="7F0D130C" w14:textId="77777777" w:rsidR="00E37288" w:rsidRPr="00593118" w:rsidRDefault="00E37288" w:rsidP="0001215E">
      <w:pPr>
        <w:numPr>
          <w:ilvl w:val="0"/>
          <w:numId w:val="54"/>
        </w:numPr>
        <w:spacing w:before="160" w:after="40" w:line="240" w:lineRule="auto"/>
        <w:ind w:left="1077" w:hanging="357"/>
        <w:jc w:val="left"/>
        <w:rPr>
          <w:rFonts w:cs="Arial"/>
        </w:rPr>
      </w:pPr>
      <w:r w:rsidRPr="00593118">
        <w:rPr>
          <w:rFonts w:cs="Arial"/>
        </w:rPr>
        <w:t>Dr Michael Waller</w:t>
      </w:r>
    </w:p>
    <w:p w14:paraId="36ADF1B7" w14:textId="77777777" w:rsidR="00E37288" w:rsidRPr="00593118" w:rsidRDefault="00E37288" w:rsidP="0001215E">
      <w:pPr>
        <w:numPr>
          <w:ilvl w:val="0"/>
          <w:numId w:val="54"/>
        </w:numPr>
        <w:spacing w:before="160" w:after="40" w:line="240" w:lineRule="auto"/>
        <w:ind w:left="1077" w:hanging="357"/>
        <w:jc w:val="left"/>
        <w:rPr>
          <w:rFonts w:cs="Arial"/>
        </w:rPr>
      </w:pPr>
      <w:r w:rsidRPr="00593118">
        <w:rPr>
          <w:rFonts w:cs="Arial"/>
        </w:rPr>
        <w:t>Colleen Loos</w:t>
      </w:r>
    </w:p>
    <w:p w14:paraId="2F33206A" w14:textId="55A06AD0" w:rsidR="00670F37" w:rsidRDefault="00E37288" w:rsidP="00670F37">
      <w:pPr>
        <w:numPr>
          <w:ilvl w:val="0"/>
          <w:numId w:val="54"/>
        </w:numPr>
        <w:spacing w:before="160" w:after="40" w:line="240" w:lineRule="auto"/>
        <w:ind w:left="1077" w:hanging="357"/>
        <w:jc w:val="left"/>
        <w:rPr>
          <w:rFonts w:cs="Arial"/>
        </w:rPr>
      </w:pPr>
      <w:r w:rsidRPr="00593118">
        <w:rPr>
          <w:rFonts w:cs="Arial"/>
        </w:rPr>
        <w:t>Nick Egan</w:t>
      </w:r>
    </w:p>
    <w:p w14:paraId="062E8F93" w14:textId="43469DFE" w:rsidR="00670F37" w:rsidRDefault="00670F37" w:rsidP="00670F37">
      <w:pPr>
        <w:spacing w:before="160" w:after="40" w:line="240" w:lineRule="auto"/>
        <w:jc w:val="left"/>
        <w:rPr>
          <w:rFonts w:cs="Arial"/>
        </w:rPr>
      </w:pPr>
    </w:p>
    <w:p w14:paraId="4BB4CEA7" w14:textId="1D912DAA" w:rsidR="00E37288" w:rsidRPr="00E37288" w:rsidRDefault="00E37288" w:rsidP="00D7001C">
      <w:pPr>
        <w:pStyle w:val="Heading3"/>
      </w:pPr>
      <w:bookmarkStart w:id="1241" w:name="_Toc406674893"/>
      <w:bookmarkStart w:id="1242" w:name="_Toc433032228"/>
      <w:bookmarkStart w:id="1243" w:name="_Toc491786606"/>
      <w:bookmarkStart w:id="1244" w:name="_Toc498092027"/>
      <w:bookmarkStart w:id="1245" w:name="_Toc34753697"/>
      <w:bookmarkStart w:id="1246" w:name="_Toc124762838"/>
      <w:r w:rsidRPr="00E37288">
        <w:t>Data Access Committee</w:t>
      </w:r>
      <w:bookmarkEnd w:id="1241"/>
      <w:bookmarkEnd w:id="1242"/>
      <w:bookmarkEnd w:id="1243"/>
      <w:bookmarkEnd w:id="1244"/>
      <w:bookmarkEnd w:id="1245"/>
      <w:bookmarkEnd w:id="1246"/>
    </w:p>
    <w:p w14:paraId="7268C723" w14:textId="2595220A" w:rsidR="00E37288" w:rsidRDefault="00E37288" w:rsidP="00555E24">
      <w:r w:rsidRPr="00E37288">
        <w:t>The Data Access Committee assesses and monitors all applications to use ALSWH data and linked data. The committee’s primary tasks are to:</w:t>
      </w:r>
    </w:p>
    <w:p w14:paraId="38AC8E30" w14:textId="77777777" w:rsidR="00E37288" w:rsidRPr="00E37288" w:rsidRDefault="00E37288" w:rsidP="0001215E">
      <w:pPr>
        <w:numPr>
          <w:ilvl w:val="0"/>
          <w:numId w:val="57"/>
        </w:numPr>
        <w:spacing w:before="0" w:after="40"/>
        <w:jc w:val="left"/>
      </w:pPr>
      <w:r w:rsidRPr="00E37288">
        <w:t>Assess each application for use of ALSWH data (and where required, linked data from external datasets) on merit for whether:</w:t>
      </w:r>
    </w:p>
    <w:p w14:paraId="4ED7A6AC" w14:textId="77777777" w:rsidR="00E37288" w:rsidRPr="00E37288" w:rsidRDefault="00E37288" w:rsidP="0001215E">
      <w:pPr>
        <w:numPr>
          <w:ilvl w:val="1"/>
          <w:numId w:val="57"/>
        </w:numPr>
        <w:spacing w:before="0" w:after="40"/>
        <w:jc w:val="left"/>
      </w:pPr>
      <w:r w:rsidRPr="00E37288">
        <w:t>It is a reasonable and appropriate use of ALSWH data (and linked data where applicable)</w:t>
      </w:r>
    </w:p>
    <w:p w14:paraId="4221E927" w14:textId="77777777" w:rsidR="00E37288" w:rsidRPr="00E37288" w:rsidRDefault="00E37288" w:rsidP="0001215E">
      <w:pPr>
        <w:numPr>
          <w:ilvl w:val="1"/>
          <w:numId w:val="57"/>
        </w:numPr>
        <w:spacing w:before="0" w:after="40"/>
        <w:jc w:val="left"/>
      </w:pPr>
      <w:r w:rsidRPr="00E37288">
        <w:t>It is a feasible project which will lead to scientifically valid findings</w:t>
      </w:r>
    </w:p>
    <w:p w14:paraId="29FA60C0" w14:textId="77777777" w:rsidR="00E37288" w:rsidRPr="00E37288" w:rsidRDefault="00E37288" w:rsidP="0001215E">
      <w:pPr>
        <w:numPr>
          <w:ilvl w:val="1"/>
          <w:numId w:val="57"/>
        </w:numPr>
        <w:spacing w:before="0" w:after="40"/>
        <w:jc w:val="left"/>
      </w:pPr>
      <w:r w:rsidRPr="00E37288">
        <w:t>The research team have the necessary skills and resources to conduct the research.</w:t>
      </w:r>
    </w:p>
    <w:p w14:paraId="055E6897" w14:textId="4F92ED55" w:rsidR="00E37288" w:rsidRDefault="00E37288" w:rsidP="0001215E">
      <w:pPr>
        <w:numPr>
          <w:ilvl w:val="1"/>
          <w:numId w:val="57"/>
        </w:numPr>
        <w:spacing w:before="0" w:after="40"/>
        <w:jc w:val="left"/>
      </w:pPr>
      <w:r w:rsidRPr="00E37288">
        <w:t>The research team members who require access to the linked data have the necessary ethical permissions.</w:t>
      </w:r>
    </w:p>
    <w:p w14:paraId="11DF1D3C" w14:textId="77777777" w:rsidR="00E37288" w:rsidRPr="00E37288" w:rsidRDefault="00E37288" w:rsidP="0001215E">
      <w:pPr>
        <w:numPr>
          <w:ilvl w:val="0"/>
          <w:numId w:val="57"/>
        </w:numPr>
        <w:spacing w:before="0" w:after="40"/>
        <w:jc w:val="left"/>
      </w:pPr>
      <w:r w:rsidRPr="00E37288">
        <w:t xml:space="preserve">Assess each application to conduct an ALSWH </w:t>
      </w:r>
      <w:proofErr w:type="spellStart"/>
      <w:r w:rsidRPr="00E37288">
        <w:t>substudy</w:t>
      </w:r>
      <w:proofErr w:type="spellEnd"/>
      <w:r w:rsidRPr="00E37288">
        <w:t xml:space="preserve"> on merit for whether:</w:t>
      </w:r>
    </w:p>
    <w:p w14:paraId="37713900" w14:textId="77777777" w:rsidR="00E37288" w:rsidRPr="00E37288" w:rsidRDefault="00E37288" w:rsidP="0001215E">
      <w:pPr>
        <w:numPr>
          <w:ilvl w:val="1"/>
          <w:numId w:val="57"/>
        </w:numPr>
        <w:spacing w:before="0" w:after="40"/>
        <w:jc w:val="left"/>
      </w:pPr>
      <w:r w:rsidRPr="00E37288">
        <w:t>The relevant ALSWH cohort/s is/are an appropriate target population for the research</w:t>
      </w:r>
    </w:p>
    <w:p w14:paraId="0DA4834E" w14:textId="77777777" w:rsidR="00E37288" w:rsidRPr="00E37288" w:rsidRDefault="00E37288" w:rsidP="0001215E">
      <w:pPr>
        <w:numPr>
          <w:ilvl w:val="1"/>
          <w:numId w:val="57"/>
        </w:numPr>
        <w:spacing w:before="0" w:after="40"/>
        <w:jc w:val="left"/>
      </w:pPr>
      <w:r w:rsidRPr="00E37288">
        <w:t xml:space="preserve">The </w:t>
      </w:r>
      <w:proofErr w:type="spellStart"/>
      <w:r w:rsidRPr="00E37288">
        <w:t>substudy</w:t>
      </w:r>
      <w:proofErr w:type="spellEnd"/>
      <w:r w:rsidRPr="00E37288">
        <w:t xml:space="preserve"> will be an acceptable burden on ALSWH participants</w:t>
      </w:r>
    </w:p>
    <w:p w14:paraId="7B4DF3B1" w14:textId="77777777" w:rsidR="00E37288" w:rsidRPr="00E37288" w:rsidRDefault="00E37288" w:rsidP="0001215E">
      <w:pPr>
        <w:numPr>
          <w:ilvl w:val="1"/>
          <w:numId w:val="57"/>
        </w:numPr>
        <w:spacing w:before="0" w:after="40"/>
        <w:jc w:val="left"/>
      </w:pPr>
      <w:r w:rsidRPr="00E37288">
        <w:t>It is a feasible project which will lead to scientifically valid findings</w:t>
      </w:r>
    </w:p>
    <w:p w14:paraId="788ABB84" w14:textId="04ED8474" w:rsidR="00E37288" w:rsidRDefault="00E37288" w:rsidP="0001215E">
      <w:pPr>
        <w:numPr>
          <w:ilvl w:val="1"/>
          <w:numId w:val="57"/>
        </w:numPr>
        <w:spacing w:before="0" w:after="40"/>
        <w:jc w:val="left"/>
      </w:pPr>
      <w:r w:rsidRPr="00E37288">
        <w:t xml:space="preserve">The research team have the necessary skills, </w:t>
      </w:r>
      <w:proofErr w:type="gramStart"/>
      <w:r w:rsidRPr="00E37288">
        <w:t>resources</w:t>
      </w:r>
      <w:proofErr w:type="gramEnd"/>
      <w:r w:rsidRPr="00E37288">
        <w:t xml:space="preserve"> and funding to conduct the research.</w:t>
      </w:r>
    </w:p>
    <w:p w14:paraId="7D48BEA5" w14:textId="77777777" w:rsidR="00E37288" w:rsidRPr="00E37288" w:rsidRDefault="00E37288" w:rsidP="0001215E">
      <w:pPr>
        <w:numPr>
          <w:ilvl w:val="0"/>
          <w:numId w:val="57"/>
        </w:numPr>
        <w:spacing w:before="0" w:after="40"/>
        <w:jc w:val="left"/>
      </w:pPr>
      <w:r w:rsidRPr="00E37288">
        <w:t xml:space="preserve">If requested by an ALSWH liaison person, review outcomes (publications, conference abstracts, reports) from research using ALSWH data. </w:t>
      </w:r>
    </w:p>
    <w:p w14:paraId="65EC8D08" w14:textId="3FB9C84F" w:rsidR="005524EE" w:rsidRDefault="00E37288" w:rsidP="00670F37">
      <w:pPr>
        <w:rPr>
          <w:lang w:eastAsia="en-US"/>
        </w:rPr>
      </w:pPr>
      <w:r w:rsidRPr="00E37288">
        <w:rPr>
          <w:lang w:eastAsia="en-US"/>
        </w:rPr>
        <w:t xml:space="preserve">The Data Access Committee is chaired by Associate Professor Leigh Tooth, and members in </w:t>
      </w:r>
      <w:r w:rsidR="005524EE" w:rsidRPr="00E37288">
        <w:rPr>
          <w:lang w:eastAsia="en-US"/>
        </w:rPr>
        <w:t>20</w:t>
      </w:r>
      <w:r w:rsidR="005524EE">
        <w:rPr>
          <w:lang w:eastAsia="en-US"/>
        </w:rPr>
        <w:t>2</w:t>
      </w:r>
      <w:r w:rsidR="004B6E76">
        <w:rPr>
          <w:lang w:eastAsia="en-US"/>
        </w:rPr>
        <w:t>2</w:t>
      </w:r>
      <w:r w:rsidR="005524EE">
        <w:rPr>
          <w:lang w:eastAsia="en-US"/>
        </w:rPr>
        <w:t xml:space="preserve"> have </w:t>
      </w:r>
      <w:r w:rsidRPr="00E37288">
        <w:rPr>
          <w:lang w:eastAsia="en-US"/>
        </w:rPr>
        <w:t>included:</w:t>
      </w:r>
    </w:p>
    <w:p w14:paraId="37E8D43E" w14:textId="77777777" w:rsidR="00670F37" w:rsidRPr="00E37288" w:rsidRDefault="00670F37" w:rsidP="00670F37">
      <w:pPr>
        <w:numPr>
          <w:ilvl w:val="0"/>
          <w:numId w:val="58"/>
        </w:numPr>
        <w:spacing w:before="0" w:after="40"/>
        <w:ind w:left="714" w:hanging="357"/>
        <w:jc w:val="left"/>
      </w:pPr>
      <w:r w:rsidRPr="00E37288">
        <w:t>Associate Professor Leigh Tooth</w:t>
      </w:r>
    </w:p>
    <w:p w14:paraId="7A23310D" w14:textId="77777777" w:rsidR="00670F37" w:rsidRPr="00E37288" w:rsidRDefault="00670F37" w:rsidP="00670F37">
      <w:pPr>
        <w:numPr>
          <w:ilvl w:val="0"/>
          <w:numId w:val="58"/>
        </w:numPr>
        <w:spacing w:before="0" w:after="40"/>
        <w:ind w:left="714" w:hanging="357"/>
        <w:jc w:val="left"/>
      </w:pPr>
      <w:r w:rsidRPr="00E37288">
        <w:t>Professor Gita Mishra</w:t>
      </w:r>
    </w:p>
    <w:p w14:paraId="331DBA75" w14:textId="77777777" w:rsidR="00670F37" w:rsidRPr="00E37288" w:rsidRDefault="00670F37" w:rsidP="00670F37">
      <w:pPr>
        <w:numPr>
          <w:ilvl w:val="0"/>
          <w:numId w:val="58"/>
        </w:numPr>
        <w:spacing w:before="0" w:after="40"/>
        <w:ind w:left="714" w:hanging="357"/>
        <w:jc w:val="left"/>
      </w:pPr>
      <w:r w:rsidRPr="00E37288">
        <w:t>Professor Julie Byles</w:t>
      </w:r>
    </w:p>
    <w:p w14:paraId="1686E25D" w14:textId="77777777" w:rsidR="00670F37" w:rsidRPr="00E37288" w:rsidRDefault="00670F37" w:rsidP="00670F37">
      <w:pPr>
        <w:numPr>
          <w:ilvl w:val="0"/>
          <w:numId w:val="58"/>
        </w:numPr>
        <w:spacing w:before="0" w:after="40"/>
        <w:ind w:left="714" w:hanging="357"/>
        <w:jc w:val="left"/>
      </w:pPr>
      <w:r w:rsidRPr="00E37288">
        <w:t>Professor Wendy Brown</w:t>
      </w:r>
    </w:p>
    <w:p w14:paraId="4FA6C4AE" w14:textId="77777777" w:rsidR="00670F37" w:rsidRPr="00E37288" w:rsidRDefault="00670F37" w:rsidP="00670F37">
      <w:pPr>
        <w:numPr>
          <w:ilvl w:val="0"/>
          <w:numId w:val="58"/>
        </w:numPr>
        <w:spacing w:before="0" w:after="40"/>
        <w:ind w:left="714" w:hanging="357"/>
        <w:jc w:val="left"/>
      </w:pPr>
      <w:r w:rsidRPr="00E37288">
        <w:t>Professor Annette Dobson</w:t>
      </w:r>
    </w:p>
    <w:p w14:paraId="4BD41835" w14:textId="77777777" w:rsidR="00670F37" w:rsidRPr="00E37288" w:rsidRDefault="00670F37" w:rsidP="00670F37">
      <w:pPr>
        <w:numPr>
          <w:ilvl w:val="0"/>
          <w:numId w:val="58"/>
        </w:numPr>
        <w:spacing w:before="0" w:after="40"/>
        <w:ind w:left="714" w:hanging="357"/>
        <w:jc w:val="left"/>
      </w:pPr>
      <w:r w:rsidRPr="00E37288">
        <w:lastRenderedPageBreak/>
        <w:t>Professor Deborah Loxton</w:t>
      </w:r>
    </w:p>
    <w:p w14:paraId="22B190A8" w14:textId="77777777" w:rsidR="00670F37" w:rsidRPr="00E37288" w:rsidRDefault="00670F37" w:rsidP="00670F37">
      <w:pPr>
        <w:numPr>
          <w:ilvl w:val="0"/>
          <w:numId w:val="58"/>
        </w:numPr>
        <w:spacing w:before="0" w:after="40"/>
        <w:ind w:left="714" w:hanging="357"/>
        <w:jc w:val="left"/>
      </w:pPr>
      <w:r w:rsidRPr="00E37288">
        <w:t>Peta Forder</w:t>
      </w:r>
    </w:p>
    <w:p w14:paraId="5FAE10ED" w14:textId="77777777" w:rsidR="00670F37" w:rsidRDefault="00670F37" w:rsidP="00670F37">
      <w:pPr>
        <w:numPr>
          <w:ilvl w:val="0"/>
          <w:numId w:val="58"/>
        </w:numPr>
        <w:spacing w:before="0" w:after="40"/>
        <w:ind w:left="714" w:hanging="357"/>
        <w:jc w:val="left"/>
      </w:pPr>
      <w:r>
        <w:t>Dr Amy Anderson</w:t>
      </w:r>
    </w:p>
    <w:p w14:paraId="33CC3FC5" w14:textId="77777777" w:rsidR="00670F37" w:rsidRDefault="00670F37" w:rsidP="00670F37">
      <w:pPr>
        <w:numPr>
          <w:ilvl w:val="0"/>
          <w:numId w:val="58"/>
        </w:numPr>
        <w:spacing w:before="0" w:after="40"/>
        <w:ind w:left="714" w:hanging="357"/>
        <w:jc w:val="left"/>
      </w:pPr>
      <w:r>
        <w:t>Dr Michael Waller</w:t>
      </w:r>
    </w:p>
    <w:p w14:paraId="3DB74315" w14:textId="77777777" w:rsidR="00670F37" w:rsidRDefault="00670F37" w:rsidP="00670F37">
      <w:pPr>
        <w:numPr>
          <w:ilvl w:val="0"/>
          <w:numId w:val="58"/>
        </w:numPr>
        <w:spacing w:before="0" w:after="40"/>
        <w:ind w:left="714" w:hanging="357"/>
        <w:jc w:val="left"/>
      </w:pPr>
      <w:r>
        <w:t>Dr Katrina Moss</w:t>
      </w:r>
    </w:p>
    <w:p w14:paraId="145F8527" w14:textId="304F2398" w:rsidR="00E37288" w:rsidRDefault="00E37288" w:rsidP="00555E24">
      <w:pPr>
        <w:rPr>
          <w:lang w:eastAsia="en-US"/>
        </w:rPr>
      </w:pPr>
      <w:r w:rsidRPr="00E37288">
        <w:rPr>
          <w:lang w:eastAsia="en-US"/>
        </w:rPr>
        <w:t>Data linkage projects were also reviewed by the ALSWH Data Manager, David Fitzgerald</w:t>
      </w:r>
      <w:r w:rsidR="00BE27E5">
        <w:rPr>
          <w:lang w:eastAsia="en-US"/>
        </w:rPr>
        <w:t xml:space="preserve"> and </w:t>
      </w:r>
      <w:r w:rsidRPr="00E37288">
        <w:rPr>
          <w:lang w:eastAsia="en-US"/>
        </w:rPr>
        <w:t>the ALSWH Data Linkage Coordinator, Colleen Loos</w:t>
      </w:r>
      <w:r w:rsidR="00BE27E5">
        <w:rPr>
          <w:lang w:eastAsia="en-US"/>
        </w:rPr>
        <w:t>.</w:t>
      </w:r>
      <w:r w:rsidRPr="00E37288">
        <w:rPr>
          <w:lang w:eastAsia="en-US"/>
        </w:rPr>
        <w:t xml:space="preserve"> </w:t>
      </w:r>
    </w:p>
    <w:p w14:paraId="72D97EE9" w14:textId="46B192B8" w:rsidR="00E37288" w:rsidRPr="00E37288" w:rsidRDefault="00E37288" w:rsidP="00425B97">
      <w:pPr>
        <w:pStyle w:val="Heading2"/>
      </w:pPr>
      <w:bookmarkStart w:id="1247" w:name="_Toc433032229"/>
      <w:bookmarkStart w:id="1248" w:name="_Toc498092028"/>
      <w:bookmarkStart w:id="1249" w:name="_Toc34753698"/>
      <w:bookmarkStart w:id="1250" w:name="_Toc124762839"/>
      <w:r w:rsidRPr="00E37288">
        <w:t>Research projects</w:t>
      </w:r>
      <w:bookmarkEnd w:id="1247"/>
      <w:bookmarkEnd w:id="1248"/>
      <w:bookmarkEnd w:id="1249"/>
      <w:bookmarkEnd w:id="1250"/>
    </w:p>
    <w:p w14:paraId="62480C0A" w14:textId="77777777" w:rsidR="00B43F0B" w:rsidRPr="001E5A1E" w:rsidRDefault="00B43F0B" w:rsidP="00D7001C">
      <w:pPr>
        <w:pStyle w:val="Heading3"/>
      </w:pPr>
      <w:bookmarkStart w:id="1251" w:name="_Toc124762840"/>
      <w:r w:rsidRPr="001E5A1E">
        <w:t>Full ALSWH datasets</w:t>
      </w:r>
      <w:bookmarkEnd w:id="1251"/>
    </w:p>
    <w:p w14:paraId="1CE69C8B" w14:textId="715B376C" w:rsidR="00E37288" w:rsidRPr="001E5A1E" w:rsidRDefault="00E37288" w:rsidP="00555E24">
      <w:r w:rsidRPr="001E5A1E">
        <w:t xml:space="preserve">ALSWH data has now been provided to collaborators for use in over </w:t>
      </w:r>
      <w:r w:rsidR="00306624" w:rsidRPr="001E5A1E">
        <w:t xml:space="preserve">1,100 </w:t>
      </w:r>
      <w:r w:rsidRPr="001E5A1E">
        <w:t xml:space="preserve">research projects. </w:t>
      </w:r>
      <w:r w:rsidR="001E52B3">
        <w:t>Forty-three</w:t>
      </w:r>
      <w:r w:rsidR="00306624" w:rsidRPr="001E5A1E">
        <w:t xml:space="preserve"> </w:t>
      </w:r>
      <w:r w:rsidR="001E52B3">
        <w:t xml:space="preserve">new or amended </w:t>
      </w:r>
      <w:r w:rsidRPr="001E5A1E">
        <w:t xml:space="preserve">projects have been approved </w:t>
      </w:r>
      <w:r w:rsidR="007D405D" w:rsidRPr="001E5A1E">
        <w:t xml:space="preserve">since the last Technical Report (November </w:t>
      </w:r>
      <w:r w:rsidR="00382EAE" w:rsidRPr="001E5A1E">
        <w:t>202</w:t>
      </w:r>
      <w:r w:rsidR="00306624" w:rsidRPr="001E5A1E">
        <w:t>1)</w:t>
      </w:r>
      <w:r w:rsidRPr="001E5A1E">
        <w:t xml:space="preserve">. </w:t>
      </w:r>
      <w:r w:rsidR="008D3AE4" w:rsidRPr="001E5A1E">
        <w:t xml:space="preserve">Fifty </w:t>
      </w:r>
      <w:r w:rsidRPr="001E5A1E">
        <w:t xml:space="preserve">per cent of projects approved this year also requested access to the linked administrative datasets. Researchers who receive ALSWH data are required to provide regular reports on progress of their projects - reports for </w:t>
      </w:r>
      <w:r w:rsidR="00593118" w:rsidRPr="001E5A1E">
        <w:t>202</w:t>
      </w:r>
      <w:r w:rsidR="0012763E" w:rsidRPr="001E5A1E">
        <w:t>2</w:t>
      </w:r>
      <w:r w:rsidR="00593118" w:rsidRPr="001E5A1E">
        <w:t xml:space="preserve"> </w:t>
      </w:r>
      <w:r w:rsidRPr="001E5A1E">
        <w:t xml:space="preserve">are included in </w:t>
      </w:r>
      <w:r w:rsidR="001B7DBB" w:rsidRPr="001E5A1E">
        <w:t xml:space="preserve">Appendixes </w:t>
      </w:r>
      <w:r w:rsidRPr="001E5A1E">
        <w:t>A</w:t>
      </w:r>
      <w:r w:rsidR="001B7DBB" w:rsidRPr="001E5A1E">
        <w:t>, B and C</w:t>
      </w:r>
      <w:r w:rsidRPr="001E5A1E">
        <w:t>. Topics under investigation include:</w:t>
      </w:r>
    </w:p>
    <w:p w14:paraId="5610498D" w14:textId="0C84151A" w:rsidR="00E37288" w:rsidRPr="001E5A1E" w:rsidRDefault="00E37288" w:rsidP="0001215E">
      <w:pPr>
        <w:numPr>
          <w:ilvl w:val="0"/>
          <w:numId w:val="59"/>
        </w:numPr>
        <w:tabs>
          <w:tab w:val="num" w:pos="851"/>
        </w:tabs>
        <w:spacing w:line="240" w:lineRule="auto"/>
        <w:ind w:left="851"/>
        <w:jc w:val="left"/>
        <w:rPr>
          <w:rFonts w:cs="Arial"/>
        </w:rPr>
      </w:pPr>
      <w:r w:rsidRPr="001E5A1E">
        <w:rPr>
          <w:rFonts w:cs="Arial"/>
        </w:rPr>
        <w:t>Chronic conditions such as musculoskeletal problems, cardiovascular conditions, diabetes</w:t>
      </w:r>
      <w:r w:rsidR="00347EAA" w:rsidRPr="001E5A1E">
        <w:rPr>
          <w:rFonts w:cs="Arial"/>
        </w:rPr>
        <w:t>.</w:t>
      </w:r>
      <w:r w:rsidRPr="001E5A1E">
        <w:rPr>
          <w:rFonts w:cs="Arial"/>
        </w:rPr>
        <w:t xml:space="preserve"> </w:t>
      </w:r>
    </w:p>
    <w:p w14:paraId="49E283E2" w14:textId="77777777" w:rsidR="00E37288" w:rsidRPr="001E5A1E" w:rsidRDefault="00E37288" w:rsidP="0001215E">
      <w:pPr>
        <w:numPr>
          <w:ilvl w:val="0"/>
          <w:numId w:val="59"/>
        </w:numPr>
        <w:tabs>
          <w:tab w:val="num" w:pos="851"/>
        </w:tabs>
        <w:spacing w:line="240" w:lineRule="auto"/>
        <w:ind w:left="851"/>
        <w:jc w:val="left"/>
        <w:rPr>
          <w:rFonts w:cs="Arial"/>
        </w:rPr>
      </w:pPr>
      <w:r w:rsidRPr="001E5A1E">
        <w:rPr>
          <w:rFonts w:cs="Arial"/>
        </w:rPr>
        <w:t xml:space="preserve">Health service use and systems </w:t>
      </w:r>
    </w:p>
    <w:p w14:paraId="11EA50E4" w14:textId="77777777" w:rsidR="00E37288" w:rsidRPr="001E5A1E" w:rsidRDefault="00E37288" w:rsidP="0001215E">
      <w:pPr>
        <w:numPr>
          <w:ilvl w:val="0"/>
          <w:numId w:val="59"/>
        </w:numPr>
        <w:tabs>
          <w:tab w:val="num" w:pos="851"/>
        </w:tabs>
        <w:spacing w:line="240" w:lineRule="auto"/>
        <w:ind w:left="851"/>
        <w:jc w:val="left"/>
        <w:rPr>
          <w:rFonts w:cs="Arial"/>
        </w:rPr>
      </w:pPr>
      <w:r w:rsidRPr="001E5A1E">
        <w:rPr>
          <w:rFonts w:cs="Arial"/>
        </w:rPr>
        <w:t xml:space="preserve">Mental health </w:t>
      </w:r>
    </w:p>
    <w:p w14:paraId="652E01DC" w14:textId="0D4E7EA8" w:rsidR="00E37288" w:rsidRPr="001E5A1E" w:rsidRDefault="00E37288" w:rsidP="0001215E">
      <w:pPr>
        <w:numPr>
          <w:ilvl w:val="0"/>
          <w:numId w:val="59"/>
        </w:numPr>
        <w:tabs>
          <w:tab w:val="num" w:pos="851"/>
        </w:tabs>
        <w:spacing w:line="240" w:lineRule="auto"/>
        <w:ind w:left="851"/>
        <w:jc w:val="left"/>
        <w:rPr>
          <w:rFonts w:cs="Arial"/>
        </w:rPr>
      </w:pPr>
      <w:r w:rsidRPr="001E5A1E">
        <w:rPr>
          <w:rFonts w:cs="Arial"/>
        </w:rPr>
        <w:t>Ageing</w:t>
      </w:r>
      <w:r w:rsidR="0012763E" w:rsidRPr="001E5A1E">
        <w:rPr>
          <w:rFonts w:cs="Arial"/>
        </w:rPr>
        <w:t xml:space="preserve"> and Aged Care</w:t>
      </w:r>
      <w:r w:rsidRPr="001E5A1E">
        <w:rPr>
          <w:rFonts w:cs="Arial"/>
        </w:rPr>
        <w:t xml:space="preserve"> </w:t>
      </w:r>
    </w:p>
    <w:p w14:paraId="310A3641" w14:textId="77777777" w:rsidR="00E37288" w:rsidRPr="001E5A1E" w:rsidRDefault="00E37288" w:rsidP="0001215E">
      <w:pPr>
        <w:numPr>
          <w:ilvl w:val="0"/>
          <w:numId w:val="59"/>
        </w:numPr>
        <w:tabs>
          <w:tab w:val="num" w:pos="851"/>
        </w:tabs>
        <w:spacing w:line="240" w:lineRule="auto"/>
        <w:ind w:left="851"/>
        <w:jc w:val="left"/>
        <w:rPr>
          <w:rFonts w:cs="Arial"/>
        </w:rPr>
      </w:pPr>
      <w:r w:rsidRPr="001E5A1E">
        <w:rPr>
          <w:rFonts w:cs="Arial"/>
        </w:rPr>
        <w:t xml:space="preserve">Reproductive health </w:t>
      </w:r>
    </w:p>
    <w:p w14:paraId="6FD03394" w14:textId="77777777" w:rsidR="00E37288" w:rsidRPr="001E5A1E" w:rsidRDefault="00E37288" w:rsidP="0001215E">
      <w:pPr>
        <w:numPr>
          <w:ilvl w:val="0"/>
          <w:numId w:val="59"/>
        </w:numPr>
        <w:tabs>
          <w:tab w:val="num" w:pos="851"/>
        </w:tabs>
        <w:spacing w:line="240" w:lineRule="auto"/>
        <w:ind w:left="851"/>
        <w:jc w:val="left"/>
        <w:rPr>
          <w:rFonts w:cs="Arial"/>
        </w:rPr>
      </w:pPr>
      <w:r w:rsidRPr="001E5A1E">
        <w:rPr>
          <w:rFonts w:cs="Arial"/>
        </w:rPr>
        <w:t xml:space="preserve">Methodological issues </w:t>
      </w:r>
    </w:p>
    <w:p w14:paraId="2157980C" w14:textId="77777777" w:rsidR="00E37288" w:rsidRPr="001E5A1E" w:rsidRDefault="00E37288" w:rsidP="0001215E">
      <w:pPr>
        <w:numPr>
          <w:ilvl w:val="0"/>
          <w:numId w:val="59"/>
        </w:numPr>
        <w:tabs>
          <w:tab w:val="num" w:pos="851"/>
        </w:tabs>
        <w:spacing w:line="240" w:lineRule="auto"/>
        <w:ind w:left="851"/>
        <w:jc w:val="left"/>
        <w:rPr>
          <w:rFonts w:cs="Arial"/>
        </w:rPr>
      </w:pPr>
      <w:r w:rsidRPr="001E5A1E">
        <w:rPr>
          <w:rFonts w:cs="Arial"/>
        </w:rPr>
        <w:t xml:space="preserve">Tobacco, </w:t>
      </w:r>
      <w:proofErr w:type="gramStart"/>
      <w:r w:rsidRPr="001E5A1E">
        <w:rPr>
          <w:rFonts w:cs="Arial"/>
        </w:rPr>
        <w:t>alcohol</w:t>
      </w:r>
      <w:proofErr w:type="gramEnd"/>
      <w:r w:rsidRPr="001E5A1E">
        <w:rPr>
          <w:rFonts w:cs="Arial"/>
        </w:rPr>
        <w:t xml:space="preserve"> and other drugs </w:t>
      </w:r>
    </w:p>
    <w:p w14:paraId="3870D1C3" w14:textId="77777777" w:rsidR="00E37288" w:rsidRPr="001E5A1E" w:rsidRDefault="00E37288" w:rsidP="0001215E">
      <w:pPr>
        <w:numPr>
          <w:ilvl w:val="0"/>
          <w:numId w:val="59"/>
        </w:numPr>
        <w:tabs>
          <w:tab w:val="num" w:pos="851"/>
        </w:tabs>
        <w:spacing w:line="240" w:lineRule="auto"/>
        <w:ind w:left="851"/>
        <w:jc w:val="left"/>
        <w:rPr>
          <w:rFonts w:cs="Arial"/>
        </w:rPr>
      </w:pPr>
      <w:r w:rsidRPr="001E5A1E">
        <w:rPr>
          <w:rFonts w:cs="Arial"/>
        </w:rPr>
        <w:t xml:space="preserve">Medications </w:t>
      </w:r>
    </w:p>
    <w:p w14:paraId="5B2BF1AA" w14:textId="77777777" w:rsidR="00E37288" w:rsidRPr="001E5A1E" w:rsidRDefault="00E37288" w:rsidP="0001215E">
      <w:pPr>
        <w:numPr>
          <w:ilvl w:val="0"/>
          <w:numId w:val="59"/>
        </w:numPr>
        <w:tabs>
          <w:tab w:val="num" w:pos="851"/>
        </w:tabs>
        <w:spacing w:line="240" w:lineRule="auto"/>
        <w:ind w:left="851"/>
        <w:jc w:val="left"/>
        <w:rPr>
          <w:rFonts w:cs="Arial"/>
        </w:rPr>
      </w:pPr>
      <w:r w:rsidRPr="001E5A1E">
        <w:rPr>
          <w:rFonts w:cs="Arial"/>
        </w:rPr>
        <w:t xml:space="preserve">Weight, </w:t>
      </w:r>
      <w:proofErr w:type="gramStart"/>
      <w:r w:rsidRPr="001E5A1E">
        <w:rPr>
          <w:rFonts w:cs="Arial"/>
        </w:rPr>
        <w:t>nutrition</w:t>
      </w:r>
      <w:proofErr w:type="gramEnd"/>
      <w:r w:rsidRPr="001E5A1E">
        <w:rPr>
          <w:rFonts w:cs="Arial"/>
        </w:rPr>
        <w:t xml:space="preserve"> and physical activity </w:t>
      </w:r>
    </w:p>
    <w:p w14:paraId="028668F1" w14:textId="13707892" w:rsidR="00E37288" w:rsidRPr="001E5A1E" w:rsidRDefault="00E37288" w:rsidP="0001215E">
      <w:pPr>
        <w:numPr>
          <w:ilvl w:val="0"/>
          <w:numId w:val="59"/>
        </w:numPr>
        <w:tabs>
          <w:tab w:val="num" w:pos="851"/>
        </w:tabs>
        <w:spacing w:line="240" w:lineRule="auto"/>
        <w:ind w:left="851"/>
        <w:jc w:val="left"/>
        <w:rPr>
          <w:rFonts w:cs="Arial"/>
        </w:rPr>
      </w:pPr>
      <w:r w:rsidRPr="001E5A1E">
        <w:rPr>
          <w:rFonts w:cs="Arial"/>
        </w:rPr>
        <w:t xml:space="preserve">Social factors in health and well-being </w:t>
      </w:r>
    </w:p>
    <w:p w14:paraId="79749414" w14:textId="5CCE3B33" w:rsidR="00E37288" w:rsidRPr="001E5A1E" w:rsidRDefault="00E37288" w:rsidP="0001215E">
      <w:pPr>
        <w:numPr>
          <w:ilvl w:val="0"/>
          <w:numId w:val="59"/>
        </w:numPr>
        <w:tabs>
          <w:tab w:val="num" w:pos="851"/>
        </w:tabs>
        <w:spacing w:line="240" w:lineRule="auto"/>
        <w:ind w:left="851"/>
        <w:jc w:val="left"/>
        <w:rPr>
          <w:rFonts w:cs="Arial"/>
        </w:rPr>
      </w:pPr>
      <w:r w:rsidRPr="001E5A1E">
        <w:rPr>
          <w:rFonts w:cs="Arial"/>
        </w:rPr>
        <w:t xml:space="preserve">Abuse </w:t>
      </w:r>
    </w:p>
    <w:p w14:paraId="6EC1FC46" w14:textId="3A40BD3B" w:rsidR="0012763E" w:rsidRPr="001E5A1E" w:rsidRDefault="0012763E" w:rsidP="0001215E">
      <w:pPr>
        <w:numPr>
          <w:ilvl w:val="0"/>
          <w:numId w:val="59"/>
        </w:numPr>
        <w:tabs>
          <w:tab w:val="num" w:pos="851"/>
        </w:tabs>
        <w:spacing w:line="240" w:lineRule="auto"/>
        <w:ind w:left="851"/>
        <w:jc w:val="left"/>
        <w:rPr>
          <w:rFonts w:cs="Arial"/>
        </w:rPr>
      </w:pPr>
      <w:r w:rsidRPr="001E5A1E">
        <w:rPr>
          <w:rFonts w:cs="Arial"/>
        </w:rPr>
        <w:t>Environmental health</w:t>
      </w:r>
    </w:p>
    <w:p w14:paraId="60A8522E" w14:textId="2CFC7496" w:rsidR="0012763E" w:rsidRPr="001E5A1E" w:rsidRDefault="0012763E" w:rsidP="0001215E">
      <w:pPr>
        <w:numPr>
          <w:ilvl w:val="0"/>
          <w:numId w:val="59"/>
        </w:numPr>
        <w:tabs>
          <w:tab w:val="num" w:pos="851"/>
        </w:tabs>
        <w:spacing w:line="240" w:lineRule="auto"/>
        <w:ind w:left="851"/>
        <w:jc w:val="left"/>
        <w:rPr>
          <w:rFonts w:cs="Arial"/>
        </w:rPr>
      </w:pPr>
      <w:r w:rsidRPr="001E5A1E">
        <w:rPr>
          <w:rFonts w:cs="Arial"/>
        </w:rPr>
        <w:t>Physical health</w:t>
      </w:r>
    </w:p>
    <w:p w14:paraId="6C1177E1" w14:textId="5934F591" w:rsidR="0012763E" w:rsidRDefault="0012763E" w:rsidP="0001215E">
      <w:pPr>
        <w:numPr>
          <w:ilvl w:val="0"/>
          <w:numId w:val="59"/>
        </w:numPr>
        <w:tabs>
          <w:tab w:val="num" w:pos="851"/>
        </w:tabs>
        <w:spacing w:line="240" w:lineRule="auto"/>
        <w:ind w:left="851"/>
        <w:jc w:val="left"/>
        <w:rPr>
          <w:rFonts w:cs="Arial"/>
        </w:rPr>
      </w:pPr>
      <w:r w:rsidRPr="001E5A1E">
        <w:rPr>
          <w:rFonts w:cs="Arial"/>
        </w:rPr>
        <w:t>Child health and development</w:t>
      </w:r>
    </w:p>
    <w:p w14:paraId="62D2D3C7" w14:textId="07086F57" w:rsidR="00B43F0B" w:rsidRPr="001E5A1E" w:rsidRDefault="00B43F0B" w:rsidP="00B43F0B">
      <w:pPr>
        <w:pStyle w:val="Heading3"/>
      </w:pPr>
      <w:bookmarkStart w:id="1252" w:name="_Toc124762841"/>
      <w:bookmarkStart w:id="1253" w:name="_Toc406674895"/>
      <w:bookmarkStart w:id="1254" w:name="_Toc433032230"/>
      <w:bookmarkStart w:id="1255" w:name="_Toc498092029"/>
      <w:bookmarkStart w:id="1256" w:name="_Toc34753699"/>
      <w:r w:rsidRPr="001E5A1E">
        <w:t>Core dataset</w:t>
      </w:r>
      <w:bookmarkEnd w:id="1252"/>
    </w:p>
    <w:p w14:paraId="31FB1AD9" w14:textId="62D7FF8C" w:rsidR="00B43F0B" w:rsidRPr="001E5A1E" w:rsidRDefault="00B43F0B" w:rsidP="00B43F0B">
      <w:pPr>
        <w:rPr>
          <w:lang w:eastAsia="en-US"/>
        </w:rPr>
      </w:pPr>
      <w:r w:rsidRPr="001E5A1E">
        <w:rPr>
          <w:lang w:eastAsia="en-US"/>
        </w:rPr>
        <w:t xml:space="preserve">To facilitate streamlined access to ALSWH data, </w:t>
      </w:r>
      <w:proofErr w:type="spellStart"/>
      <w:r w:rsidRPr="001E5A1E">
        <w:rPr>
          <w:lang w:eastAsia="en-US"/>
        </w:rPr>
        <w:t>confidentialised</w:t>
      </w:r>
      <w:proofErr w:type="spellEnd"/>
      <w:r w:rsidRPr="001E5A1E">
        <w:rPr>
          <w:lang w:eastAsia="en-US"/>
        </w:rPr>
        <w:t xml:space="preserve"> subsets of the full datasets for each ALSWH cohort are available through the Australian Data Archive. These datasets are designed to be used:</w:t>
      </w:r>
    </w:p>
    <w:p w14:paraId="0941CD87" w14:textId="77777777" w:rsidR="00B43F0B" w:rsidRPr="001E5A1E" w:rsidRDefault="00B43F0B" w:rsidP="003D5E6A">
      <w:pPr>
        <w:numPr>
          <w:ilvl w:val="0"/>
          <w:numId w:val="73"/>
        </w:numPr>
        <w:rPr>
          <w:lang w:eastAsia="en-US"/>
        </w:rPr>
      </w:pPr>
      <w:r w:rsidRPr="001E5A1E">
        <w:rPr>
          <w:lang w:eastAsia="en-US"/>
        </w:rPr>
        <w:t>for simple, descriptive analyses</w:t>
      </w:r>
    </w:p>
    <w:p w14:paraId="3C766D97" w14:textId="77777777" w:rsidR="00B43F0B" w:rsidRPr="001E5A1E" w:rsidRDefault="00B43F0B" w:rsidP="003D5E6A">
      <w:pPr>
        <w:numPr>
          <w:ilvl w:val="0"/>
          <w:numId w:val="73"/>
        </w:numPr>
        <w:rPr>
          <w:lang w:eastAsia="en-US"/>
        </w:rPr>
      </w:pPr>
      <w:r w:rsidRPr="001E5A1E">
        <w:rPr>
          <w:lang w:eastAsia="en-US"/>
        </w:rPr>
        <w:t>for simple longitudinal investigations</w:t>
      </w:r>
    </w:p>
    <w:p w14:paraId="26570084" w14:textId="77777777" w:rsidR="00B43F0B" w:rsidRPr="001E5A1E" w:rsidRDefault="00B43F0B" w:rsidP="003D5E6A">
      <w:pPr>
        <w:numPr>
          <w:ilvl w:val="0"/>
          <w:numId w:val="73"/>
        </w:numPr>
        <w:rPr>
          <w:lang w:eastAsia="en-US"/>
        </w:rPr>
      </w:pPr>
      <w:r w:rsidRPr="001E5A1E">
        <w:rPr>
          <w:lang w:eastAsia="en-US"/>
        </w:rPr>
        <w:lastRenderedPageBreak/>
        <w:t>as a first step to using and becoming familiar with the full datasets</w:t>
      </w:r>
    </w:p>
    <w:p w14:paraId="72BB8671" w14:textId="3D857E47" w:rsidR="00B43F0B" w:rsidRPr="001E5A1E" w:rsidRDefault="00B43F0B" w:rsidP="003D5E6A">
      <w:pPr>
        <w:numPr>
          <w:ilvl w:val="0"/>
          <w:numId w:val="73"/>
        </w:numPr>
        <w:rPr>
          <w:lang w:eastAsia="en-US"/>
        </w:rPr>
      </w:pPr>
      <w:r w:rsidRPr="001E5A1E">
        <w:rPr>
          <w:lang w:eastAsia="en-US"/>
        </w:rPr>
        <w:t>to test the potential of research questions.</w:t>
      </w:r>
    </w:p>
    <w:p w14:paraId="0B4596AF" w14:textId="305BDE28" w:rsidR="00B43F0B" w:rsidRDefault="00B43F0B" w:rsidP="00B43F0B">
      <w:pPr>
        <w:rPr>
          <w:lang w:eastAsia="en-US"/>
        </w:rPr>
        <w:sectPr w:rsidR="00B43F0B" w:rsidSect="008E14A4">
          <w:pgSz w:w="11906" w:h="16838"/>
          <w:pgMar w:top="1440" w:right="1440" w:bottom="1440" w:left="1440" w:header="680" w:footer="708" w:gutter="0"/>
          <w:cols w:space="708"/>
          <w:formProt w:val="0"/>
          <w:docGrid w:linePitch="360"/>
        </w:sectPr>
      </w:pPr>
      <w:r w:rsidRPr="001E5A1E">
        <w:rPr>
          <w:lang w:eastAsia="en-US"/>
        </w:rPr>
        <w:t>The ‘core’ datasets include total scale scores, with a reduced number of single survey items; sensitive variables have been omitted; and in some cases, response categories have been collapsed</w:t>
      </w:r>
      <w:r w:rsidR="00CE5ABB" w:rsidRPr="001E5A1E">
        <w:rPr>
          <w:lang w:eastAsia="en-US"/>
        </w:rPr>
        <w:t>. Seven</w:t>
      </w:r>
      <w:r w:rsidR="008D3AE4" w:rsidRPr="001E5A1E">
        <w:rPr>
          <w:lang w:eastAsia="en-US"/>
        </w:rPr>
        <w:t xml:space="preserve"> </w:t>
      </w:r>
      <w:r w:rsidRPr="001E5A1E">
        <w:rPr>
          <w:lang w:eastAsia="en-US"/>
        </w:rPr>
        <w:t>applications to use the ‘core’ datasets have been approved in 202</w:t>
      </w:r>
      <w:r w:rsidR="0012763E" w:rsidRPr="001E5A1E">
        <w:rPr>
          <w:lang w:eastAsia="en-US"/>
        </w:rPr>
        <w:t>2</w:t>
      </w:r>
      <w:r w:rsidRPr="00CE5ABB">
        <w:rPr>
          <w:lang w:eastAsia="en-US"/>
        </w:rPr>
        <w:t xml:space="preserve"> (</w:t>
      </w:r>
      <w:r w:rsidR="00795031" w:rsidRPr="00CE5ABB">
        <w:rPr>
          <w:lang w:eastAsia="en-US"/>
        </w:rPr>
        <w:fldChar w:fldCharType="begin"/>
      </w:r>
      <w:r w:rsidR="00795031" w:rsidRPr="00CE5ABB">
        <w:rPr>
          <w:lang w:eastAsia="en-US"/>
        </w:rPr>
        <w:instrText xml:space="preserve"> REF _Ref81568815 \h </w:instrText>
      </w:r>
      <w:r w:rsidR="00CE5ABB">
        <w:rPr>
          <w:lang w:eastAsia="en-US"/>
        </w:rPr>
        <w:instrText xml:space="preserve"> \* MERGEFORMAT </w:instrText>
      </w:r>
      <w:r w:rsidR="00795031" w:rsidRPr="00CE5ABB">
        <w:rPr>
          <w:lang w:eastAsia="en-US"/>
        </w:rPr>
      </w:r>
      <w:r w:rsidR="00795031" w:rsidRPr="00CE5ABB">
        <w:rPr>
          <w:lang w:eastAsia="en-US"/>
        </w:rPr>
        <w:fldChar w:fldCharType="separate"/>
      </w:r>
      <w:r w:rsidR="007D19D7">
        <w:t xml:space="preserve">Table </w:t>
      </w:r>
      <w:r w:rsidR="007D19D7">
        <w:rPr>
          <w:noProof/>
        </w:rPr>
        <w:t>10</w:t>
      </w:r>
      <w:r w:rsidR="007D19D7">
        <w:rPr>
          <w:noProof/>
        </w:rPr>
        <w:noBreakHyphen/>
        <w:t>1</w:t>
      </w:r>
      <w:r w:rsidR="00795031" w:rsidRPr="00CE5ABB">
        <w:rPr>
          <w:lang w:eastAsia="en-US"/>
        </w:rPr>
        <w:fldChar w:fldCharType="end"/>
      </w:r>
      <w:r w:rsidRPr="00CE5ABB">
        <w:rPr>
          <w:lang w:eastAsia="en-US"/>
        </w:rPr>
        <w:t>).</w:t>
      </w:r>
      <w:r>
        <w:rPr>
          <w:lang w:eastAsia="en-US"/>
        </w:rPr>
        <w:t xml:space="preserve"> </w:t>
      </w:r>
    </w:p>
    <w:p w14:paraId="5219A67E" w14:textId="007521D6" w:rsidR="00B43F0B" w:rsidRDefault="00795031" w:rsidP="0000266C">
      <w:pPr>
        <w:pStyle w:val="Caption"/>
      </w:pPr>
      <w:bookmarkStart w:id="1257" w:name="_Ref81568815"/>
      <w:bookmarkStart w:id="1258" w:name="_Toc87869433"/>
      <w:r>
        <w:lastRenderedPageBreak/>
        <w:t xml:space="preserve">Table </w:t>
      </w:r>
      <w:fldSimple w:instr=" STYLEREF 1 \s ">
        <w:r w:rsidR="007D19D7">
          <w:rPr>
            <w:noProof/>
          </w:rPr>
          <w:t>10</w:t>
        </w:r>
      </w:fldSimple>
      <w:r w:rsidR="00327D59">
        <w:noBreakHyphen/>
      </w:r>
      <w:fldSimple w:instr=" SEQ Table \* ARABIC \s 1 ">
        <w:r w:rsidR="007D19D7">
          <w:rPr>
            <w:noProof/>
          </w:rPr>
          <w:t>1</w:t>
        </w:r>
      </w:fldSimple>
      <w:bookmarkEnd w:id="1257"/>
      <w:r>
        <w:t xml:space="preserve"> </w:t>
      </w:r>
      <w:r w:rsidR="00B43F0B">
        <w:t xml:space="preserve">Approved applications to use the ALSWH core datasets </w:t>
      </w:r>
      <w:r>
        <w:t xml:space="preserve">(accessed </w:t>
      </w:r>
      <w:r w:rsidR="00B43F0B">
        <w:t>through the Australian Data Archive</w:t>
      </w:r>
      <w:r>
        <w:t>)</w:t>
      </w:r>
      <w:bookmarkEnd w:id="1258"/>
      <w:r w:rsidR="00B43F0B">
        <w:t xml:space="preserve"> </w:t>
      </w:r>
    </w:p>
    <w:tbl>
      <w:tblPr>
        <w:tblStyle w:val="ListTable4-Accent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3373"/>
        <w:gridCol w:w="3827"/>
      </w:tblGrid>
      <w:tr w:rsidR="00B43F0B" w:rsidRPr="00670F37" w14:paraId="5723157D" w14:textId="774DF79C" w:rsidTr="001E5A1E">
        <w:trPr>
          <w:cnfStyle w:val="100000000000" w:firstRow="1" w:lastRow="0" w:firstColumn="0" w:lastColumn="0" w:oddVBand="0" w:evenVBand="0" w:oddHBand="0" w:evenHBand="0" w:firstRowFirstColumn="0" w:firstRowLastColumn="0" w:lastRowFirstColumn="0" w:lastRowLastColumn="0"/>
          <w:trHeight w:val="537"/>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CCC0D9" w:themeFill="accent4" w:themeFillTint="66"/>
            <w:noWrap/>
          </w:tcPr>
          <w:p w14:paraId="1480F53F" w14:textId="31D8F656" w:rsidR="00B43F0B" w:rsidRPr="00670F37" w:rsidRDefault="00B43F0B" w:rsidP="000651E9">
            <w:pPr>
              <w:rPr>
                <w:rFonts w:cs="Arial"/>
                <w:b w:val="0"/>
                <w:bCs w:val="0"/>
                <w:color w:val="auto"/>
                <w:sz w:val="20"/>
                <w:szCs w:val="20"/>
              </w:rPr>
            </w:pPr>
            <w:r w:rsidRPr="00670F37">
              <w:rPr>
                <w:rFonts w:cs="Arial"/>
                <w:color w:val="auto"/>
                <w:sz w:val="20"/>
                <w:szCs w:val="20"/>
              </w:rPr>
              <w:t>Project Title</w:t>
            </w:r>
          </w:p>
        </w:tc>
        <w:tc>
          <w:tcPr>
            <w:tcW w:w="3373" w:type="dxa"/>
            <w:shd w:val="clear" w:color="auto" w:fill="CCC0D9" w:themeFill="accent4" w:themeFillTint="66"/>
            <w:noWrap/>
          </w:tcPr>
          <w:p w14:paraId="324D3626" w14:textId="77777777" w:rsidR="00B43F0B" w:rsidRPr="00670F37" w:rsidRDefault="00B43F0B" w:rsidP="000651E9">
            <w:pP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670F37">
              <w:rPr>
                <w:rFonts w:cs="Arial"/>
                <w:color w:val="auto"/>
                <w:sz w:val="20"/>
                <w:szCs w:val="20"/>
              </w:rPr>
              <w:t>Project Leader</w:t>
            </w:r>
          </w:p>
        </w:tc>
        <w:tc>
          <w:tcPr>
            <w:tcW w:w="3827" w:type="dxa"/>
            <w:shd w:val="clear" w:color="auto" w:fill="CCC0D9" w:themeFill="accent4" w:themeFillTint="66"/>
          </w:tcPr>
          <w:p w14:paraId="05211BCE" w14:textId="15F64E8E" w:rsidR="00B43F0B" w:rsidRPr="00670F37" w:rsidRDefault="00B43F0B" w:rsidP="000651E9">
            <w:pP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670F37">
              <w:rPr>
                <w:rFonts w:cs="Arial"/>
                <w:color w:val="auto"/>
                <w:sz w:val="20"/>
                <w:szCs w:val="20"/>
              </w:rPr>
              <w:t>Institution/Organisation</w:t>
            </w:r>
          </w:p>
        </w:tc>
      </w:tr>
      <w:tr w:rsidR="00B47FEF" w:rsidRPr="00670F37" w14:paraId="0A033FE3" w14:textId="207A4A8E" w:rsidTr="001E5A1E">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225" w:type="dxa"/>
            <w:noWrap/>
          </w:tcPr>
          <w:p w14:paraId="71E86324" w14:textId="3DC0D825" w:rsidR="00B47FEF" w:rsidRPr="00CE5ABB" w:rsidRDefault="00B47FEF" w:rsidP="00B47FEF">
            <w:pPr>
              <w:rPr>
                <w:rFonts w:cs="Arial"/>
                <w:b w:val="0"/>
                <w:bCs w:val="0"/>
                <w:sz w:val="20"/>
                <w:szCs w:val="20"/>
              </w:rPr>
            </w:pPr>
            <w:r w:rsidRPr="001E5A1E">
              <w:rPr>
                <w:b w:val="0"/>
                <w:bCs w:val="0"/>
                <w:sz w:val="20"/>
                <w:szCs w:val="20"/>
              </w:rPr>
              <w:t>The role of stress in the relationship between premenstrual tension and postpartum depression</w:t>
            </w:r>
          </w:p>
        </w:tc>
        <w:tc>
          <w:tcPr>
            <w:tcW w:w="3373" w:type="dxa"/>
            <w:noWrap/>
          </w:tcPr>
          <w:p w14:paraId="7B3060EC" w14:textId="44B92364" w:rsidR="00B47FEF" w:rsidRPr="00CE5ABB" w:rsidRDefault="00B47FEF" w:rsidP="00B47FE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1E5A1E">
              <w:rPr>
                <w:sz w:val="20"/>
                <w:szCs w:val="20"/>
              </w:rPr>
              <w:t>Sophia Bracken</w:t>
            </w:r>
          </w:p>
        </w:tc>
        <w:tc>
          <w:tcPr>
            <w:tcW w:w="3827" w:type="dxa"/>
          </w:tcPr>
          <w:p w14:paraId="0E8AF99D" w14:textId="6EC15834" w:rsidR="00B47FEF" w:rsidRPr="00CE5ABB" w:rsidRDefault="00B47FEF" w:rsidP="00B47FE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1E5A1E">
              <w:rPr>
                <w:sz w:val="20"/>
                <w:szCs w:val="20"/>
              </w:rPr>
              <w:t>The University of Newcastle</w:t>
            </w:r>
          </w:p>
        </w:tc>
      </w:tr>
      <w:tr w:rsidR="00B47FEF" w:rsidRPr="00670F37" w14:paraId="21778074" w14:textId="0496AF37" w:rsidTr="001E5A1E">
        <w:trPr>
          <w:trHeight w:val="537"/>
        </w:trPr>
        <w:tc>
          <w:tcPr>
            <w:cnfStyle w:val="001000000000" w:firstRow="0" w:lastRow="0" w:firstColumn="1" w:lastColumn="0" w:oddVBand="0" w:evenVBand="0" w:oddHBand="0" w:evenHBand="0" w:firstRowFirstColumn="0" w:firstRowLastColumn="0" w:lastRowFirstColumn="0" w:lastRowLastColumn="0"/>
            <w:tcW w:w="7225" w:type="dxa"/>
            <w:shd w:val="clear" w:color="auto" w:fill="E5DFEC" w:themeFill="accent4" w:themeFillTint="33"/>
            <w:noWrap/>
          </w:tcPr>
          <w:p w14:paraId="39B6AE93" w14:textId="5049F822" w:rsidR="00B47FEF" w:rsidRPr="00CE5ABB" w:rsidRDefault="00B47FEF" w:rsidP="00B47FEF">
            <w:pPr>
              <w:rPr>
                <w:rFonts w:cs="Arial"/>
                <w:b w:val="0"/>
                <w:bCs w:val="0"/>
                <w:sz w:val="20"/>
                <w:szCs w:val="20"/>
              </w:rPr>
            </w:pPr>
            <w:r w:rsidRPr="001E5A1E">
              <w:rPr>
                <w:b w:val="0"/>
                <w:bCs w:val="0"/>
                <w:sz w:val="20"/>
                <w:szCs w:val="20"/>
              </w:rPr>
              <w:t xml:space="preserve">The economic cost of violence, abuse, </w:t>
            </w:r>
            <w:proofErr w:type="gramStart"/>
            <w:r w:rsidRPr="001E5A1E">
              <w:rPr>
                <w:b w:val="0"/>
                <w:bCs w:val="0"/>
                <w:sz w:val="20"/>
                <w:szCs w:val="20"/>
              </w:rPr>
              <w:t>neglect</w:t>
            </w:r>
            <w:proofErr w:type="gramEnd"/>
            <w:r w:rsidRPr="001E5A1E">
              <w:rPr>
                <w:b w:val="0"/>
                <w:bCs w:val="0"/>
                <w:sz w:val="20"/>
                <w:szCs w:val="20"/>
              </w:rPr>
              <w:t xml:space="preserve"> and exploitation for people with disability</w:t>
            </w:r>
          </w:p>
        </w:tc>
        <w:tc>
          <w:tcPr>
            <w:tcW w:w="3373" w:type="dxa"/>
            <w:shd w:val="clear" w:color="auto" w:fill="E5DFEC" w:themeFill="accent4" w:themeFillTint="33"/>
            <w:noWrap/>
          </w:tcPr>
          <w:p w14:paraId="3053FF57" w14:textId="0D8F9D21" w:rsidR="00B47FEF" w:rsidRPr="00CE5ABB" w:rsidRDefault="00B47FEF" w:rsidP="00B47FE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A1E">
              <w:rPr>
                <w:sz w:val="20"/>
                <w:szCs w:val="20"/>
              </w:rPr>
              <w:t>Dennis McCarthy</w:t>
            </w:r>
          </w:p>
        </w:tc>
        <w:tc>
          <w:tcPr>
            <w:tcW w:w="3827" w:type="dxa"/>
            <w:shd w:val="clear" w:color="auto" w:fill="E5DFEC" w:themeFill="accent4" w:themeFillTint="33"/>
          </w:tcPr>
          <w:p w14:paraId="23CC86C8" w14:textId="0A61C8A4" w:rsidR="00B47FEF" w:rsidRPr="00CE5ABB" w:rsidRDefault="00B47FEF" w:rsidP="001E5A1E">
            <w:pPr>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1E5A1E">
              <w:rPr>
                <w:sz w:val="20"/>
                <w:szCs w:val="20"/>
              </w:rPr>
              <w:t>The Centre for International Economics</w:t>
            </w:r>
          </w:p>
        </w:tc>
      </w:tr>
      <w:tr w:rsidR="00B47FEF" w:rsidRPr="00670F37" w14:paraId="7EA8DB9A" w14:textId="785B6A2A" w:rsidTr="001E5A1E">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225" w:type="dxa"/>
            <w:noWrap/>
          </w:tcPr>
          <w:p w14:paraId="00879F70" w14:textId="40C11F78" w:rsidR="00B47FEF" w:rsidRPr="00CE5ABB" w:rsidRDefault="00B47FEF" w:rsidP="00B47FEF">
            <w:pPr>
              <w:rPr>
                <w:rFonts w:cs="Arial"/>
                <w:b w:val="0"/>
                <w:bCs w:val="0"/>
                <w:sz w:val="20"/>
                <w:szCs w:val="20"/>
              </w:rPr>
            </w:pPr>
            <w:r w:rsidRPr="001E5A1E">
              <w:rPr>
                <w:b w:val="0"/>
                <w:bCs w:val="0"/>
                <w:sz w:val="20"/>
                <w:szCs w:val="20"/>
              </w:rPr>
              <w:t>The harms and benefits of sun exposure: striking the right balance</w:t>
            </w:r>
          </w:p>
        </w:tc>
        <w:tc>
          <w:tcPr>
            <w:tcW w:w="3373" w:type="dxa"/>
            <w:noWrap/>
          </w:tcPr>
          <w:p w14:paraId="6DFC2F20" w14:textId="598BC0BF" w:rsidR="00B47FEF" w:rsidRPr="00CE5ABB" w:rsidRDefault="00B47FEF" w:rsidP="00B47FE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1E5A1E">
              <w:rPr>
                <w:sz w:val="20"/>
                <w:szCs w:val="20"/>
              </w:rPr>
              <w:t xml:space="preserve">Namal </w:t>
            </w:r>
            <w:proofErr w:type="spellStart"/>
            <w:r w:rsidRPr="001E5A1E">
              <w:rPr>
                <w:sz w:val="20"/>
                <w:szCs w:val="20"/>
              </w:rPr>
              <w:t>Nishantha</w:t>
            </w:r>
            <w:proofErr w:type="spellEnd"/>
            <w:r w:rsidRPr="001E5A1E">
              <w:rPr>
                <w:sz w:val="20"/>
                <w:szCs w:val="20"/>
              </w:rPr>
              <w:t xml:space="preserve"> Balasooriya Mudiyanselage</w:t>
            </w:r>
          </w:p>
        </w:tc>
        <w:tc>
          <w:tcPr>
            <w:tcW w:w="3827" w:type="dxa"/>
          </w:tcPr>
          <w:p w14:paraId="6604C058" w14:textId="645AF7E5" w:rsidR="00B47FEF" w:rsidRPr="00CE5ABB" w:rsidRDefault="00B47FEF" w:rsidP="00B47FE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1E5A1E">
              <w:rPr>
                <w:sz w:val="20"/>
                <w:szCs w:val="20"/>
              </w:rPr>
              <w:t>The University of Queensland</w:t>
            </w:r>
          </w:p>
        </w:tc>
      </w:tr>
      <w:tr w:rsidR="00B47FEF" w:rsidRPr="00670F37" w14:paraId="1ED8500F" w14:textId="5F53F02B" w:rsidTr="001E5A1E">
        <w:trPr>
          <w:trHeight w:val="537"/>
        </w:trPr>
        <w:tc>
          <w:tcPr>
            <w:cnfStyle w:val="001000000000" w:firstRow="0" w:lastRow="0" w:firstColumn="1" w:lastColumn="0" w:oddVBand="0" w:evenVBand="0" w:oddHBand="0" w:evenHBand="0" w:firstRowFirstColumn="0" w:firstRowLastColumn="0" w:lastRowFirstColumn="0" w:lastRowLastColumn="0"/>
            <w:tcW w:w="7225" w:type="dxa"/>
            <w:shd w:val="clear" w:color="auto" w:fill="E5DFEC" w:themeFill="accent4" w:themeFillTint="33"/>
            <w:noWrap/>
          </w:tcPr>
          <w:p w14:paraId="2EFDADCA" w14:textId="4BE126BE" w:rsidR="00B47FEF" w:rsidRPr="00CE5ABB" w:rsidRDefault="00B47FEF" w:rsidP="00B47FEF">
            <w:pPr>
              <w:rPr>
                <w:rFonts w:cs="Arial"/>
                <w:b w:val="0"/>
                <w:bCs w:val="0"/>
                <w:sz w:val="20"/>
                <w:szCs w:val="20"/>
              </w:rPr>
            </w:pPr>
            <w:r w:rsidRPr="001E5A1E">
              <w:rPr>
                <w:b w:val="0"/>
                <w:bCs w:val="0"/>
                <w:sz w:val="20"/>
                <w:szCs w:val="20"/>
              </w:rPr>
              <w:t>The influencing factors of premenstrual tension and its influence on other mental disorders</w:t>
            </w:r>
          </w:p>
        </w:tc>
        <w:tc>
          <w:tcPr>
            <w:tcW w:w="3373" w:type="dxa"/>
            <w:shd w:val="clear" w:color="auto" w:fill="E5DFEC" w:themeFill="accent4" w:themeFillTint="33"/>
            <w:noWrap/>
          </w:tcPr>
          <w:p w14:paraId="5500E830" w14:textId="616E3D58" w:rsidR="00B47FEF" w:rsidRPr="00CE5ABB" w:rsidRDefault="00B47FEF" w:rsidP="00B47FE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A1E">
              <w:rPr>
                <w:sz w:val="20"/>
                <w:szCs w:val="20"/>
              </w:rPr>
              <w:t>Lulu Hou</w:t>
            </w:r>
          </w:p>
        </w:tc>
        <w:tc>
          <w:tcPr>
            <w:tcW w:w="3827" w:type="dxa"/>
            <w:shd w:val="clear" w:color="auto" w:fill="E5DFEC" w:themeFill="accent4" w:themeFillTint="33"/>
          </w:tcPr>
          <w:p w14:paraId="323199A8" w14:textId="10E4EE80" w:rsidR="00B47FEF" w:rsidRPr="00CE5ABB" w:rsidRDefault="00B47FEF" w:rsidP="00B47FE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A1E">
              <w:rPr>
                <w:sz w:val="20"/>
                <w:szCs w:val="20"/>
              </w:rPr>
              <w:t>Shanghai Normal University</w:t>
            </w:r>
          </w:p>
        </w:tc>
      </w:tr>
      <w:tr w:rsidR="00B47FEF" w:rsidRPr="00670F37" w14:paraId="5B29DB6B" w14:textId="33E09B6C" w:rsidTr="001E5A1E">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225" w:type="dxa"/>
            <w:noWrap/>
          </w:tcPr>
          <w:p w14:paraId="6B840206" w14:textId="323A0414" w:rsidR="00B47FEF" w:rsidRPr="00CE5ABB" w:rsidRDefault="00B47FEF" w:rsidP="00B47FEF">
            <w:pPr>
              <w:rPr>
                <w:rFonts w:cs="Arial"/>
                <w:b w:val="0"/>
                <w:bCs w:val="0"/>
                <w:sz w:val="20"/>
                <w:szCs w:val="20"/>
              </w:rPr>
            </w:pPr>
            <w:r w:rsidRPr="001E5A1E">
              <w:rPr>
                <w:b w:val="0"/>
                <w:bCs w:val="0"/>
                <w:sz w:val="20"/>
                <w:szCs w:val="20"/>
              </w:rPr>
              <w:t xml:space="preserve">Pregnancy intentions and subsequent fertility and contraceptive </w:t>
            </w:r>
            <w:proofErr w:type="spellStart"/>
            <w:r w:rsidRPr="001E5A1E">
              <w:rPr>
                <w:b w:val="0"/>
                <w:bCs w:val="0"/>
                <w:sz w:val="20"/>
                <w:szCs w:val="20"/>
              </w:rPr>
              <w:t>behaviors</w:t>
            </w:r>
            <w:proofErr w:type="spellEnd"/>
            <w:r w:rsidRPr="001E5A1E">
              <w:rPr>
                <w:b w:val="0"/>
                <w:bCs w:val="0"/>
                <w:sz w:val="20"/>
                <w:szCs w:val="20"/>
              </w:rPr>
              <w:t xml:space="preserve"> among </w:t>
            </w:r>
            <w:proofErr w:type="spellStart"/>
            <w:r w:rsidRPr="001E5A1E">
              <w:rPr>
                <w:b w:val="0"/>
                <w:bCs w:val="0"/>
                <w:sz w:val="20"/>
                <w:szCs w:val="20"/>
              </w:rPr>
              <w:t>australian</w:t>
            </w:r>
            <w:proofErr w:type="spellEnd"/>
            <w:r w:rsidRPr="001E5A1E">
              <w:rPr>
                <w:b w:val="0"/>
                <w:bCs w:val="0"/>
                <w:sz w:val="20"/>
                <w:szCs w:val="20"/>
              </w:rPr>
              <w:t xml:space="preserve"> women</w:t>
            </w:r>
          </w:p>
        </w:tc>
        <w:tc>
          <w:tcPr>
            <w:tcW w:w="3373" w:type="dxa"/>
            <w:noWrap/>
          </w:tcPr>
          <w:p w14:paraId="424E9152" w14:textId="5D3450A1" w:rsidR="00B47FEF" w:rsidRPr="00CE5ABB" w:rsidRDefault="00B47FEF" w:rsidP="00B47FEF">
            <w:pP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1E5A1E">
              <w:rPr>
                <w:sz w:val="20"/>
                <w:szCs w:val="20"/>
              </w:rPr>
              <w:t>Otobo</w:t>
            </w:r>
            <w:proofErr w:type="spellEnd"/>
            <w:r w:rsidRPr="001E5A1E">
              <w:rPr>
                <w:sz w:val="20"/>
                <w:szCs w:val="20"/>
              </w:rPr>
              <w:t xml:space="preserve"> </w:t>
            </w:r>
            <w:proofErr w:type="spellStart"/>
            <w:r w:rsidRPr="001E5A1E">
              <w:rPr>
                <w:sz w:val="20"/>
                <w:szCs w:val="20"/>
              </w:rPr>
              <w:t>Ujah</w:t>
            </w:r>
            <w:proofErr w:type="spellEnd"/>
          </w:p>
        </w:tc>
        <w:tc>
          <w:tcPr>
            <w:tcW w:w="3827" w:type="dxa"/>
          </w:tcPr>
          <w:p w14:paraId="4AB74C76" w14:textId="399E63F7" w:rsidR="00B47FEF" w:rsidRPr="00CE5ABB" w:rsidRDefault="00B47FEF" w:rsidP="00B47FE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1E5A1E">
              <w:rPr>
                <w:sz w:val="20"/>
                <w:szCs w:val="20"/>
              </w:rPr>
              <w:t>University of South Florida</w:t>
            </w:r>
          </w:p>
        </w:tc>
      </w:tr>
      <w:tr w:rsidR="00B47FEF" w:rsidRPr="00670F37" w14:paraId="249C3405" w14:textId="74FD169E" w:rsidTr="001E5A1E">
        <w:trPr>
          <w:trHeight w:val="537"/>
        </w:trPr>
        <w:tc>
          <w:tcPr>
            <w:cnfStyle w:val="001000000000" w:firstRow="0" w:lastRow="0" w:firstColumn="1" w:lastColumn="0" w:oddVBand="0" w:evenVBand="0" w:oddHBand="0" w:evenHBand="0" w:firstRowFirstColumn="0" w:firstRowLastColumn="0" w:lastRowFirstColumn="0" w:lastRowLastColumn="0"/>
            <w:tcW w:w="7225" w:type="dxa"/>
            <w:shd w:val="clear" w:color="auto" w:fill="E5DFEC" w:themeFill="accent4" w:themeFillTint="33"/>
            <w:noWrap/>
          </w:tcPr>
          <w:p w14:paraId="6FD36F89" w14:textId="44F4B025" w:rsidR="00B47FEF" w:rsidRPr="00CE5ABB" w:rsidRDefault="00B47FEF" w:rsidP="00B47FEF">
            <w:pPr>
              <w:rPr>
                <w:rFonts w:cs="Arial"/>
                <w:b w:val="0"/>
                <w:bCs w:val="0"/>
                <w:sz w:val="20"/>
                <w:szCs w:val="20"/>
              </w:rPr>
            </w:pPr>
            <w:r w:rsidRPr="001E5A1E">
              <w:rPr>
                <w:b w:val="0"/>
                <w:bCs w:val="0"/>
                <w:sz w:val="20"/>
                <w:szCs w:val="20"/>
              </w:rPr>
              <w:t>Partnering patterns associated with polycystic ovary syndrome (PCOS) in Australian women</w:t>
            </w:r>
          </w:p>
        </w:tc>
        <w:tc>
          <w:tcPr>
            <w:tcW w:w="3373" w:type="dxa"/>
            <w:shd w:val="clear" w:color="auto" w:fill="E5DFEC" w:themeFill="accent4" w:themeFillTint="33"/>
            <w:noWrap/>
          </w:tcPr>
          <w:p w14:paraId="1D6AC88B" w14:textId="3B060D66" w:rsidR="00B47FEF" w:rsidRPr="00CE5ABB" w:rsidRDefault="00B47FEF" w:rsidP="00B47FEF">
            <w:pPr>
              <w:cnfStyle w:val="000000000000" w:firstRow="0" w:lastRow="0" w:firstColumn="0" w:lastColumn="0" w:oddVBand="0" w:evenVBand="0" w:oddHBand="0" w:evenHBand="0" w:firstRowFirstColumn="0" w:firstRowLastColumn="0" w:lastRowFirstColumn="0" w:lastRowLastColumn="0"/>
              <w:rPr>
                <w:rFonts w:cs="Arial"/>
                <w:bCs/>
                <w:sz w:val="20"/>
                <w:szCs w:val="20"/>
              </w:rPr>
            </w:pPr>
            <w:proofErr w:type="spellStart"/>
            <w:r w:rsidRPr="001E5A1E">
              <w:rPr>
                <w:sz w:val="20"/>
                <w:szCs w:val="20"/>
              </w:rPr>
              <w:t>Yoobin</w:t>
            </w:r>
            <w:proofErr w:type="spellEnd"/>
            <w:r w:rsidRPr="001E5A1E">
              <w:rPr>
                <w:sz w:val="20"/>
                <w:szCs w:val="20"/>
              </w:rPr>
              <w:t xml:space="preserve"> Park</w:t>
            </w:r>
          </w:p>
        </w:tc>
        <w:tc>
          <w:tcPr>
            <w:tcW w:w="3827" w:type="dxa"/>
            <w:shd w:val="clear" w:color="auto" w:fill="E5DFEC" w:themeFill="accent4" w:themeFillTint="33"/>
          </w:tcPr>
          <w:p w14:paraId="2C599DBE" w14:textId="0C6DCECE" w:rsidR="00B47FEF" w:rsidRPr="00CE5ABB" w:rsidRDefault="00B47FEF" w:rsidP="00B47FEF">
            <w:pP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1E5A1E">
              <w:rPr>
                <w:sz w:val="20"/>
                <w:szCs w:val="20"/>
              </w:rPr>
              <w:t>University of Toronto</w:t>
            </w:r>
          </w:p>
        </w:tc>
      </w:tr>
      <w:tr w:rsidR="00B47FEF" w:rsidRPr="00CE5ABB" w14:paraId="7B089E69" w14:textId="05053CB2" w:rsidTr="001E5A1E">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225" w:type="dxa"/>
            <w:noWrap/>
          </w:tcPr>
          <w:p w14:paraId="17846E26" w14:textId="1BADA462" w:rsidR="00B47FEF" w:rsidRPr="00CE5ABB" w:rsidRDefault="00B47FEF" w:rsidP="00B47FEF">
            <w:pPr>
              <w:rPr>
                <w:rFonts w:cs="Arial"/>
                <w:b w:val="0"/>
                <w:bCs w:val="0"/>
                <w:sz w:val="20"/>
                <w:szCs w:val="20"/>
              </w:rPr>
            </w:pPr>
            <w:r w:rsidRPr="001E5A1E">
              <w:rPr>
                <w:b w:val="0"/>
                <w:bCs w:val="0"/>
                <w:sz w:val="20"/>
                <w:szCs w:val="20"/>
              </w:rPr>
              <w:t>Adverse childhood experiences and the risk of pregnancy complications and adverse pregnancy outcomes</w:t>
            </w:r>
          </w:p>
        </w:tc>
        <w:tc>
          <w:tcPr>
            <w:tcW w:w="3373" w:type="dxa"/>
            <w:noWrap/>
          </w:tcPr>
          <w:p w14:paraId="4E826279" w14:textId="723CE4E2" w:rsidR="00B47FEF" w:rsidRPr="00CE5ABB" w:rsidRDefault="00B47FEF" w:rsidP="00B47FEF">
            <w:pPr>
              <w:cnfStyle w:val="000000100000" w:firstRow="0" w:lastRow="0" w:firstColumn="0" w:lastColumn="0" w:oddVBand="0" w:evenVBand="0" w:oddHBand="1" w:evenHBand="0" w:firstRowFirstColumn="0" w:firstRowLastColumn="0" w:lastRowFirstColumn="0" w:lastRowLastColumn="0"/>
              <w:rPr>
                <w:rFonts w:cs="Arial"/>
                <w:bCs/>
                <w:sz w:val="20"/>
                <w:szCs w:val="20"/>
              </w:rPr>
            </w:pPr>
            <w:proofErr w:type="spellStart"/>
            <w:r w:rsidRPr="001E5A1E">
              <w:rPr>
                <w:sz w:val="20"/>
                <w:szCs w:val="20"/>
              </w:rPr>
              <w:t>Tuhin</w:t>
            </w:r>
            <w:proofErr w:type="spellEnd"/>
            <w:r w:rsidRPr="001E5A1E">
              <w:rPr>
                <w:sz w:val="20"/>
                <w:szCs w:val="20"/>
              </w:rPr>
              <w:t xml:space="preserve"> Biswas</w:t>
            </w:r>
          </w:p>
        </w:tc>
        <w:tc>
          <w:tcPr>
            <w:tcW w:w="3827" w:type="dxa"/>
          </w:tcPr>
          <w:p w14:paraId="34F634C2" w14:textId="4B872949" w:rsidR="00B47FEF" w:rsidRPr="00CE5ABB" w:rsidRDefault="00CE5ABB" w:rsidP="00B47FEF">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CE5ABB">
              <w:rPr>
                <w:rFonts w:cs="Arial"/>
                <w:bCs/>
                <w:sz w:val="20"/>
                <w:szCs w:val="20"/>
              </w:rPr>
              <w:t>The University of Queensland</w:t>
            </w:r>
          </w:p>
        </w:tc>
      </w:tr>
    </w:tbl>
    <w:p w14:paraId="131712EB" w14:textId="77777777" w:rsidR="00B43F0B" w:rsidRDefault="00B43F0B" w:rsidP="00B43F0B">
      <w:pPr>
        <w:rPr>
          <w:lang w:eastAsia="en-US"/>
        </w:rPr>
      </w:pPr>
    </w:p>
    <w:p w14:paraId="716EB8D0" w14:textId="3FB4F0E2" w:rsidR="00B43F0B" w:rsidRDefault="00B43F0B" w:rsidP="00B43F0B"/>
    <w:p w14:paraId="630C6008" w14:textId="77777777" w:rsidR="00B43F0B" w:rsidRDefault="00B43F0B" w:rsidP="00B43F0B">
      <w:pPr>
        <w:sectPr w:rsidR="00B43F0B" w:rsidSect="00D7001C">
          <w:pgSz w:w="16838" w:h="11906" w:orient="landscape"/>
          <w:pgMar w:top="1440" w:right="1440" w:bottom="1440" w:left="1440" w:header="680" w:footer="708" w:gutter="0"/>
          <w:cols w:space="708"/>
          <w:formProt w:val="0"/>
          <w:docGrid w:linePitch="360"/>
        </w:sectPr>
      </w:pPr>
    </w:p>
    <w:p w14:paraId="0861BBC2" w14:textId="0102C882" w:rsidR="00E37288" w:rsidRPr="003762B2" w:rsidRDefault="00E37288" w:rsidP="003B697B">
      <w:pPr>
        <w:pStyle w:val="Heading3"/>
      </w:pPr>
      <w:bookmarkStart w:id="1259" w:name="_Toc81569006"/>
      <w:bookmarkStart w:id="1260" w:name="_Toc81569007"/>
      <w:bookmarkStart w:id="1261" w:name="_Toc81569008"/>
      <w:bookmarkStart w:id="1262" w:name="_Toc81569009"/>
      <w:bookmarkStart w:id="1263" w:name="_Toc81569010"/>
      <w:bookmarkStart w:id="1264" w:name="_Toc124762842"/>
      <w:bookmarkEnd w:id="1259"/>
      <w:bookmarkEnd w:id="1260"/>
      <w:bookmarkEnd w:id="1261"/>
      <w:bookmarkEnd w:id="1262"/>
      <w:bookmarkEnd w:id="1263"/>
      <w:proofErr w:type="spellStart"/>
      <w:r w:rsidRPr="003762B2">
        <w:lastRenderedPageBreak/>
        <w:t>Substudies</w:t>
      </w:r>
      <w:bookmarkEnd w:id="1253"/>
      <w:bookmarkEnd w:id="1254"/>
      <w:bookmarkEnd w:id="1255"/>
      <w:bookmarkEnd w:id="1256"/>
      <w:bookmarkEnd w:id="1264"/>
      <w:proofErr w:type="spellEnd"/>
    </w:p>
    <w:p w14:paraId="3089ACD5" w14:textId="4C961B7B" w:rsidR="007D405D" w:rsidRPr="003762B2" w:rsidRDefault="00D20A17" w:rsidP="00555E24">
      <w:r w:rsidRPr="003762B2">
        <w:t xml:space="preserve">During </w:t>
      </w:r>
      <w:r w:rsidR="00593118" w:rsidRPr="003762B2">
        <w:t>20</w:t>
      </w:r>
      <w:r w:rsidR="0012763E">
        <w:t>2</w:t>
      </w:r>
      <w:r w:rsidR="004B6E76">
        <w:t>2</w:t>
      </w:r>
      <w:r w:rsidRPr="003762B2">
        <w:t xml:space="preserve">, </w:t>
      </w:r>
      <w:r w:rsidR="00683594" w:rsidRPr="003762B2">
        <w:t xml:space="preserve">data collection </w:t>
      </w:r>
      <w:r w:rsidR="00593118" w:rsidRPr="003762B2">
        <w:t xml:space="preserve">(to date) </w:t>
      </w:r>
      <w:r w:rsidRPr="003762B2">
        <w:t xml:space="preserve">has </w:t>
      </w:r>
      <w:r w:rsidR="007D405D" w:rsidRPr="003762B2">
        <w:t xml:space="preserve">been conducted </w:t>
      </w:r>
      <w:r w:rsidR="00683594" w:rsidRPr="003762B2">
        <w:t>for</w:t>
      </w:r>
      <w:r w:rsidR="007D405D" w:rsidRPr="003762B2">
        <w:t xml:space="preserve">: </w:t>
      </w:r>
    </w:p>
    <w:p w14:paraId="0D59564D" w14:textId="23EC3826" w:rsidR="00683594" w:rsidRPr="003762B2" w:rsidRDefault="00CE5ABB" w:rsidP="0001215E">
      <w:pPr>
        <w:pStyle w:val="ListParagraph"/>
        <w:numPr>
          <w:ilvl w:val="0"/>
          <w:numId w:val="60"/>
        </w:numPr>
        <w:spacing w:before="0" w:after="40"/>
      </w:pPr>
      <w:r w:rsidRPr="001E5A1E">
        <w:rPr>
          <w:b/>
          <w:bCs/>
        </w:rPr>
        <w:t>Genetic variants, Early Life exposures, and Longitudinal Endometriosis symptoms Study (GELLES</w:t>
      </w:r>
      <w:r>
        <w:t>) (</w:t>
      </w:r>
      <w:proofErr w:type="spellStart"/>
      <w:r>
        <w:t>EoI</w:t>
      </w:r>
      <w:proofErr w:type="spellEnd"/>
      <w:r>
        <w:t xml:space="preserve"> W10</w:t>
      </w:r>
      <w:r w:rsidR="002215E8">
        <w:t xml:space="preserve">5) which is investigating endometriosis </w:t>
      </w:r>
    </w:p>
    <w:p w14:paraId="4C99D191" w14:textId="02EB8462" w:rsidR="00683594" w:rsidRPr="003762B2" w:rsidRDefault="00683594" w:rsidP="00555E24">
      <w:r w:rsidRPr="003762B2">
        <w:t>H</w:t>
      </w:r>
      <w:r w:rsidR="009C05ED">
        <w:t>REC</w:t>
      </w:r>
      <w:r w:rsidR="008D3AE4">
        <w:t>s</w:t>
      </w:r>
      <w:r w:rsidRPr="003762B2">
        <w:t xml:space="preserve"> at the University of Newcastle and the University of Queensland have oversight of all ALSWH </w:t>
      </w:r>
      <w:proofErr w:type="spellStart"/>
      <w:r w:rsidRPr="003762B2">
        <w:t>substudies</w:t>
      </w:r>
      <w:proofErr w:type="spellEnd"/>
      <w:r w:rsidR="001C727C" w:rsidRPr="003762B2">
        <w:t xml:space="preserve">, and those </w:t>
      </w:r>
      <w:r w:rsidR="00CF43E9" w:rsidRPr="003762B2">
        <w:t xml:space="preserve">involving additional institutions/facilities (e.g., hospital clinics) </w:t>
      </w:r>
      <w:r w:rsidR="001C727C" w:rsidRPr="003762B2">
        <w:t xml:space="preserve">may </w:t>
      </w:r>
      <w:r w:rsidR="00CF43E9" w:rsidRPr="003762B2">
        <w:t xml:space="preserve">also require ethical oversight from relevant associated HRECs. The </w:t>
      </w:r>
      <w:r w:rsidR="0012763E">
        <w:t>GELLES</w:t>
      </w:r>
      <w:r w:rsidR="00CF43E9" w:rsidRPr="003762B2">
        <w:t xml:space="preserve"> study involves collection of </w:t>
      </w:r>
      <w:proofErr w:type="spellStart"/>
      <w:r w:rsidR="00CF43E9" w:rsidRPr="003762B2">
        <w:t>biosamples</w:t>
      </w:r>
      <w:proofErr w:type="spellEnd"/>
      <w:r w:rsidR="00CF43E9" w:rsidRPr="003762B2">
        <w:t xml:space="preserve">, </w:t>
      </w:r>
      <w:r w:rsidR="00CE5ABB">
        <w:t>collected by post.</w:t>
      </w:r>
      <w:r w:rsidR="001C727C" w:rsidRPr="003762B2">
        <w:t xml:space="preserve">    </w:t>
      </w:r>
    </w:p>
    <w:p w14:paraId="6B8F5B85" w14:textId="52BD6C5B" w:rsidR="00E37288" w:rsidRPr="00382EAE" w:rsidRDefault="00885242" w:rsidP="00555E24">
      <w:r w:rsidRPr="00382EAE">
        <w:t>R</w:t>
      </w:r>
      <w:r w:rsidR="00683594" w:rsidRPr="00382EAE">
        <w:t xml:space="preserve">eports on </w:t>
      </w:r>
      <w:r w:rsidR="00593118" w:rsidRPr="00382EAE">
        <w:t xml:space="preserve">all </w:t>
      </w:r>
      <w:proofErr w:type="spellStart"/>
      <w:r w:rsidR="00593118" w:rsidRPr="00382EAE">
        <w:t>substudies</w:t>
      </w:r>
      <w:proofErr w:type="spellEnd"/>
      <w:r w:rsidR="00593118" w:rsidRPr="00382EAE">
        <w:t xml:space="preserve"> currently collecting data, as well </w:t>
      </w:r>
      <w:r w:rsidR="00683594" w:rsidRPr="00382EAE">
        <w:t>as research being conducted using data from</w:t>
      </w:r>
      <w:r w:rsidR="000722BB" w:rsidRPr="00382EAE">
        <w:t xml:space="preserve"> </w:t>
      </w:r>
      <w:r w:rsidR="00683594" w:rsidRPr="00382EAE">
        <w:t xml:space="preserve">other </w:t>
      </w:r>
      <w:proofErr w:type="spellStart"/>
      <w:r w:rsidR="00683594" w:rsidRPr="00382EAE">
        <w:t>substudies</w:t>
      </w:r>
      <w:proofErr w:type="spellEnd"/>
      <w:r w:rsidR="001C727C" w:rsidRPr="00382EAE">
        <w:t>,</w:t>
      </w:r>
      <w:r w:rsidR="00683594" w:rsidRPr="00382EAE">
        <w:t xml:space="preserve"> are included in Appendix B</w:t>
      </w:r>
      <w:r w:rsidR="00347EAA" w:rsidRPr="00382EAE">
        <w:t>.</w:t>
      </w:r>
    </w:p>
    <w:p w14:paraId="75B6EE61" w14:textId="258D9015" w:rsidR="00E37288" w:rsidRPr="003762B2" w:rsidRDefault="00E37288" w:rsidP="003B697B">
      <w:pPr>
        <w:pStyle w:val="Heading3"/>
      </w:pPr>
      <w:bookmarkStart w:id="1265" w:name="_Toc406674896"/>
      <w:bookmarkStart w:id="1266" w:name="_Toc433032231"/>
      <w:bookmarkStart w:id="1267" w:name="_Toc498092030"/>
      <w:bookmarkStart w:id="1268" w:name="_Toc34753700"/>
      <w:bookmarkStart w:id="1269" w:name="_Toc124762843"/>
      <w:r w:rsidRPr="003762B2">
        <w:t>Student projects</w:t>
      </w:r>
      <w:bookmarkEnd w:id="1265"/>
      <w:bookmarkEnd w:id="1266"/>
      <w:bookmarkEnd w:id="1267"/>
      <w:bookmarkEnd w:id="1268"/>
      <w:bookmarkEnd w:id="1269"/>
    </w:p>
    <w:p w14:paraId="5815C7E5" w14:textId="4A9D9EFB" w:rsidR="004610DA" w:rsidRPr="004610DA" w:rsidRDefault="00D90BFF" w:rsidP="00555E24">
      <w:r>
        <w:t xml:space="preserve">76 </w:t>
      </w:r>
      <w:r w:rsidR="00E37288" w:rsidRPr="003762B2">
        <w:t>postgraduate students are currently working on aspects of the</w:t>
      </w:r>
      <w:r>
        <w:t>ir</w:t>
      </w:r>
      <w:r w:rsidR="00E37288" w:rsidRPr="003762B2">
        <w:t xml:space="preserve"> project</w:t>
      </w:r>
      <w:r>
        <w:t>s</w:t>
      </w:r>
      <w:r w:rsidR="00E37288" w:rsidRPr="003762B2">
        <w:t xml:space="preserve">, investigating a wide range of topics, including mental health, arthritis, cancer, nutrition, pregnancy, menopause, and ageing. Detailed reports on student projects are available in Appendix </w:t>
      </w:r>
      <w:r w:rsidR="00822838" w:rsidRPr="003762B2">
        <w:t>C</w:t>
      </w:r>
      <w:r w:rsidR="00E37288" w:rsidRPr="00382EAE">
        <w:t>.</w:t>
      </w:r>
      <w:r w:rsidR="004610DA" w:rsidRPr="004610DA">
        <w:br w:type="page"/>
      </w:r>
    </w:p>
    <w:p w14:paraId="6ADA6272" w14:textId="279F5D30" w:rsidR="001E687B" w:rsidRDefault="00DF74A4" w:rsidP="005524EE">
      <w:pPr>
        <w:pStyle w:val="Heading1"/>
        <w:spacing w:line="276" w:lineRule="auto"/>
      </w:pPr>
      <w:bookmarkStart w:id="1270" w:name="IDX5"/>
      <w:bookmarkStart w:id="1271" w:name="IDX8"/>
      <w:bookmarkStart w:id="1272" w:name="_Health_service_use"/>
      <w:bookmarkStart w:id="1273" w:name="_Toc498092031"/>
      <w:bookmarkStart w:id="1274" w:name="_Toc124762844"/>
      <w:bookmarkEnd w:id="1270"/>
      <w:bookmarkEnd w:id="1271"/>
      <w:bookmarkEnd w:id="1272"/>
      <w:r>
        <w:lastRenderedPageBreak/>
        <w:t>Project staff</w:t>
      </w:r>
      <w:bookmarkEnd w:id="1273"/>
      <w:bookmarkEnd w:id="1274"/>
    </w:p>
    <w:p w14:paraId="27C6BE53" w14:textId="0E803F5C" w:rsidR="00F31773" w:rsidRDefault="00F31773" w:rsidP="00F31773"/>
    <w:p w14:paraId="0C97C330" w14:textId="77777777" w:rsidR="00347EAA" w:rsidRDefault="00347EAA" w:rsidP="005524EE">
      <w:pPr>
        <w:spacing w:before="0" w:after="0" w:line="240" w:lineRule="auto"/>
        <w:jc w:val="left"/>
      </w:pPr>
    </w:p>
    <w:tbl>
      <w:tblPr>
        <w:tblStyle w:val="TableGrid"/>
        <w:tblpPr w:leftFromText="180" w:rightFromText="180" w:horzAnchor="margin" w:tblpY="569"/>
        <w:tblW w:w="0" w:type="auto"/>
        <w:tblLook w:val="04A0" w:firstRow="1" w:lastRow="0" w:firstColumn="1" w:lastColumn="0" w:noHBand="0" w:noVBand="1"/>
      </w:tblPr>
      <w:tblGrid>
        <w:gridCol w:w="3823"/>
        <w:gridCol w:w="5193"/>
      </w:tblGrid>
      <w:tr w:rsidR="00347EAA" w:rsidRPr="005524EE" w14:paraId="6429CF57" w14:textId="77777777" w:rsidTr="001608F9">
        <w:tc>
          <w:tcPr>
            <w:tcW w:w="9016" w:type="dxa"/>
            <w:gridSpan w:val="2"/>
            <w:shd w:val="clear" w:color="auto" w:fill="auto"/>
          </w:tcPr>
          <w:p w14:paraId="06508EF5" w14:textId="67BC60D4" w:rsidR="008F2089" w:rsidRPr="005524EE" w:rsidRDefault="003E3038" w:rsidP="00F31773">
            <w:pPr>
              <w:spacing w:line="240" w:lineRule="auto"/>
              <w:jc w:val="center"/>
              <w:rPr>
                <w:b/>
              </w:rPr>
            </w:pPr>
            <w:r>
              <w:rPr>
                <w:b/>
              </w:rPr>
              <w:t xml:space="preserve">Australian Women and Girls’ Health Research Centre </w:t>
            </w:r>
          </w:p>
          <w:p w14:paraId="2FDD9F02" w14:textId="56E0BA1B" w:rsidR="00347EAA" w:rsidRPr="005524EE" w:rsidRDefault="00347EAA" w:rsidP="00F31773">
            <w:pPr>
              <w:spacing w:line="240" w:lineRule="auto"/>
              <w:jc w:val="center"/>
              <w:rPr>
                <w:b/>
              </w:rPr>
            </w:pPr>
            <w:r w:rsidRPr="005524EE">
              <w:rPr>
                <w:b/>
              </w:rPr>
              <w:t>The University of Queensland</w:t>
            </w:r>
          </w:p>
        </w:tc>
      </w:tr>
      <w:tr w:rsidR="00347EAA" w:rsidRPr="005524EE" w14:paraId="55A56C77" w14:textId="77777777" w:rsidTr="001608F9">
        <w:tc>
          <w:tcPr>
            <w:tcW w:w="3823" w:type="dxa"/>
          </w:tcPr>
          <w:p w14:paraId="33041E9D" w14:textId="77777777" w:rsidR="00347EAA" w:rsidRPr="005524EE" w:rsidRDefault="00347EAA" w:rsidP="00F31773">
            <w:pPr>
              <w:spacing w:line="240" w:lineRule="auto"/>
              <w:jc w:val="left"/>
            </w:pPr>
            <w:r w:rsidRPr="005524EE">
              <w:t>Director ALSWH</w:t>
            </w:r>
          </w:p>
        </w:tc>
        <w:tc>
          <w:tcPr>
            <w:tcW w:w="5193" w:type="dxa"/>
          </w:tcPr>
          <w:p w14:paraId="401736FD" w14:textId="77777777" w:rsidR="00347EAA" w:rsidRPr="005524EE" w:rsidRDefault="00347EAA" w:rsidP="00F31773">
            <w:pPr>
              <w:spacing w:line="240" w:lineRule="auto"/>
              <w:jc w:val="left"/>
            </w:pPr>
            <w:r w:rsidRPr="005524EE">
              <w:t>Professor Gita Mishra</w:t>
            </w:r>
          </w:p>
        </w:tc>
      </w:tr>
      <w:tr w:rsidR="00347EAA" w:rsidRPr="005524EE" w14:paraId="1FA6F159" w14:textId="77777777" w:rsidTr="001608F9">
        <w:tc>
          <w:tcPr>
            <w:tcW w:w="3823" w:type="dxa"/>
          </w:tcPr>
          <w:p w14:paraId="463EE1EE" w14:textId="77777777" w:rsidR="00347EAA" w:rsidRPr="005524EE" w:rsidRDefault="00347EAA" w:rsidP="00F31773">
            <w:pPr>
              <w:spacing w:line="240" w:lineRule="auto"/>
              <w:jc w:val="left"/>
            </w:pPr>
            <w:r w:rsidRPr="005524EE">
              <w:t>Deputy Director ALSWH</w:t>
            </w:r>
          </w:p>
        </w:tc>
        <w:tc>
          <w:tcPr>
            <w:tcW w:w="5193" w:type="dxa"/>
          </w:tcPr>
          <w:p w14:paraId="756E32FC" w14:textId="77777777" w:rsidR="00347EAA" w:rsidRPr="005524EE" w:rsidRDefault="00347EAA" w:rsidP="00F31773">
            <w:pPr>
              <w:spacing w:line="240" w:lineRule="auto"/>
              <w:jc w:val="left"/>
            </w:pPr>
            <w:r w:rsidRPr="005524EE">
              <w:t>A/Professor Leigh Tooth</w:t>
            </w:r>
          </w:p>
        </w:tc>
      </w:tr>
      <w:tr w:rsidR="00347EAA" w:rsidRPr="005524EE" w14:paraId="7AB95A5C" w14:textId="77777777" w:rsidTr="001608F9">
        <w:tc>
          <w:tcPr>
            <w:tcW w:w="3823" w:type="dxa"/>
          </w:tcPr>
          <w:p w14:paraId="6285AA4A" w14:textId="77777777" w:rsidR="00347EAA" w:rsidRPr="005524EE" w:rsidRDefault="00347EAA" w:rsidP="00F31773">
            <w:pPr>
              <w:spacing w:line="240" w:lineRule="auto"/>
              <w:jc w:val="left"/>
            </w:pPr>
            <w:r w:rsidRPr="005524EE">
              <w:t>Research Fellow (s)</w:t>
            </w:r>
          </w:p>
        </w:tc>
        <w:tc>
          <w:tcPr>
            <w:tcW w:w="5193" w:type="dxa"/>
          </w:tcPr>
          <w:p w14:paraId="05238882" w14:textId="77777777" w:rsidR="00347EAA" w:rsidRPr="005524EE" w:rsidRDefault="00347EAA" w:rsidP="00F31773">
            <w:pPr>
              <w:spacing w:line="240" w:lineRule="auto"/>
              <w:jc w:val="left"/>
            </w:pPr>
            <w:r w:rsidRPr="005524EE">
              <w:t>Professor Annette Dobson</w:t>
            </w:r>
          </w:p>
          <w:p w14:paraId="600353F9" w14:textId="2C7C43B5" w:rsidR="005524EE" w:rsidRPr="005524EE" w:rsidRDefault="005524EE" w:rsidP="00F31773">
            <w:pPr>
              <w:spacing w:line="240" w:lineRule="auto"/>
              <w:jc w:val="left"/>
            </w:pPr>
            <w:r w:rsidRPr="005524EE">
              <w:t>Dr Katrina Moss</w:t>
            </w:r>
          </w:p>
        </w:tc>
      </w:tr>
      <w:tr w:rsidR="00347EAA" w:rsidRPr="005524EE" w14:paraId="30094B3E" w14:textId="77777777" w:rsidTr="001608F9">
        <w:tc>
          <w:tcPr>
            <w:tcW w:w="3823" w:type="dxa"/>
          </w:tcPr>
          <w:p w14:paraId="61217748" w14:textId="77777777" w:rsidR="00347EAA" w:rsidRPr="005524EE" w:rsidRDefault="00347EAA" w:rsidP="00F31773">
            <w:pPr>
              <w:spacing w:line="240" w:lineRule="auto"/>
              <w:jc w:val="left"/>
            </w:pPr>
            <w:r w:rsidRPr="005524EE">
              <w:t>Statisticians</w:t>
            </w:r>
          </w:p>
        </w:tc>
        <w:tc>
          <w:tcPr>
            <w:tcW w:w="5193" w:type="dxa"/>
          </w:tcPr>
          <w:p w14:paraId="5BE9F83F" w14:textId="77777777" w:rsidR="00347EAA" w:rsidRPr="005524EE" w:rsidRDefault="00347EAA" w:rsidP="00F31773">
            <w:pPr>
              <w:spacing w:line="240" w:lineRule="auto"/>
              <w:jc w:val="left"/>
            </w:pPr>
            <w:r w:rsidRPr="005524EE">
              <w:t>Richard Hockey</w:t>
            </w:r>
          </w:p>
          <w:p w14:paraId="39E562BA" w14:textId="34D24B5C" w:rsidR="00347EAA" w:rsidRPr="005524EE" w:rsidRDefault="009445F9" w:rsidP="00F31773">
            <w:pPr>
              <w:spacing w:line="240" w:lineRule="auto"/>
              <w:jc w:val="left"/>
            </w:pPr>
            <w:r>
              <w:t xml:space="preserve">Dr </w:t>
            </w:r>
            <w:r w:rsidR="005524EE" w:rsidRPr="005524EE">
              <w:t>Reza Baneshi</w:t>
            </w:r>
          </w:p>
        </w:tc>
      </w:tr>
      <w:tr w:rsidR="00347EAA" w:rsidRPr="005524EE" w14:paraId="5392BE8C" w14:textId="77777777" w:rsidTr="001608F9">
        <w:tc>
          <w:tcPr>
            <w:tcW w:w="3823" w:type="dxa"/>
          </w:tcPr>
          <w:p w14:paraId="6F9862E9" w14:textId="77777777" w:rsidR="00347EAA" w:rsidRPr="005524EE" w:rsidRDefault="00347EAA" w:rsidP="00F31773">
            <w:pPr>
              <w:spacing w:line="240" w:lineRule="auto"/>
              <w:jc w:val="left"/>
            </w:pPr>
            <w:r w:rsidRPr="005524EE">
              <w:t>Data Manager</w:t>
            </w:r>
          </w:p>
        </w:tc>
        <w:tc>
          <w:tcPr>
            <w:tcW w:w="5193" w:type="dxa"/>
          </w:tcPr>
          <w:p w14:paraId="4417793C" w14:textId="77777777" w:rsidR="00347EAA" w:rsidRPr="005524EE" w:rsidRDefault="00347EAA" w:rsidP="00F31773">
            <w:pPr>
              <w:spacing w:line="240" w:lineRule="auto"/>
              <w:jc w:val="left"/>
            </w:pPr>
            <w:r w:rsidRPr="005524EE">
              <w:t>David Fitzgerald</w:t>
            </w:r>
          </w:p>
        </w:tc>
      </w:tr>
      <w:tr w:rsidR="00347EAA" w:rsidRPr="005524EE" w14:paraId="0A38ACAB" w14:textId="77777777" w:rsidTr="001608F9">
        <w:tc>
          <w:tcPr>
            <w:tcW w:w="3823" w:type="dxa"/>
          </w:tcPr>
          <w:p w14:paraId="3FA4F333" w14:textId="77777777" w:rsidR="00347EAA" w:rsidRPr="005524EE" w:rsidRDefault="00347EAA" w:rsidP="00F31773">
            <w:pPr>
              <w:spacing w:line="240" w:lineRule="auto"/>
              <w:jc w:val="left"/>
            </w:pPr>
            <w:r w:rsidRPr="005524EE">
              <w:t>Data Linkage Coordinator</w:t>
            </w:r>
          </w:p>
        </w:tc>
        <w:tc>
          <w:tcPr>
            <w:tcW w:w="5193" w:type="dxa"/>
          </w:tcPr>
          <w:p w14:paraId="3612CC69" w14:textId="77777777" w:rsidR="00347EAA" w:rsidRPr="005524EE" w:rsidRDefault="00347EAA" w:rsidP="00F31773">
            <w:pPr>
              <w:spacing w:line="240" w:lineRule="auto"/>
              <w:jc w:val="left"/>
            </w:pPr>
            <w:r w:rsidRPr="005524EE">
              <w:t>Colleen Loos</w:t>
            </w:r>
          </w:p>
        </w:tc>
      </w:tr>
      <w:tr w:rsidR="00347EAA" w:rsidRPr="005524EE" w14:paraId="6CDF5720" w14:textId="77777777" w:rsidTr="001608F9">
        <w:tc>
          <w:tcPr>
            <w:tcW w:w="3823" w:type="dxa"/>
          </w:tcPr>
          <w:p w14:paraId="3B44CB67" w14:textId="77777777" w:rsidR="00347EAA" w:rsidRPr="005524EE" w:rsidRDefault="00347EAA" w:rsidP="00F31773">
            <w:pPr>
              <w:spacing w:line="240" w:lineRule="auto"/>
              <w:jc w:val="left"/>
            </w:pPr>
            <w:r w:rsidRPr="005524EE">
              <w:t>Research Project Manager</w:t>
            </w:r>
          </w:p>
        </w:tc>
        <w:tc>
          <w:tcPr>
            <w:tcW w:w="5193" w:type="dxa"/>
          </w:tcPr>
          <w:p w14:paraId="593BF97F" w14:textId="77777777" w:rsidR="00347EAA" w:rsidRPr="005524EE" w:rsidRDefault="00347EAA" w:rsidP="00F31773">
            <w:pPr>
              <w:spacing w:line="240" w:lineRule="auto"/>
              <w:jc w:val="left"/>
            </w:pPr>
            <w:r w:rsidRPr="005524EE">
              <w:t>Megan Ferguson</w:t>
            </w:r>
          </w:p>
        </w:tc>
      </w:tr>
      <w:tr w:rsidR="00347EAA" w:rsidRPr="005524EE" w14:paraId="382A958A" w14:textId="77777777" w:rsidTr="001608F9">
        <w:tc>
          <w:tcPr>
            <w:tcW w:w="3823" w:type="dxa"/>
          </w:tcPr>
          <w:p w14:paraId="4F1E463C" w14:textId="77777777" w:rsidR="00347EAA" w:rsidRPr="005524EE" w:rsidRDefault="00347EAA" w:rsidP="00F31773">
            <w:pPr>
              <w:spacing w:line="240" w:lineRule="auto"/>
              <w:jc w:val="left"/>
            </w:pPr>
            <w:r w:rsidRPr="005524EE">
              <w:t xml:space="preserve">Communications </w:t>
            </w:r>
          </w:p>
          <w:p w14:paraId="57793CF1" w14:textId="77777777" w:rsidR="00347EAA" w:rsidRPr="005524EE" w:rsidRDefault="00347EAA" w:rsidP="00F31773">
            <w:pPr>
              <w:spacing w:line="240" w:lineRule="auto"/>
              <w:jc w:val="left"/>
            </w:pPr>
            <w:r w:rsidRPr="005524EE">
              <w:t>and Engagement Officer</w:t>
            </w:r>
          </w:p>
        </w:tc>
        <w:tc>
          <w:tcPr>
            <w:tcW w:w="5193" w:type="dxa"/>
          </w:tcPr>
          <w:p w14:paraId="6123DEE3" w14:textId="77777777" w:rsidR="00347EAA" w:rsidRPr="005524EE" w:rsidRDefault="00347EAA" w:rsidP="00F31773">
            <w:pPr>
              <w:spacing w:line="240" w:lineRule="auto"/>
              <w:jc w:val="left"/>
            </w:pPr>
            <w:r w:rsidRPr="005524EE">
              <w:t>Helen Gray</w:t>
            </w:r>
          </w:p>
        </w:tc>
      </w:tr>
      <w:tr w:rsidR="00347EAA" w:rsidRPr="005524EE" w14:paraId="5138CFC2" w14:textId="77777777" w:rsidTr="001608F9">
        <w:tc>
          <w:tcPr>
            <w:tcW w:w="3823" w:type="dxa"/>
          </w:tcPr>
          <w:p w14:paraId="54B79843" w14:textId="1226E9BC" w:rsidR="00347EAA" w:rsidRPr="005524EE" w:rsidRDefault="00347EAA" w:rsidP="00F31773">
            <w:pPr>
              <w:spacing w:line="240" w:lineRule="auto"/>
              <w:jc w:val="left"/>
            </w:pPr>
            <w:r w:rsidRPr="005524EE">
              <w:t>Senior Research Assistant</w:t>
            </w:r>
          </w:p>
        </w:tc>
        <w:tc>
          <w:tcPr>
            <w:tcW w:w="5193" w:type="dxa"/>
          </w:tcPr>
          <w:p w14:paraId="225926F8" w14:textId="77777777" w:rsidR="00347EAA" w:rsidRPr="005524EE" w:rsidRDefault="00347EAA" w:rsidP="00F31773">
            <w:pPr>
              <w:spacing w:line="240" w:lineRule="auto"/>
              <w:jc w:val="left"/>
            </w:pPr>
            <w:r w:rsidRPr="005524EE">
              <w:t>Dr Hsiu-Wen Chan</w:t>
            </w:r>
          </w:p>
        </w:tc>
      </w:tr>
      <w:tr w:rsidR="00347EAA" w:rsidRPr="005524EE" w14:paraId="2CA3F764" w14:textId="77777777" w:rsidTr="001608F9">
        <w:tc>
          <w:tcPr>
            <w:tcW w:w="3823" w:type="dxa"/>
          </w:tcPr>
          <w:p w14:paraId="0B873340" w14:textId="77777777" w:rsidR="00347EAA" w:rsidRPr="005524EE" w:rsidRDefault="00347EAA" w:rsidP="00F31773">
            <w:pPr>
              <w:spacing w:line="240" w:lineRule="auto"/>
              <w:jc w:val="left"/>
            </w:pPr>
            <w:r w:rsidRPr="005524EE">
              <w:t>Database Developer</w:t>
            </w:r>
          </w:p>
        </w:tc>
        <w:tc>
          <w:tcPr>
            <w:tcW w:w="5193" w:type="dxa"/>
          </w:tcPr>
          <w:p w14:paraId="5CC5D5B2" w14:textId="77777777" w:rsidR="00347EAA" w:rsidRPr="005524EE" w:rsidRDefault="00347EAA" w:rsidP="00F31773">
            <w:pPr>
              <w:spacing w:line="240" w:lineRule="auto"/>
              <w:jc w:val="left"/>
            </w:pPr>
            <w:r w:rsidRPr="005524EE">
              <w:t>Chamila Pathigoda</w:t>
            </w:r>
          </w:p>
        </w:tc>
      </w:tr>
      <w:tr w:rsidR="00347EAA" w:rsidRPr="005524EE" w14:paraId="4A1B903E" w14:textId="77777777" w:rsidTr="001608F9">
        <w:tc>
          <w:tcPr>
            <w:tcW w:w="3823" w:type="dxa"/>
          </w:tcPr>
          <w:p w14:paraId="2956761F" w14:textId="77777777" w:rsidR="00347EAA" w:rsidRPr="005524EE" w:rsidRDefault="00347EAA" w:rsidP="00F31773">
            <w:pPr>
              <w:spacing w:line="240" w:lineRule="auto"/>
              <w:jc w:val="left"/>
            </w:pPr>
            <w:r w:rsidRPr="005524EE">
              <w:t>Administration Officer(s)</w:t>
            </w:r>
          </w:p>
        </w:tc>
        <w:tc>
          <w:tcPr>
            <w:tcW w:w="5193" w:type="dxa"/>
            <w:shd w:val="clear" w:color="auto" w:fill="auto"/>
          </w:tcPr>
          <w:p w14:paraId="74FE3EFA" w14:textId="77777777" w:rsidR="00347EAA" w:rsidRPr="005524EE" w:rsidRDefault="00347EAA" w:rsidP="00F31773">
            <w:pPr>
              <w:spacing w:line="240" w:lineRule="auto"/>
              <w:jc w:val="left"/>
            </w:pPr>
            <w:r w:rsidRPr="005524EE">
              <w:t>Leonie Gemmell</w:t>
            </w:r>
          </w:p>
          <w:p w14:paraId="58C2F41B" w14:textId="77777777" w:rsidR="00347EAA" w:rsidRPr="005524EE" w:rsidRDefault="00347EAA" w:rsidP="00F31773">
            <w:pPr>
              <w:spacing w:line="240" w:lineRule="auto"/>
              <w:jc w:val="left"/>
            </w:pPr>
            <w:r w:rsidRPr="005524EE">
              <w:t>Christine Coleman</w:t>
            </w:r>
          </w:p>
        </w:tc>
      </w:tr>
    </w:tbl>
    <w:p w14:paraId="78E0985C" w14:textId="77777777" w:rsidR="00347EAA" w:rsidRPr="005524EE" w:rsidRDefault="00347EAA" w:rsidP="005524EE">
      <w:pPr>
        <w:spacing w:before="0" w:after="0" w:line="240" w:lineRule="auto"/>
        <w:jc w:val="left"/>
      </w:pPr>
    </w:p>
    <w:p w14:paraId="1D091CB2" w14:textId="36912260" w:rsidR="00FC05B6" w:rsidRDefault="00FC05B6">
      <w:pPr>
        <w:spacing w:before="0" w:after="0" w:line="240" w:lineRule="auto"/>
        <w:jc w:val="left"/>
      </w:pPr>
      <w:r>
        <w:br w:type="page"/>
      </w:r>
    </w:p>
    <w:tbl>
      <w:tblPr>
        <w:tblStyle w:val="TableGrid"/>
        <w:tblW w:w="0" w:type="auto"/>
        <w:tblLook w:val="04A0" w:firstRow="1" w:lastRow="0" w:firstColumn="1" w:lastColumn="0" w:noHBand="0" w:noVBand="1"/>
      </w:tblPr>
      <w:tblGrid>
        <w:gridCol w:w="3964"/>
        <w:gridCol w:w="5052"/>
      </w:tblGrid>
      <w:tr w:rsidR="00347EAA" w:rsidRPr="00593118" w14:paraId="16B49D2C" w14:textId="77777777" w:rsidTr="00382EAE">
        <w:tc>
          <w:tcPr>
            <w:tcW w:w="9016" w:type="dxa"/>
            <w:gridSpan w:val="2"/>
            <w:shd w:val="clear" w:color="auto" w:fill="auto"/>
          </w:tcPr>
          <w:p w14:paraId="4842DAB2" w14:textId="6CC3AB51" w:rsidR="00347EAA" w:rsidRPr="00593118" w:rsidRDefault="00347EAA" w:rsidP="00382EAE">
            <w:pPr>
              <w:spacing w:line="240" w:lineRule="auto"/>
              <w:jc w:val="center"/>
              <w:rPr>
                <w:b/>
              </w:rPr>
            </w:pPr>
            <w:r w:rsidRPr="00593118">
              <w:rPr>
                <w:b/>
              </w:rPr>
              <w:lastRenderedPageBreak/>
              <w:t xml:space="preserve">Centre for </w:t>
            </w:r>
            <w:r w:rsidR="00886B5C">
              <w:rPr>
                <w:b/>
              </w:rPr>
              <w:t>Women’s Health Research</w:t>
            </w:r>
          </w:p>
          <w:p w14:paraId="47CCCBD6" w14:textId="77777777" w:rsidR="00347EAA" w:rsidRPr="00593118" w:rsidRDefault="00347EAA" w:rsidP="00382EAE">
            <w:pPr>
              <w:spacing w:line="240" w:lineRule="auto"/>
              <w:jc w:val="center"/>
              <w:rPr>
                <w:b/>
              </w:rPr>
            </w:pPr>
            <w:r w:rsidRPr="00593118">
              <w:rPr>
                <w:b/>
              </w:rPr>
              <w:t>The University of Newcastle</w:t>
            </w:r>
          </w:p>
        </w:tc>
      </w:tr>
      <w:tr w:rsidR="00347EAA" w:rsidRPr="00593118" w14:paraId="336BE437" w14:textId="77777777" w:rsidTr="00382EAE">
        <w:tc>
          <w:tcPr>
            <w:tcW w:w="3964" w:type="dxa"/>
            <w:shd w:val="clear" w:color="auto" w:fill="auto"/>
          </w:tcPr>
          <w:p w14:paraId="29FE5EF4" w14:textId="35630175" w:rsidR="00347EAA" w:rsidRPr="00593118" w:rsidRDefault="00347EAA" w:rsidP="00382EAE">
            <w:pPr>
              <w:spacing w:line="240" w:lineRule="auto"/>
              <w:jc w:val="left"/>
            </w:pPr>
            <w:r w:rsidRPr="00593118">
              <w:t>Director ALSWH</w:t>
            </w:r>
            <w:r w:rsidR="00E429D6">
              <w:t>*</w:t>
            </w:r>
          </w:p>
        </w:tc>
        <w:tc>
          <w:tcPr>
            <w:tcW w:w="5052" w:type="dxa"/>
            <w:shd w:val="clear" w:color="auto" w:fill="auto"/>
          </w:tcPr>
          <w:p w14:paraId="1E8D7270" w14:textId="20027E2A" w:rsidR="00347EAA" w:rsidRPr="00593118" w:rsidRDefault="00347EAA" w:rsidP="00382EAE">
            <w:pPr>
              <w:spacing w:line="240" w:lineRule="auto"/>
              <w:jc w:val="left"/>
            </w:pPr>
            <w:r w:rsidRPr="00593118">
              <w:t>Professor Julie Byles</w:t>
            </w:r>
            <w:r w:rsidR="002215E8">
              <w:t>/Professor Deborah Loxton</w:t>
            </w:r>
          </w:p>
        </w:tc>
      </w:tr>
      <w:tr w:rsidR="00347EAA" w:rsidRPr="00593118" w14:paraId="7B7FDEBD" w14:textId="77777777" w:rsidTr="00382EAE">
        <w:tc>
          <w:tcPr>
            <w:tcW w:w="3964" w:type="dxa"/>
            <w:shd w:val="clear" w:color="auto" w:fill="auto"/>
          </w:tcPr>
          <w:p w14:paraId="22F03D65" w14:textId="104E5DE2" w:rsidR="00347EAA" w:rsidRPr="00593118" w:rsidRDefault="00347EAA" w:rsidP="00382EAE">
            <w:pPr>
              <w:spacing w:line="240" w:lineRule="auto"/>
              <w:jc w:val="left"/>
            </w:pPr>
            <w:r w:rsidRPr="00593118">
              <w:t xml:space="preserve">Research </w:t>
            </w:r>
            <w:r w:rsidR="0037291B">
              <w:t>Program Manager</w:t>
            </w:r>
          </w:p>
        </w:tc>
        <w:tc>
          <w:tcPr>
            <w:tcW w:w="5052" w:type="dxa"/>
            <w:shd w:val="clear" w:color="auto" w:fill="auto"/>
          </w:tcPr>
          <w:p w14:paraId="6817FE33" w14:textId="4930D0C0" w:rsidR="00347EAA" w:rsidRPr="00593118" w:rsidRDefault="00347EAA" w:rsidP="00382EAE">
            <w:pPr>
              <w:spacing w:line="240" w:lineRule="auto"/>
              <w:jc w:val="left"/>
            </w:pPr>
            <w:r w:rsidRPr="00593118">
              <w:t>Natalie Townsend</w:t>
            </w:r>
          </w:p>
        </w:tc>
      </w:tr>
      <w:tr w:rsidR="0037291B" w:rsidRPr="00593118" w14:paraId="78C8D18B" w14:textId="77777777" w:rsidTr="00382EAE">
        <w:tc>
          <w:tcPr>
            <w:tcW w:w="3964" w:type="dxa"/>
            <w:shd w:val="clear" w:color="auto" w:fill="auto"/>
          </w:tcPr>
          <w:p w14:paraId="2B904862" w14:textId="557D8C3E" w:rsidR="0037291B" w:rsidRPr="00593118" w:rsidRDefault="0037291B" w:rsidP="00382EAE">
            <w:pPr>
              <w:spacing w:line="240" w:lineRule="auto"/>
              <w:jc w:val="left"/>
            </w:pPr>
            <w:r>
              <w:t>Senior Research Officer</w:t>
            </w:r>
          </w:p>
        </w:tc>
        <w:tc>
          <w:tcPr>
            <w:tcW w:w="5052" w:type="dxa"/>
            <w:shd w:val="clear" w:color="auto" w:fill="auto"/>
          </w:tcPr>
          <w:p w14:paraId="59359CAF" w14:textId="1F3D9D3C" w:rsidR="0037291B" w:rsidRPr="00593118" w:rsidRDefault="0037291B" w:rsidP="00382EAE">
            <w:pPr>
              <w:spacing w:line="240" w:lineRule="auto"/>
              <w:jc w:val="left"/>
            </w:pPr>
            <w:r>
              <w:t>Amy Anderson</w:t>
            </w:r>
          </w:p>
        </w:tc>
      </w:tr>
      <w:tr w:rsidR="00347EAA" w:rsidRPr="00593118" w14:paraId="5B8388A0" w14:textId="77777777" w:rsidTr="00382EAE">
        <w:tc>
          <w:tcPr>
            <w:tcW w:w="3964" w:type="dxa"/>
            <w:shd w:val="clear" w:color="auto" w:fill="auto"/>
          </w:tcPr>
          <w:p w14:paraId="7390EE4B" w14:textId="6E484282" w:rsidR="00347EAA" w:rsidRPr="00593118" w:rsidRDefault="0037291B" w:rsidP="00382EAE">
            <w:pPr>
              <w:spacing w:line="240" w:lineRule="auto"/>
              <w:jc w:val="left"/>
            </w:pPr>
            <w:r>
              <w:t>Manager, Statistics and Data/</w:t>
            </w:r>
            <w:r w:rsidRPr="00593118">
              <w:t xml:space="preserve"> Senior Statistician</w:t>
            </w:r>
          </w:p>
        </w:tc>
        <w:tc>
          <w:tcPr>
            <w:tcW w:w="5052" w:type="dxa"/>
            <w:shd w:val="clear" w:color="auto" w:fill="auto"/>
          </w:tcPr>
          <w:p w14:paraId="1A12BA58" w14:textId="77777777" w:rsidR="00347EAA" w:rsidRPr="00593118" w:rsidRDefault="00347EAA" w:rsidP="00382EAE">
            <w:pPr>
              <w:spacing w:line="240" w:lineRule="auto"/>
              <w:jc w:val="left"/>
            </w:pPr>
            <w:r w:rsidRPr="00593118">
              <w:t>Peta Forder</w:t>
            </w:r>
          </w:p>
        </w:tc>
      </w:tr>
      <w:tr w:rsidR="00AB11B6" w:rsidRPr="00593118" w14:paraId="624F53E2" w14:textId="77777777" w:rsidTr="00382EAE">
        <w:tc>
          <w:tcPr>
            <w:tcW w:w="3964" w:type="dxa"/>
            <w:shd w:val="clear" w:color="auto" w:fill="auto"/>
          </w:tcPr>
          <w:p w14:paraId="19148CBD" w14:textId="1BC30A75" w:rsidR="00AB11B6" w:rsidRPr="00593118" w:rsidRDefault="00AB11B6" w:rsidP="00382EAE">
            <w:pPr>
              <w:spacing w:line="240" w:lineRule="auto"/>
              <w:jc w:val="left"/>
            </w:pPr>
            <w:r w:rsidRPr="00593118">
              <w:t>Statistics Team</w:t>
            </w:r>
          </w:p>
        </w:tc>
        <w:tc>
          <w:tcPr>
            <w:tcW w:w="5052" w:type="dxa"/>
            <w:shd w:val="clear" w:color="auto" w:fill="auto"/>
          </w:tcPr>
          <w:p w14:paraId="1AA2038C" w14:textId="77777777" w:rsidR="00AB11B6" w:rsidRPr="00593118" w:rsidRDefault="00AB11B6" w:rsidP="00382EAE">
            <w:pPr>
              <w:spacing w:line="240" w:lineRule="auto"/>
              <w:jc w:val="left"/>
            </w:pPr>
            <w:r w:rsidRPr="00593118">
              <w:t>Dominic Cavenagh</w:t>
            </w:r>
          </w:p>
          <w:p w14:paraId="4467EF2C" w14:textId="2303212C" w:rsidR="00AB11B6" w:rsidRPr="00593118" w:rsidRDefault="00AB11B6" w:rsidP="00382EAE">
            <w:pPr>
              <w:spacing w:line="240" w:lineRule="auto"/>
              <w:jc w:val="left"/>
            </w:pPr>
            <w:r w:rsidRPr="00593118">
              <w:t>Nick Egan</w:t>
            </w:r>
          </w:p>
        </w:tc>
      </w:tr>
      <w:tr w:rsidR="00347EAA" w:rsidRPr="00593118" w14:paraId="29C39A50" w14:textId="77777777" w:rsidTr="00382EAE">
        <w:tc>
          <w:tcPr>
            <w:tcW w:w="3964" w:type="dxa"/>
            <w:shd w:val="clear" w:color="auto" w:fill="auto"/>
          </w:tcPr>
          <w:p w14:paraId="42163CD4" w14:textId="652C5582" w:rsidR="00347EAA" w:rsidRPr="00593118" w:rsidRDefault="00347EAA" w:rsidP="00382EAE">
            <w:pPr>
              <w:spacing w:line="240" w:lineRule="auto"/>
              <w:jc w:val="left"/>
            </w:pPr>
            <w:r w:rsidRPr="00593118">
              <w:t xml:space="preserve">Research </w:t>
            </w:r>
            <w:r w:rsidR="0037291B">
              <w:t>Officers</w:t>
            </w:r>
          </w:p>
        </w:tc>
        <w:tc>
          <w:tcPr>
            <w:tcW w:w="5052" w:type="dxa"/>
            <w:shd w:val="clear" w:color="auto" w:fill="auto"/>
          </w:tcPr>
          <w:p w14:paraId="1D122436" w14:textId="77777777" w:rsidR="00347EAA" w:rsidRPr="00593118" w:rsidRDefault="00347EAA" w:rsidP="00382EAE">
            <w:pPr>
              <w:spacing w:line="240" w:lineRule="auto"/>
              <w:jc w:val="left"/>
            </w:pPr>
            <w:r w:rsidRPr="00593118">
              <w:t>Isabelle Barnes</w:t>
            </w:r>
          </w:p>
          <w:p w14:paraId="6A285EA4" w14:textId="5BAE7209" w:rsidR="00347EAA" w:rsidRPr="00593118" w:rsidRDefault="00347EAA" w:rsidP="00382EAE">
            <w:pPr>
              <w:spacing w:line="240" w:lineRule="auto"/>
              <w:jc w:val="left"/>
            </w:pPr>
            <w:r w:rsidRPr="00593118">
              <w:t>Emma Byrnes</w:t>
            </w:r>
          </w:p>
        </w:tc>
      </w:tr>
      <w:tr w:rsidR="00347EAA" w:rsidRPr="00593118" w14:paraId="44C5CABC" w14:textId="77777777" w:rsidTr="00382EAE">
        <w:tc>
          <w:tcPr>
            <w:tcW w:w="3964" w:type="dxa"/>
            <w:shd w:val="clear" w:color="auto" w:fill="auto"/>
          </w:tcPr>
          <w:p w14:paraId="601D46FA" w14:textId="77777777" w:rsidR="00347EAA" w:rsidRPr="00593118" w:rsidRDefault="00347EAA" w:rsidP="00382EAE">
            <w:pPr>
              <w:spacing w:line="240" w:lineRule="auto"/>
              <w:jc w:val="left"/>
            </w:pPr>
            <w:r w:rsidRPr="00593118">
              <w:t>Operations Manager</w:t>
            </w:r>
          </w:p>
        </w:tc>
        <w:tc>
          <w:tcPr>
            <w:tcW w:w="5052" w:type="dxa"/>
            <w:shd w:val="clear" w:color="auto" w:fill="auto"/>
          </w:tcPr>
          <w:p w14:paraId="5E38D164" w14:textId="70D945CC" w:rsidR="00347EAA" w:rsidRPr="00593118" w:rsidRDefault="00347EAA" w:rsidP="00382EAE">
            <w:pPr>
              <w:spacing w:line="240" w:lineRule="auto"/>
              <w:jc w:val="left"/>
            </w:pPr>
            <w:r w:rsidRPr="00593118">
              <w:t>Anna Graves</w:t>
            </w:r>
            <w:r w:rsidR="0037291B">
              <w:t xml:space="preserve"> (ret. March 2022)</w:t>
            </w:r>
          </w:p>
        </w:tc>
      </w:tr>
      <w:tr w:rsidR="0037291B" w:rsidRPr="00593118" w14:paraId="66B38135" w14:textId="77777777" w:rsidTr="00382EAE">
        <w:tc>
          <w:tcPr>
            <w:tcW w:w="3964" w:type="dxa"/>
            <w:shd w:val="clear" w:color="auto" w:fill="auto"/>
          </w:tcPr>
          <w:p w14:paraId="51B230CB" w14:textId="432164F4" w:rsidR="0037291B" w:rsidRPr="00593118" w:rsidRDefault="0037291B" w:rsidP="00382EAE">
            <w:pPr>
              <w:spacing w:line="240" w:lineRule="auto"/>
              <w:jc w:val="left"/>
            </w:pPr>
            <w:r>
              <w:t>Database manager</w:t>
            </w:r>
          </w:p>
        </w:tc>
        <w:tc>
          <w:tcPr>
            <w:tcW w:w="5052" w:type="dxa"/>
            <w:shd w:val="clear" w:color="auto" w:fill="auto"/>
          </w:tcPr>
          <w:p w14:paraId="3C06A9F9" w14:textId="5F3D0908" w:rsidR="0037291B" w:rsidRPr="00593118" w:rsidRDefault="0037291B" w:rsidP="00382EAE">
            <w:pPr>
              <w:spacing w:line="240" w:lineRule="auto"/>
              <w:jc w:val="left"/>
            </w:pPr>
            <w:r>
              <w:t>Ryan Tuckerman</w:t>
            </w:r>
          </w:p>
        </w:tc>
      </w:tr>
      <w:tr w:rsidR="00347EAA" w:rsidRPr="00593118" w14:paraId="0C000DEF" w14:textId="77777777" w:rsidTr="00382EAE">
        <w:tc>
          <w:tcPr>
            <w:tcW w:w="3964" w:type="dxa"/>
            <w:shd w:val="clear" w:color="auto" w:fill="auto"/>
          </w:tcPr>
          <w:p w14:paraId="7C8C774E" w14:textId="77777777" w:rsidR="00347EAA" w:rsidRPr="00593118" w:rsidRDefault="00347EAA" w:rsidP="00382EAE">
            <w:pPr>
              <w:spacing w:line="240" w:lineRule="auto"/>
              <w:jc w:val="left"/>
            </w:pPr>
            <w:r w:rsidRPr="00593118">
              <w:t>Administration Officers</w:t>
            </w:r>
          </w:p>
        </w:tc>
        <w:tc>
          <w:tcPr>
            <w:tcW w:w="5052" w:type="dxa"/>
            <w:shd w:val="clear" w:color="auto" w:fill="auto"/>
          </w:tcPr>
          <w:p w14:paraId="33C9ED1D" w14:textId="0C8305F0" w:rsidR="00347EAA" w:rsidRPr="00593118" w:rsidRDefault="00347EAA" w:rsidP="00382EAE">
            <w:pPr>
              <w:spacing w:line="240" w:lineRule="auto"/>
              <w:jc w:val="left"/>
            </w:pPr>
            <w:r w:rsidRPr="00593118">
              <w:t>Clare Thomson</w:t>
            </w:r>
            <w:r w:rsidR="00931DE4">
              <w:t xml:space="preserve"> (Ethics)</w:t>
            </w:r>
          </w:p>
          <w:p w14:paraId="1A00742D" w14:textId="77777777" w:rsidR="00347EAA" w:rsidRDefault="00347EAA" w:rsidP="00382EAE">
            <w:pPr>
              <w:spacing w:line="240" w:lineRule="auto"/>
              <w:jc w:val="left"/>
            </w:pPr>
            <w:r w:rsidRPr="00593118">
              <w:t>Katherine Tuckerman</w:t>
            </w:r>
          </w:p>
          <w:p w14:paraId="649A3C16" w14:textId="23D9FD86" w:rsidR="0037291B" w:rsidRPr="00593118" w:rsidRDefault="0037291B" w:rsidP="00382EAE">
            <w:pPr>
              <w:spacing w:line="240" w:lineRule="auto"/>
              <w:jc w:val="left"/>
            </w:pPr>
            <w:r>
              <w:t>Kacey Johnston</w:t>
            </w:r>
          </w:p>
        </w:tc>
      </w:tr>
      <w:tr w:rsidR="00347EAA" w:rsidRPr="00347EAA" w14:paraId="5A8A0440" w14:textId="77777777" w:rsidTr="00382EAE">
        <w:tc>
          <w:tcPr>
            <w:tcW w:w="3964" w:type="dxa"/>
            <w:shd w:val="clear" w:color="auto" w:fill="auto"/>
          </w:tcPr>
          <w:p w14:paraId="7923398D" w14:textId="77777777" w:rsidR="00347EAA" w:rsidRPr="00593118" w:rsidRDefault="00347EAA" w:rsidP="00382EAE">
            <w:pPr>
              <w:spacing w:line="240" w:lineRule="auto"/>
              <w:jc w:val="left"/>
            </w:pPr>
            <w:r w:rsidRPr="00593118">
              <w:t>Project Assistants</w:t>
            </w:r>
          </w:p>
        </w:tc>
        <w:tc>
          <w:tcPr>
            <w:tcW w:w="5052" w:type="dxa"/>
            <w:shd w:val="clear" w:color="auto" w:fill="auto"/>
          </w:tcPr>
          <w:p w14:paraId="5763CB1C" w14:textId="40459F37" w:rsidR="00347EAA" w:rsidRPr="00593118" w:rsidRDefault="00AB11B6" w:rsidP="00382EAE">
            <w:pPr>
              <w:spacing w:line="240" w:lineRule="auto"/>
              <w:jc w:val="left"/>
            </w:pPr>
            <w:r w:rsidRPr="00593118">
              <w:t>Cathy Seberry</w:t>
            </w:r>
          </w:p>
          <w:p w14:paraId="49F9D892" w14:textId="082ED1E2" w:rsidR="00AB11B6" w:rsidRPr="00593118" w:rsidRDefault="00AB11B6" w:rsidP="00382EAE">
            <w:pPr>
              <w:spacing w:line="240" w:lineRule="auto"/>
              <w:jc w:val="left"/>
            </w:pPr>
            <w:r w:rsidRPr="00593118">
              <w:t>Alyse Berrigan</w:t>
            </w:r>
          </w:p>
          <w:p w14:paraId="0736772A" w14:textId="357AE010" w:rsidR="00AB11B6" w:rsidRPr="00593118" w:rsidRDefault="00AB11B6" w:rsidP="00382EAE">
            <w:pPr>
              <w:spacing w:line="240" w:lineRule="auto"/>
              <w:jc w:val="left"/>
            </w:pPr>
            <w:r w:rsidRPr="00593118">
              <w:t>Belinda Jackson</w:t>
            </w:r>
          </w:p>
          <w:p w14:paraId="45F299E2" w14:textId="1827FDB1" w:rsidR="00AB11B6" w:rsidRPr="00593118" w:rsidRDefault="00AB11B6" w:rsidP="00382EAE">
            <w:pPr>
              <w:spacing w:line="240" w:lineRule="auto"/>
              <w:jc w:val="left"/>
            </w:pPr>
            <w:r w:rsidRPr="00593118">
              <w:t>Brianna Barclay</w:t>
            </w:r>
          </w:p>
          <w:p w14:paraId="66831DF1" w14:textId="59625864" w:rsidR="00AB11B6" w:rsidRPr="00593118" w:rsidRDefault="00AB11B6" w:rsidP="00382EAE">
            <w:pPr>
              <w:spacing w:line="240" w:lineRule="auto"/>
              <w:jc w:val="left"/>
            </w:pPr>
            <w:r w:rsidRPr="00593118">
              <w:t>Megan Son Hing</w:t>
            </w:r>
          </w:p>
          <w:p w14:paraId="2CE5D5A9" w14:textId="731781D5" w:rsidR="00AB11B6" w:rsidRPr="00593118" w:rsidRDefault="00AB11B6" w:rsidP="00382EAE">
            <w:pPr>
              <w:spacing w:line="240" w:lineRule="auto"/>
              <w:jc w:val="left"/>
            </w:pPr>
            <w:r w:rsidRPr="00593118">
              <w:t>Sarah Morris</w:t>
            </w:r>
          </w:p>
          <w:p w14:paraId="78BBDFEA" w14:textId="3DBAE66F" w:rsidR="00347EAA" w:rsidRPr="00347EAA" w:rsidRDefault="00AB11B6" w:rsidP="00382EAE">
            <w:pPr>
              <w:spacing w:line="240" w:lineRule="auto"/>
              <w:jc w:val="left"/>
              <w:rPr>
                <w:color w:val="1F497D"/>
              </w:rPr>
            </w:pPr>
            <w:r w:rsidRPr="00593118">
              <w:t>Ursula Horton</w:t>
            </w:r>
          </w:p>
        </w:tc>
      </w:tr>
    </w:tbl>
    <w:p w14:paraId="28A8EE4E" w14:textId="59C980B1" w:rsidR="00E91353" w:rsidRDefault="00E429D6" w:rsidP="001E52B3">
      <w:r>
        <w:t>*Professor Julie Byles retired in June 2022.  Professor Deborah Loxton is now ALSWH Director at the University of Newcastle.</w:t>
      </w:r>
    </w:p>
    <w:p w14:paraId="7BEC1B25" w14:textId="77777777" w:rsidR="00D7001C" w:rsidRDefault="001206CA">
      <w:pPr>
        <w:spacing w:before="0" w:after="0" w:line="240" w:lineRule="auto"/>
        <w:jc w:val="left"/>
      </w:pPr>
      <w:r>
        <w:br w:type="page"/>
      </w:r>
    </w:p>
    <w:p w14:paraId="4EDAA555" w14:textId="77777777" w:rsidR="00D7001C" w:rsidRDefault="00D7001C">
      <w:pPr>
        <w:spacing w:before="0" w:after="0" w:line="240" w:lineRule="auto"/>
        <w:jc w:val="left"/>
      </w:pPr>
    </w:p>
    <w:p w14:paraId="7DA7FC07" w14:textId="24CF1F2F" w:rsidR="001206CA" w:rsidRDefault="00D7001C" w:rsidP="00795031">
      <w:pPr>
        <w:pStyle w:val="Heading1"/>
      </w:pPr>
      <w:bookmarkStart w:id="1275" w:name="_Toc124762845"/>
      <w:r>
        <w:t>Appendi</w:t>
      </w:r>
      <w:r w:rsidR="00FA5913">
        <w:t xml:space="preserve">ces: </w:t>
      </w:r>
      <w:r>
        <w:t>Progress reports for</w:t>
      </w:r>
      <w:r w:rsidR="00FA5913">
        <w:t xml:space="preserve"> current and completed projects</w:t>
      </w:r>
      <w:bookmarkStart w:id="1276" w:name="_Toc81568618"/>
      <w:bookmarkStart w:id="1277" w:name="_Toc81568619"/>
      <w:bookmarkEnd w:id="1276"/>
      <w:bookmarkEnd w:id="1277"/>
      <w:bookmarkEnd w:id="1275"/>
    </w:p>
    <w:p w14:paraId="38EC0C91" w14:textId="0C1CF922" w:rsidR="00FA5913" w:rsidRDefault="00FA5913" w:rsidP="00FA5913"/>
    <w:p w14:paraId="4E8E3BA8" w14:textId="5F6A742B" w:rsidR="00FA5913" w:rsidRDefault="00FA5913" w:rsidP="00FA5913">
      <w:r>
        <w:t>Please see separate document for Appendixes A, B and C.</w:t>
      </w:r>
    </w:p>
    <w:p w14:paraId="52936CDF" w14:textId="7CC481BF" w:rsidR="00FA5913" w:rsidRDefault="00FA5913" w:rsidP="00FA5913"/>
    <w:p w14:paraId="19B27B51" w14:textId="77777777" w:rsidR="00FA5913" w:rsidRPr="00FA5913" w:rsidRDefault="00FA5913" w:rsidP="00FA5913"/>
    <w:sectPr w:rsidR="00FA5913" w:rsidRPr="00FA5913" w:rsidSect="008E14A4">
      <w:pgSz w:w="11906" w:h="16838"/>
      <w:pgMar w:top="1440" w:right="1440" w:bottom="1440" w:left="1440" w:header="68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417C" w14:textId="77777777" w:rsidR="00917EC9" w:rsidRDefault="00917EC9" w:rsidP="005D4F65">
      <w:r>
        <w:separator/>
      </w:r>
    </w:p>
    <w:p w14:paraId="1AFCF077" w14:textId="77777777" w:rsidR="00917EC9" w:rsidRDefault="00917EC9"/>
  </w:endnote>
  <w:endnote w:type="continuationSeparator" w:id="0">
    <w:p w14:paraId="7CFB151E" w14:textId="77777777" w:rsidR="00917EC9" w:rsidRDefault="00917EC9" w:rsidP="005D4F65">
      <w:r>
        <w:continuationSeparator/>
      </w:r>
    </w:p>
    <w:p w14:paraId="476624E5" w14:textId="77777777" w:rsidR="00917EC9" w:rsidRDefault="00917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SAS Monospace">
    <w:altName w:val="Calibr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CD54" w14:textId="77777777" w:rsidR="00472CFC" w:rsidRDefault="00472CF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457538"/>
      <w:docPartObj>
        <w:docPartGallery w:val="Page Numbers (Bottom of Page)"/>
        <w:docPartUnique/>
      </w:docPartObj>
    </w:sdtPr>
    <w:sdtEndPr>
      <w:rPr>
        <w:noProof/>
      </w:rPr>
    </w:sdtEndPr>
    <w:sdtContent>
      <w:p w14:paraId="2CB57B48" w14:textId="77777777" w:rsidR="00327D59" w:rsidRDefault="00327D59">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49474535" w14:textId="77777777" w:rsidR="00327D59" w:rsidRDefault="00327D5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54BB" w14:textId="77777777" w:rsidR="0098104F" w:rsidRDefault="0098104F">
    <w:pPr>
      <w:pStyle w:val="Footer"/>
    </w:pPr>
  </w:p>
  <w:p w14:paraId="7F5519F9" w14:textId="77777777" w:rsidR="0098104F" w:rsidRDefault="0098104F"/>
  <w:p w14:paraId="4022E6AA" w14:textId="77777777" w:rsidR="0098104F" w:rsidRDefault="0098104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154314"/>
      <w:docPartObj>
        <w:docPartGallery w:val="Page Numbers (Bottom of Page)"/>
        <w:docPartUnique/>
      </w:docPartObj>
    </w:sdtPr>
    <w:sdtEndPr>
      <w:rPr>
        <w:noProof/>
      </w:rPr>
    </w:sdtEndPr>
    <w:sdtContent>
      <w:p w14:paraId="5916B40D" w14:textId="15DA3126" w:rsidR="0098104F" w:rsidRDefault="0098104F">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75C6" w14:textId="77777777" w:rsidR="0098104F" w:rsidRDefault="0098104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300F" w14:textId="77777777" w:rsidR="008F45E1" w:rsidRDefault="008F45E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15415"/>
      <w:docPartObj>
        <w:docPartGallery w:val="Page Numbers (Bottom of Page)"/>
        <w:docPartUnique/>
      </w:docPartObj>
    </w:sdtPr>
    <w:sdtEndPr>
      <w:rPr>
        <w:noProof/>
      </w:rPr>
    </w:sdtEndPr>
    <w:sdtContent>
      <w:p w14:paraId="43619DD5" w14:textId="3E5BEBFB" w:rsidR="00472CFC" w:rsidRDefault="00472C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A83EA0" w14:textId="77777777" w:rsidR="008F45E1" w:rsidRDefault="008F45E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E6F0" w14:textId="77777777" w:rsidR="008F45E1" w:rsidRDefault="008F4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410463"/>
      <w:docPartObj>
        <w:docPartGallery w:val="Page Numbers (Bottom of Page)"/>
        <w:docPartUnique/>
      </w:docPartObj>
    </w:sdtPr>
    <w:sdtEndPr>
      <w:rPr>
        <w:noProof/>
      </w:rPr>
    </w:sdtEndPr>
    <w:sdtContent>
      <w:p w14:paraId="6753E998" w14:textId="08AAC023" w:rsidR="0098104F" w:rsidRDefault="0098104F">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19355439" w14:textId="77777777" w:rsidR="0098104F" w:rsidRDefault="00981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B471" w14:textId="77777777" w:rsidR="00472CFC" w:rsidRDefault="00472C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116782"/>
      <w:docPartObj>
        <w:docPartGallery w:val="Page Numbers (Bottom of Page)"/>
        <w:docPartUnique/>
      </w:docPartObj>
    </w:sdtPr>
    <w:sdtEndPr>
      <w:rPr>
        <w:noProof/>
      </w:rPr>
    </w:sdtEndPr>
    <w:sdtContent>
      <w:p w14:paraId="2EBEAE31" w14:textId="39C054DA" w:rsidR="0098104F" w:rsidRDefault="009810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5E40F9" w14:textId="77777777" w:rsidR="0098104F" w:rsidRPr="00475556" w:rsidRDefault="0098104F" w:rsidP="006C5F4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F604" w14:textId="77777777" w:rsidR="0098104F" w:rsidRDefault="009810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4C5B" w14:textId="77777777" w:rsidR="00A213C3" w:rsidRDefault="00A213C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514817"/>
      <w:docPartObj>
        <w:docPartGallery w:val="Page Numbers (Bottom of Page)"/>
        <w:docPartUnique/>
      </w:docPartObj>
    </w:sdtPr>
    <w:sdtEndPr>
      <w:rPr>
        <w:noProof/>
      </w:rPr>
    </w:sdtEndPr>
    <w:sdtContent>
      <w:p w14:paraId="5EFECF65" w14:textId="77777777" w:rsidR="00A213C3" w:rsidRDefault="00A213C3">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70673C91" w14:textId="77777777" w:rsidR="00A213C3" w:rsidRDefault="00A213C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36EF" w14:textId="77777777" w:rsidR="00A213C3" w:rsidRDefault="00A213C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887688"/>
      <w:docPartObj>
        <w:docPartGallery w:val="Page Numbers (Bottom of Page)"/>
        <w:docPartUnique/>
      </w:docPartObj>
    </w:sdtPr>
    <w:sdtEndPr>
      <w:rPr>
        <w:noProof/>
      </w:rPr>
    </w:sdtEndPr>
    <w:sdtContent>
      <w:p w14:paraId="6FDA6FCE" w14:textId="77777777" w:rsidR="0098104F" w:rsidRDefault="0098104F">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2A003470" w14:textId="77777777" w:rsidR="0098104F" w:rsidRDefault="00981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1804" w14:textId="77777777" w:rsidR="00917EC9" w:rsidRDefault="00917EC9" w:rsidP="005D4F65">
      <w:r>
        <w:separator/>
      </w:r>
    </w:p>
    <w:p w14:paraId="50AB0B39" w14:textId="77777777" w:rsidR="00917EC9" w:rsidRDefault="00917EC9"/>
  </w:footnote>
  <w:footnote w:type="continuationSeparator" w:id="0">
    <w:p w14:paraId="716BE08E" w14:textId="77777777" w:rsidR="00917EC9" w:rsidRDefault="00917EC9" w:rsidP="005D4F65">
      <w:r>
        <w:continuationSeparator/>
      </w:r>
    </w:p>
    <w:p w14:paraId="52929548" w14:textId="77777777" w:rsidR="00917EC9" w:rsidRDefault="00917E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D287" w14:textId="77777777" w:rsidR="00472CFC" w:rsidRDefault="00472C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52F1" w14:textId="77777777" w:rsidR="0098104F" w:rsidRDefault="0098104F">
    <w:pPr>
      <w:pStyle w:val="Header"/>
    </w:pPr>
  </w:p>
  <w:p w14:paraId="46624D50" w14:textId="77777777" w:rsidR="0098104F" w:rsidRDefault="0098104F"/>
  <w:p w14:paraId="0339F731" w14:textId="77777777" w:rsidR="0098104F" w:rsidRDefault="0098104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DDCD" w14:textId="79A075F3" w:rsidR="0098104F" w:rsidRDefault="0098104F" w:rsidP="00720CC4">
    <w:pPr>
      <w:tabs>
        <w:tab w:val="left" w:pos="1392"/>
        <w:tab w:val="left" w:pos="3780"/>
      </w:tabs>
    </w:pPr>
    <w:r>
      <w:tab/>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94BE" w14:textId="77777777" w:rsidR="0098104F" w:rsidRDefault="0098104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890E" w14:textId="77777777" w:rsidR="008F45E1" w:rsidRDefault="008F45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2AD7" w14:textId="77777777" w:rsidR="008F45E1" w:rsidRDefault="008F45E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5F47" w14:textId="77777777" w:rsidR="008F45E1" w:rsidRDefault="008F4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9B43" w14:textId="77777777" w:rsidR="0098104F" w:rsidRDefault="0098104F" w:rsidP="00CE4FF0">
    <w:pPr>
      <w:pStyle w:val="Header"/>
      <w:tabs>
        <w:tab w:val="clear" w:pos="4153"/>
        <w:tab w:val="clear" w:pos="8306"/>
        <w:tab w:val="left" w:pos="247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8CBE" w14:textId="77777777" w:rsidR="00472CFC" w:rsidRDefault="00472C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0A44" w14:textId="77777777" w:rsidR="0098104F" w:rsidRPr="00475556" w:rsidRDefault="0098104F" w:rsidP="006C5F4A">
    <w:r w:rsidRPr="00475556">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A94A" w14:textId="77777777" w:rsidR="00A213C3" w:rsidRDefault="00A213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45D7" w14:textId="77777777" w:rsidR="00A213C3" w:rsidRDefault="00A213C3" w:rsidP="006C5F4A">
    <w:pPr>
      <w:pStyle w:val="Header"/>
      <w:tabs>
        <w:tab w:val="clear" w:pos="4153"/>
        <w:tab w:val="clear" w:pos="8306"/>
        <w:tab w:val="left" w:pos="2472"/>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3FA1" w14:textId="77777777" w:rsidR="00A213C3" w:rsidRDefault="00A213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EC55" w14:textId="77777777" w:rsidR="0098104F" w:rsidRDefault="0098104F" w:rsidP="006C5F4A">
    <w:pPr>
      <w:pStyle w:val="Header"/>
      <w:tabs>
        <w:tab w:val="clear" w:pos="4153"/>
        <w:tab w:val="clear" w:pos="8306"/>
        <w:tab w:val="left" w:pos="2472"/>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6DD7" w14:textId="77777777" w:rsidR="00327D59" w:rsidRDefault="00327D59" w:rsidP="006C5F4A">
    <w:pPr>
      <w:pStyle w:val="Header"/>
      <w:tabs>
        <w:tab w:val="clear" w:pos="4153"/>
        <w:tab w:val="clear" w:pos="8306"/>
        <w:tab w:val="left" w:pos="24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62068"/>
    <w:styleLink w:val="StyleBulletedSymbolsymbolLeft063cmHanging063cm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styleLink w:val="11111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styleLink w:val="ArticleSection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26DA"/>
    <w:multiLevelType w:val="multilevel"/>
    <w:tmpl w:val="0C090023"/>
    <w:styleLink w:val="StyleBulletedSymbolsymbolLeft0cmHanging063cm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0E32131"/>
    <w:multiLevelType w:val="hybridMultilevel"/>
    <w:tmpl w:val="32BA5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55C56AC"/>
    <w:multiLevelType w:val="hybridMultilevel"/>
    <w:tmpl w:val="ADDED144"/>
    <w:styleLink w:val="StyleBulletedSymbolsymbolLeft063cmHanging063cm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9842D5"/>
    <w:multiLevelType w:val="hybridMultilevel"/>
    <w:tmpl w:val="28E8936C"/>
    <w:lvl w:ilvl="0" w:tplc="21CA8F18">
      <w:start w:val="1"/>
      <w:numFmt w:val="bullet"/>
      <w:pStyle w:val="AANormalBulleted"/>
      <w:lvlText w:val=""/>
      <w:lvlJc w:val="left"/>
      <w:pPr>
        <w:tabs>
          <w:tab w:val="num" w:pos="1491"/>
        </w:tabs>
        <w:ind w:left="149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864A71"/>
    <w:multiLevelType w:val="hybridMultilevel"/>
    <w:tmpl w:val="315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9B62A4"/>
    <w:multiLevelType w:val="multilevel"/>
    <w:tmpl w:val="43E889BC"/>
    <w:numStyleLink w:val="StyleBulletedSymbolsymbolLeft0cmHanging063cm"/>
  </w:abstractNum>
  <w:abstractNum w:abstractNumId="17" w15:restartNumberingAfterBreak="0">
    <w:nsid w:val="092043B0"/>
    <w:multiLevelType w:val="hybridMultilevel"/>
    <w:tmpl w:val="A7C6ECF0"/>
    <w:lvl w:ilvl="0" w:tplc="6C6617B0">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4C6A21"/>
    <w:multiLevelType w:val="hybridMultilevel"/>
    <w:tmpl w:val="A7C83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0B47604"/>
    <w:multiLevelType w:val="multilevel"/>
    <w:tmpl w:val="FEFE15E0"/>
    <w:styleLink w:val="StyleBulletedSymbolsymbolLeft063cmHanging063c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3DC1964"/>
    <w:multiLevelType w:val="hybridMultilevel"/>
    <w:tmpl w:val="8D08E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B341AC"/>
    <w:multiLevelType w:val="hybridMultilevel"/>
    <w:tmpl w:val="57AE1FDC"/>
    <w:styleLink w:val="Style212"/>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F05DA7"/>
    <w:multiLevelType w:val="hybridMultilevel"/>
    <w:tmpl w:val="2A30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0C549D"/>
    <w:multiLevelType w:val="hybridMultilevel"/>
    <w:tmpl w:val="99828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89720B2"/>
    <w:multiLevelType w:val="multilevel"/>
    <w:tmpl w:val="7264F804"/>
    <w:lvl w:ilvl="0">
      <w:start w:val="1"/>
      <w:numFmt w:val="decimal"/>
      <w:pStyle w:val="Heading1"/>
      <w:lvlText w:val="%1"/>
      <w:lvlJc w:val="left"/>
      <w:pPr>
        <w:ind w:left="432" w:hanging="432"/>
      </w:pPr>
      <w:rPr>
        <w:rFonts w:hint="default"/>
        <w:b/>
        <w:bCs/>
        <w:i w:val="0"/>
        <w:iCs w:val="0"/>
        <w:caps w:val="0"/>
        <w:smallCaps w:val="0"/>
        <w:strike w:val="0"/>
        <w:dstrike w:val="0"/>
        <w:vanish w:val="0"/>
        <w:color w:val="000000"/>
        <w:spacing w:val="0"/>
        <w:kern w:val="0"/>
        <w:position w:val="0"/>
        <w:sz w:val="26"/>
        <w:u w:val="none"/>
        <w:effect w:val="none"/>
        <w:vertAlign w:val="baseline"/>
        <w:em w:val="none"/>
      </w:rPr>
    </w:lvl>
    <w:lvl w:ilvl="1">
      <w:start w:val="1"/>
      <w:numFmt w:val="decimal"/>
      <w:pStyle w:val="Heading2"/>
      <w:lvlText w:val="%1.%2"/>
      <w:lvlJc w:val="left"/>
      <w:pPr>
        <w:ind w:left="3128" w:hanging="576"/>
      </w:pPr>
      <w:rPr>
        <w:rFonts w:hint="default"/>
        <w:b/>
        <w:i w:val="0"/>
        <w:sz w:val="24"/>
      </w:rPr>
    </w:lvl>
    <w:lvl w:ilvl="2">
      <w:start w:val="1"/>
      <w:numFmt w:val="decimal"/>
      <w:pStyle w:val="Heading3"/>
      <w:lvlText w:val="%1.%2.%3"/>
      <w:lvlJc w:val="left"/>
      <w:pPr>
        <w:ind w:left="4406" w:hanging="720"/>
      </w:pPr>
      <w:rPr>
        <w:rFonts w:hint="default"/>
        <w:b/>
        <w:i w:val="0"/>
        <w:sz w:val="20"/>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198D7ED8"/>
    <w:multiLevelType w:val="hybridMultilevel"/>
    <w:tmpl w:val="7B0CF2B4"/>
    <w:lvl w:ilvl="0" w:tplc="6C6617B0">
      <w:start w:val="1"/>
      <w:numFmt w:val="bullet"/>
      <w:lvlText w:val=""/>
      <w:lvlJc w:val="left"/>
      <w:pPr>
        <w:tabs>
          <w:tab w:val="num" w:pos="851"/>
        </w:tabs>
        <w:ind w:left="851" w:hanging="567"/>
      </w:pPr>
      <w:rPr>
        <w:rFonts w:ascii="Symbol" w:hAnsi="Symbol" w:hint="default"/>
      </w:rPr>
    </w:lvl>
    <w:lvl w:ilvl="1" w:tplc="365EFC8C">
      <w:start w:val="1"/>
      <w:numFmt w:val="bullet"/>
      <w:lvlText w:val="-"/>
      <w:lvlJc w:val="left"/>
      <w:pPr>
        <w:tabs>
          <w:tab w:val="num" w:pos="1440"/>
        </w:tabs>
        <w:ind w:left="1440" w:hanging="360"/>
      </w:pPr>
      <w:rPr>
        <w:rFonts w:ascii="Courier New" w:hAnsi="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1AA90305"/>
    <w:multiLevelType w:val="hybridMultilevel"/>
    <w:tmpl w:val="FC503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1CC50FA"/>
    <w:multiLevelType w:val="hybridMultilevel"/>
    <w:tmpl w:val="AE22EE3E"/>
    <w:styleLink w:val="Style12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B93E5F"/>
    <w:multiLevelType w:val="multilevel"/>
    <w:tmpl w:val="0C09001D"/>
    <w:styleLink w:val="Style2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989347F"/>
    <w:multiLevelType w:val="hybridMultilevel"/>
    <w:tmpl w:val="433494EA"/>
    <w:lvl w:ilvl="0" w:tplc="6C6617B0">
      <w:start w:val="1"/>
      <w:numFmt w:val="bullet"/>
      <w:lvlText w:val=""/>
      <w:lvlJc w:val="left"/>
      <w:pPr>
        <w:tabs>
          <w:tab w:val="num" w:pos="851"/>
        </w:tabs>
        <w:ind w:left="851" w:hanging="56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8F36DD"/>
    <w:multiLevelType w:val="hybridMultilevel"/>
    <w:tmpl w:val="D9508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D210926"/>
    <w:multiLevelType w:val="hybridMultilevel"/>
    <w:tmpl w:val="9086F8A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01D010A"/>
    <w:multiLevelType w:val="hybridMultilevel"/>
    <w:tmpl w:val="14487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2C32354"/>
    <w:multiLevelType w:val="hybridMultilevel"/>
    <w:tmpl w:val="E7AA2452"/>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35263FC8"/>
    <w:multiLevelType w:val="hybridMultilevel"/>
    <w:tmpl w:val="70B2D788"/>
    <w:lvl w:ilvl="0" w:tplc="01D49AAE">
      <w:start w:val="1"/>
      <w:numFmt w:val="bullet"/>
      <w:pStyle w:val="Reportlistparagraph"/>
      <w:lvlText w:val=""/>
      <w:lvlJc w:val="left"/>
      <w:pPr>
        <w:ind w:left="717"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ED7139"/>
    <w:multiLevelType w:val="hybridMultilevel"/>
    <w:tmpl w:val="A0268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37C83B2B"/>
    <w:multiLevelType w:val="hybridMultilevel"/>
    <w:tmpl w:val="513285FA"/>
    <w:styleLink w:val="StyleBulletedSymbolsymbolLeft0cmHanging063cm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8211085"/>
    <w:multiLevelType w:val="multilevel"/>
    <w:tmpl w:val="A2E6E686"/>
    <w:styleLink w:val="StyleBulletedSymbolsymbolLeft063cmHanging063cm"/>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38B11B23"/>
    <w:multiLevelType w:val="hybridMultilevel"/>
    <w:tmpl w:val="624A0C20"/>
    <w:styleLink w:val="StyleBulletedSymbolsymbolLeft063cmHanging063cm11"/>
    <w:lvl w:ilvl="0" w:tplc="F15E62F8">
      <w:start w:val="1"/>
      <w:numFmt w:val="bullet"/>
      <w:pStyle w:val="Subtitle"/>
      <w:lvlText w:val=""/>
      <w:lvlJc w:val="left"/>
      <w:pPr>
        <w:tabs>
          <w:tab w:val="num" w:pos="284"/>
        </w:tabs>
        <w:ind w:left="284" w:hanging="284"/>
      </w:pPr>
      <w:rPr>
        <w:rFonts w:ascii="Wingdings" w:hAnsi="Wingdings" w:hint="default"/>
        <w:b w:val="0"/>
        <w:i w:val="0"/>
        <w:color w:val="auto"/>
        <w:sz w:val="12"/>
      </w:rPr>
    </w:lvl>
    <w:lvl w:ilvl="1" w:tplc="273C859A">
      <w:start w:val="1"/>
      <w:numFmt w:val="bullet"/>
      <w:lvlText w:val="o"/>
      <w:lvlJc w:val="left"/>
      <w:pPr>
        <w:tabs>
          <w:tab w:val="num" w:pos="1440"/>
        </w:tabs>
        <w:ind w:left="1440" w:hanging="360"/>
      </w:pPr>
      <w:rPr>
        <w:rFonts w:ascii="Courier New" w:hAnsi="Courier New" w:hint="default"/>
      </w:rPr>
    </w:lvl>
    <w:lvl w:ilvl="2" w:tplc="CB50312A">
      <w:start w:val="1"/>
      <w:numFmt w:val="bullet"/>
      <w:lvlText w:val=""/>
      <w:lvlJc w:val="left"/>
      <w:pPr>
        <w:tabs>
          <w:tab w:val="num" w:pos="2160"/>
        </w:tabs>
        <w:ind w:left="2160" w:hanging="360"/>
      </w:pPr>
      <w:rPr>
        <w:rFonts w:ascii="Wingdings" w:hAnsi="Wingdings" w:hint="default"/>
      </w:rPr>
    </w:lvl>
    <w:lvl w:ilvl="3" w:tplc="9ACE5AB4">
      <w:start w:val="1"/>
      <w:numFmt w:val="bullet"/>
      <w:lvlText w:val=""/>
      <w:lvlJc w:val="left"/>
      <w:pPr>
        <w:tabs>
          <w:tab w:val="num" w:pos="2880"/>
        </w:tabs>
        <w:ind w:left="2880" w:hanging="360"/>
      </w:pPr>
      <w:rPr>
        <w:rFonts w:ascii="Symbol" w:hAnsi="Symbol" w:hint="default"/>
      </w:rPr>
    </w:lvl>
    <w:lvl w:ilvl="4" w:tplc="109EF152" w:tentative="1">
      <w:start w:val="1"/>
      <w:numFmt w:val="bullet"/>
      <w:lvlText w:val="o"/>
      <w:lvlJc w:val="left"/>
      <w:pPr>
        <w:tabs>
          <w:tab w:val="num" w:pos="3600"/>
        </w:tabs>
        <w:ind w:left="3600" w:hanging="360"/>
      </w:pPr>
      <w:rPr>
        <w:rFonts w:ascii="Courier New" w:hAnsi="Courier New" w:hint="default"/>
      </w:rPr>
    </w:lvl>
    <w:lvl w:ilvl="5" w:tplc="815E8E42" w:tentative="1">
      <w:start w:val="1"/>
      <w:numFmt w:val="bullet"/>
      <w:lvlText w:val=""/>
      <w:lvlJc w:val="left"/>
      <w:pPr>
        <w:tabs>
          <w:tab w:val="num" w:pos="4320"/>
        </w:tabs>
        <w:ind w:left="4320" w:hanging="360"/>
      </w:pPr>
      <w:rPr>
        <w:rFonts w:ascii="Wingdings" w:hAnsi="Wingdings" w:hint="default"/>
      </w:rPr>
    </w:lvl>
    <w:lvl w:ilvl="6" w:tplc="E7D21CFC" w:tentative="1">
      <w:start w:val="1"/>
      <w:numFmt w:val="bullet"/>
      <w:lvlText w:val=""/>
      <w:lvlJc w:val="left"/>
      <w:pPr>
        <w:tabs>
          <w:tab w:val="num" w:pos="5040"/>
        </w:tabs>
        <w:ind w:left="5040" w:hanging="360"/>
      </w:pPr>
      <w:rPr>
        <w:rFonts w:ascii="Symbol" w:hAnsi="Symbol" w:hint="default"/>
      </w:rPr>
    </w:lvl>
    <w:lvl w:ilvl="7" w:tplc="7646C230" w:tentative="1">
      <w:start w:val="1"/>
      <w:numFmt w:val="bullet"/>
      <w:lvlText w:val="o"/>
      <w:lvlJc w:val="left"/>
      <w:pPr>
        <w:tabs>
          <w:tab w:val="num" w:pos="5760"/>
        </w:tabs>
        <w:ind w:left="5760" w:hanging="360"/>
      </w:pPr>
      <w:rPr>
        <w:rFonts w:ascii="Courier New" w:hAnsi="Courier New" w:hint="default"/>
      </w:rPr>
    </w:lvl>
    <w:lvl w:ilvl="8" w:tplc="412C982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3279C7"/>
    <w:multiLevelType w:val="hybridMultilevel"/>
    <w:tmpl w:val="CEBCA38C"/>
    <w:lvl w:ilvl="0" w:tplc="D92C0B10">
      <w:start w:val="1"/>
      <w:numFmt w:val="bullet"/>
      <w:pStyle w:val="ListParagraph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A58C5B14">
      <w:start w:val="1"/>
      <w:numFmt w:val="bullet"/>
      <w:lvlText w:val=""/>
      <w:lvlJc w:val="left"/>
      <w:pPr>
        <w:ind w:left="2520" w:hanging="252"/>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A1F70DF"/>
    <w:multiLevelType w:val="multilevel"/>
    <w:tmpl w:val="7A1846D8"/>
    <w:styleLink w:val="Style121"/>
    <w:lvl w:ilvl="0">
      <w:start w:val="1"/>
      <w:numFmt w:val="decimal"/>
      <w:lvlText w:val="%1.1"/>
      <w:lvlJc w:val="left"/>
      <w:pPr>
        <w:ind w:left="1440" w:hanging="360"/>
      </w:pPr>
      <w:rPr>
        <w:rFonts w:hint="default"/>
      </w:rPr>
    </w:lvl>
    <w:lvl w:ilvl="1">
      <w:start w:val="1"/>
      <w:numFmt w:val="lowerLetter"/>
      <w:lvlText w:val="%2."/>
      <w:lvlJc w:val="left"/>
      <w:pPr>
        <w:ind w:left="2160" w:hanging="360"/>
      </w:pPr>
      <w:rPr>
        <w:rFonts w:ascii="Arial" w:hAnsi="Arial"/>
        <w:b/>
        <w:sz w:val="28"/>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3A5916B4"/>
    <w:multiLevelType w:val="hybridMultilevel"/>
    <w:tmpl w:val="870658F4"/>
    <w:styleLink w:val="Style1212"/>
    <w:lvl w:ilvl="0" w:tplc="105C0ADE">
      <w:start w:val="1"/>
      <w:numFmt w:val="bullet"/>
      <w:pStyle w:val="BoxBullet1"/>
      <w:lvlText w:val=""/>
      <w:lvlJc w:val="left"/>
      <w:pPr>
        <w:tabs>
          <w:tab w:val="num" w:pos="964"/>
        </w:tabs>
        <w:ind w:left="964" w:hanging="720"/>
      </w:pPr>
      <w:rPr>
        <w:rFonts w:ascii="Symbol" w:hAnsi="Symbol" w:hint="default"/>
      </w:rPr>
    </w:lvl>
    <w:lvl w:ilvl="1" w:tplc="0C090003">
      <w:start w:val="1"/>
      <w:numFmt w:val="bullet"/>
      <w:lvlText w:val="o"/>
      <w:lvlJc w:val="left"/>
      <w:pPr>
        <w:tabs>
          <w:tab w:val="num" w:pos="1429"/>
        </w:tabs>
        <w:ind w:left="1429" w:hanging="360"/>
      </w:pPr>
      <w:rPr>
        <w:rFonts w:ascii="Courier New" w:hAnsi="Courier New" w:cs="Courier New" w:hint="default"/>
      </w:rPr>
    </w:lvl>
    <w:lvl w:ilvl="2" w:tplc="0C090005">
      <w:start w:val="1"/>
      <w:numFmt w:val="bullet"/>
      <w:lvlText w:val=""/>
      <w:lvlJc w:val="left"/>
      <w:pPr>
        <w:tabs>
          <w:tab w:val="num" w:pos="2149"/>
        </w:tabs>
        <w:ind w:left="2149" w:hanging="360"/>
      </w:pPr>
      <w:rPr>
        <w:rFonts w:ascii="Wingdings" w:hAnsi="Wingdings" w:hint="default"/>
      </w:rPr>
    </w:lvl>
    <w:lvl w:ilvl="3" w:tplc="0C090001">
      <w:start w:val="1"/>
      <w:numFmt w:val="bullet"/>
      <w:lvlText w:val=""/>
      <w:lvlJc w:val="left"/>
      <w:pPr>
        <w:tabs>
          <w:tab w:val="num" w:pos="2869"/>
        </w:tabs>
        <w:ind w:left="2869" w:hanging="360"/>
      </w:pPr>
      <w:rPr>
        <w:rFonts w:ascii="Symbol" w:hAnsi="Symbol" w:hint="default"/>
      </w:rPr>
    </w:lvl>
    <w:lvl w:ilvl="4" w:tplc="0C090003">
      <w:start w:val="1"/>
      <w:numFmt w:val="bullet"/>
      <w:lvlText w:val="o"/>
      <w:lvlJc w:val="left"/>
      <w:pPr>
        <w:tabs>
          <w:tab w:val="num" w:pos="3589"/>
        </w:tabs>
        <w:ind w:left="3589" w:hanging="360"/>
      </w:pPr>
      <w:rPr>
        <w:rFonts w:ascii="Courier New" w:hAnsi="Courier New" w:cs="Courier New" w:hint="default"/>
      </w:rPr>
    </w:lvl>
    <w:lvl w:ilvl="5" w:tplc="0C090005">
      <w:start w:val="1"/>
      <w:numFmt w:val="bullet"/>
      <w:lvlText w:val=""/>
      <w:lvlJc w:val="left"/>
      <w:pPr>
        <w:tabs>
          <w:tab w:val="num" w:pos="4309"/>
        </w:tabs>
        <w:ind w:left="4309" w:hanging="360"/>
      </w:pPr>
      <w:rPr>
        <w:rFonts w:ascii="Wingdings" w:hAnsi="Wingdings" w:hint="default"/>
      </w:rPr>
    </w:lvl>
    <w:lvl w:ilvl="6" w:tplc="0C090001">
      <w:start w:val="1"/>
      <w:numFmt w:val="bullet"/>
      <w:lvlText w:val=""/>
      <w:lvlJc w:val="left"/>
      <w:pPr>
        <w:tabs>
          <w:tab w:val="num" w:pos="5029"/>
        </w:tabs>
        <w:ind w:left="5029" w:hanging="360"/>
      </w:pPr>
      <w:rPr>
        <w:rFonts w:ascii="Symbol" w:hAnsi="Symbol" w:hint="default"/>
      </w:rPr>
    </w:lvl>
    <w:lvl w:ilvl="7" w:tplc="0C090003">
      <w:start w:val="1"/>
      <w:numFmt w:val="bullet"/>
      <w:lvlText w:val="o"/>
      <w:lvlJc w:val="left"/>
      <w:pPr>
        <w:tabs>
          <w:tab w:val="num" w:pos="5749"/>
        </w:tabs>
        <w:ind w:left="5749" w:hanging="360"/>
      </w:pPr>
      <w:rPr>
        <w:rFonts w:ascii="Courier New" w:hAnsi="Courier New" w:cs="Courier New" w:hint="default"/>
      </w:rPr>
    </w:lvl>
    <w:lvl w:ilvl="8" w:tplc="0C090005">
      <w:start w:val="1"/>
      <w:numFmt w:val="bullet"/>
      <w:lvlText w:val=""/>
      <w:lvlJc w:val="left"/>
      <w:pPr>
        <w:tabs>
          <w:tab w:val="num" w:pos="6469"/>
        </w:tabs>
        <w:ind w:left="6469" w:hanging="360"/>
      </w:pPr>
      <w:rPr>
        <w:rFonts w:ascii="Wingdings" w:hAnsi="Wingdings" w:hint="default"/>
      </w:rPr>
    </w:lvl>
  </w:abstractNum>
  <w:abstractNum w:abstractNumId="42" w15:restartNumberingAfterBreak="0">
    <w:nsid w:val="3B492361"/>
    <w:multiLevelType w:val="hybridMultilevel"/>
    <w:tmpl w:val="74BCF082"/>
    <w:lvl w:ilvl="0" w:tplc="0C090001">
      <w:start w:val="1"/>
      <w:numFmt w:val="bullet"/>
      <w:lvlText w:val=""/>
      <w:lvlJc w:val="left"/>
      <w:pPr>
        <w:ind w:left="765" w:hanging="360"/>
      </w:pPr>
      <w:rPr>
        <w:rFonts w:ascii="Symbol" w:hAnsi="Symbol" w:hint="default"/>
        <w:b/>
        <w:i w:val="0"/>
      </w:rPr>
    </w:lvl>
    <w:lvl w:ilvl="1" w:tplc="8EA6F48A">
      <w:numFmt w:val="bullet"/>
      <w:lvlText w:val="-"/>
      <w:lvlJc w:val="left"/>
      <w:pPr>
        <w:ind w:left="1485" w:hanging="360"/>
      </w:pPr>
      <w:rPr>
        <w:rFonts w:ascii="Arial" w:eastAsia="Times New Roman" w:hAnsi="Arial" w:cs="Arial" w:hint="default"/>
      </w:rPr>
    </w:lvl>
    <w:lvl w:ilvl="2" w:tplc="0C09001B">
      <w:start w:val="1"/>
      <w:numFmt w:val="lowerRoman"/>
      <w:lvlText w:val="%3."/>
      <w:lvlJc w:val="right"/>
      <w:pPr>
        <w:ind w:left="2205" w:hanging="180"/>
      </w:pPr>
    </w:lvl>
    <w:lvl w:ilvl="3" w:tplc="0C09000F">
      <w:start w:val="1"/>
      <w:numFmt w:val="decimal"/>
      <w:lvlText w:val="%4."/>
      <w:lvlJc w:val="left"/>
      <w:pPr>
        <w:ind w:left="2925" w:hanging="360"/>
      </w:pPr>
    </w:lvl>
    <w:lvl w:ilvl="4" w:tplc="0C090019">
      <w:start w:val="1"/>
      <w:numFmt w:val="lowerLetter"/>
      <w:lvlText w:val="%5."/>
      <w:lvlJc w:val="left"/>
      <w:pPr>
        <w:ind w:left="3645" w:hanging="360"/>
      </w:pPr>
    </w:lvl>
    <w:lvl w:ilvl="5" w:tplc="0C09001B">
      <w:start w:val="1"/>
      <w:numFmt w:val="lowerRoman"/>
      <w:lvlText w:val="%6."/>
      <w:lvlJc w:val="right"/>
      <w:pPr>
        <w:ind w:left="4365" w:hanging="180"/>
      </w:pPr>
    </w:lvl>
    <w:lvl w:ilvl="6" w:tplc="0C09000F">
      <w:start w:val="1"/>
      <w:numFmt w:val="decimal"/>
      <w:lvlText w:val="%7."/>
      <w:lvlJc w:val="left"/>
      <w:pPr>
        <w:ind w:left="5085" w:hanging="360"/>
      </w:pPr>
    </w:lvl>
    <w:lvl w:ilvl="7" w:tplc="0C090019">
      <w:start w:val="1"/>
      <w:numFmt w:val="lowerLetter"/>
      <w:lvlText w:val="%8."/>
      <w:lvlJc w:val="left"/>
      <w:pPr>
        <w:ind w:left="5805" w:hanging="360"/>
      </w:pPr>
    </w:lvl>
    <w:lvl w:ilvl="8" w:tplc="0C09001B">
      <w:start w:val="1"/>
      <w:numFmt w:val="lowerRoman"/>
      <w:lvlText w:val="%9."/>
      <w:lvlJc w:val="right"/>
      <w:pPr>
        <w:ind w:left="6525" w:hanging="180"/>
      </w:pPr>
    </w:lvl>
  </w:abstractNum>
  <w:abstractNum w:abstractNumId="43" w15:restartNumberingAfterBreak="0">
    <w:nsid w:val="3B8F139E"/>
    <w:multiLevelType w:val="hybridMultilevel"/>
    <w:tmpl w:val="5C4C68AE"/>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44" w15:restartNumberingAfterBreak="0">
    <w:nsid w:val="3D912F59"/>
    <w:multiLevelType w:val="multilevel"/>
    <w:tmpl w:val="ABCC5A4E"/>
    <w:styleLink w:val="StyleBulletedSymbolsymbolLeft0cmHanging063cm1"/>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252"/>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3E575D4A"/>
    <w:multiLevelType w:val="hybridMultilevel"/>
    <w:tmpl w:val="75EEB84C"/>
    <w:styleLink w:val="StyleBulletedSymbolsymbolLeft0cmHanging063cm11"/>
    <w:lvl w:ilvl="0" w:tplc="E66C6570">
      <w:start w:val="1"/>
      <w:numFmt w:val="bullet"/>
      <w:lvlText w:val="•"/>
      <w:lvlJc w:val="left"/>
      <w:pPr>
        <w:tabs>
          <w:tab w:val="num" w:pos="720"/>
        </w:tabs>
        <w:ind w:left="720" w:hanging="360"/>
      </w:pPr>
      <w:rPr>
        <w:rFonts w:ascii="Arial" w:hAnsi="Arial" w:hint="default"/>
      </w:rPr>
    </w:lvl>
    <w:lvl w:ilvl="1" w:tplc="D8364F34" w:tentative="1">
      <w:start w:val="1"/>
      <w:numFmt w:val="bullet"/>
      <w:lvlText w:val="•"/>
      <w:lvlJc w:val="left"/>
      <w:pPr>
        <w:tabs>
          <w:tab w:val="num" w:pos="1440"/>
        </w:tabs>
        <w:ind w:left="1440" w:hanging="360"/>
      </w:pPr>
      <w:rPr>
        <w:rFonts w:ascii="Arial" w:hAnsi="Arial" w:hint="default"/>
      </w:rPr>
    </w:lvl>
    <w:lvl w:ilvl="2" w:tplc="FE6C0B12" w:tentative="1">
      <w:start w:val="1"/>
      <w:numFmt w:val="bullet"/>
      <w:lvlText w:val="•"/>
      <w:lvlJc w:val="left"/>
      <w:pPr>
        <w:tabs>
          <w:tab w:val="num" w:pos="2160"/>
        </w:tabs>
        <w:ind w:left="2160" w:hanging="360"/>
      </w:pPr>
      <w:rPr>
        <w:rFonts w:ascii="Arial" w:hAnsi="Arial" w:hint="default"/>
      </w:rPr>
    </w:lvl>
    <w:lvl w:ilvl="3" w:tplc="06789544" w:tentative="1">
      <w:start w:val="1"/>
      <w:numFmt w:val="bullet"/>
      <w:lvlText w:val="•"/>
      <w:lvlJc w:val="left"/>
      <w:pPr>
        <w:tabs>
          <w:tab w:val="num" w:pos="2880"/>
        </w:tabs>
        <w:ind w:left="2880" w:hanging="360"/>
      </w:pPr>
      <w:rPr>
        <w:rFonts w:ascii="Arial" w:hAnsi="Arial" w:hint="default"/>
      </w:rPr>
    </w:lvl>
    <w:lvl w:ilvl="4" w:tplc="B8260CA8" w:tentative="1">
      <w:start w:val="1"/>
      <w:numFmt w:val="bullet"/>
      <w:lvlText w:val="•"/>
      <w:lvlJc w:val="left"/>
      <w:pPr>
        <w:tabs>
          <w:tab w:val="num" w:pos="3600"/>
        </w:tabs>
        <w:ind w:left="3600" w:hanging="360"/>
      </w:pPr>
      <w:rPr>
        <w:rFonts w:ascii="Arial" w:hAnsi="Arial" w:hint="default"/>
      </w:rPr>
    </w:lvl>
    <w:lvl w:ilvl="5" w:tplc="D3A021F0" w:tentative="1">
      <w:start w:val="1"/>
      <w:numFmt w:val="bullet"/>
      <w:lvlText w:val="•"/>
      <w:lvlJc w:val="left"/>
      <w:pPr>
        <w:tabs>
          <w:tab w:val="num" w:pos="4320"/>
        </w:tabs>
        <w:ind w:left="4320" w:hanging="360"/>
      </w:pPr>
      <w:rPr>
        <w:rFonts w:ascii="Arial" w:hAnsi="Arial" w:hint="default"/>
      </w:rPr>
    </w:lvl>
    <w:lvl w:ilvl="6" w:tplc="3F1CA76C" w:tentative="1">
      <w:start w:val="1"/>
      <w:numFmt w:val="bullet"/>
      <w:lvlText w:val="•"/>
      <w:lvlJc w:val="left"/>
      <w:pPr>
        <w:tabs>
          <w:tab w:val="num" w:pos="5040"/>
        </w:tabs>
        <w:ind w:left="5040" w:hanging="360"/>
      </w:pPr>
      <w:rPr>
        <w:rFonts w:ascii="Arial" w:hAnsi="Arial" w:hint="default"/>
      </w:rPr>
    </w:lvl>
    <w:lvl w:ilvl="7" w:tplc="67966B04" w:tentative="1">
      <w:start w:val="1"/>
      <w:numFmt w:val="bullet"/>
      <w:lvlText w:val="•"/>
      <w:lvlJc w:val="left"/>
      <w:pPr>
        <w:tabs>
          <w:tab w:val="num" w:pos="5760"/>
        </w:tabs>
        <w:ind w:left="5760" w:hanging="360"/>
      </w:pPr>
      <w:rPr>
        <w:rFonts w:ascii="Arial" w:hAnsi="Arial" w:hint="default"/>
      </w:rPr>
    </w:lvl>
    <w:lvl w:ilvl="8" w:tplc="FDFC5DF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EEE64F6"/>
    <w:multiLevelType w:val="hybridMultilevel"/>
    <w:tmpl w:val="E3C4755A"/>
    <w:styleLink w:val="Style1112"/>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6D00F300">
      <w:start w:val="1"/>
      <w:numFmt w:val="bullet"/>
      <w:pStyle w:val="Bullet3"/>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F136A6E"/>
    <w:multiLevelType w:val="hybridMultilevel"/>
    <w:tmpl w:val="71D800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419407BC"/>
    <w:multiLevelType w:val="hybridMultilevel"/>
    <w:tmpl w:val="B400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F52CC5"/>
    <w:multiLevelType w:val="hybridMultilevel"/>
    <w:tmpl w:val="676ABBF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5BB6429"/>
    <w:multiLevelType w:val="hybridMultilevel"/>
    <w:tmpl w:val="A824E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C4C5338"/>
    <w:multiLevelType w:val="hybridMultilevel"/>
    <w:tmpl w:val="84424228"/>
    <w:lvl w:ilvl="0" w:tplc="6C6617B0">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1156"/>
        </w:tabs>
        <w:ind w:left="1156" w:hanging="360"/>
      </w:pPr>
      <w:rPr>
        <w:rFonts w:ascii="Symbol" w:hAnsi="Symbol" w:hint="default"/>
      </w:rPr>
    </w:lvl>
    <w:lvl w:ilvl="2" w:tplc="0C090005">
      <w:start w:val="1"/>
      <w:numFmt w:val="decimal"/>
      <w:lvlText w:val="%3."/>
      <w:lvlJc w:val="left"/>
      <w:pPr>
        <w:tabs>
          <w:tab w:val="num" w:pos="1876"/>
        </w:tabs>
        <w:ind w:left="1876" w:hanging="360"/>
      </w:pPr>
    </w:lvl>
    <w:lvl w:ilvl="3" w:tplc="0C090001">
      <w:start w:val="1"/>
      <w:numFmt w:val="decimal"/>
      <w:lvlText w:val="%4."/>
      <w:lvlJc w:val="left"/>
      <w:pPr>
        <w:tabs>
          <w:tab w:val="num" w:pos="2596"/>
        </w:tabs>
        <w:ind w:left="2596" w:hanging="360"/>
      </w:pPr>
    </w:lvl>
    <w:lvl w:ilvl="4" w:tplc="0C090003">
      <w:start w:val="1"/>
      <w:numFmt w:val="decimal"/>
      <w:lvlText w:val="%5."/>
      <w:lvlJc w:val="left"/>
      <w:pPr>
        <w:tabs>
          <w:tab w:val="num" w:pos="3316"/>
        </w:tabs>
        <w:ind w:left="3316" w:hanging="360"/>
      </w:pPr>
    </w:lvl>
    <w:lvl w:ilvl="5" w:tplc="0C090005">
      <w:start w:val="1"/>
      <w:numFmt w:val="decimal"/>
      <w:lvlText w:val="%6."/>
      <w:lvlJc w:val="left"/>
      <w:pPr>
        <w:tabs>
          <w:tab w:val="num" w:pos="4036"/>
        </w:tabs>
        <w:ind w:left="4036" w:hanging="360"/>
      </w:pPr>
    </w:lvl>
    <w:lvl w:ilvl="6" w:tplc="0C090001">
      <w:start w:val="1"/>
      <w:numFmt w:val="decimal"/>
      <w:lvlText w:val="%7."/>
      <w:lvlJc w:val="left"/>
      <w:pPr>
        <w:tabs>
          <w:tab w:val="num" w:pos="4756"/>
        </w:tabs>
        <w:ind w:left="4756" w:hanging="360"/>
      </w:pPr>
    </w:lvl>
    <w:lvl w:ilvl="7" w:tplc="0C090003">
      <w:start w:val="1"/>
      <w:numFmt w:val="decimal"/>
      <w:lvlText w:val="%8."/>
      <w:lvlJc w:val="left"/>
      <w:pPr>
        <w:tabs>
          <w:tab w:val="num" w:pos="5476"/>
        </w:tabs>
        <w:ind w:left="5476" w:hanging="360"/>
      </w:pPr>
    </w:lvl>
    <w:lvl w:ilvl="8" w:tplc="0C090005">
      <w:start w:val="1"/>
      <w:numFmt w:val="decimal"/>
      <w:lvlText w:val="%9."/>
      <w:lvlJc w:val="left"/>
      <w:pPr>
        <w:tabs>
          <w:tab w:val="num" w:pos="6196"/>
        </w:tabs>
        <w:ind w:left="6196" w:hanging="360"/>
      </w:pPr>
    </w:lvl>
  </w:abstractNum>
  <w:abstractNum w:abstractNumId="52" w15:restartNumberingAfterBreak="0">
    <w:nsid w:val="4D1F5AF3"/>
    <w:multiLevelType w:val="multilevel"/>
    <w:tmpl w:val="C3F4E5F2"/>
    <w:lvl w:ilvl="0">
      <w:start w:val="2"/>
      <w:numFmt w:val="decimal"/>
      <w:pStyle w:val="Styleheading3MABefore12ptAfter12pt"/>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b/>
        <w:i w:val="0"/>
        <w:sz w:val="32"/>
      </w:rPr>
    </w:lvl>
    <w:lvl w:ilvl="2">
      <w:start w:val="1"/>
      <w:numFmt w:val="decimal"/>
      <w:pStyle w:val="Styleheading3MABefore12ptAfter12pt"/>
      <w:lvlText w:val="%1.7.%3"/>
      <w:lvlJc w:val="left"/>
      <w:pPr>
        <w:tabs>
          <w:tab w:val="num" w:pos="720"/>
        </w:tabs>
        <w:ind w:left="720" w:hanging="15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E236229"/>
    <w:multiLevelType w:val="hybridMultilevel"/>
    <w:tmpl w:val="22A8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E2A72D5"/>
    <w:multiLevelType w:val="hybridMultilevel"/>
    <w:tmpl w:val="60BEF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ECE0557"/>
    <w:multiLevelType w:val="hybridMultilevel"/>
    <w:tmpl w:val="8FF63470"/>
    <w:lvl w:ilvl="0" w:tplc="01FC60C2">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ED63BD9"/>
    <w:multiLevelType w:val="hybridMultilevel"/>
    <w:tmpl w:val="75A24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0407609"/>
    <w:multiLevelType w:val="hybridMultilevel"/>
    <w:tmpl w:val="2BA48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1DE7EAA"/>
    <w:multiLevelType w:val="hybridMultilevel"/>
    <w:tmpl w:val="3362BC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43374E7"/>
    <w:multiLevelType w:val="hybridMultilevel"/>
    <w:tmpl w:val="F44CB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4F50EA7"/>
    <w:multiLevelType w:val="multilevel"/>
    <w:tmpl w:val="0C09001D"/>
    <w:styleLink w:val="Style111"/>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hint="default"/>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7576FB2"/>
    <w:multiLevelType w:val="hybridMultilevel"/>
    <w:tmpl w:val="8A5C4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A181A3C"/>
    <w:multiLevelType w:val="multilevel"/>
    <w:tmpl w:val="43E889BC"/>
    <w:styleLink w:val="StyleBulletedSymbolsymbolLeft0cmHanging063cm"/>
    <w:lvl w:ilvl="0">
      <w:start w:val="1"/>
      <w:numFmt w:val="bullet"/>
      <w:pStyle w:val="AANormal"/>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252"/>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5AAC3D27"/>
    <w:multiLevelType w:val="hybridMultilevel"/>
    <w:tmpl w:val="91607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B883A88"/>
    <w:multiLevelType w:val="multilevel"/>
    <w:tmpl w:val="6DCA3D02"/>
    <w:lvl w:ilvl="0">
      <w:start w:val="1"/>
      <w:numFmt w:val="decimal"/>
      <w:pStyle w:val="Firstheading"/>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5C865679"/>
    <w:multiLevelType w:val="hybridMultilevel"/>
    <w:tmpl w:val="62388D86"/>
    <w:styleLink w:val="Style1111"/>
    <w:lvl w:ilvl="0" w:tplc="B964A944">
      <w:start w:val="1"/>
      <w:numFmt w:val="bullet"/>
      <w:lvlText w:val="•"/>
      <w:lvlJc w:val="left"/>
      <w:pPr>
        <w:tabs>
          <w:tab w:val="num" w:pos="720"/>
        </w:tabs>
        <w:ind w:left="720" w:hanging="360"/>
      </w:pPr>
      <w:rPr>
        <w:rFonts w:ascii="Arial" w:hAnsi="Arial" w:hint="default"/>
      </w:rPr>
    </w:lvl>
    <w:lvl w:ilvl="1" w:tplc="29EEEE70" w:tentative="1">
      <w:start w:val="1"/>
      <w:numFmt w:val="bullet"/>
      <w:lvlText w:val="•"/>
      <w:lvlJc w:val="left"/>
      <w:pPr>
        <w:tabs>
          <w:tab w:val="num" w:pos="1440"/>
        </w:tabs>
        <w:ind w:left="1440" w:hanging="360"/>
      </w:pPr>
      <w:rPr>
        <w:rFonts w:ascii="Arial" w:hAnsi="Arial" w:hint="default"/>
      </w:rPr>
    </w:lvl>
    <w:lvl w:ilvl="2" w:tplc="E9E804B4" w:tentative="1">
      <w:start w:val="1"/>
      <w:numFmt w:val="bullet"/>
      <w:lvlText w:val="•"/>
      <w:lvlJc w:val="left"/>
      <w:pPr>
        <w:tabs>
          <w:tab w:val="num" w:pos="2160"/>
        </w:tabs>
        <w:ind w:left="2160" w:hanging="360"/>
      </w:pPr>
      <w:rPr>
        <w:rFonts w:ascii="Arial" w:hAnsi="Arial" w:hint="default"/>
      </w:rPr>
    </w:lvl>
    <w:lvl w:ilvl="3" w:tplc="BB7C119E" w:tentative="1">
      <w:start w:val="1"/>
      <w:numFmt w:val="bullet"/>
      <w:lvlText w:val="•"/>
      <w:lvlJc w:val="left"/>
      <w:pPr>
        <w:tabs>
          <w:tab w:val="num" w:pos="2880"/>
        </w:tabs>
        <w:ind w:left="2880" w:hanging="360"/>
      </w:pPr>
      <w:rPr>
        <w:rFonts w:ascii="Arial" w:hAnsi="Arial" w:hint="default"/>
      </w:rPr>
    </w:lvl>
    <w:lvl w:ilvl="4" w:tplc="1936A6DA" w:tentative="1">
      <w:start w:val="1"/>
      <w:numFmt w:val="bullet"/>
      <w:lvlText w:val="•"/>
      <w:lvlJc w:val="left"/>
      <w:pPr>
        <w:tabs>
          <w:tab w:val="num" w:pos="3600"/>
        </w:tabs>
        <w:ind w:left="3600" w:hanging="360"/>
      </w:pPr>
      <w:rPr>
        <w:rFonts w:ascii="Arial" w:hAnsi="Arial" w:hint="default"/>
      </w:rPr>
    </w:lvl>
    <w:lvl w:ilvl="5" w:tplc="79BCA6A8" w:tentative="1">
      <w:start w:val="1"/>
      <w:numFmt w:val="bullet"/>
      <w:lvlText w:val="•"/>
      <w:lvlJc w:val="left"/>
      <w:pPr>
        <w:tabs>
          <w:tab w:val="num" w:pos="4320"/>
        </w:tabs>
        <w:ind w:left="4320" w:hanging="360"/>
      </w:pPr>
      <w:rPr>
        <w:rFonts w:ascii="Arial" w:hAnsi="Arial" w:hint="default"/>
      </w:rPr>
    </w:lvl>
    <w:lvl w:ilvl="6" w:tplc="E4A40F58" w:tentative="1">
      <w:start w:val="1"/>
      <w:numFmt w:val="bullet"/>
      <w:lvlText w:val="•"/>
      <w:lvlJc w:val="left"/>
      <w:pPr>
        <w:tabs>
          <w:tab w:val="num" w:pos="5040"/>
        </w:tabs>
        <w:ind w:left="5040" w:hanging="360"/>
      </w:pPr>
      <w:rPr>
        <w:rFonts w:ascii="Arial" w:hAnsi="Arial" w:hint="default"/>
      </w:rPr>
    </w:lvl>
    <w:lvl w:ilvl="7" w:tplc="FB1CFE2E" w:tentative="1">
      <w:start w:val="1"/>
      <w:numFmt w:val="bullet"/>
      <w:lvlText w:val="•"/>
      <w:lvlJc w:val="left"/>
      <w:pPr>
        <w:tabs>
          <w:tab w:val="num" w:pos="5760"/>
        </w:tabs>
        <w:ind w:left="5760" w:hanging="360"/>
      </w:pPr>
      <w:rPr>
        <w:rFonts w:ascii="Arial" w:hAnsi="Arial" w:hint="default"/>
      </w:rPr>
    </w:lvl>
    <w:lvl w:ilvl="8" w:tplc="DE561412"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C8C368C"/>
    <w:multiLevelType w:val="hybridMultilevel"/>
    <w:tmpl w:val="980A1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D94335C"/>
    <w:multiLevelType w:val="hybridMultilevel"/>
    <w:tmpl w:val="2F1E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E9F41ED"/>
    <w:multiLevelType w:val="hybridMultilevel"/>
    <w:tmpl w:val="4198EB8A"/>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69" w15:restartNumberingAfterBreak="0">
    <w:nsid w:val="5F55010A"/>
    <w:multiLevelType w:val="multilevel"/>
    <w:tmpl w:val="0C0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63201D7C"/>
    <w:multiLevelType w:val="hybridMultilevel"/>
    <w:tmpl w:val="BCBE5F0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63B2C33"/>
    <w:multiLevelType w:val="hybridMultilevel"/>
    <w:tmpl w:val="ECA866EC"/>
    <w:lvl w:ilvl="0" w:tplc="9F9EFE62">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736451F"/>
    <w:multiLevelType w:val="hybridMultilevel"/>
    <w:tmpl w:val="F154C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831716E"/>
    <w:multiLevelType w:val="multilevel"/>
    <w:tmpl w:val="EB2EE376"/>
    <w:styleLink w:val="1ai12"/>
    <w:lvl w:ilvl="0">
      <w:start w:val="2"/>
      <w:numFmt w:val="decimal"/>
      <w:pStyle w:val="heading3MA"/>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b/>
        <w:i w:val="0"/>
        <w:sz w:val="32"/>
      </w:rPr>
    </w:lvl>
    <w:lvl w:ilvl="2">
      <w:start w:val="1"/>
      <w:numFmt w:val="decimal"/>
      <w:lvlRestart w:val="0"/>
      <w:pStyle w:val="heading3MA"/>
      <w:lvlText w:val="%1.4.%3"/>
      <w:lvlJc w:val="left"/>
      <w:pPr>
        <w:tabs>
          <w:tab w:val="num" w:pos="720"/>
        </w:tabs>
        <w:ind w:left="720" w:hanging="15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6D7318A7"/>
    <w:multiLevelType w:val="hybridMultilevel"/>
    <w:tmpl w:val="8B68B71A"/>
    <w:styleLink w:val="StyleBulletedSymbolsymbolLeft063cmHanging063cm3"/>
    <w:lvl w:ilvl="0" w:tplc="F146C12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35B35EC"/>
    <w:multiLevelType w:val="hybridMultilevel"/>
    <w:tmpl w:val="C86C53AC"/>
    <w:lvl w:ilvl="0" w:tplc="0C090001">
      <w:start w:val="1"/>
      <w:numFmt w:val="bullet"/>
      <w:pStyle w:val="Collaboratorboxe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73AA0B74"/>
    <w:multiLevelType w:val="multilevel"/>
    <w:tmpl w:val="FEFE15E0"/>
    <w:styleLink w:val="StyleBulletedSymbolsymbolLeft0cmHanging063cm23"/>
    <w:lvl w:ilvl="0">
      <w:start w:val="1"/>
      <w:numFmt w:val="bullet"/>
      <w:lvlText w:val=""/>
      <w:lvlJc w:val="left"/>
      <w:pPr>
        <w:tabs>
          <w:tab w:val="num" w:pos="718"/>
        </w:tabs>
        <w:ind w:left="718" w:hanging="360"/>
      </w:pPr>
      <w:rPr>
        <w:rFonts w:ascii="Symbol" w:hAnsi="Symbol"/>
      </w:rPr>
    </w:lvl>
    <w:lvl w:ilvl="1">
      <w:start w:val="1"/>
      <w:numFmt w:val="bullet"/>
      <w:lvlText w:val=""/>
      <w:lvlJc w:val="left"/>
      <w:pPr>
        <w:tabs>
          <w:tab w:val="num" w:pos="1438"/>
        </w:tabs>
        <w:ind w:left="1438" w:hanging="360"/>
      </w:pPr>
      <w:rPr>
        <w:rFonts w:ascii="Symbol" w:hAnsi="Symbol" w:hint="default"/>
      </w:rPr>
    </w:lvl>
    <w:lvl w:ilvl="2">
      <w:start w:val="1"/>
      <w:numFmt w:val="lowerRoman"/>
      <w:lvlText w:val="%3."/>
      <w:lvlJc w:val="right"/>
      <w:pPr>
        <w:tabs>
          <w:tab w:val="num" w:pos="2158"/>
        </w:tabs>
        <w:ind w:left="2158" w:hanging="180"/>
      </w:pPr>
    </w:lvl>
    <w:lvl w:ilvl="3">
      <w:start w:val="1"/>
      <w:numFmt w:val="decimal"/>
      <w:lvlText w:val="%4."/>
      <w:lvlJc w:val="left"/>
      <w:pPr>
        <w:tabs>
          <w:tab w:val="num" w:pos="2878"/>
        </w:tabs>
        <w:ind w:left="2878" w:hanging="360"/>
      </w:pPr>
    </w:lvl>
    <w:lvl w:ilvl="4">
      <w:start w:val="1"/>
      <w:numFmt w:val="lowerLetter"/>
      <w:lvlText w:val="%5."/>
      <w:lvlJc w:val="left"/>
      <w:pPr>
        <w:tabs>
          <w:tab w:val="num" w:pos="3598"/>
        </w:tabs>
        <w:ind w:left="3598" w:hanging="360"/>
      </w:pPr>
    </w:lvl>
    <w:lvl w:ilvl="5">
      <w:start w:val="1"/>
      <w:numFmt w:val="lowerRoman"/>
      <w:lvlText w:val="%6."/>
      <w:lvlJc w:val="right"/>
      <w:pPr>
        <w:tabs>
          <w:tab w:val="num" w:pos="4318"/>
        </w:tabs>
        <w:ind w:left="4318" w:hanging="180"/>
      </w:pPr>
    </w:lvl>
    <w:lvl w:ilvl="6">
      <w:start w:val="1"/>
      <w:numFmt w:val="decimal"/>
      <w:lvlText w:val="%7."/>
      <w:lvlJc w:val="left"/>
      <w:pPr>
        <w:tabs>
          <w:tab w:val="num" w:pos="5038"/>
        </w:tabs>
        <w:ind w:left="5038" w:hanging="360"/>
      </w:pPr>
    </w:lvl>
    <w:lvl w:ilvl="7">
      <w:start w:val="1"/>
      <w:numFmt w:val="lowerLetter"/>
      <w:lvlText w:val="%8."/>
      <w:lvlJc w:val="left"/>
      <w:pPr>
        <w:tabs>
          <w:tab w:val="num" w:pos="5758"/>
        </w:tabs>
        <w:ind w:left="5758" w:hanging="360"/>
      </w:pPr>
    </w:lvl>
    <w:lvl w:ilvl="8">
      <w:start w:val="1"/>
      <w:numFmt w:val="lowerRoman"/>
      <w:lvlText w:val="%9."/>
      <w:lvlJc w:val="right"/>
      <w:pPr>
        <w:tabs>
          <w:tab w:val="num" w:pos="6478"/>
        </w:tabs>
        <w:ind w:left="6478" w:hanging="180"/>
      </w:pPr>
    </w:lvl>
  </w:abstractNum>
  <w:abstractNum w:abstractNumId="77" w15:restartNumberingAfterBreak="0">
    <w:nsid w:val="73BD7637"/>
    <w:multiLevelType w:val="hybridMultilevel"/>
    <w:tmpl w:val="B72E12AC"/>
    <w:lvl w:ilvl="0" w:tplc="365EFC8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4EF3CC7"/>
    <w:multiLevelType w:val="multilevel"/>
    <w:tmpl w:val="65481312"/>
    <w:styleLink w:val="StyleBulletedSymbolsymbolLeft0cmHanging063cm2"/>
    <w:lvl w:ilvl="0">
      <w:start w:val="1"/>
      <w:numFmt w:val="decimal"/>
      <w:lvlText w:val="%1."/>
      <w:lvlJc w:val="left"/>
      <w:rPr>
        <w:rFonts w:ascii="Arial" w:hAnsi="Arial" w:cs="Times New Roman" w:hint="default"/>
        <w:b/>
        <w:bCs/>
        <w:i w:val="0"/>
        <w:iCs w:val="0"/>
        <w:caps w:val="0"/>
        <w:smallCaps w:val="0"/>
        <w:strike w:val="0"/>
        <w:dstrike w:val="0"/>
        <w:noProof w:val="0"/>
        <w:vanish w:val="0"/>
        <w:color w:val="000000"/>
        <w:spacing w:val="0"/>
        <w:kern w:val="0"/>
        <w:position w:val="0"/>
        <w:sz w:val="26"/>
        <w:u w:val="none"/>
        <w:effect w:val="none"/>
        <w:vertAlign w:val="baseline"/>
        <w:em w:val="none"/>
        <w:specVanish w:val="0"/>
      </w:rPr>
    </w:lvl>
    <w:lvl w:ilvl="1">
      <w:start w:val="1"/>
      <w:numFmt w:val="decimal"/>
      <w:lvlText w:val="%1.%2"/>
      <w:lvlJc w:val="left"/>
      <w:pPr>
        <w:ind w:left="860" w:hanging="718"/>
      </w:pPr>
      <w:rPr>
        <w:rFonts w:ascii="Arial" w:hAnsi="Arial" w:hint="default"/>
        <w:b/>
        <w:i w:val="0"/>
        <w:sz w:val="24"/>
      </w:rPr>
    </w:lvl>
    <w:lvl w:ilvl="2">
      <w:start w:val="1"/>
      <w:numFmt w:val="decimal"/>
      <w:suff w:val="space"/>
      <w:lvlText w:val="%1.%2.%3"/>
      <w:lvlJc w:val="left"/>
      <w:pPr>
        <w:ind w:left="709" w:hanging="567"/>
      </w:pPr>
      <w:rPr>
        <w:rFonts w:ascii="Arial" w:hAnsi="Arial" w:hint="default"/>
        <w:b/>
        <w:i w:val="0"/>
        <w:sz w:val="20"/>
      </w:rPr>
    </w:lvl>
    <w:lvl w:ilvl="3">
      <w:start w:val="1"/>
      <w:numFmt w:val="bullet"/>
      <w:lvlText w:val=""/>
      <w:lvlJc w:val="left"/>
      <w:pPr>
        <w:tabs>
          <w:tab w:val="num" w:pos="397"/>
        </w:tabs>
        <w:ind w:left="86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15:restartNumberingAfterBreak="0">
    <w:nsid w:val="755811B5"/>
    <w:multiLevelType w:val="hybridMultilevel"/>
    <w:tmpl w:val="DDFA5E9C"/>
    <w:styleLink w:val="StyleBulletedSymbolsymbolLeft0cmHanging063cm12"/>
    <w:lvl w:ilvl="0" w:tplc="EBB2C5BC">
      <w:start w:val="1"/>
      <w:numFmt w:val="bullet"/>
      <w:pStyle w:val="TableFigBullet1"/>
      <w:lvlText w:val=""/>
      <w:lvlJc w:val="left"/>
      <w:pPr>
        <w:ind w:left="829" w:hanging="377"/>
      </w:pPr>
      <w:rPr>
        <w:rFonts w:ascii="Symbol" w:hAnsi="Symbol" w:hint="default"/>
      </w:rPr>
    </w:lvl>
    <w:lvl w:ilvl="1" w:tplc="0C090003">
      <w:start w:val="1"/>
      <w:numFmt w:val="bullet"/>
      <w:lvlText w:val="o"/>
      <w:lvlJc w:val="left"/>
      <w:pPr>
        <w:ind w:left="1665" w:hanging="360"/>
      </w:pPr>
      <w:rPr>
        <w:rFonts w:ascii="Courier New" w:hAnsi="Courier New" w:cs="Courier New" w:hint="default"/>
      </w:rPr>
    </w:lvl>
    <w:lvl w:ilvl="2" w:tplc="0C090005">
      <w:start w:val="1"/>
      <w:numFmt w:val="bullet"/>
      <w:lvlText w:val=""/>
      <w:lvlJc w:val="left"/>
      <w:pPr>
        <w:ind w:left="2385" w:hanging="360"/>
      </w:pPr>
      <w:rPr>
        <w:rFonts w:ascii="Wingdings" w:hAnsi="Wingdings" w:hint="default"/>
      </w:rPr>
    </w:lvl>
    <w:lvl w:ilvl="3" w:tplc="0C090001">
      <w:start w:val="1"/>
      <w:numFmt w:val="bullet"/>
      <w:lvlText w:val=""/>
      <w:lvlJc w:val="left"/>
      <w:pPr>
        <w:ind w:left="3105" w:hanging="360"/>
      </w:pPr>
      <w:rPr>
        <w:rFonts w:ascii="Symbol" w:hAnsi="Symbol" w:hint="default"/>
      </w:rPr>
    </w:lvl>
    <w:lvl w:ilvl="4" w:tplc="0C090003">
      <w:start w:val="1"/>
      <w:numFmt w:val="bullet"/>
      <w:lvlText w:val="o"/>
      <w:lvlJc w:val="left"/>
      <w:pPr>
        <w:ind w:left="3825" w:hanging="360"/>
      </w:pPr>
      <w:rPr>
        <w:rFonts w:ascii="Courier New" w:hAnsi="Courier New" w:cs="Courier New" w:hint="default"/>
      </w:rPr>
    </w:lvl>
    <w:lvl w:ilvl="5" w:tplc="0C090005">
      <w:start w:val="1"/>
      <w:numFmt w:val="bullet"/>
      <w:lvlText w:val=""/>
      <w:lvlJc w:val="left"/>
      <w:pPr>
        <w:ind w:left="4545" w:hanging="360"/>
      </w:pPr>
      <w:rPr>
        <w:rFonts w:ascii="Wingdings" w:hAnsi="Wingdings" w:hint="default"/>
      </w:rPr>
    </w:lvl>
    <w:lvl w:ilvl="6" w:tplc="0C090001">
      <w:start w:val="1"/>
      <w:numFmt w:val="bullet"/>
      <w:lvlText w:val=""/>
      <w:lvlJc w:val="left"/>
      <w:pPr>
        <w:ind w:left="5265" w:hanging="360"/>
      </w:pPr>
      <w:rPr>
        <w:rFonts w:ascii="Symbol" w:hAnsi="Symbol" w:hint="default"/>
      </w:rPr>
    </w:lvl>
    <w:lvl w:ilvl="7" w:tplc="0C090003">
      <w:start w:val="1"/>
      <w:numFmt w:val="bullet"/>
      <w:lvlText w:val="o"/>
      <w:lvlJc w:val="left"/>
      <w:pPr>
        <w:ind w:left="5985" w:hanging="360"/>
      </w:pPr>
      <w:rPr>
        <w:rFonts w:ascii="Courier New" w:hAnsi="Courier New" w:cs="Courier New" w:hint="default"/>
      </w:rPr>
    </w:lvl>
    <w:lvl w:ilvl="8" w:tplc="0C090005">
      <w:start w:val="1"/>
      <w:numFmt w:val="bullet"/>
      <w:lvlText w:val=""/>
      <w:lvlJc w:val="left"/>
      <w:pPr>
        <w:ind w:left="6705" w:hanging="360"/>
      </w:pPr>
      <w:rPr>
        <w:rFonts w:ascii="Wingdings" w:hAnsi="Wingdings" w:hint="default"/>
      </w:rPr>
    </w:lvl>
  </w:abstractNum>
  <w:abstractNum w:abstractNumId="80" w15:restartNumberingAfterBreak="0">
    <w:nsid w:val="759073A2"/>
    <w:multiLevelType w:val="hybridMultilevel"/>
    <w:tmpl w:val="21B47770"/>
    <w:lvl w:ilvl="0" w:tplc="FFFFFFFF">
      <w:start w:val="1"/>
      <w:numFmt w:val="decimal"/>
      <w:pStyle w:val="text"/>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5C737DC"/>
    <w:multiLevelType w:val="hybridMultilevel"/>
    <w:tmpl w:val="636CA1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84D6FE9"/>
    <w:multiLevelType w:val="hybridMultilevel"/>
    <w:tmpl w:val="90FC9CB0"/>
    <w:lvl w:ilvl="0" w:tplc="AE0461F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8C56775"/>
    <w:multiLevelType w:val="multilevel"/>
    <w:tmpl w:val="6FA80D7A"/>
    <w:lvl w:ilvl="0">
      <w:start w:val="1"/>
      <w:numFmt w:val="decimal"/>
      <w:pStyle w:val="Style8"/>
      <w:lvlText w:val="%1."/>
      <w:lvlJc w:val="left"/>
      <w:pPr>
        <w:tabs>
          <w:tab w:val="num" w:pos="1080"/>
        </w:tabs>
        <w:ind w:left="1080" w:hanging="360"/>
      </w:pPr>
      <w:rPr>
        <w:rFonts w:hint="default"/>
      </w:rPr>
    </w:lvl>
    <w:lvl w:ilvl="1">
      <w:start w:val="5"/>
      <w:numFmt w:val="decimal"/>
      <w:isLgl/>
      <w:lvlText w:val="%1.%2."/>
      <w:lvlJc w:val="left"/>
      <w:pPr>
        <w:ind w:left="1440" w:hanging="720"/>
      </w:pPr>
      <w:rPr>
        <w:rFonts w:hint="default"/>
      </w:rPr>
    </w:lvl>
    <w:lvl w:ilvl="2">
      <w:start w:val="1"/>
      <w:numFmt w:val="decimal"/>
      <w:pStyle w:val="Style8"/>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84" w15:restartNumberingAfterBreak="0">
    <w:nsid w:val="7A7F4009"/>
    <w:multiLevelType w:val="hybridMultilevel"/>
    <w:tmpl w:val="B3DA2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B5D0423"/>
    <w:multiLevelType w:val="hybridMultilevel"/>
    <w:tmpl w:val="DF60F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E211DF5"/>
    <w:multiLevelType w:val="hybridMultilevel"/>
    <w:tmpl w:val="A51E1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9198953">
    <w:abstractNumId w:val="73"/>
  </w:num>
  <w:num w:numId="2" w16cid:durableId="742409928">
    <w:abstractNumId w:val="14"/>
  </w:num>
  <w:num w:numId="3" w16cid:durableId="2081633270">
    <w:abstractNumId w:val="28"/>
  </w:num>
  <w:num w:numId="4" w16cid:durableId="1283027937">
    <w:abstractNumId w:val="83"/>
  </w:num>
  <w:num w:numId="5" w16cid:durableId="1358459354">
    <w:abstractNumId w:val="60"/>
  </w:num>
  <w:num w:numId="6" w16cid:durableId="161549372">
    <w:abstractNumId w:val="40"/>
  </w:num>
  <w:num w:numId="7" w16cid:durableId="723792371">
    <w:abstractNumId w:val="39"/>
  </w:num>
  <w:num w:numId="8" w16cid:durableId="439683215">
    <w:abstractNumId w:val="37"/>
  </w:num>
  <w:num w:numId="9" w16cid:durableId="64181672">
    <w:abstractNumId w:val="19"/>
  </w:num>
  <w:num w:numId="10" w16cid:durableId="1084109707">
    <w:abstractNumId w:val="75"/>
  </w:num>
  <w:num w:numId="11" w16cid:durableId="1686010141">
    <w:abstractNumId w:val="52"/>
  </w:num>
  <w:num w:numId="12" w16cid:durableId="70127692">
    <w:abstractNumId w:val="38"/>
  </w:num>
  <w:num w:numId="13" w16cid:durableId="1826316135">
    <w:abstractNumId w:val="34"/>
  </w:num>
  <w:num w:numId="14" w16cid:durableId="1124621984">
    <w:abstractNumId w:val="62"/>
  </w:num>
  <w:num w:numId="15" w16cid:durableId="1468008329">
    <w:abstractNumId w:val="16"/>
  </w:num>
  <w:num w:numId="16" w16cid:durableId="405299665">
    <w:abstractNumId w:val="44"/>
  </w:num>
  <w:num w:numId="17" w16cid:durableId="2094661640">
    <w:abstractNumId w:val="64"/>
  </w:num>
  <w:num w:numId="18" w16cid:durableId="1953633853">
    <w:abstractNumId w:val="15"/>
  </w:num>
  <w:num w:numId="19" w16cid:durableId="1868104440">
    <w:abstractNumId w:val="48"/>
  </w:num>
  <w:num w:numId="20" w16cid:durableId="970286130">
    <w:abstractNumId w:val="22"/>
  </w:num>
  <w:num w:numId="21" w16cid:durableId="554506175">
    <w:abstractNumId w:val="12"/>
  </w:num>
  <w:num w:numId="22" w16cid:durableId="615261626">
    <w:abstractNumId w:val="9"/>
  </w:num>
  <w:num w:numId="23" w16cid:durableId="263273785">
    <w:abstractNumId w:val="8"/>
    <w:lvlOverride w:ilvl="0">
      <w:startOverride w:val="1"/>
    </w:lvlOverride>
  </w:num>
  <w:num w:numId="24" w16cid:durableId="48189356">
    <w:abstractNumId w:val="7"/>
  </w:num>
  <w:num w:numId="25" w16cid:durableId="1202743604">
    <w:abstractNumId w:val="6"/>
  </w:num>
  <w:num w:numId="26" w16cid:durableId="2003199756">
    <w:abstractNumId w:val="5"/>
  </w:num>
  <w:num w:numId="27" w16cid:durableId="444471930">
    <w:abstractNumId w:val="4"/>
  </w:num>
  <w:num w:numId="28" w16cid:durableId="1115170327">
    <w:abstractNumId w:val="3"/>
    <w:lvlOverride w:ilvl="0">
      <w:startOverride w:val="1"/>
    </w:lvlOverride>
  </w:num>
  <w:num w:numId="29" w16cid:durableId="1536894235">
    <w:abstractNumId w:val="2"/>
    <w:lvlOverride w:ilvl="0">
      <w:startOverride w:val="1"/>
    </w:lvlOverride>
  </w:num>
  <w:num w:numId="30" w16cid:durableId="2019261308">
    <w:abstractNumId w:val="1"/>
    <w:lvlOverride w:ilvl="0">
      <w:startOverride w:val="1"/>
    </w:lvlOverride>
  </w:num>
  <w:num w:numId="31" w16cid:durableId="1947929790">
    <w:abstractNumId w:val="0"/>
    <w:lvlOverride w:ilvl="0">
      <w:startOverride w:val="1"/>
    </w:lvlOverride>
  </w:num>
  <w:num w:numId="32" w16cid:durableId="1213496789">
    <w:abstractNumId w:val="21"/>
  </w:num>
  <w:num w:numId="33" w16cid:durableId="746924731">
    <w:abstractNumId w:val="74"/>
  </w:num>
  <w:num w:numId="34" w16cid:durableId="610553297">
    <w:abstractNumId w:val="41"/>
  </w:num>
  <w:num w:numId="35" w16cid:durableId="686105621">
    <w:abstractNumId w:val="79"/>
  </w:num>
  <w:num w:numId="36" w16cid:durableId="140312914">
    <w:abstractNumId w:val="46"/>
  </w:num>
  <w:num w:numId="37" w16cid:durableId="1280257038">
    <w:abstractNumId w:val="10"/>
  </w:num>
  <w:num w:numId="38" w16cid:durableId="1923181450">
    <w:abstractNumId w:val="69"/>
  </w:num>
  <w:num w:numId="39" w16cid:durableId="884173900">
    <w:abstractNumId w:val="13"/>
  </w:num>
  <w:num w:numId="40" w16cid:durableId="1173300334">
    <w:abstractNumId w:val="27"/>
  </w:num>
  <w:num w:numId="41" w16cid:durableId="1177229222">
    <w:abstractNumId w:val="45"/>
  </w:num>
  <w:num w:numId="42" w16cid:durableId="2135365491">
    <w:abstractNumId w:val="65"/>
  </w:num>
  <w:num w:numId="43" w16cid:durableId="1800687996">
    <w:abstractNumId w:val="0"/>
  </w:num>
  <w:num w:numId="44" w16cid:durableId="1217617989">
    <w:abstractNumId w:val="1"/>
  </w:num>
  <w:num w:numId="45" w16cid:durableId="283124383">
    <w:abstractNumId w:val="2"/>
  </w:num>
  <w:num w:numId="46" w16cid:durableId="1143160066">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78496426">
    <w:abstractNumId w:val="77"/>
  </w:num>
  <w:num w:numId="48" w16cid:durableId="1527593884">
    <w:abstractNumId w:val="80"/>
  </w:num>
  <w:num w:numId="49" w16cid:durableId="523136996">
    <w:abstractNumId w:val="36"/>
  </w:num>
  <w:num w:numId="50" w16cid:durableId="254636829">
    <w:abstractNumId w:val="78"/>
  </w:num>
  <w:num w:numId="51" w16cid:durableId="2038652403">
    <w:abstractNumId w:val="63"/>
  </w:num>
  <w:num w:numId="52" w16cid:durableId="1927953745">
    <w:abstractNumId w:val="24"/>
  </w:num>
  <w:num w:numId="53" w16cid:durableId="1780174250">
    <w:abstractNumId w:val="68"/>
  </w:num>
  <w:num w:numId="54" w16cid:durableId="1043142117">
    <w:abstractNumId w:val="35"/>
  </w:num>
  <w:num w:numId="55" w16cid:durableId="1263103643">
    <w:abstractNumId w:val="25"/>
  </w:num>
  <w:num w:numId="56" w16cid:durableId="1574118911">
    <w:abstractNumId w:val="17"/>
  </w:num>
  <w:num w:numId="57" w16cid:durableId="1643927119">
    <w:abstractNumId w:val="29"/>
  </w:num>
  <w:num w:numId="58" w16cid:durableId="849489745">
    <w:abstractNumId w:val="86"/>
  </w:num>
  <w:num w:numId="59" w16cid:durableId="1436287839">
    <w:abstractNumId w:val="51"/>
  </w:num>
  <w:num w:numId="60" w16cid:durableId="1156188808">
    <w:abstractNumId w:val="23"/>
  </w:num>
  <w:num w:numId="61" w16cid:durableId="434635454">
    <w:abstractNumId w:val="76"/>
  </w:num>
  <w:num w:numId="62" w16cid:durableId="1721858144">
    <w:abstractNumId w:val="43"/>
  </w:num>
  <w:num w:numId="63" w16cid:durableId="13656249">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41565911">
    <w:abstractNumId w:val="30"/>
  </w:num>
  <w:num w:numId="65" w16cid:durableId="1421175263">
    <w:abstractNumId w:val="66"/>
  </w:num>
  <w:num w:numId="66" w16cid:durableId="449663356">
    <w:abstractNumId w:val="58"/>
  </w:num>
  <w:num w:numId="67" w16cid:durableId="868182489">
    <w:abstractNumId w:val="55"/>
  </w:num>
  <w:num w:numId="68" w16cid:durableId="359670746">
    <w:abstractNumId w:val="54"/>
  </w:num>
  <w:num w:numId="69" w16cid:durableId="541480425">
    <w:abstractNumId w:val="18"/>
  </w:num>
  <w:num w:numId="70" w16cid:durableId="1545873123">
    <w:abstractNumId w:val="33"/>
  </w:num>
  <w:num w:numId="71" w16cid:durableId="592056565">
    <w:abstractNumId w:val="50"/>
  </w:num>
  <w:num w:numId="72" w16cid:durableId="909923109">
    <w:abstractNumId w:val="47"/>
  </w:num>
  <w:num w:numId="73" w16cid:durableId="235169226">
    <w:abstractNumId w:val="49"/>
  </w:num>
  <w:num w:numId="74" w16cid:durableId="1766270134">
    <w:abstractNumId w:val="67"/>
  </w:num>
  <w:num w:numId="75" w16cid:durableId="681708019">
    <w:abstractNumId w:val="85"/>
  </w:num>
  <w:num w:numId="76" w16cid:durableId="948974224">
    <w:abstractNumId w:val="71"/>
  </w:num>
  <w:num w:numId="77" w16cid:durableId="232475243">
    <w:abstractNumId w:val="56"/>
  </w:num>
  <w:num w:numId="78" w16cid:durableId="1797026332">
    <w:abstractNumId w:val="70"/>
  </w:num>
  <w:num w:numId="79" w16cid:durableId="1041252126">
    <w:abstractNumId w:val="82"/>
  </w:num>
  <w:num w:numId="80" w16cid:durableId="1460421011">
    <w:abstractNumId w:val="20"/>
  </w:num>
  <w:num w:numId="81" w16cid:durableId="1028019559">
    <w:abstractNumId w:val="72"/>
  </w:num>
  <w:num w:numId="82" w16cid:durableId="327943610">
    <w:abstractNumId w:val="53"/>
  </w:num>
  <w:num w:numId="83" w16cid:durableId="406074627">
    <w:abstractNumId w:val="26"/>
  </w:num>
  <w:num w:numId="84" w16cid:durableId="512262080">
    <w:abstractNumId w:val="84"/>
  </w:num>
  <w:num w:numId="85" w16cid:durableId="564487470">
    <w:abstractNumId w:val="31"/>
  </w:num>
  <w:num w:numId="86" w16cid:durableId="1970238200">
    <w:abstractNumId w:val="57"/>
  </w:num>
  <w:num w:numId="87" w16cid:durableId="698237006">
    <w:abstractNumId w:val="59"/>
  </w:num>
  <w:num w:numId="88" w16cid:durableId="2056273941">
    <w:abstractNumId w:val="32"/>
  </w:num>
  <w:num w:numId="89" w16cid:durableId="2026469773">
    <w:abstractNumId w:val="11"/>
  </w:num>
  <w:num w:numId="90" w16cid:durableId="1566406242">
    <w:abstractNumId w:val="81"/>
  </w:num>
  <w:num w:numId="91" w16cid:durableId="1884637448">
    <w:abstractNumId w:val="6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113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DF0107"/>
    <w:rsid w:val="0000072A"/>
    <w:rsid w:val="00000805"/>
    <w:rsid w:val="00001018"/>
    <w:rsid w:val="000017CE"/>
    <w:rsid w:val="00002553"/>
    <w:rsid w:val="0000266C"/>
    <w:rsid w:val="0000296E"/>
    <w:rsid w:val="000033E5"/>
    <w:rsid w:val="00003483"/>
    <w:rsid w:val="00004436"/>
    <w:rsid w:val="000049DF"/>
    <w:rsid w:val="000051EE"/>
    <w:rsid w:val="00005250"/>
    <w:rsid w:val="000054C9"/>
    <w:rsid w:val="00006587"/>
    <w:rsid w:val="000073A8"/>
    <w:rsid w:val="00007CDB"/>
    <w:rsid w:val="00007F08"/>
    <w:rsid w:val="0001043A"/>
    <w:rsid w:val="000109FF"/>
    <w:rsid w:val="00010D80"/>
    <w:rsid w:val="0001215E"/>
    <w:rsid w:val="00013158"/>
    <w:rsid w:val="00013275"/>
    <w:rsid w:val="000139D5"/>
    <w:rsid w:val="000149DD"/>
    <w:rsid w:val="0001505B"/>
    <w:rsid w:val="00015381"/>
    <w:rsid w:val="000155AE"/>
    <w:rsid w:val="000156DE"/>
    <w:rsid w:val="00016598"/>
    <w:rsid w:val="0002058F"/>
    <w:rsid w:val="000205B7"/>
    <w:rsid w:val="00020B2B"/>
    <w:rsid w:val="00020E87"/>
    <w:rsid w:val="0002113F"/>
    <w:rsid w:val="00021C3F"/>
    <w:rsid w:val="0002379E"/>
    <w:rsid w:val="00023EE2"/>
    <w:rsid w:val="000243E3"/>
    <w:rsid w:val="00024539"/>
    <w:rsid w:val="00025B30"/>
    <w:rsid w:val="00025D8B"/>
    <w:rsid w:val="00026676"/>
    <w:rsid w:val="000266CC"/>
    <w:rsid w:val="000277AE"/>
    <w:rsid w:val="00027AE5"/>
    <w:rsid w:val="00031F6D"/>
    <w:rsid w:val="000325B5"/>
    <w:rsid w:val="00032B1E"/>
    <w:rsid w:val="00032DD1"/>
    <w:rsid w:val="00033821"/>
    <w:rsid w:val="00034C1D"/>
    <w:rsid w:val="000352AC"/>
    <w:rsid w:val="0003580F"/>
    <w:rsid w:val="00035BA1"/>
    <w:rsid w:val="00035DD5"/>
    <w:rsid w:val="000362E8"/>
    <w:rsid w:val="00036407"/>
    <w:rsid w:val="00036A31"/>
    <w:rsid w:val="00036E91"/>
    <w:rsid w:val="00037D23"/>
    <w:rsid w:val="00041358"/>
    <w:rsid w:val="000419EC"/>
    <w:rsid w:val="000424A2"/>
    <w:rsid w:val="00042D2B"/>
    <w:rsid w:val="00042EAC"/>
    <w:rsid w:val="000430D8"/>
    <w:rsid w:val="00043756"/>
    <w:rsid w:val="00044CB0"/>
    <w:rsid w:val="00045066"/>
    <w:rsid w:val="0004566C"/>
    <w:rsid w:val="00045B47"/>
    <w:rsid w:val="00045E3E"/>
    <w:rsid w:val="0004701F"/>
    <w:rsid w:val="0004702D"/>
    <w:rsid w:val="00047B11"/>
    <w:rsid w:val="0005039A"/>
    <w:rsid w:val="000506A5"/>
    <w:rsid w:val="00050B12"/>
    <w:rsid w:val="00050D65"/>
    <w:rsid w:val="00051D40"/>
    <w:rsid w:val="000530D7"/>
    <w:rsid w:val="00053A10"/>
    <w:rsid w:val="00053A63"/>
    <w:rsid w:val="00053C2C"/>
    <w:rsid w:val="00053CB2"/>
    <w:rsid w:val="00054102"/>
    <w:rsid w:val="00054313"/>
    <w:rsid w:val="00054F38"/>
    <w:rsid w:val="0005563C"/>
    <w:rsid w:val="000558B7"/>
    <w:rsid w:val="00055CBA"/>
    <w:rsid w:val="000562EC"/>
    <w:rsid w:val="00056B9A"/>
    <w:rsid w:val="00056F9A"/>
    <w:rsid w:val="0005704F"/>
    <w:rsid w:val="000571C0"/>
    <w:rsid w:val="00057668"/>
    <w:rsid w:val="00057882"/>
    <w:rsid w:val="000600D7"/>
    <w:rsid w:val="00061872"/>
    <w:rsid w:val="00062723"/>
    <w:rsid w:val="00064911"/>
    <w:rsid w:val="000651E9"/>
    <w:rsid w:val="00066560"/>
    <w:rsid w:val="00066AC3"/>
    <w:rsid w:val="00066B20"/>
    <w:rsid w:val="00066F1C"/>
    <w:rsid w:val="00067CA9"/>
    <w:rsid w:val="00070060"/>
    <w:rsid w:val="0007011D"/>
    <w:rsid w:val="0007061C"/>
    <w:rsid w:val="00070A77"/>
    <w:rsid w:val="00070B11"/>
    <w:rsid w:val="00070C2F"/>
    <w:rsid w:val="000716FB"/>
    <w:rsid w:val="00071C24"/>
    <w:rsid w:val="000722BB"/>
    <w:rsid w:val="0007295D"/>
    <w:rsid w:val="00072B2F"/>
    <w:rsid w:val="00073A6B"/>
    <w:rsid w:val="00074154"/>
    <w:rsid w:val="0007472F"/>
    <w:rsid w:val="000748AA"/>
    <w:rsid w:val="00074E34"/>
    <w:rsid w:val="00075040"/>
    <w:rsid w:val="000751AB"/>
    <w:rsid w:val="00075BD3"/>
    <w:rsid w:val="00076745"/>
    <w:rsid w:val="0007685B"/>
    <w:rsid w:val="00076A72"/>
    <w:rsid w:val="00076B94"/>
    <w:rsid w:val="0007716B"/>
    <w:rsid w:val="0007764B"/>
    <w:rsid w:val="000776C3"/>
    <w:rsid w:val="000776ED"/>
    <w:rsid w:val="000806FB"/>
    <w:rsid w:val="0008123B"/>
    <w:rsid w:val="00081277"/>
    <w:rsid w:val="00082671"/>
    <w:rsid w:val="00082DA1"/>
    <w:rsid w:val="00083651"/>
    <w:rsid w:val="0008379E"/>
    <w:rsid w:val="00085727"/>
    <w:rsid w:val="000857F2"/>
    <w:rsid w:val="00085B4D"/>
    <w:rsid w:val="00086142"/>
    <w:rsid w:val="00086FE0"/>
    <w:rsid w:val="000870A1"/>
    <w:rsid w:val="000871E1"/>
    <w:rsid w:val="000901AD"/>
    <w:rsid w:val="0009073D"/>
    <w:rsid w:val="00091CCA"/>
    <w:rsid w:val="00092469"/>
    <w:rsid w:val="000924FA"/>
    <w:rsid w:val="000925FF"/>
    <w:rsid w:val="0009292E"/>
    <w:rsid w:val="00093099"/>
    <w:rsid w:val="0009335C"/>
    <w:rsid w:val="00093AED"/>
    <w:rsid w:val="000940A2"/>
    <w:rsid w:val="00094609"/>
    <w:rsid w:val="0009484D"/>
    <w:rsid w:val="00095D41"/>
    <w:rsid w:val="00096190"/>
    <w:rsid w:val="0009629E"/>
    <w:rsid w:val="0009650E"/>
    <w:rsid w:val="00096E17"/>
    <w:rsid w:val="0009723A"/>
    <w:rsid w:val="00097274"/>
    <w:rsid w:val="00097E0E"/>
    <w:rsid w:val="00097E2A"/>
    <w:rsid w:val="000A02AC"/>
    <w:rsid w:val="000A115D"/>
    <w:rsid w:val="000A157A"/>
    <w:rsid w:val="000A1CDB"/>
    <w:rsid w:val="000A1E99"/>
    <w:rsid w:val="000A2A87"/>
    <w:rsid w:val="000A2B33"/>
    <w:rsid w:val="000A3348"/>
    <w:rsid w:val="000A3CE1"/>
    <w:rsid w:val="000A40C4"/>
    <w:rsid w:val="000A41CA"/>
    <w:rsid w:val="000A4361"/>
    <w:rsid w:val="000A4906"/>
    <w:rsid w:val="000A576D"/>
    <w:rsid w:val="000A5B72"/>
    <w:rsid w:val="000A5C8D"/>
    <w:rsid w:val="000A5CA5"/>
    <w:rsid w:val="000A5DC3"/>
    <w:rsid w:val="000A62AE"/>
    <w:rsid w:val="000A6ABA"/>
    <w:rsid w:val="000A6D6B"/>
    <w:rsid w:val="000A7092"/>
    <w:rsid w:val="000A714A"/>
    <w:rsid w:val="000B103A"/>
    <w:rsid w:val="000B18CF"/>
    <w:rsid w:val="000B1B0E"/>
    <w:rsid w:val="000B217A"/>
    <w:rsid w:val="000B2194"/>
    <w:rsid w:val="000B27E8"/>
    <w:rsid w:val="000B2A23"/>
    <w:rsid w:val="000B303C"/>
    <w:rsid w:val="000B487A"/>
    <w:rsid w:val="000B4EFD"/>
    <w:rsid w:val="000B5076"/>
    <w:rsid w:val="000B55C1"/>
    <w:rsid w:val="000B6D57"/>
    <w:rsid w:val="000B73E7"/>
    <w:rsid w:val="000B7D19"/>
    <w:rsid w:val="000C0221"/>
    <w:rsid w:val="000C1694"/>
    <w:rsid w:val="000C17EF"/>
    <w:rsid w:val="000C1DA2"/>
    <w:rsid w:val="000C1F60"/>
    <w:rsid w:val="000C257D"/>
    <w:rsid w:val="000C32E8"/>
    <w:rsid w:val="000C33A6"/>
    <w:rsid w:val="000C38FD"/>
    <w:rsid w:val="000C3B34"/>
    <w:rsid w:val="000C3B3F"/>
    <w:rsid w:val="000C4EAE"/>
    <w:rsid w:val="000C5006"/>
    <w:rsid w:val="000C524F"/>
    <w:rsid w:val="000C5BB6"/>
    <w:rsid w:val="000C643F"/>
    <w:rsid w:val="000C656C"/>
    <w:rsid w:val="000C6966"/>
    <w:rsid w:val="000C7DAB"/>
    <w:rsid w:val="000D00F0"/>
    <w:rsid w:val="000D0D82"/>
    <w:rsid w:val="000D14D8"/>
    <w:rsid w:val="000D1BA6"/>
    <w:rsid w:val="000D1BBB"/>
    <w:rsid w:val="000D1DD2"/>
    <w:rsid w:val="000D2B70"/>
    <w:rsid w:val="000D3069"/>
    <w:rsid w:val="000D3995"/>
    <w:rsid w:val="000D3B13"/>
    <w:rsid w:val="000D4DFC"/>
    <w:rsid w:val="000D5486"/>
    <w:rsid w:val="000D5994"/>
    <w:rsid w:val="000D5B3D"/>
    <w:rsid w:val="000D5C37"/>
    <w:rsid w:val="000D6196"/>
    <w:rsid w:val="000D72B1"/>
    <w:rsid w:val="000D77FC"/>
    <w:rsid w:val="000D78E1"/>
    <w:rsid w:val="000E0387"/>
    <w:rsid w:val="000E0F16"/>
    <w:rsid w:val="000E1033"/>
    <w:rsid w:val="000E14A8"/>
    <w:rsid w:val="000E3051"/>
    <w:rsid w:val="000E3BBA"/>
    <w:rsid w:val="000E3BE9"/>
    <w:rsid w:val="000E635B"/>
    <w:rsid w:val="000E6410"/>
    <w:rsid w:val="000E6415"/>
    <w:rsid w:val="000E6743"/>
    <w:rsid w:val="000E6835"/>
    <w:rsid w:val="000E688C"/>
    <w:rsid w:val="000E711B"/>
    <w:rsid w:val="000E736B"/>
    <w:rsid w:val="000E7FBD"/>
    <w:rsid w:val="000F0745"/>
    <w:rsid w:val="000F08BD"/>
    <w:rsid w:val="000F0A1A"/>
    <w:rsid w:val="000F0C57"/>
    <w:rsid w:val="000F0CF2"/>
    <w:rsid w:val="000F189F"/>
    <w:rsid w:val="000F22B3"/>
    <w:rsid w:val="000F2661"/>
    <w:rsid w:val="000F2888"/>
    <w:rsid w:val="000F2B59"/>
    <w:rsid w:val="000F2CF4"/>
    <w:rsid w:val="000F2D36"/>
    <w:rsid w:val="000F3626"/>
    <w:rsid w:val="000F3759"/>
    <w:rsid w:val="000F3994"/>
    <w:rsid w:val="000F49CF"/>
    <w:rsid w:val="000F4B71"/>
    <w:rsid w:val="000F4CD6"/>
    <w:rsid w:val="000F50E8"/>
    <w:rsid w:val="000F5AFC"/>
    <w:rsid w:val="000F5CAC"/>
    <w:rsid w:val="000F61D4"/>
    <w:rsid w:val="0010058A"/>
    <w:rsid w:val="00100D4A"/>
    <w:rsid w:val="00101423"/>
    <w:rsid w:val="00103BD6"/>
    <w:rsid w:val="00103C58"/>
    <w:rsid w:val="0010465B"/>
    <w:rsid w:val="00104C93"/>
    <w:rsid w:val="00104EB0"/>
    <w:rsid w:val="00105563"/>
    <w:rsid w:val="00105773"/>
    <w:rsid w:val="001059DD"/>
    <w:rsid w:val="00105EA3"/>
    <w:rsid w:val="0010608E"/>
    <w:rsid w:val="001067CE"/>
    <w:rsid w:val="00107267"/>
    <w:rsid w:val="00107790"/>
    <w:rsid w:val="00110935"/>
    <w:rsid w:val="00110EAC"/>
    <w:rsid w:val="001114E3"/>
    <w:rsid w:val="00111CDA"/>
    <w:rsid w:val="00111F0F"/>
    <w:rsid w:val="00111F71"/>
    <w:rsid w:val="00112250"/>
    <w:rsid w:val="001126FD"/>
    <w:rsid w:val="0011272C"/>
    <w:rsid w:val="001131F6"/>
    <w:rsid w:val="0011342B"/>
    <w:rsid w:val="00113946"/>
    <w:rsid w:val="00114949"/>
    <w:rsid w:val="00114ACF"/>
    <w:rsid w:val="00114FF8"/>
    <w:rsid w:val="001166CB"/>
    <w:rsid w:val="001167A7"/>
    <w:rsid w:val="00116BF4"/>
    <w:rsid w:val="001171FD"/>
    <w:rsid w:val="00117208"/>
    <w:rsid w:val="0011737F"/>
    <w:rsid w:val="00117964"/>
    <w:rsid w:val="00117A64"/>
    <w:rsid w:val="00117ECE"/>
    <w:rsid w:val="001206CA"/>
    <w:rsid w:val="00120777"/>
    <w:rsid w:val="00120E22"/>
    <w:rsid w:val="00121291"/>
    <w:rsid w:val="001213E1"/>
    <w:rsid w:val="00121CD4"/>
    <w:rsid w:val="00122EA3"/>
    <w:rsid w:val="00123BC0"/>
    <w:rsid w:val="00123E10"/>
    <w:rsid w:val="00123F4E"/>
    <w:rsid w:val="00124FE9"/>
    <w:rsid w:val="00125EA0"/>
    <w:rsid w:val="0012678A"/>
    <w:rsid w:val="00126B9E"/>
    <w:rsid w:val="0012763E"/>
    <w:rsid w:val="00127E7C"/>
    <w:rsid w:val="001301BE"/>
    <w:rsid w:val="00131006"/>
    <w:rsid w:val="00131513"/>
    <w:rsid w:val="0013171A"/>
    <w:rsid w:val="001319E9"/>
    <w:rsid w:val="001323B2"/>
    <w:rsid w:val="00133778"/>
    <w:rsid w:val="00133CD3"/>
    <w:rsid w:val="0013436A"/>
    <w:rsid w:val="0013495B"/>
    <w:rsid w:val="00134D71"/>
    <w:rsid w:val="00135936"/>
    <w:rsid w:val="00135B9E"/>
    <w:rsid w:val="00136266"/>
    <w:rsid w:val="00136388"/>
    <w:rsid w:val="00136575"/>
    <w:rsid w:val="00136D72"/>
    <w:rsid w:val="00137474"/>
    <w:rsid w:val="001375BC"/>
    <w:rsid w:val="001378C9"/>
    <w:rsid w:val="00137D10"/>
    <w:rsid w:val="001404C6"/>
    <w:rsid w:val="00140E31"/>
    <w:rsid w:val="00141240"/>
    <w:rsid w:val="0014197E"/>
    <w:rsid w:val="001419B4"/>
    <w:rsid w:val="00141CA5"/>
    <w:rsid w:val="00142565"/>
    <w:rsid w:val="00142E58"/>
    <w:rsid w:val="00142E9E"/>
    <w:rsid w:val="00143EA9"/>
    <w:rsid w:val="00144156"/>
    <w:rsid w:val="00144A13"/>
    <w:rsid w:val="00144EAF"/>
    <w:rsid w:val="001454EF"/>
    <w:rsid w:val="001455AA"/>
    <w:rsid w:val="00145786"/>
    <w:rsid w:val="00145FF6"/>
    <w:rsid w:val="001463B6"/>
    <w:rsid w:val="00147FA6"/>
    <w:rsid w:val="00150A10"/>
    <w:rsid w:val="00151307"/>
    <w:rsid w:val="00151329"/>
    <w:rsid w:val="0015162A"/>
    <w:rsid w:val="001517FD"/>
    <w:rsid w:val="00151AF7"/>
    <w:rsid w:val="00152BC3"/>
    <w:rsid w:val="00152CCB"/>
    <w:rsid w:val="00152DE4"/>
    <w:rsid w:val="0015332B"/>
    <w:rsid w:val="001537D4"/>
    <w:rsid w:val="00153DE1"/>
    <w:rsid w:val="00153F49"/>
    <w:rsid w:val="001542E8"/>
    <w:rsid w:val="0015457B"/>
    <w:rsid w:val="001547F8"/>
    <w:rsid w:val="00154F48"/>
    <w:rsid w:val="00154FC3"/>
    <w:rsid w:val="0015550A"/>
    <w:rsid w:val="0015558D"/>
    <w:rsid w:val="001555D9"/>
    <w:rsid w:val="00155CE8"/>
    <w:rsid w:val="00155F5D"/>
    <w:rsid w:val="001560DC"/>
    <w:rsid w:val="00157E12"/>
    <w:rsid w:val="001608F9"/>
    <w:rsid w:val="00161DD5"/>
    <w:rsid w:val="00162562"/>
    <w:rsid w:val="00162573"/>
    <w:rsid w:val="0016370E"/>
    <w:rsid w:val="00163ADC"/>
    <w:rsid w:val="00163B2A"/>
    <w:rsid w:val="00163E4E"/>
    <w:rsid w:val="00163FD8"/>
    <w:rsid w:val="00164539"/>
    <w:rsid w:val="00164F06"/>
    <w:rsid w:val="00164F3C"/>
    <w:rsid w:val="0016592C"/>
    <w:rsid w:val="00165E58"/>
    <w:rsid w:val="00165F74"/>
    <w:rsid w:val="00166898"/>
    <w:rsid w:val="00167129"/>
    <w:rsid w:val="0016723E"/>
    <w:rsid w:val="001676FB"/>
    <w:rsid w:val="00167702"/>
    <w:rsid w:val="00167777"/>
    <w:rsid w:val="00167A72"/>
    <w:rsid w:val="00167E6C"/>
    <w:rsid w:val="0017080B"/>
    <w:rsid w:val="00170AC1"/>
    <w:rsid w:val="00171747"/>
    <w:rsid w:val="00171D04"/>
    <w:rsid w:val="00172260"/>
    <w:rsid w:val="00173233"/>
    <w:rsid w:val="00174DD5"/>
    <w:rsid w:val="00175486"/>
    <w:rsid w:val="001761E7"/>
    <w:rsid w:val="0017659B"/>
    <w:rsid w:val="00176AA4"/>
    <w:rsid w:val="00176C4A"/>
    <w:rsid w:val="00177709"/>
    <w:rsid w:val="00177D23"/>
    <w:rsid w:val="00177ED6"/>
    <w:rsid w:val="00180139"/>
    <w:rsid w:val="00180227"/>
    <w:rsid w:val="0018036E"/>
    <w:rsid w:val="001808A8"/>
    <w:rsid w:val="00181013"/>
    <w:rsid w:val="0018130E"/>
    <w:rsid w:val="00181349"/>
    <w:rsid w:val="001825EA"/>
    <w:rsid w:val="00182756"/>
    <w:rsid w:val="00183868"/>
    <w:rsid w:val="00184151"/>
    <w:rsid w:val="00184258"/>
    <w:rsid w:val="00184C6B"/>
    <w:rsid w:val="00185280"/>
    <w:rsid w:val="001852D0"/>
    <w:rsid w:val="00185E4A"/>
    <w:rsid w:val="0018627F"/>
    <w:rsid w:val="001864AA"/>
    <w:rsid w:val="001865AF"/>
    <w:rsid w:val="00186B92"/>
    <w:rsid w:val="001874E2"/>
    <w:rsid w:val="001878C4"/>
    <w:rsid w:val="00187974"/>
    <w:rsid w:val="00190275"/>
    <w:rsid w:val="0019029B"/>
    <w:rsid w:val="00190AED"/>
    <w:rsid w:val="00190B0F"/>
    <w:rsid w:val="00190EED"/>
    <w:rsid w:val="00191121"/>
    <w:rsid w:val="00191292"/>
    <w:rsid w:val="001915FE"/>
    <w:rsid w:val="00191692"/>
    <w:rsid w:val="001917DC"/>
    <w:rsid w:val="00191879"/>
    <w:rsid w:val="00191FD9"/>
    <w:rsid w:val="00193021"/>
    <w:rsid w:val="0019343E"/>
    <w:rsid w:val="001938A3"/>
    <w:rsid w:val="00194CE4"/>
    <w:rsid w:val="00195D1D"/>
    <w:rsid w:val="00197058"/>
    <w:rsid w:val="0019794F"/>
    <w:rsid w:val="001A0842"/>
    <w:rsid w:val="001A09F7"/>
    <w:rsid w:val="001A1208"/>
    <w:rsid w:val="001A164C"/>
    <w:rsid w:val="001A1A81"/>
    <w:rsid w:val="001A245B"/>
    <w:rsid w:val="001A2BCB"/>
    <w:rsid w:val="001A2E1E"/>
    <w:rsid w:val="001A35AE"/>
    <w:rsid w:val="001A3D58"/>
    <w:rsid w:val="001A43CE"/>
    <w:rsid w:val="001A4766"/>
    <w:rsid w:val="001A4913"/>
    <w:rsid w:val="001A597A"/>
    <w:rsid w:val="001A5CC5"/>
    <w:rsid w:val="001A6D63"/>
    <w:rsid w:val="001A7640"/>
    <w:rsid w:val="001A785E"/>
    <w:rsid w:val="001A7C07"/>
    <w:rsid w:val="001A7D66"/>
    <w:rsid w:val="001B01DC"/>
    <w:rsid w:val="001B031E"/>
    <w:rsid w:val="001B03DF"/>
    <w:rsid w:val="001B0B0A"/>
    <w:rsid w:val="001B0BE7"/>
    <w:rsid w:val="001B123E"/>
    <w:rsid w:val="001B1859"/>
    <w:rsid w:val="001B2104"/>
    <w:rsid w:val="001B23B7"/>
    <w:rsid w:val="001B24C2"/>
    <w:rsid w:val="001B2538"/>
    <w:rsid w:val="001B2C24"/>
    <w:rsid w:val="001B4065"/>
    <w:rsid w:val="001B41CA"/>
    <w:rsid w:val="001B4A1E"/>
    <w:rsid w:val="001B5062"/>
    <w:rsid w:val="001B568C"/>
    <w:rsid w:val="001B5C82"/>
    <w:rsid w:val="001B5E64"/>
    <w:rsid w:val="001B7718"/>
    <w:rsid w:val="001B7A20"/>
    <w:rsid w:val="001B7DBB"/>
    <w:rsid w:val="001C01CD"/>
    <w:rsid w:val="001C1B7C"/>
    <w:rsid w:val="001C2500"/>
    <w:rsid w:val="001C253E"/>
    <w:rsid w:val="001C3382"/>
    <w:rsid w:val="001C36AD"/>
    <w:rsid w:val="001C39AD"/>
    <w:rsid w:val="001C3EF2"/>
    <w:rsid w:val="001C40A0"/>
    <w:rsid w:val="001C48EC"/>
    <w:rsid w:val="001C4CDD"/>
    <w:rsid w:val="001C5667"/>
    <w:rsid w:val="001C570F"/>
    <w:rsid w:val="001C575A"/>
    <w:rsid w:val="001C5B64"/>
    <w:rsid w:val="001C5C69"/>
    <w:rsid w:val="001C67C9"/>
    <w:rsid w:val="001C6F05"/>
    <w:rsid w:val="001C7033"/>
    <w:rsid w:val="001C71C9"/>
    <w:rsid w:val="001C727C"/>
    <w:rsid w:val="001D0202"/>
    <w:rsid w:val="001D0E58"/>
    <w:rsid w:val="001D0ED5"/>
    <w:rsid w:val="001D1C89"/>
    <w:rsid w:val="001D298B"/>
    <w:rsid w:val="001D3136"/>
    <w:rsid w:val="001D39BA"/>
    <w:rsid w:val="001D3CB7"/>
    <w:rsid w:val="001D3ED4"/>
    <w:rsid w:val="001D42F5"/>
    <w:rsid w:val="001D441A"/>
    <w:rsid w:val="001D4C76"/>
    <w:rsid w:val="001D594E"/>
    <w:rsid w:val="001D61B8"/>
    <w:rsid w:val="001D61FB"/>
    <w:rsid w:val="001D671D"/>
    <w:rsid w:val="001D682E"/>
    <w:rsid w:val="001D68DF"/>
    <w:rsid w:val="001D6AED"/>
    <w:rsid w:val="001D6E8A"/>
    <w:rsid w:val="001D720F"/>
    <w:rsid w:val="001E0766"/>
    <w:rsid w:val="001E090B"/>
    <w:rsid w:val="001E0C9E"/>
    <w:rsid w:val="001E11C3"/>
    <w:rsid w:val="001E17EF"/>
    <w:rsid w:val="001E1B09"/>
    <w:rsid w:val="001E2C07"/>
    <w:rsid w:val="001E358E"/>
    <w:rsid w:val="001E3985"/>
    <w:rsid w:val="001E3DBD"/>
    <w:rsid w:val="001E4477"/>
    <w:rsid w:val="001E4B16"/>
    <w:rsid w:val="001E4BD9"/>
    <w:rsid w:val="001E4FDE"/>
    <w:rsid w:val="001E52B3"/>
    <w:rsid w:val="001E5702"/>
    <w:rsid w:val="001E5A1E"/>
    <w:rsid w:val="001E5E6D"/>
    <w:rsid w:val="001E64FC"/>
    <w:rsid w:val="001E687B"/>
    <w:rsid w:val="001E68C3"/>
    <w:rsid w:val="001E6D86"/>
    <w:rsid w:val="001E70F8"/>
    <w:rsid w:val="001E7519"/>
    <w:rsid w:val="001E769E"/>
    <w:rsid w:val="001F05C3"/>
    <w:rsid w:val="001F0DFA"/>
    <w:rsid w:val="001F23A7"/>
    <w:rsid w:val="001F24E7"/>
    <w:rsid w:val="001F2FDF"/>
    <w:rsid w:val="001F3249"/>
    <w:rsid w:val="001F41C9"/>
    <w:rsid w:val="001F5B90"/>
    <w:rsid w:val="001F612F"/>
    <w:rsid w:val="001F6272"/>
    <w:rsid w:val="001F7B28"/>
    <w:rsid w:val="001F7EB2"/>
    <w:rsid w:val="001F7F6A"/>
    <w:rsid w:val="001F7F71"/>
    <w:rsid w:val="002000ED"/>
    <w:rsid w:val="00200374"/>
    <w:rsid w:val="002003DA"/>
    <w:rsid w:val="0020061C"/>
    <w:rsid w:val="00200C58"/>
    <w:rsid w:val="00201036"/>
    <w:rsid w:val="00201458"/>
    <w:rsid w:val="00201A80"/>
    <w:rsid w:val="00202004"/>
    <w:rsid w:val="002028DA"/>
    <w:rsid w:val="00202952"/>
    <w:rsid w:val="00202E24"/>
    <w:rsid w:val="00202E69"/>
    <w:rsid w:val="00203CA0"/>
    <w:rsid w:val="00203D19"/>
    <w:rsid w:val="002047AE"/>
    <w:rsid w:val="0020488A"/>
    <w:rsid w:val="002050D2"/>
    <w:rsid w:val="0020614E"/>
    <w:rsid w:val="00206589"/>
    <w:rsid w:val="00207005"/>
    <w:rsid w:val="0020703D"/>
    <w:rsid w:val="00207314"/>
    <w:rsid w:val="0021030B"/>
    <w:rsid w:val="00211388"/>
    <w:rsid w:val="002114D3"/>
    <w:rsid w:val="002127A4"/>
    <w:rsid w:val="00212C6F"/>
    <w:rsid w:val="00212CBB"/>
    <w:rsid w:val="00212EF3"/>
    <w:rsid w:val="00213A35"/>
    <w:rsid w:val="002147C5"/>
    <w:rsid w:val="00215B04"/>
    <w:rsid w:val="00216881"/>
    <w:rsid w:val="00216B9D"/>
    <w:rsid w:val="00216F0B"/>
    <w:rsid w:val="00216F0E"/>
    <w:rsid w:val="002175A1"/>
    <w:rsid w:val="00217BF2"/>
    <w:rsid w:val="00217FB5"/>
    <w:rsid w:val="00220276"/>
    <w:rsid w:val="002204FB"/>
    <w:rsid w:val="0022077A"/>
    <w:rsid w:val="0022082D"/>
    <w:rsid w:val="00221135"/>
    <w:rsid w:val="00221150"/>
    <w:rsid w:val="002215E8"/>
    <w:rsid w:val="00221872"/>
    <w:rsid w:val="0022225A"/>
    <w:rsid w:val="00222E49"/>
    <w:rsid w:val="00223BFB"/>
    <w:rsid w:val="002246E2"/>
    <w:rsid w:val="0022476A"/>
    <w:rsid w:val="00224ABA"/>
    <w:rsid w:val="0022559A"/>
    <w:rsid w:val="002257F6"/>
    <w:rsid w:val="00225D79"/>
    <w:rsid w:val="002260C5"/>
    <w:rsid w:val="00226B6C"/>
    <w:rsid w:val="00227200"/>
    <w:rsid w:val="00227722"/>
    <w:rsid w:val="00227D2A"/>
    <w:rsid w:val="00230BD3"/>
    <w:rsid w:val="002312FD"/>
    <w:rsid w:val="002321AB"/>
    <w:rsid w:val="002321DA"/>
    <w:rsid w:val="00232614"/>
    <w:rsid w:val="0023300B"/>
    <w:rsid w:val="00233171"/>
    <w:rsid w:val="002331C5"/>
    <w:rsid w:val="00233D6B"/>
    <w:rsid w:val="002344DC"/>
    <w:rsid w:val="00234BF8"/>
    <w:rsid w:val="002357AF"/>
    <w:rsid w:val="002358C2"/>
    <w:rsid w:val="002363B6"/>
    <w:rsid w:val="002366BF"/>
    <w:rsid w:val="002366C1"/>
    <w:rsid w:val="00236A8D"/>
    <w:rsid w:val="00236B96"/>
    <w:rsid w:val="00237042"/>
    <w:rsid w:val="002373CA"/>
    <w:rsid w:val="00237A17"/>
    <w:rsid w:val="002403E2"/>
    <w:rsid w:val="002407F8"/>
    <w:rsid w:val="00241571"/>
    <w:rsid w:val="00241650"/>
    <w:rsid w:val="00241BBA"/>
    <w:rsid w:val="00241D9D"/>
    <w:rsid w:val="00242BCD"/>
    <w:rsid w:val="00243F14"/>
    <w:rsid w:val="002442C3"/>
    <w:rsid w:val="00245635"/>
    <w:rsid w:val="00246D1C"/>
    <w:rsid w:val="00247D58"/>
    <w:rsid w:val="002506E0"/>
    <w:rsid w:val="0025073D"/>
    <w:rsid w:val="0025134C"/>
    <w:rsid w:val="002513BB"/>
    <w:rsid w:val="002520A1"/>
    <w:rsid w:val="002523A5"/>
    <w:rsid w:val="002526EC"/>
    <w:rsid w:val="00254027"/>
    <w:rsid w:val="002543CA"/>
    <w:rsid w:val="002548D6"/>
    <w:rsid w:val="00254BE9"/>
    <w:rsid w:val="00254DBF"/>
    <w:rsid w:val="0025516F"/>
    <w:rsid w:val="0025554A"/>
    <w:rsid w:val="00255C42"/>
    <w:rsid w:val="002560E2"/>
    <w:rsid w:val="002568B0"/>
    <w:rsid w:val="00256D16"/>
    <w:rsid w:val="002571D8"/>
    <w:rsid w:val="00257755"/>
    <w:rsid w:val="00257B10"/>
    <w:rsid w:val="00260A2A"/>
    <w:rsid w:val="00260B8F"/>
    <w:rsid w:val="0026116C"/>
    <w:rsid w:val="00261607"/>
    <w:rsid w:val="00261D89"/>
    <w:rsid w:val="002623CA"/>
    <w:rsid w:val="0026300B"/>
    <w:rsid w:val="00263255"/>
    <w:rsid w:val="00263B5F"/>
    <w:rsid w:val="00263D93"/>
    <w:rsid w:val="00264916"/>
    <w:rsid w:val="00264CF6"/>
    <w:rsid w:val="002660CC"/>
    <w:rsid w:val="00266DF8"/>
    <w:rsid w:val="0026705E"/>
    <w:rsid w:val="00267CA0"/>
    <w:rsid w:val="00267DAA"/>
    <w:rsid w:val="002704D4"/>
    <w:rsid w:val="002709F6"/>
    <w:rsid w:val="00270D45"/>
    <w:rsid w:val="00270DA6"/>
    <w:rsid w:val="002710BD"/>
    <w:rsid w:val="002715E9"/>
    <w:rsid w:val="00271D40"/>
    <w:rsid w:val="00272033"/>
    <w:rsid w:val="002724EA"/>
    <w:rsid w:val="00272902"/>
    <w:rsid w:val="002730A4"/>
    <w:rsid w:val="0027356D"/>
    <w:rsid w:val="002747C0"/>
    <w:rsid w:val="00274B63"/>
    <w:rsid w:val="002751D8"/>
    <w:rsid w:val="00275285"/>
    <w:rsid w:val="00275449"/>
    <w:rsid w:val="002758D5"/>
    <w:rsid w:val="00276B0A"/>
    <w:rsid w:val="00276FBC"/>
    <w:rsid w:val="002771C7"/>
    <w:rsid w:val="00277783"/>
    <w:rsid w:val="0027785E"/>
    <w:rsid w:val="00280CC5"/>
    <w:rsid w:val="002811BF"/>
    <w:rsid w:val="00281C90"/>
    <w:rsid w:val="00282258"/>
    <w:rsid w:val="0028226A"/>
    <w:rsid w:val="0028277F"/>
    <w:rsid w:val="00282EF6"/>
    <w:rsid w:val="00283190"/>
    <w:rsid w:val="002833B5"/>
    <w:rsid w:val="0028353F"/>
    <w:rsid w:val="00283C10"/>
    <w:rsid w:val="00283EEA"/>
    <w:rsid w:val="00284100"/>
    <w:rsid w:val="0028427D"/>
    <w:rsid w:val="00284EDE"/>
    <w:rsid w:val="00285112"/>
    <w:rsid w:val="00285118"/>
    <w:rsid w:val="00285715"/>
    <w:rsid w:val="00285849"/>
    <w:rsid w:val="0028608F"/>
    <w:rsid w:val="0028653C"/>
    <w:rsid w:val="00287424"/>
    <w:rsid w:val="00287489"/>
    <w:rsid w:val="00287622"/>
    <w:rsid w:val="00287999"/>
    <w:rsid w:val="002903EE"/>
    <w:rsid w:val="002906F0"/>
    <w:rsid w:val="0029083A"/>
    <w:rsid w:val="00290CF3"/>
    <w:rsid w:val="0029129D"/>
    <w:rsid w:val="002913C1"/>
    <w:rsid w:val="002914FF"/>
    <w:rsid w:val="002916E3"/>
    <w:rsid w:val="002918A2"/>
    <w:rsid w:val="00291B0B"/>
    <w:rsid w:val="0029279C"/>
    <w:rsid w:val="002927DE"/>
    <w:rsid w:val="00292E14"/>
    <w:rsid w:val="00294383"/>
    <w:rsid w:val="00294E8C"/>
    <w:rsid w:val="00296837"/>
    <w:rsid w:val="00296981"/>
    <w:rsid w:val="002970E9"/>
    <w:rsid w:val="00297A97"/>
    <w:rsid w:val="002A0450"/>
    <w:rsid w:val="002A2229"/>
    <w:rsid w:val="002A29B4"/>
    <w:rsid w:val="002A2A67"/>
    <w:rsid w:val="002A329B"/>
    <w:rsid w:val="002A3941"/>
    <w:rsid w:val="002A3C14"/>
    <w:rsid w:val="002A3CD2"/>
    <w:rsid w:val="002A4703"/>
    <w:rsid w:val="002A4C4A"/>
    <w:rsid w:val="002A5127"/>
    <w:rsid w:val="002A5181"/>
    <w:rsid w:val="002A571E"/>
    <w:rsid w:val="002A5B84"/>
    <w:rsid w:val="002A5E54"/>
    <w:rsid w:val="002A6959"/>
    <w:rsid w:val="002A6B35"/>
    <w:rsid w:val="002A6BB4"/>
    <w:rsid w:val="002A6D7F"/>
    <w:rsid w:val="002B0448"/>
    <w:rsid w:val="002B0620"/>
    <w:rsid w:val="002B0D8C"/>
    <w:rsid w:val="002B0F6F"/>
    <w:rsid w:val="002B113D"/>
    <w:rsid w:val="002B1DE0"/>
    <w:rsid w:val="002B1FB0"/>
    <w:rsid w:val="002B2291"/>
    <w:rsid w:val="002B22CD"/>
    <w:rsid w:val="002B2351"/>
    <w:rsid w:val="002B2368"/>
    <w:rsid w:val="002B2A51"/>
    <w:rsid w:val="002B2C47"/>
    <w:rsid w:val="002B2D8C"/>
    <w:rsid w:val="002B30EF"/>
    <w:rsid w:val="002B33FA"/>
    <w:rsid w:val="002B3EFB"/>
    <w:rsid w:val="002B4232"/>
    <w:rsid w:val="002B4268"/>
    <w:rsid w:val="002B4328"/>
    <w:rsid w:val="002B468A"/>
    <w:rsid w:val="002B4C36"/>
    <w:rsid w:val="002B5212"/>
    <w:rsid w:val="002B5997"/>
    <w:rsid w:val="002B68F4"/>
    <w:rsid w:val="002B6922"/>
    <w:rsid w:val="002C03F4"/>
    <w:rsid w:val="002C0A69"/>
    <w:rsid w:val="002C1363"/>
    <w:rsid w:val="002C1976"/>
    <w:rsid w:val="002C1B99"/>
    <w:rsid w:val="002C2143"/>
    <w:rsid w:val="002C3060"/>
    <w:rsid w:val="002C3301"/>
    <w:rsid w:val="002C474A"/>
    <w:rsid w:val="002C499E"/>
    <w:rsid w:val="002C54E1"/>
    <w:rsid w:val="002C5556"/>
    <w:rsid w:val="002C604A"/>
    <w:rsid w:val="002C66C8"/>
    <w:rsid w:val="002C7071"/>
    <w:rsid w:val="002C7812"/>
    <w:rsid w:val="002C7CC7"/>
    <w:rsid w:val="002D1769"/>
    <w:rsid w:val="002D1B1E"/>
    <w:rsid w:val="002D1C20"/>
    <w:rsid w:val="002D28B8"/>
    <w:rsid w:val="002D3306"/>
    <w:rsid w:val="002D34CD"/>
    <w:rsid w:val="002D3903"/>
    <w:rsid w:val="002D4508"/>
    <w:rsid w:val="002D49F7"/>
    <w:rsid w:val="002D4A1E"/>
    <w:rsid w:val="002D4EF9"/>
    <w:rsid w:val="002D533F"/>
    <w:rsid w:val="002D55F9"/>
    <w:rsid w:val="002D597F"/>
    <w:rsid w:val="002D5D45"/>
    <w:rsid w:val="002D5E07"/>
    <w:rsid w:val="002D6178"/>
    <w:rsid w:val="002D6992"/>
    <w:rsid w:val="002D69C3"/>
    <w:rsid w:val="002D7014"/>
    <w:rsid w:val="002D7A04"/>
    <w:rsid w:val="002D7CFE"/>
    <w:rsid w:val="002D7E3F"/>
    <w:rsid w:val="002E02FE"/>
    <w:rsid w:val="002E06D2"/>
    <w:rsid w:val="002E0A0D"/>
    <w:rsid w:val="002E0A10"/>
    <w:rsid w:val="002E0AEC"/>
    <w:rsid w:val="002E118D"/>
    <w:rsid w:val="002E1D6B"/>
    <w:rsid w:val="002E1FDB"/>
    <w:rsid w:val="002E4781"/>
    <w:rsid w:val="002E52CD"/>
    <w:rsid w:val="002E5367"/>
    <w:rsid w:val="002E5D80"/>
    <w:rsid w:val="002E5DA9"/>
    <w:rsid w:val="002E6969"/>
    <w:rsid w:val="002E6C06"/>
    <w:rsid w:val="002E6EAB"/>
    <w:rsid w:val="002E7683"/>
    <w:rsid w:val="002E79F2"/>
    <w:rsid w:val="002E7EDB"/>
    <w:rsid w:val="002F00AD"/>
    <w:rsid w:val="002F0298"/>
    <w:rsid w:val="002F0841"/>
    <w:rsid w:val="002F09B0"/>
    <w:rsid w:val="002F10CE"/>
    <w:rsid w:val="002F121D"/>
    <w:rsid w:val="002F16C0"/>
    <w:rsid w:val="002F1AFD"/>
    <w:rsid w:val="002F2553"/>
    <w:rsid w:val="002F26D6"/>
    <w:rsid w:val="002F3C0C"/>
    <w:rsid w:val="002F4CDB"/>
    <w:rsid w:val="002F554E"/>
    <w:rsid w:val="002F5C04"/>
    <w:rsid w:val="002F5CF4"/>
    <w:rsid w:val="002F6472"/>
    <w:rsid w:val="002F6AE3"/>
    <w:rsid w:val="003000BB"/>
    <w:rsid w:val="00300471"/>
    <w:rsid w:val="00300E37"/>
    <w:rsid w:val="00300EB2"/>
    <w:rsid w:val="003015B0"/>
    <w:rsid w:val="0030186F"/>
    <w:rsid w:val="003028AD"/>
    <w:rsid w:val="003030FC"/>
    <w:rsid w:val="003034A5"/>
    <w:rsid w:val="0030427D"/>
    <w:rsid w:val="003044CD"/>
    <w:rsid w:val="00304738"/>
    <w:rsid w:val="0030496A"/>
    <w:rsid w:val="00304E2F"/>
    <w:rsid w:val="0030521A"/>
    <w:rsid w:val="003059F0"/>
    <w:rsid w:val="00305CC5"/>
    <w:rsid w:val="00305CEE"/>
    <w:rsid w:val="00305F66"/>
    <w:rsid w:val="00306181"/>
    <w:rsid w:val="003064B4"/>
    <w:rsid w:val="00306624"/>
    <w:rsid w:val="00306719"/>
    <w:rsid w:val="00306CB9"/>
    <w:rsid w:val="00306DC5"/>
    <w:rsid w:val="00306F2B"/>
    <w:rsid w:val="00307809"/>
    <w:rsid w:val="003079F0"/>
    <w:rsid w:val="00310003"/>
    <w:rsid w:val="003102ED"/>
    <w:rsid w:val="00310480"/>
    <w:rsid w:val="0031065C"/>
    <w:rsid w:val="0031071D"/>
    <w:rsid w:val="00311369"/>
    <w:rsid w:val="00311CC1"/>
    <w:rsid w:val="003130BD"/>
    <w:rsid w:val="0031327B"/>
    <w:rsid w:val="00313381"/>
    <w:rsid w:val="003136B5"/>
    <w:rsid w:val="00313E98"/>
    <w:rsid w:val="00313FA8"/>
    <w:rsid w:val="00314E19"/>
    <w:rsid w:val="00315922"/>
    <w:rsid w:val="00315A36"/>
    <w:rsid w:val="00315DA4"/>
    <w:rsid w:val="00315DF2"/>
    <w:rsid w:val="0031618F"/>
    <w:rsid w:val="003161E1"/>
    <w:rsid w:val="0031632A"/>
    <w:rsid w:val="003164FD"/>
    <w:rsid w:val="0032131F"/>
    <w:rsid w:val="00321BBF"/>
    <w:rsid w:val="00321D55"/>
    <w:rsid w:val="003221DA"/>
    <w:rsid w:val="00322850"/>
    <w:rsid w:val="00322CC7"/>
    <w:rsid w:val="0032365B"/>
    <w:rsid w:val="0032402D"/>
    <w:rsid w:val="003240B5"/>
    <w:rsid w:val="0032422E"/>
    <w:rsid w:val="00324BC7"/>
    <w:rsid w:val="003254E7"/>
    <w:rsid w:val="00325AD6"/>
    <w:rsid w:val="003261D8"/>
    <w:rsid w:val="0032716D"/>
    <w:rsid w:val="003271CB"/>
    <w:rsid w:val="00327D59"/>
    <w:rsid w:val="00330837"/>
    <w:rsid w:val="00330974"/>
    <w:rsid w:val="00330B31"/>
    <w:rsid w:val="0033124F"/>
    <w:rsid w:val="00331814"/>
    <w:rsid w:val="00331CFD"/>
    <w:rsid w:val="003326FA"/>
    <w:rsid w:val="00332872"/>
    <w:rsid w:val="0033320D"/>
    <w:rsid w:val="003334CD"/>
    <w:rsid w:val="00333D8C"/>
    <w:rsid w:val="00334B90"/>
    <w:rsid w:val="003359BD"/>
    <w:rsid w:val="00336035"/>
    <w:rsid w:val="00336253"/>
    <w:rsid w:val="0033659F"/>
    <w:rsid w:val="003367F3"/>
    <w:rsid w:val="003368E1"/>
    <w:rsid w:val="00336964"/>
    <w:rsid w:val="00336D49"/>
    <w:rsid w:val="00337D8A"/>
    <w:rsid w:val="00337DF3"/>
    <w:rsid w:val="00337F2F"/>
    <w:rsid w:val="003400F2"/>
    <w:rsid w:val="003401D2"/>
    <w:rsid w:val="00340A96"/>
    <w:rsid w:val="00340E0B"/>
    <w:rsid w:val="003411C2"/>
    <w:rsid w:val="0034151E"/>
    <w:rsid w:val="003416A4"/>
    <w:rsid w:val="0034176C"/>
    <w:rsid w:val="00341807"/>
    <w:rsid w:val="003418CF"/>
    <w:rsid w:val="00341CAF"/>
    <w:rsid w:val="00341CCD"/>
    <w:rsid w:val="00341D6B"/>
    <w:rsid w:val="00342D95"/>
    <w:rsid w:val="00343253"/>
    <w:rsid w:val="00343276"/>
    <w:rsid w:val="003438C1"/>
    <w:rsid w:val="00343C13"/>
    <w:rsid w:val="00343D96"/>
    <w:rsid w:val="003444B8"/>
    <w:rsid w:val="00344CC2"/>
    <w:rsid w:val="00345561"/>
    <w:rsid w:val="003456CE"/>
    <w:rsid w:val="003458A7"/>
    <w:rsid w:val="00345B06"/>
    <w:rsid w:val="00345D96"/>
    <w:rsid w:val="00346822"/>
    <w:rsid w:val="00347B34"/>
    <w:rsid w:val="00347EAA"/>
    <w:rsid w:val="00350175"/>
    <w:rsid w:val="00351A38"/>
    <w:rsid w:val="00351CE5"/>
    <w:rsid w:val="003525B5"/>
    <w:rsid w:val="00352908"/>
    <w:rsid w:val="00352DE5"/>
    <w:rsid w:val="00352EF7"/>
    <w:rsid w:val="00352FD0"/>
    <w:rsid w:val="00353779"/>
    <w:rsid w:val="00354044"/>
    <w:rsid w:val="00354495"/>
    <w:rsid w:val="00354639"/>
    <w:rsid w:val="003551C0"/>
    <w:rsid w:val="003551CA"/>
    <w:rsid w:val="00355892"/>
    <w:rsid w:val="003564F2"/>
    <w:rsid w:val="003569A1"/>
    <w:rsid w:val="00356DF2"/>
    <w:rsid w:val="00356E6C"/>
    <w:rsid w:val="00356E73"/>
    <w:rsid w:val="003575E2"/>
    <w:rsid w:val="00357CD1"/>
    <w:rsid w:val="0036000F"/>
    <w:rsid w:val="00360BED"/>
    <w:rsid w:val="00361455"/>
    <w:rsid w:val="00361E6D"/>
    <w:rsid w:val="00361EDA"/>
    <w:rsid w:val="003624BD"/>
    <w:rsid w:val="00363363"/>
    <w:rsid w:val="003638F0"/>
    <w:rsid w:val="00364A5F"/>
    <w:rsid w:val="00364DFD"/>
    <w:rsid w:val="00365B30"/>
    <w:rsid w:val="00365FE1"/>
    <w:rsid w:val="00366200"/>
    <w:rsid w:val="003667F7"/>
    <w:rsid w:val="00366CD0"/>
    <w:rsid w:val="003700BC"/>
    <w:rsid w:val="00370B87"/>
    <w:rsid w:val="00370D6C"/>
    <w:rsid w:val="00370E80"/>
    <w:rsid w:val="00371042"/>
    <w:rsid w:val="0037109B"/>
    <w:rsid w:val="0037291B"/>
    <w:rsid w:val="003730B2"/>
    <w:rsid w:val="00373EB2"/>
    <w:rsid w:val="0037415B"/>
    <w:rsid w:val="00374818"/>
    <w:rsid w:val="00374EF4"/>
    <w:rsid w:val="003751D5"/>
    <w:rsid w:val="003752D5"/>
    <w:rsid w:val="00375D29"/>
    <w:rsid w:val="00375FD7"/>
    <w:rsid w:val="003762B2"/>
    <w:rsid w:val="00376EF6"/>
    <w:rsid w:val="00377B77"/>
    <w:rsid w:val="00377C7D"/>
    <w:rsid w:val="00377EAF"/>
    <w:rsid w:val="003815F7"/>
    <w:rsid w:val="00381898"/>
    <w:rsid w:val="00382100"/>
    <w:rsid w:val="0038241F"/>
    <w:rsid w:val="00382CF4"/>
    <w:rsid w:val="00382EAE"/>
    <w:rsid w:val="00383005"/>
    <w:rsid w:val="003833CA"/>
    <w:rsid w:val="00383735"/>
    <w:rsid w:val="003837E9"/>
    <w:rsid w:val="00384758"/>
    <w:rsid w:val="00384C13"/>
    <w:rsid w:val="00385BAB"/>
    <w:rsid w:val="003865B8"/>
    <w:rsid w:val="00386934"/>
    <w:rsid w:val="003877A8"/>
    <w:rsid w:val="00387D04"/>
    <w:rsid w:val="00390CE8"/>
    <w:rsid w:val="003912FA"/>
    <w:rsid w:val="00391590"/>
    <w:rsid w:val="003916A0"/>
    <w:rsid w:val="00391937"/>
    <w:rsid w:val="00391DF9"/>
    <w:rsid w:val="00392069"/>
    <w:rsid w:val="00392666"/>
    <w:rsid w:val="00392B36"/>
    <w:rsid w:val="00393498"/>
    <w:rsid w:val="00393B33"/>
    <w:rsid w:val="00393FE3"/>
    <w:rsid w:val="00394502"/>
    <w:rsid w:val="00394ED9"/>
    <w:rsid w:val="00395358"/>
    <w:rsid w:val="003958DE"/>
    <w:rsid w:val="00395A69"/>
    <w:rsid w:val="0039694B"/>
    <w:rsid w:val="00396A87"/>
    <w:rsid w:val="00397617"/>
    <w:rsid w:val="0039761B"/>
    <w:rsid w:val="00397718"/>
    <w:rsid w:val="00397A70"/>
    <w:rsid w:val="003A078E"/>
    <w:rsid w:val="003A08EB"/>
    <w:rsid w:val="003A108F"/>
    <w:rsid w:val="003A15AF"/>
    <w:rsid w:val="003A1E4E"/>
    <w:rsid w:val="003A200D"/>
    <w:rsid w:val="003A2210"/>
    <w:rsid w:val="003A223B"/>
    <w:rsid w:val="003A2315"/>
    <w:rsid w:val="003A267C"/>
    <w:rsid w:val="003A27A8"/>
    <w:rsid w:val="003A2874"/>
    <w:rsid w:val="003A2B17"/>
    <w:rsid w:val="003A55F1"/>
    <w:rsid w:val="003A5988"/>
    <w:rsid w:val="003A5C73"/>
    <w:rsid w:val="003A5D66"/>
    <w:rsid w:val="003A5D9F"/>
    <w:rsid w:val="003A692C"/>
    <w:rsid w:val="003A6B10"/>
    <w:rsid w:val="003B02F2"/>
    <w:rsid w:val="003B0501"/>
    <w:rsid w:val="003B05F5"/>
    <w:rsid w:val="003B09EF"/>
    <w:rsid w:val="003B11FA"/>
    <w:rsid w:val="003B17A7"/>
    <w:rsid w:val="003B23BB"/>
    <w:rsid w:val="003B283E"/>
    <w:rsid w:val="003B3422"/>
    <w:rsid w:val="003B3457"/>
    <w:rsid w:val="003B3898"/>
    <w:rsid w:val="003B3A59"/>
    <w:rsid w:val="003B4A54"/>
    <w:rsid w:val="003B543A"/>
    <w:rsid w:val="003B5B35"/>
    <w:rsid w:val="003B5E0B"/>
    <w:rsid w:val="003B5EBA"/>
    <w:rsid w:val="003B5F68"/>
    <w:rsid w:val="003B6826"/>
    <w:rsid w:val="003B6938"/>
    <w:rsid w:val="003B697B"/>
    <w:rsid w:val="003B6B9D"/>
    <w:rsid w:val="003B708C"/>
    <w:rsid w:val="003B7A88"/>
    <w:rsid w:val="003B7FC9"/>
    <w:rsid w:val="003C23A7"/>
    <w:rsid w:val="003C2556"/>
    <w:rsid w:val="003C274F"/>
    <w:rsid w:val="003C340C"/>
    <w:rsid w:val="003C3434"/>
    <w:rsid w:val="003C385B"/>
    <w:rsid w:val="003C442C"/>
    <w:rsid w:val="003C4936"/>
    <w:rsid w:val="003C52D3"/>
    <w:rsid w:val="003C54DF"/>
    <w:rsid w:val="003C5904"/>
    <w:rsid w:val="003C5B8E"/>
    <w:rsid w:val="003C5DF4"/>
    <w:rsid w:val="003C5F15"/>
    <w:rsid w:val="003C662A"/>
    <w:rsid w:val="003C75F6"/>
    <w:rsid w:val="003D1CF3"/>
    <w:rsid w:val="003D24E4"/>
    <w:rsid w:val="003D25A3"/>
    <w:rsid w:val="003D2951"/>
    <w:rsid w:val="003D312F"/>
    <w:rsid w:val="003D320A"/>
    <w:rsid w:val="003D3EFB"/>
    <w:rsid w:val="003D4592"/>
    <w:rsid w:val="003D4CA8"/>
    <w:rsid w:val="003D4E2F"/>
    <w:rsid w:val="003D4E3F"/>
    <w:rsid w:val="003D54C3"/>
    <w:rsid w:val="003D5C0A"/>
    <w:rsid w:val="003D5E6A"/>
    <w:rsid w:val="003D6102"/>
    <w:rsid w:val="003D6E43"/>
    <w:rsid w:val="003D7857"/>
    <w:rsid w:val="003E0944"/>
    <w:rsid w:val="003E0E14"/>
    <w:rsid w:val="003E11C3"/>
    <w:rsid w:val="003E154B"/>
    <w:rsid w:val="003E1CEB"/>
    <w:rsid w:val="003E25AB"/>
    <w:rsid w:val="003E2633"/>
    <w:rsid w:val="003E27B9"/>
    <w:rsid w:val="003E293F"/>
    <w:rsid w:val="003E2F51"/>
    <w:rsid w:val="003E3038"/>
    <w:rsid w:val="003E34AD"/>
    <w:rsid w:val="003E3B9C"/>
    <w:rsid w:val="003E456C"/>
    <w:rsid w:val="003E4E08"/>
    <w:rsid w:val="003E4F8A"/>
    <w:rsid w:val="003E5F4A"/>
    <w:rsid w:val="003E643D"/>
    <w:rsid w:val="003E665D"/>
    <w:rsid w:val="003E697C"/>
    <w:rsid w:val="003E707A"/>
    <w:rsid w:val="003E755F"/>
    <w:rsid w:val="003E7B45"/>
    <w:rsid w:val="003E7CAD"/>
    <w:rsid w:val="003E7F3C"/>
    <w:rsid w:val="003F1620"/>
    <w:rsid w:val="003F2105"/>
    <w:rsid w:val="003F2789"/>
    <w:rsid w:val="003F2AE2"/>
    <w:rsid w:val="003F374B"/>
    <w:rsid w:val="003F39A6"/>
    <w:rsid w:val="003F39BC"/>
    <w:rsid w:val="003F3D6F"/>
    <w:rsid w:val="003F49B5"/>
    <w:rsid w:val="003F4CBA"/>
    <w:rsid w:val="003F4CD3"/>
    <w:rsid w:val="003F4F71"/>
    <w:rsid w:val="003F534A"/>
    <w:rsid w:val="003F53AF"/>
    <w:rsid w:val="003F5421"/>
    <w:rsid w:val="003F5B7A"/>
    <w:rsid w:val="003F7340"/>
    <w:rsid w:val="003F7415"/>
    <w:rsid w:val="00400127"/>
    <w:rsid w:val="00400304"/>
    <w:rsid w:val="00401F02"/>
    <w:rsid w:val="00402224"/>
    <w:rsid w:val="0040235F"/>
    <w:rsid w:val="00402922"/>
    <w:rsid w:val="004037C0"/>
    <w:rsid w:val="00403862"/>
    <w:rsid w:val="00403864"/>
    <w:rsid w:val="00403E4D"/>
    <w:rsid w:val="00403F76"/>
    <w:rsid w:val="0040424A"/>
    <w:rsid w:val="0040441E"/>
    <w:rsid w:val="00404ABB"/>
    <w:rsid w:val="0040510C"/>
    <w:rsid w:val="00405D4F"/>
    <w:rsid w:val="00406A0F"/>
    <w:rsid w:val="00406A30"/>
    <w:rsid w:val="00406BFF"/>
    <w:rsid w:val="00406EB4"/>
    <w:rsid w:val="00407370"/>
    <w:rsid w:val="004074D2"/>
    <w:rsid w:val="00407562"/>
    <w:rsid w:val="00407647"/>
    <w:rsid w:val="0040764B"/>
    <w:rsid w:val="004076BC"/>
    <w:rsid w:val="004079F2"/>
    <w:rsid w:val="00407E7B"/>
    <w:rsid w:val="00407FC6"/>
    <w:rsid w:val="0041004A"/>
    <w:rsid w:val="00410D91"/>
    <w:rsid w:val="00410DFF"/>
    <w:rsid w:val="0041104B"/>
    <w:rsid w:val="0041130D"/>
    <w:rsid w:val="00412578"/>
    <w:rsid w:val="00412EF9"/>
    <w:rsid w:val="0041394F"/>
    <w:rsid w:val="00413EF0"/>
    <w:rsid w:val="00414048"/>
    <w:rsid w:val="00414205"/>
    <w:rsid w:val="004157E5"/>
    <w:rsid w:val="00416680"/>
    <w:rsid w:val="00416B42"/>
    <w:rsid w:val="00417234"/>
    <w:rsid w:val="004174A6"/>
    <w:rsid w:val="004179EB"/>
    <w:rsid w:val="00420231"/>
    <w:rsid w:val="004206F8"/>
    <w:rsid w:val="00421599"/>
    <w:rsid w:val="004217E6"/>
    <w:rsid w:val="00421ADC"/>
    <w:rsid w:val="00421C18"/>
    <w:rsid w:val="00422CB2"/>
    <w:rsid w:val="00422EF4"/>
    <w:rsid w:val="004235E6"/>
    <w:rsid w:val="004238AC"/>
    <w:rsid w:val="00423BFD"/>
    <w:rsid w:val="004244FF"/>
    <w:rsid w:val="004245BE"/>
    <w:rsid w:val="00424D9F"/>
    <w:rsid w:val="004257D5"/>
    <w:rsid w:val="00425823"/>
    <w:rsid w:val="00425B97"/>
    <w:rsid w:val="00427C22"/>
    <w:rsid w:val="004301E9"/>
    <w:rsid w:val="004302F0"/>
    <w:rsid w:val="00430504"/>
    <w:rsid w:val="00430B14"/>
    <w:rsid w:val="00430BFE"/>
    <w:rsid w:val="00430FF4"/>
    <w:rsid w:val="004315F6"/>
    <w:rsid w:val="00431897"/>
    <w:rsid w:val="004324C8"/>
    <w:rsid w:val="00432582"/>
    <w:rsid w:val="00432CF2"/>
    <w:rsid w:val="00432E16"/>
    <w:rsid w:val="004330DC"/>
    <w:rsid w:val="004340DE"/>
    <w:rsid w:val="004347DC"/>
    <w:rsid w:val="00434DC6"/>
    <w:rsid w:val="00436040"/>
    <w:rsid w:val="004366ED"/>
    <w:rsid w:val="00436F6F"/>
    <w:rsid w:val="00440793"/>
    <w:rsid w:val="00440ADF"/>
    <w:rsid w:val="00440DE8"/>
    <w:rsid w:val="0044111E"/>
    <w:rsid w:val="00441289"/>
    <w:rsid w:val="00441D09"/>
    <w:rsid w:val="00441FAD"/>
    <w:rsid w:val="00442276"/>
    <w:rsid w:val="00442885"/>
    <w:rsid w:val="0044302D"/>
    <w:rsid w:val="004434CD"/>
    <w:rsid w:val="0044398D"/>
    <w:rsid w:val="00444255"/>
    <w:rsid w:val="004445AC"/>
    <w:rsid w:val="0044475A"/>
    <w:rsid w:val="00444AC9"/>
    <w:rsid w:val="004461C2"/>
    <w:rsid w:val="0044753B"/>
    <w:rsid w:val="00447647"/>
    <w:rsid w:val="00447CEC"/>
    <w:rsid w:val="00450851"/>
    <w:rsid w:val="00450B83"/>
    <w:rsid w:val="004514A1"/>
    <w:rsid w:val="00451760"/>
    <w:rsid w:val="004518D3"/>
    <w:rsid w:val="00451B45"/>
    <w:rsid w:val="004521AB"/>
    <w:rsid w:val="0045239D"/>
    <w:rsid w:val="004528AF"/>
    <w:rsid w:val="004530B8"/>
    <w:rsid w:val="00453275"/>
    <w:rsid w:val="0045388F"/>
    <w:rsid w:val="004539F5"/>
    <w:rsid w:val="00453B40"/>
    <w:rsid w:val="00453EF5"/>
    <w:rsid w:val="00454601"/>
    <w:rsid w:val="004548FC"/>
    <w:rsid w:val="00456585"/>
    <w:rsid w:val="00457326"/>
    <w:rsid w:val="0046057D"/>
    <w:rsid w:val="004610DA"/>
    <w:rsid w:val="00461423"/>
    <w:rsid w:val="0046209B"/>
    <w:rsid w:val="004624A2"/>
    <w:rsid w:val="004624F6"/>
    <w:rsid w:val="004628A9"/>
    <w:rsid w:val="00462BA6"/>
    <w:rsid w:val="00462DE0"/>
    <w:rsid w:val="00464606"/>
    <w:rsid w:val="00464B1B"/>
    <w:rsid w:val="00464BE4"/>
    <w:rsid w:val="00465225"/>
    <w:rsid w:val="004653DF"/>
    <w:rsid w:val="00465BEE"/>
    <w:rsid w:val="00466B8E"/>
    <w:rsid w:val="00467C76"/>
    <w:rsid w:val="00470A3F"/>
    <w:rsid w:val="00471018"/>
    <w:rsid w:val="004710DC"/>
    <w:rsid w:val="0047197E"/>
    <w:rsid w:val="00471994"/>
    <w:rsid w:val="00472172"/>
    <w:rsid w:val="00472635"/>
    <w:rsid w:val="00472731"/>
    <w:rsid w:val="00472CF4"/>
    <w:rsid w:val="00472CFC"/>
    <w:rsid w:val="00472D16"/>
    <w:rsid w:val="00472D72"/>
    <w:rsid w:val="00472F7E"/>
    <w:rsid w:val="004731D8"/>
    <w:rsid w:val="004743DF"/>
    <w:rsid w:val="00475A39"/>
    <w:rsid w:val="00475AD6"/>
    <w:rsid w:val="004763BA"/>
    <w:rsid w:val="004764C8"/>
    <w:rsid w:val="004764FA"/>
    <w:rsid w:val="0047744A"/>
    <w:rsid w:val="004774D0"/>
    <w:rsid w:val="00477FFA"/>
    <w:rsid w:val="00480779"/>
    <w:rsid w:val="00480A07"/>
    <w:rsid w:val="00480A7B"/>
    <w:rsid w:val="00480D8F"/>
    <w:rsid w:val="0048101D"/>
    <w:rsid w:val="00481374"/>
    <w:rsid w:val="00481A87"/>
    <w:rsid w:val="00482265"/>
    <w:rsid w:val="0048290A"/>
    <w:rsid w:val="0048375F"/>
    <w:rsid w:val="0048420A"/>
    <w:rsid w:val="00484FFE"/>
    <w:rsid w:val="0048526C"/>
    <w:rsid w:val="00486383"/>
    <w:rsid w:val="0048656C"/>
    <w:rsid w:val="00486834"/>
    <w:rsid w:val="004900E4"/>
    <w:rsid w:val="0049025F"/>
    <w:rsid w:val="00490B8D"/>
    <w:rsid w:val="004914C7"/>
    <w:rsid w:val="00491D59"/>
    <w:rsid w:val="004920CB"/>
    <w:rsid w:val="00492D54"/>
    <w:rsid w:val="00492DFF"/>
    <w:rsid w:val="00493A5F"/>
    <w:rsid w:val="00493A64"/>
    <w:rsid w:val="00493E8E"/>
    <w:rsid w:val="004942FA"/>
    <w:rsid w:val="004949AA"/>
    <w:rsid w:val="00494BA1"/>
    <w:rsid w:val="00494D2E"/>
    <w:rsid w:val="00494E07"/>
    <w:rsid w:val="00494F68"/>
    <w:rsid w:val="004953CA"/>
    <w:rsid w:val="00495E9C"/>
    <w:rsid w:val="004962BF"/>
    <w:rsid w:val="00496648"/>
    <w:rsid w:val="00497B04"/>
    <w:rsid w:val="004A06BC"/>
    <w:rsid w:val="004A0756"/>
    <w:rsid w:val="004A08C3"/>
    <w:rsid w:val="004A0D10"/>
    <w:rsid w:val="004A130F"/>
    <w:rsid w:val="004A1770"/>
    <w:rsid w:val="004A1A0B"/>
    <w:rsid w:val="004A1E64"/>
    <w:rsid w:val="004A1F8B"/>
    <w:rsid w:val="004A2255"/>
    <w:rsid w:val="004A24E6"/>
    <w:rsid w:val="004A27DE"/>
    <w:rsid w:val="004A2DE8"/>
    <w:rsid w:val="004A2FEC"/>
    <w:rsid w:val="004A4932"/>
    <w:rsid w:val="004A4C0B"/>
    <w:rsid w:val="004A4CCC"/>
    <w:rsid w:val="004A4D17"/>
    <w:rsid w:val="004A5570"/>
    <w:rsid w:val="004A77A0"/>
    <w:rsid w:val="004A7886"/>
    <w:rsid w:val="004A7C8B"/>
    <w:rsid w:val="004A7DBC"/>
    <w:rsid w:val="004B0230"/>
    <w:rsid w:val="004B0312"/>
    <w:rsid w:val="004B06CE"/>
    <w:rsid w:val="004B0950"/>
    <w:rsid w:val="004B284D"/>
    <w:rsid w:val="004B2A99"/>
    <w:rsid w:val="004B4121"/>
    <w:rsid w:val="004B4588"/>
    <w:rsid w:val="004B45D6"/>
    <w:rsid w:val="004B5426"/>
    <w:rsid w:val="004B5EF6"/>
    <w:rsid w:val="004B5F12"/>
    <w:rsid w:val="004B628F"/>
    <w:rsid w:val="004B6839"/>
    <w:rsid w:val="004B6C54"/>
    <w:rsid w:val="004B6E76"/>
    <w:rsid w:val="004B705C"/>
    <w:rsid w:val="004B7F79"/>
    <w:rsid w:val="004B7FF0"/>
    <w:rsid w:val="004C043E"/>
    <w:rsid w:val="004C1CE1"/>
    <w:rsid w:val="004C2373"/>
    <w:rsid w:val="004C2DEE"/>
    <w:rsid w:val="004C3662"/>
    <w:rsid w:val="004C382A"/>
    <w:rsid w:val="004C3AEC"/>
    <w:rsid w:val="004C521D"/>
    <w:rsid w:val="004C5F62"/>
    <w:rsid w:val="004C6F87"/>
    <w:rsid w:val="004C79C1"/>
    <w:rsid w:val="004C7E45"/>
    <w:rsid w:val="004D1981"/>
    <w:rsid w:val="004D1D24"/>
    <w:rsid w:val="004D23E5"/>
    <w:rsid w:val="004D279B"/>
    <w:rsid w:val="004D31DD"/>
    <w:rsid w:val="004D442A"/>
    <w:rsid w:val="004D4A5F"/>
    <w:rsid w:val="004D529A"/>
    <w:rsid w:val="004D52BD"/>
    <w:rsid w:val="004D55C0"/>
    <w:rsid w:val="004D577C"/>
    <w:rsid w:val="004D59F8"/>
    <w:rsid w:val="004D5F59"/>
    <w:rsid w:val="004D72B1"/>
    <w:rsid w:val="004E0D3F"/>
    <w:rsid w:val="004E0EF5"/>
    <w:rsid w:val="004E0F35"/>
    <w:rsid w:val="004E1104"/>
    <w:rsid w:val="004E1763"/>
    <w:rsid w:val="004E21AD"/>
    <w:rsid w:val="004E361F"/>
    <w:rsid w:val="004E370F"/>
    <w:rsid w:val="004E4001"/>
    <w:rsid w:val="004E44ED"/>
    <w:rsid w:val="004E51E1"/>
    <w:rsid w:val="004E538A"/>
    <w:rsid w:val="004E6183"/>
    <w:rsid w:val="004E6E0D"/>
    <w:rsid w:val="004E7543"/>
    <w:rsid w:val="004E760C"/>
    <w:rsid w:val="004E7CA8"/>
    <w:rsid w:val="004F00BA"/>
    <w:rsid w:val="004F0534"/>
    <w:rsid w:val="004F0BC7"/>
    <w:rsid w:val="004F0C3B"/>
    <w:rsid w:val="004F1090"/>
    <w:rsid w:val="004F12A2"/>
    <w:rsid w:val="004F241B"/>
    <w:rsid w:val="004F2485"/>
    <w:rsid w:val="004F2584"/>
    <w:rsid w:val="004F258D"/>
    <w:rsid w:val="004F3D8A"/>
    <w:rsid w:val="004F4A7A"/>
    <w:rsid w:val="004F4EF8"/>
    <w:rsid w:val="004F4F8D"/>
    <w:rsid w:val="004F5041"/>
    <w:rsid w:val="004F5D9C"/>
    <w:rsid w:val="004F6968"/>
    <w:rsid w:val="004F7A6A"/>
    <w:rsid w:val="005002F7"/>
    <w:rsid w:val="005005FC"/>
    <w:rsid w:val="00500B46"/>
    <w:rsid w:val="00500FE0"/>
    <w:rsid w:val="00501A2B"/>
    <w:rsid w:val="00502442"/>
    <w:rsid w:val="0050341A"/>
    <w:rsid w:val="00503686"/>
    <w:rsid w:val="00503CC8"/>
    <w:rsid w:val="00503D34"/>
    <w:rsid w:val="00503ED5"/>
    <w:rsid w:val="00504716"/>
    <w:rsid w:val="0050473C"/>
    <w:rsid w:val="00504E49"/>
    <w:rsid w:val="00505025"/>
    <w:rsid w:val="00505277"/>
    <w:rsid w:val="0050548A"/>
    <w:rsid w:val="00505F0A"/>
    <w:rsid w:val="00506453"/>
    <w:rsid w:val="005067F8"/>
    <w:rsid w:val="00506D24"/>
    <w:rsid w:val="005074CE"/>
    <w:rsid w:val="005102A6"/>
    <w:rsid w:val="00510340"/>
    <w:rsid w:val="005113AE"/>
    <w:rsid w:val="005116AB"/>
    <w:rsid w:val="00511819"/>
    <w:rsid w:val="0051214A"/>
    <w:rsid w:val="00512255"/>
    <w:rsid w:val="00512742"/>
    <w:rsid w:val="00513500"/>
    <w:rsid w:val="00514296"/>
    <w:rsid w:val="00516608"/>
    <w:rsid w:val="00516651"/>
    <w:rsid w:val="0051686B"/>
    <w:rsid w:val="00517AF3"/>
    <w:rsid w:val="00517B14"/>
    <w:rsid w:val="005204FB"/>
    <w:rsid w:val="005208C9"/>
    <w:rsid w:val="00520C2E"/>
    <w:rsid w:val="00520F51"/>
    <w:rsid w:val="0052151B"/>
    <w:rsid w:val="00521729"/>
    <w:rsid w:val="0052219E"/>
    <w:rsid w:val="00522B19"/>
    <w:rsid w:val="00523AC5"/>
    <w:rsid w:val="00524017"/>
    <w:rsid w:val="00524BA5"/>
    <w:rsid w:val="00526762"/>
    <w:rsid w:val="00527102"/>
    <w:rsid w:val="005276C4"/>
    <w:rsid w:val="00527884"/>
    <w:rsid w:val="00527E26"/>
    <w:rsid w:val="00530D2C"/>
    <w:rsid w:val="0053167E"/>
    <w:rsid w:val="00531D41"/>
    <w:rsid w:val="00532002"/>
    <w:rsid w:val="0053204A"/>
    <w:rsid w:val="005328DC"/>
    <w:rsid w:val="00532FFA"/>
    <w:rsid w:val="00533193"/>
    <w:rsid w:val="00533D55"/>
    <w:rsid w:val="00535456"/>
    <w:rsid w:val="00535E04"/>
    <w:rsid w:val="00535E1C"/>
    <w:rsid w:val="005366B8"/>
    <w:rsid w:val="005370F2"/>
    <w:rsid w:val="0053778B"/>
    <w:rsid w:val="00537C05"/>
    <w:rsid w:val="00540B51"/>
    <w:rsid w:val="00541439"/>
    <w:rsid w:val="0054176B"/>
    <w:rsid w:val="0054283C"/>
    <w:rsid w:val="00543109"/>
    <w:rsid w:val="005437E3"/>
    <w:rsid w:val="00543CD1"/>
    <w:rsid w:val="00543EA4"/>
    <w:rsid w:val="005440F9"/>
    <w:rsid w:val="00544235"/>
    <w:rsid w:val="00544E8C"/>
    <w:rsid w:val="00544F3A"/>
    <w:rsid w:val="005452D2"/>
    <w:rsid w:val="005457F0"/>
    <w:rsid w:val="0054681E"/>
    <w:rsid w:val="0054709B"/>
    <w:rsid w:val="005478B5"/>
    <w:rsid w:val="0055071B"/>
    <w:rsid w:val="005507A9"/>
    <w:rsid w:val="00550827"/>
    <w:rsid w:val="0055139A"/>
    <w:rsid w:val="005520AA"/>
    <w:rsid w:val="005524EE"/>
    <w:rsid w:val="00552C9F"/>
    <w:rsid w:val="00552F19"/>
    <w:rsid w:val="00553933"/>
    <w:rsid w:val="00553FC9"/>
    <w:rsid w:val="00554334"/>
    <w:rsid w:val="00554976"/>
    <w:rsid w:val="00554C85"/>
    <w:rsid w:val="005553D4"/>
    <w:rsid w:val="00555E24"/>
    <w:rsid w:val="00556013"/>
    <w:rsid w:val="005564B0"/>
    <w:rsid w:val="0055656C"/>
    <w:rsid w:val="005571AC"/>
    <w:rsid w:val="00557233"/>
    <w:rsid w:val="00557772"/>
    <w:rsid w:val="00557D56"/>
    <w:rsid w:val="00557D9D"/>
    <w:rsid w:val="00560114"/>
    <w:rsid w:val="0056035C"/>
    <w:rsid w:val="00560755"/>
    <w:rsid w:val="00561BA4"/>
    <w:rsid w:val="00561F79"/>
    <w:rsid w:val="00562534"/>
    <w:rsid w:val="0056261F"/>
    <w:rsid w:val="005628C5"/>
    <w:rsid w:val="00563ECF"/>
    <w:rsid w:val="00563F68"/>
    <w:rsid w:val="00564546"/>
    <w:rsid w:val="00566053"/>
    <w:rsid w:val="00566900"/>
    <w:rsid w:val="00566C49"/>
    <w:rsid w:val="0057067D"/>
    <w:rsid w:val="00570963"/>
    <w:rsid w:val="0057099D"/>
    <w:rsid w:val="00570ABB"/>
    <w:rsid w:val="00570E3B"/>
    <w:rsid w:val="00570E91"/>
    <w:rsid w:val="00571A90"/>
    <w:rsid w:val="00572654"/>
    <w:rsid w:val="00573100"/>
    <w:rsid w:val="00573547"/>
    <w:rsid w:val="00573BA6"/>
    <w:rsid w:val="00574134"/>
    <w:rsid w:val="005742F4"/>
    <w:rsid w:val="00574846"/>
    <w:rsid w:val="00575EC7"/>
    <w:rsid w:val="00576397"/>
    <w:rsid w:val="0057657D"/>
    <w:rsid w:val="005765D0"/>
    <w:rsid w:val="00576AC9"/>
    <w:rsid w:val="00577E2E"/>
    <w:rsid w:val="00580196"/>
    <w:rsid w:val="00580C00"/>
    <w:rsid w:val="00580FF5"/>
    <w:rsid w:val="005813B0"/>
    <w:rsid w:val="00581786"/>
    <w:rsid w:val="00581987"/>
    <w:rsid w:val="005820FC"/>
    <w:rsid w:val="005826BA"/>
    <w:rsid w:val="00582789"/>
    <w:rsid w:val="00583440"/>
    <w:rsid w:val="0058349F"/>
    <w:rsid w:val="00584103"/>
    <w:rsid w:val="00585027"/>
    <w:rsid w:val="005852B2"/>
    <w:rsid w:val="0058533F"/>
    <w:rsid w:val="00585D53"/>
    <w:rsid w:val="0058608D"/>
    <w:rsid w:val="00586FC1"/>
    <w:rsid w:val="00587396"/>
    <w:rsid w:val="00587587"/>
    <w:rsid w:val="005905FE"/>
    <w:rsid w:val="00590B22"/>
    <w:rsid w:val="0059193A"/>
    <w:rsid w:val="00591B78"/>
    <w:rsid w:val="00591BA1"/>
    <w:rsid w:val="00591EB9"/>
    <w:rsid w:val="00592137"/>
    <w:rsid w:val="0059231C"/>
    <w:rsid w:val="00592460"/>
    <w:rsid w:val="00593118"/>
    <w:rsid w:val="005941AB"/>
    <w:rsid w:val="005943D4"/>
    <w:rsid w:val="0059450C"/>
    <w:rsid w:val="005949A1"/>
    <w:rsid w:val="00595382"/>
    <w:rsid w:val="00595542"/>
    <w:rsid w:val="005961C7"/>
    <w:rsid w:val="00596D5F"/>
    <w:rsid w:val="00596FBC"/>
    <w:rsid w:val="00597013"/>
    <w:rsid w:val="00597596"/>
    <w:rsid w:val="00597B68"/>
    <w:rsid w:val="005A015C"/>
    <w:rsid w:val="005A018C"/>
    <w:rsid w:val="005A022D"/>
    <w:rsid w:val="005A0252"/>
    <w:rsid w:val="005A0F91"/>
    <w:rsid w:val="005A1465"/>
    <w:rsid w:val="005A2011"/>
    <w:rsid w:val="005A25D1"/>
    <w:rsid w:val="005A260B"/>
    <w:rsid w:val="005A3011"/>
    <w:rsid w:val="005A31DC"/>
    <w:rsid w:val="005A3613"/>
    <w:rsid w:val="005A381A"/>
    <w:rsid w:val="005A4E8C"/>
    <w:rsid w:val="005A4EF1"/>
    <w:rsid w:val="005A538C"/>
    <w:rsid w:val="005A6058"/>
    <w:rsid w:val="005A657B"/>
    <w:rsid w:val="005A6DC8"/>
    <w:rsid w:val="005A7651"/>
    <w:rsid w:val="005A79C8"/>
    <w:rsid w:val="005B1256"/>
    <w:rsid w:val="005B13C0"/>
    <w:rsid w:val="005B20A0"/>
    <w:rsid w:val="005B230B"/>
    <w:rsid w:val="005B2478"/>
    <w:rsid w:val="005B2A6A"/>
    <w:rsid w:val="005B3222"/>
    <w:rsid w:val="005B33CD"/>
    <w:rsid w:val="005B3A1D"/>
    <w:rsid w:val="005B3B5A"/>
    <w:rsid w:val="005B3C73"/>
    <w:rsid w:val="005B3CEA"/>
    <w:rsid w:val="005B3D1F"/>
    <w:rsid w:val="005B401F"/>
    <w:rsid w:val="005B4ED1"/>
    <w:rsid w:val="005B571E"/>
    <w:rsid w:val="005B65AD"/>
    <w:rsid w:val="005B6F74"/>
    <w:rsid w:val="005B76AA"/>
    <w:rsid w:val="005C0A53"/>
    <w:rsid w:val="005C0B15"/>
    <w:rsid w:val="005C0E02"/>
    <w:rsid w:val="005C0FAE"/>
    <w:rsid w:val="005C12B6"/>
    <w:rsid w:val="005C130E"/>
    <w:rsid w:val="005C166A"/>
    <w:rsid w:val="005C1B0F"/>
    <w:rsid w:val="005C1EF4"/>
    <w:rsid w:val="005C1FB6"/>
    <w:rsid w:val="005C21F7"/>
    <w:rsid w:val="005C2EEC"/>
    <w:rsid w:val="005C474E"/>
    <w:rsid w:val="005C48B7"/>
    <w:rsid w:val="005C4C64"/>
    <w:rsid w:val="005C54E1"/>
    <w:rsid w:val="005C6561"/>
    <w:rsid w:val="005C65ED"/>
    <w:rsid w:val="005C674F"/>
    <w:rsid w:val="005C6CD5"/>
    <w:rsid w:val="005C6DBA"/>
    <w:rsid w:val="005C78E6"/>
    <w:rsid w:val="005C7E9A"/>
    <w:rsid w:val="005D0475"/>
    <w:rsid w:val="005D14DD"/>
    <w:rsid w:val="005D151E"/>
    <w:rsid w:val="005D1556"/>
    <w:rsid w:val="005D160C"/>
    <w:rsid w:val="005D1933"/>
    <w:rsid w:val="005D1EC0"/>
    <w:rsid w:val="005D2583"/>
    <w:rsid w:val="005D288A"/>
    <w:rsid w:val="005D3971"/>
    <w:rsid w:val="005D3A3A"/>
    <w:rsid w:val="005D4958"/>
    <w:rsid w:val="005D4F65"/>
    <w:rsid w:val="005D5264"/>
    <w:rsid w:val="005D53E7"/>
    <w:rsid w:val="005D6105"/>
    <w:rsid w:val="005D6352"/>
    <w:rsid w:val="005D663E"/>
    <w:rsid w:val="005D6BE8"/>
    <w:rsid w:val="005D72ED"/>
    <w:rsid w:val="005E0134"/>
    <w:rsid w:val="005E161E"/>
    <w:rsid w:val="005E1A86"/>
    <w:rsid w:val="005E1CA8"/>
    <w:rsid w:val="005E1F0B"/>
    <w:rsid w:val="005E2961"/>
    <w:rsid w:val="005E32EF"/>
    <w:rsid w:val="005E37C7"/>
    <w:rsid w:val="005E4F06"/>
    <w:rsid w:val="005E54F5"/>
    <w:rsid w:val="005E56BD"/>
    <w:rsid w:val="005E5A30"/>
    <w:rsid w:val="005E6B71"/>
    <w:rsid w:val="005E6CB1"/>
    <w:rsid w:val="005E74A8"/>
    <w:rsid w:val="005E7A2A"/>
    <w:rsid w:val="005E7DE7"/>
    <w:rsid w:val="005F117A"/>
    <w:rsid w:val="005F11CA"/>
    <w:rsid w:val="005F12E1"/>
    <w:rsid w:val="005F1D4D"/>
    <w:rsid w:val="005F2180"/>
    <w:rsid w:val="005F23B9"/>
    <w:rsid w:val="005F26DF"/>
    <w:rsid w:val="005F2803"/>
    <w:rsid w:val="005F3338"/>
    <w:rsid w:val="005F4178"/>
    <w:rsid w:val="005F5F34"/>
    <w:rsid w:val="005F6325"/>
    <w:rsid w:val="005F66F4"/>
    <w:rsid w:val="005F6A0A"/>
    <w:rsid w:val="005F6ECB"/>
    <w:rsid w:val="005F7696"/>
    <w:rsid w:val="005F76A3"/>
    <w:rsid w:val="005F7930"/>
    <w:rsid w:val="005F7FD4"/>
    <w:rsid w:val="00600387"/>
    <w:rsid w:val="00600533"/>
    <w:rsid w:val="0060060D"/>
    <w:rsid w:val="00600661"/>
    <w:rsid w:val="00600F04"/>
    <w:rsid w:val="006011C5"/>
    <w:rsid w:val="00601347"/>
    <w:rsid w:val="00601975"/>
    <w:rsid w:val="00601AFD"/>
    <w:rsid w:val="00601D05"/>
    <w:rsid w:val="006028E0"/>
    <w:rsid w:val="006030B2"/>
    <w:rsid w:val="00603B7F"/>
    <w:rsid w:val="0060432F"/>
    <w:rsid w:val="00604511"/>
    <w:rsid w:val="00604786"/>
    <w:rsid w:val="00604C2C"/>
    <w:rsid w:val="00604E95"/>
    <w:rsid w:val="006052ED"/>
    <w:rsid w:val="00605417"/>
    <w:rsid w:val="00605BB6"/>
    <w:rsid w:val="006060CC"/>
    <w:rsid w:val="0060619C"/>
    <w:rsid w:val="00606E41"/>
    <w:rsid w:val="00607FC6"/>
    <w:rsid w:val="006110F8"/>
    <w:rsid w:val="0061185A"/>
    <w:rsid w:val="00611BD3"/>
    <w:rsid w:val="0061279D"/>
    <w:rsid w:val="006139E5"/>
    <w:rsid w:val="00613D7D"/>
    <w:rsid w:val="0061452D"/>
    <w:rsid w:val="00615490"/>
    <w:rsid w:val="00615A37"/>
    <w:rsid w:val="00615BE9"/>
    <w:rsid w:val="00615F9C"/>
    <w:rsid w:val="006160E2"/>
    <w:rsid w:val="006166A1"/>
    <w:rsid w:val="00616860"/>
    <w:rsid w:val="00616BE4"/>
    <w:rsid w:val="00616F2A"/>
    <w:rsid w:val="00616F66"/>
    <w:rsid w:val="00620393"/>
    <w:rsid w:val="0062099F"/>
    <w:rsid w:val="00621B2D"/>
    <w:rsid w:val="00622324"/>
    <w:rsid w:val="006229A3"/>
    <w:rsid w:val="00622D3A"/>
    <w:rsid w:val="006230BB"/>
    <w:rsid w:val="006237E3"/>
    <w:rsid w:val="00623922"/>
    <w:rsid w:val="00623A7E"/>
    <w:rsid w:val="0062406D"/>
    <w:rsid w:val="006241FB"/>
    <w:rsid w:val="00624312"/>
    <w:rsid w:val="0062478C"/>
    <w:rsid w:val="006251BC"/>
    <w:rsid w:val="006252B5"/>
    <w:rsid w:val="006254D1"/>
    <w:rsid w:val="00627034"/>
    <w:rsid w:val="0062796E"/>
    <w:rsid w:val="00627B34"/>
    <w:rsid w:val="0063016F"/>
    <w:rsid w:val="00630287"/>
    <w:rsid w:val="006302DB"/>
    <w:rsid w:val="00630D28"/>
    <w:rsid w:val="00631776"/>
    <w:rsid w:val="00632005"/>
    <w:rsid w:val="0063211A"/>
    <w:rsid w:val="006323AE"/>
    <w:rsid w:val="00633A76"/>
    <w:rsid w:val="00633AF9"/>
    <w:rsid w:val="00633D78"/>
    <w:rsid w:val="00634E06"/>
    <w:rsid w:val="006350D7"/>
    <w:rsid w:val="0063535F"/>
    <w:rsid w:val="006357B3"/>
    <w:rsid w:val="00635FBC"/>
    <w:rsid w:val="00636465"/>
    <w:rsid w:val="00636835"/>
    <w:rsid w:val="0064004D"/>
    <w:rsid w:val="0064026F"/>
    <w:rsid w:val="00640704"/>
    <w:rsid w:val="006409D3"/>
    <w:rsid w:val="00640C17"/>
    <w:rsid w:val="00640EAB"/>
    <w:rsid w:val="006415F3"/>
    <w:rsid w:val="00641C1D"/>
    <w:rsid w:val="00641D49"/>
    <w:rsid w:val="00642A7B"/>
    <w:rsid w:val="00642CDF"/>
    <w:rsid w:val="00642D0B"/>
    <w:rsid w:val="00642E18"/>
    <w:rsid w:val="00642E2E"/>
    <w:rsid w:val="0064319B"/>
    <w:rsid w:val="0064333C"/>
    <w:rsid w:val="00643419"/>
    <w:rsid w:val="00643CB4"/>
    <w:rsid w:val="006446EC"/>
    <w:rsid w:val="006449DB"/>
    <w:rsid w:val="0064541D"/>
    <w:rsid w:val="00645A8B"/>
    <w:rsid w:val="00645F77"/>
    <w:rsid w:val="0064607B"/>
    <w:rsid w:val="00646385"/>
    <w:rsid w:val="006464EE"/>
    <w:rsid w:val="0064684C"/>
    <w:rsid w:val="006468BB"/>
    <w:rsid w:val="006506E0"/>
    <w:rsid w:val="00650E17"/>
    <w:rsid w:val="006511BD"/>
    <w:rsid w:val="0065153D"/>
    <w:rsid w:val="00651D89"/>
    <w:rsid w:val="006520F6"/>
    <w:rsid w:val="00652982"/>
    <w:rsid w:val="00653542"/>
    <w:rsid w:val="006535B7"/>
    <w:rsid w:val="0065393E"/>
    <w:rsid w:val="006548BB"/>
    <w:rsid w:val="006553E1"/>
    <w:rsid w:val="00655980"/>
    <w:rsid w:val="00655B34"/>
    <w:rsid w:val="00655D47"/>
    <w:rsid w:val="00656531"/>
    <w:rsid w:val="00656805"/>
    <w:rsid w:val="00656A9B"/>
    <w:rsid w:val="006573BD"/>
    <w:rsid w:val="0065751E"/>
    <w:rsid w:val="00657B47"/>
    <w:rsid w:val="00657D5B"/>
    <w:rsid w:val="006602BB"/>
    <w:rsid w:val="006609D4"/>
    <w:rsid w:val="00661189"/>
    <w:rsid w:val="00661545"/>
    <w:rsid w:val="00661C4C"/>
    <w:rsid w:val="00663065"/>
    <w:rsid w:val="00663081"/>
    <w:rsid w:val="006632F5"/>
    <w:rsid w:val="00663BEA"/>
    <w:rsid w:val="00663D0B"/>
    <w:rsid w:val="00663E50"/>
    <w:rsid w:val="00663EC2"/>
    <w:rsid w:val="006640B8"/>
    <w:rsid w:val="0066421D"/>
    <w:rsid w:val="0066470C"/>
    <w:rsid w:val="00664DE1"/>
    <w:rsid w:val="0066508C"/>
    <w:rsid w:val="00665884"/>
    <w:rsid w:val="00665A3E"/>
    <w:rsid w:val="00665CC5"/>
    <w:rsid w:val="0066625F"/>
    <w:rsid w:val="006666B5"/>
    <w:rsid w:val="006668E5"/>
    <w:rsid w:val="00666D24"/>
    <w:rsid w:val="00667293"/>
    <w:rsid w:val="006672FC"/>
    <w:rsid w:val="00667AEB"/>
    <w:rsid w:val="00667EEA"/>
    <w:rsid w:val="006700B8"/>
    <w:rsid w:val="00670272"/>
    <w:rsid w:val="00670372"/>
    <w:rsid w:val="00670495"/>
    <w:rsid w:val="00670C46"/>
    <w:rsid w:val="00670EA8"/>
    <w:rsid w:val="00670F37"/>
    <w:rsid w:val="00671375"/>
    <w:rsid w:val="00671472"/>
    <w:rsid w:val="00671885"/>
    <w:rsid w:val="00672804"/>
    <w:rsid w:val="00672939"/>
    <w:rsid w:val="0067377A"/>
    <w:rsid w:val="006744DC"/>
    <w:rsid w:val="0067470A"/>
    <w:rsid w:val="00675168"/>
    <w:rsid w:val="00675C0B"/>
    <w:rsid w:val="00675FB3"/>
    <w:rsid w:val="0067603E"/>
    <w:rsid w:val="006763D2"/>
    <w:rsid w:val="00680316"/>
    <w:rsid w:val="006807FD"/>
    <w:rsid w:val="00682603"/>
    <w:rsid w:val="00682D19"/>
    <w:rsid w:val="00682E9E"/>
    <w:rsid w:val="00682FD5"/>
    <w:rsid w:val="006832CE"/>
    <w:rsid w:val="00683594"/>
    <w:rsid w:val="00683B12"/>
    <w:rsid w:val="00683E86"/>
    <w:rsid w:val="006840E6"/>
    <w:rsid w:val="006852EA"/>
    <w:rsid w:val="006856F2"/>
    <w:rsid w:val="00685EB2"/>
    <w:rsid w:val="0068621A"/>
    <w:rsid w:val="0068733A"/>
    <w:rsid w:val="006877B7"/>
    <w:rsid w:val="00687DA9"/>
    <w:rsid w:val="00690407"/>
    <w:rsid w:val="00690839"/>
    <w:rsid w:val="00690875"/>
    <w:rsid w:val="00691251"/>
    <w:rsid w:val="0069158E"/>
    <w:rsid w:val="00692CEE"/>
    <w:rsid w:val="00692E49"/>
    <w:rsid w:val="00693056"/>
    <w:rsid w:val="006930E1"/>
    <w:rsid w:val="00693115"/>
    <w:rsid w:val="00693776"/>
    <w:rsid w:val="00694271"/>
    <w:rsid w:val="006942D6"/>
    <w:rsid w:val="00694801"/>
    <w:rsid w:val="00694A42"/>
    <w:rsid w:val="00694FCD"/>
    <w:rsid w:val="00695A38"/>
    <w:rsid w:val="00695A46"/>
    <w:rsid w:val="00696270"/>
    <w:rsid w:val="0069632E"/>
    <w:rsid w:val="0069682F"/>
    <w:rsid w:val="006969D7"/>
    <w:rsid w:val="00696C07"/>
    <w:rsid w:val="006A019C"/>
    <w:rsid w:val="006A0320"/>
    <w:rsid w:val="006A074A"/>
    <w:rsid w:val="006A0BE7"/>
    <w:rsid w:val="006A0D41"/>
    <w:rsid w:val="006A14BB"/>
    <w:rsid w:val="006A2D7C"/>
    <w:rsid w:val="006A3379"/>
    <w:rsid w:val="006A3494"/>
    <w:rsid w:val="006A4749"/>
    <w:rsid w:val="006A4770"/>
    <w:rsid w:val="006A491E"/>
    <w:rsid w:val="006A4E08"/>
    <w:rsid w:val="006A518E"/>
    <w:rsid w:val="006A5391"/>
    <w:rsid w:val="006A54CE"/>
    <w:rsid w:val="006A58E8"/>
    <w:rsid w:val="006A6516"/>
    <w:rsid w:val="006A67EA"/>
    <w:rsid w:val="006A6BC1"/>
    <w:rsid w:val="006A77AD"/>
    <w:rsid w:val="006A7AB7"/>
    <w:rsid w:val="006A7E16"/>
    <w:rsid w:val="006B0174"/>
    <w:rsid w:val="006B0269"/>
    <w:rsid w:val="006B02B6"/>
    <w:rsid w:val="006B033C"/>
    <w:rsid w:val="006B212C"/>
    <w:rsid w:val="006B284A"/>
    <w:rsid w:val="006B34CC"/>
    <w:rsid w:val="006B3636"/>
    <w:rsid w:val="006B4887"/>
    <w:rsid w:val="006B5C20"/>
    <w:rsid w:val="006B5D32"/>
    <w:rsid w:val="006B635D"/>
    <w:rsid w:val="006B66C4"/>
    <w:rsid w:val="006B69AC"/>
    <w:rsid w:val="006B6CF7"/>
    <w:rsid w:val="006B7B76"/>
    <w:rsid w:val="006C088F"/>
    <w:rsid w:val="006C1B02"/>
    <w:rsid w:val="006C1FF9"/>
    <w:rsid w:val="006C2368"/>
    <w:rsid w:val="006C3A72"/>
    <w:rsid w:val="006C3C6C"/>
    <w:rsid w:val="006C3D5A"/>
    <w:rsid w:val="006C443A"/>
    <w:rsid w:val="006C4763"/>
    <w:rsid w:val="006C4E70"/>
    <w:rsid w:val="006C5289"/>
    <w:rsid w:val="006C536D"/>
    <w:rsid w:val="006C5571"/>
    <w:rsid w:val="006C5667"/>
    <w:rsid w:val="006C5781"/>
    <w:rsid w:val="006C5EDA"/>
    <w:rsid w:val="006C5F4A"/>
    <w:rsid w:val="006C6243"/>
    <w:rsid w:val="006C6578"/>
    <w:rsid w:val="006C6856"/>
    <w:rsid w:val="006C6AD6"/>
    <w:rsid w:val="006C7782"/>
    <w:rsid w:val="006C7926"/>
    <w:rsid w:val="006C7E67"/>
    <w:rsid w:val="006D0989"/>
    <w:rsid w:val="006D0DAF"/>
    <w:rsid w:val="006D17A6"/>
    <w:rsid w:val="006D1D1F"/>
    <w:rsid w:val="006D223B"/>
    <w:rsid w:val="006D2C80"/>
    <w:rsid w:val="006D2CB0"/>
    <w:rsid w:val="006D3624"/>
    <w:rsid w:val="006D3773"/>
    <w:rsid w:val="006D37BA"/>
    <w:rsid w:val="006D3910"/>
    <w:rsid w:val="006D4D46"/>
    <w:rsid w:val="006D5726"/>
    <w:rsid w:val="006D5A86"/>
    <w:rsid w:val="006D618F"/>
    <w:rsid w:val="006D6253"/>
    <w:rsid w:val="006D6503"/>
    <w:rsid w:val="006D6E87"/>
    <w:rsid w:val="006D6F1B"/>
    <w:rsid w:val="006D7B52"/>
    <w:rsid w:val="006E01FC"/>
    <w:rsid w:val="006E0432"/>
    <w:rsid w:val="006E0762"/>
    <w:rsid w:val="006E082C"/>
    <w:rsid w:val="006E088F"/>
    <w:rsid w:val="006E0FD8"/>
    <w:rsid w:val="006E1869"/>
    <w:rsid w:val="006E1988"/>
    <w:rsid w:val="006E1F9D"/>
    <w:rsid w:val="006E1FEA"/>
    <w:rsid w:val="006E28E6"/>
    <w:rsid w:val="006E3038"/>
    <w:rsid w:val="006E3A6A"/>
    <w:rsid w:val="006E3AAF"/>
    <w:rsid w:val="006E3E2F"/>
    <w:rsid w:val="006E4238"/>
    <w:rsid w:val="006E42E6"/>
    <w:rsid w:val="006E4363"/>
    <w:rsid w:val="006E4EA8"/>
    <w:rsid w:val="006E5EE9"/>
    <w:rsid w:val="006E6460"/>
    <w:rsid w:val="006E6511"/>
    <w:rsid w:val="006E6C45"/>
    <w:rsid w:val="006E7CE7"/>
    <w:rsid w:val="006F06BB"/>
    <w:rsid w:val="006F10A5"/>
    <w:rsid w:val="006F16AA"/>
    <w:rsid w:val="006F16ED"/>
    <w:rsid w:val="006F1AA8"/>
    <w:rsid w:val="006F282D"/>
    <w:rsid w:val="006F2D0A"/>
    <w:rsid w:val="006F2E92"/>
    <w:rsid w:val="006F3772"/>
    <w:rsid w:val="006F3AA3"/>
    <w:rsid w:val="006F3DF0"/>
    <w:rsid w:val="006F4F92"/>
    <w:rsid w:val="006F54D8"/>
    <w:rsid w:val="006F59A9"/>
    <w:rsid w:val="006F5C73"/>
    <w:rsid w:val="006F60E2"/>
    <w:rsid w:val="006F6586"/>
    <w:rsid w:val="006F6D15"/>
    <w:rsid w:val="006F7157"/>
    <w:rsid w:val="006F723F"/>
    <w:rsid w:val="006F739E"/>
    <w:rsid w:val="00700A5D"/>
    <w:rsid w:val="007023F8"/>
    <w:rsid w:val="007031AF"/>
    <w:rsid w:val="00703916"/>
    <w:rsid w:val="00703CC2"/>
    <w:rsid w:val="00703FF4"/>
    <w:rsid w:val="00704199"/>
    <w:rsid w:val="00704D2C"/>
    <w:rsid w:val="00705727"/>
    <w:rsid w:val="00705814"/>
    <w:rsid w:val="00705C28"/>
    <w:rsid w:val="007060B7"/>
    <w:rsid w:val="00706E26"/>
    <w:rsid w:val="00707195"/>
    <w:rsid w:val="00710401"/>
    <w:rsid w:val="00710529"/>
    <w:rsid w:val="00711682"/>
    <w:rsid w:val="0071200D"/>
    <w:rsid w:val="007128AD"/>
    <w:rsid w:val="0071292F"/>
    <w:rsid w:val="00712A57"/>
    <w:rsid w:val="00712BDE"/>
    <w:rsid w:val="00712E61"/>
    <w:rsid w:val="00713886"/>
    <w:rsid w:val="00714236"/>
    <w:rsid w:val="00714823"/>
    <w:rsid w:val="007155FA"/>
    <w:rsid w:val="00715C17"/>
    <w:rsid w:val="00715E33"/>
    <w:rsid w:val="00716133"/>
    <w:rsid w:val="00716550"/>
    <w:rsid w:val="00716CD2"/>
    <w:rsid w:val="0071731A"/>
    <w:rsid w:val="00717B17"/>
    <w:rsid w:val="00717C7A"/>
    <w:rsid w:val="00720240"/>
    <w:rsid w:val="0072025F"/>
    <w:rsid w:val="00720646"/>
    <w:rsid w:val="0072068A"/>
    <w:rsid w:val="007206C7"/>
    <w:rsid w:val="00720810"/>
    <w:rsid w:val="00720CC4"/>
    <w:rsid w:val="00720F42"/>
    <w:rsid w:val="00721155"/>
    <w:rsid w:val="007215D8"/>
    <w:rsid w:val="007218E0"/>
    <w:rsid w:val="00722660"/>
    <w:rsid w:val="00722761"/>
    <w:rsid w:val="00722E42"/>
    <w:rsid w:val="007237E5"/>
    <w:rsid w:val="00723950"/>
    <w:rsid w:val="00723EF8"/>
    <w:rsid w:val="0072409A"/>
    <w:rsid w:val="007247A4"/>
    <w:rsid w:val="00725120"/>
    <w:rsid w:val="00725503"/>
    <w:rsid w:val="0072576E"/>
    <w:rsid w:val="00725BC6"/>
    <w:rsid w:val="00726AB2"/>
    <w:rsid w:val="0072799F"/>
    <w:rsid w:val="007315E2"/>
    <w:rsid w:val="007316AD"/>
    <w:rsid w:val="007318F8"/>
    <w:rsid w:val="00732097"/>
    <w:rsid w:val="00732A5D"/>
    <w:rsid w:val="0073317A"/>
    <w:rsid w:val="00734366"/>
    <w:rsid w:val="007343D6"/>
    <w:rsid w:val="007345F1"/>
    <w:rsid w:val="00734CF0"/>
    <w:rsid w:val="00734EF6"/>
    <w:rsid w:val="00735651"/>
    <w:rsid w:val="00736219"/>
    <w:rsid w:val="00736485"/>
    <w:rsid w:val="0073668A"/>
    <w:rsid w:val="00736857"/>
    <w:rsid w:val="00736FC4"/>
    <w:rsid w:val="0073722C"/>
    <w:rsid w:val="007375B3"/>
    <w:rsid w:val="007376E9"/>
    <w:rsid w:val="00737AC5"/>
    <w:rsid w:val="00740277"/>
    <w:rsid w:val="00740600"/>
    <w:rsid w:val="007406B2"/>
    <w:rsid w:val="00740B80"/>
    <w:rsid w:val="00740C31"/>
    <w:rsid w:val="00741023"/>
    <w:rsid w:val="00742782"/>
    <w:rsid w:val="00742968"/>
    <w:rsid w:val="007429A5"/>
    <w:rsid w:val="00743115"/>
    <w:rsid w:val="00743706"/>
    <w:rsid w:val="00743931"/>
    <w:rsid w:val="007444E4"/>
    <w:rsid w:val="00744F63"/>
    <w:rsid w:val="00745188"/>
    <w:rsid w:val="00745778"/>
    <w:rsid w:val="00745ACB"/>
    <w:rsid w:val="0074697F"/>
    <w:rsid w:val="00746B6C"/>
    <w:rsid w:val="00746BC0"/>
    <w:rsid w:val="00746DE6"/>
    <w:rsid w:val="00747D62"/>
    <w:rsid w:val="00750474"/>
    <w:rsid w:val="00750902"/>
    <w:rsid w:val="00750EBB"/>
    <w:rsid w:val="00751C81"/>
    <w:rsid w:val="00752332"/>
    <w:rsid w:val="00752DCB"/>
    <w:rsid w:val="0075467D"/>
    <w:rsid w:val="00754AC2"/>
    <w:rsid w:val="00754BE5"/>
    <w:rsid w:val="00754E86"/>
    <w:rsid w:val="00754F4B"/>
    <w:rsid w:val="00755FCA"/>
    <w:rsid w:val="00756916"/>
    <w:rsid w:val="00756E56"/>
    <w:rsid w:val="007577CC"/>
    <w:rsid w:val="00757CBA"/>
    <w:rsid w:val="007603A1"/>
    <w:rsid w:val="00760628"/>
    <w:rsid w:val="0076067C"/>
    <w:rsid w:val="00760D4E"/>
    <w:rsid w:val="00761BEC"/>
    <w:rsid w:val="007623FC"/>
    <w:rsid w:val="00762DBB"/>
    <w:rsid w:val="00762DDC"/>
    <w:rsid w:val="00762DF8"/>
    <w:rsid w:val="00763670"/>
    <w:rsid w:val="0076397C"/>
    <w:rsid w:val="00763C08"/>
    <w:rsid w:val="00763E0A"/>
    <w:rsid w:val="007650B4"/>
    <w:rsid w:val="0076555F"/>
    <w:rsid w:val="00765BAE"/>
    <w:rsid w:val="0076684E"/>
    <w:rsid w:val="00766964"/>
    <w:rsid w:val="00767027"/>
    <w:rsid w:val="00767D06"/>
    <w:rsid w:val="007704B2"/>
    <w:rsid w:val="00770B7B"/>
    <w:rsid w:val="00770C4F"/>
    <w:rsid w:val="00770F3D"/>
    <w:rsid w:val="0077102F"/>
    <w:rsid w:val="00772D93"/>
    <w:rsid w:val="00773604"/>
    <w:rsid w:val="0077368B"/>
    <w:rsid w:val="00773EEC"/>
    <w:rsid w:val="00775481"/>
    <w:rsid w:val="00775867"/>
    <w:rsid w:val="00775C1C"/>
    <w:rsid w:val="007762BD"/>
    <w:rsid w:val="00776C19"/>
    <w:rsid w:val="00776F96"/>
    <w:rsid w:val="0077778A"/>
    <w:rsid w:val="00777CC8"/>
    <w:rsid w:val="0078033A"/>
    <w:rsid w:val="00780F97"/>
    <w:rsid w:val="007814D6"/>
    <w:rsid w:val="0078186F"/>
    <w:rsid w:val="007818A9"/>
    <w:rsid w:val="00782277"/>
    <w:rsid w:val="00782612"/>
    <w:rsid w:val="00783279"/>
    <w:rsid w:val="007832DC"/>
    <w:rsid w:val="00783DAE"/>
    <w:rsid w:val="00783DD1"/>
    <w:rsid w:val="007840E8"/>
    <w:rsid w:val="00784C9E"/>
    <w:rsid w:val="00785311"/>
    <w:rsid w:val="00785568"/>
    <w:rsid w:val="00785603"/>
    <w:rsid w:val="00785B75"/>
    <w:rsid w:val="00786075"/>
    <w:rsid w:val="0078647E"/>
    <w:rsid w:val="007867CA"/>
    <w:rsid w:val="007901BE"/>
    <w:rsid w:val="00790747"/>
    <w:rsid w:val="00790E08"/>
    <w:rsid w:val="00790FE9"/>
    <w:rsid w:val="007911F8"/>
    <w:rsid w:val="00792140"/>
    <w:rsid w:val="0079252C"/>
    <w:rsid w:val="0079418E"/>
    <w:rsid w:val="007943E9"/>
    <w:rsid w:val="00795031"/>
    <w:rsid w:val="0079515C"/>
    <w:rsid w:val="007959A1"/>
    <w:rsid w:val="00796DB1"/>
    <w:rsid w:val="00797493"/>
    <w:rsid w:val="007978B9"/>
    <w:rsid w:val="00797989"/>
    <w:rsid w:val="007A0323"/>
    <w:rsid w:val="007A0DA2"/>
    <w:rsid w:val="007A1015"/>
    <w:rsid w:val="007A1057"/>
    <w:rsid w:val="007A1AC4"/>
    <w:rsid w:val="007A1D3C"/>
    <w:rsid w:val="007A1E4F"/>
    <w:rsid w:val="007A288E"/>
    <w:rsid w:val="007A2F4E"/>
    <w:rsid w:val="007A3866"/>
    <w:rsid w:val="007A4198"/>
    <w:rsid w:val="007A60B4"/>
    <w:rsid w:val="007A6445"/>
    <w:rsid w:val="007A676B"/>
    <w:rsid w:val="007A68D8"/>
    <w:rsid w:val="007A6937"/>
    <w:rsid w:val="007A6DD7"/>
    <w:rsid w:val="007A6DD9"/>
    <w:rsid w:val="007A706F"/>
    <w:rsid w:val="007A70E3"/>
    <w:rsid w:val="007A7B4F"/>
    <w:rsid w:val="007B05CE"/>
    <w:rsid w:val="007B0B26"/>
    <w:rsid w:val="007B0D6B"/>
    <w:rsid w:val="007B1140"/>
    <w:rsid w:val="007B189D"/>
    <w:rsid w:val="007B1AF7"/>
    <w:rsid w:val="007B2666"/>
    <w:rsid w:val="007B271D"/>
    <w:rsid w:val="007B29A0"/>
    <w:rsid w:val="007B2CE9"/>
    <w:rsid w:val="007B2DEA"/>
    <w:rsid w:val="007B3C63"/>
    <w:rsid w:val="007B3E44"/>
    <w:rsid w:val="007B4186"/>
    <w:rsid w:val="007B4307"/>
    <w:rsid w:val="007B4F69"/>
    <w:rsid w:val="007B51BE"/>
    <w:rsid w:val="007B5421"/>
    <w:rsid w:val="007B5DEF"/>
    <w:rsid w:val="007B62FD"/>
    <w:rsid w:val="007B6C5E"/>
    <w:rsid w:val="007B74A2"/>
    <w:rsid w:val="007B78FB"/>
    <w:rsid w:val="007B7CC3"/>
    <w:rsid w:val="007B7E91"/>
    <w:rsid w:val="007C0D54"/>
    <w:rsid w:val="007C10A6"/>
    <w:rsid w:val="007C1DD0"/>
    <w:rsid w:val="007C433D"/>
    <w:rsid w:val="007C46AF"/>
    <w:rsid w:val="007C53E5"/>
    <w:rsid w:val="007C5AC7"/>
    <w:rsid w:val="007C69EE"/>
    <w:rsid w:val="007C6D74"/>
    <w:rsid w:val="007C7A73"/>
    <w:rsid w:val="007C7DBA"/>
    <w:rsid w:val="007D009C"/>
    <w:rsid w:val="007D02ED"/>
    <w:rsid w:val="007D09FC"/>
    <w:rsid w:val="007D0CA6"/>
    <w:rsid w:val="007D137C"/>
    <w:rsid w:val="007D1544"/>
    <w:rsid w:val="007D199B"/>
    <w:rsid w:val="007D19D7"/>
    <w:rsid w:val="007D1E7F"/>
    <w:rsid w:val="007D2064"/>
    <w:rsid w:val="007D29AF"/>
    <w:rsid w:val="007D2DE9"/>
    <w:rsid w:val="007D2E6F"/>
    <w:rsid w:val="007D3614"/>
    <w:rsid w:val="007D39A4"/>
    <w:rsid w:val="007D405D"/>
    <w:rsid w:val="007D4579"/>
    <w:rsid w:val="007D54CC"/>
    <w:rsid w:val="007E02B8"/>
    <w:rsid w:val="007E044D"/>
    <w:rsid w:val="007E045C"/>
    <w:rsid w:val="007E064E"/>
    <w:rsid w:val="007E10F8"/>
    <w:rsid w:val="007E3042"/>
    <w:rsid w:val="007E3C86"/>
    <w:rsid w:val="007E3CAD"/>
    <w:rsid w:val="007E49BD"/>
    <w:rsid w:val="007E6033"/>
    <w:rsid w:val="007E65FF"/>
    <w:rsid w:val="007E7561"/>
    <w:rsid w:val="007E7744"/>
    <w:rsid w:val="007E7887"/>
    <w:rsid w:val="007E7A00"/>
    <w:rsid w:val="007E7C60"/>
    <w:rsid w:val="007F0C9C"/>
    <w:rsid w:val="007F0D4D"/>
    <w:rsid w:val="007F25DF"/>
    <w:rsid w:val="007F282B"/>
    <w:rsid w:val="007F2FEA"/>
    <w:rsid w:val="007F3195"/>
    <w:rsid w:val="007F4077"/>
    <w:rsid w:val="007F4EC5"/>
    <w:rsid w:val="007F53F2"/>
    <w:rsid w:val="007F5649"/>
    <w:rsid w:val="007F5B71"/>
    <w:rsid w:val="007F5C01"/>
    <w:rsid w:val="007F5D21"/>
    <w:rsid w:val="007F60E8"/>
    <w:rsid w:val="007F61A9"/>
    <w:rsid w:val="007F6B49"/>
    <w:rsid w:val="007F727E"/>
    <w:rsid w:val="007F73F4"/>
    <w:rsid w:val="007F782A"/>
    <w:rsid w:val="007F7E55"/>
    <w:rsid w:val="007F7FBB"/>
    <w:rsid w:val="008008F7"/>
    <w:rsid w:val="00800948"/>
    <w:rsid w:val="00800F90"/>
    <w:rsid w:val="00801505"/>
    <w:rsid w:val="00801893"/>
    <w:rsid w:val="00801A46"/>
    <w:rsid w:val="0080337D"/>
    <w:rsid w:val="008036DC"/>
    <w:rsid w:val="0080454C"/>
    <w:rsid w:val="008045EC"/>
    <w:rsid w:val="008046E3"/>
    <w:rsid w:val="00806C6B"/>
    <w:rsid w:val="00806CDF"/>
    <w:rsid w:val="0080727D"/>
    <w:rsid w:val="008077B1"/>
    <w:rsid w:val="00807950"/>
    <w:rsid w:val="008101B1"/>
    <w:rsid w:val="008108B2"/>
    <w:rsid w:val="00811DD7"/>
    <w:rsid w:val="0081215F"/>
    <w:rsid w:val="00812228"/>
    <w:rsid w:val="0081292D"/>
    <w:rsid w:val="00812E78"/>
    <w:rsid w:val="00813598"/>
    <w:rsid w:val="00813A4B"/>
    <w:rsid w:val="0081448C"/>
    <w:rsid w:val="00814DB0"/>
    <w:rsid w:val="00814F58"/>
    <w:rsid w:val="008151D1"/>
    <w:rsid w:val="008159F3"/>
    <w:rsid w:val="00815C6E"/>
    <w:rsid w:val="00815F6C"/>
    <w:rsid w:val="008160F0"/>
    <w:rsid w:val="00816A75"/>
    <w:rsid w:val="00816B32"/>
    <w:rsid w:val="00816DF5"/>
    <w:rsid w:val="00816F08"/>
    <w:rsid w:val="0081719A"/>
    <w:rsid w:val="0081728A"/>
    <w:rsid w:val="0081751A"/>
    <w:rsid w:val="008175FF"/>
    <w:rsid w:val="008176E1"/>
    <w:rsid w:val="00817A63"/>
    <w:rsid w:val="00817C55"/>
    <w:rsid w:val="00820080"/>
    <w:rsid w:val="00820111"/>
    <w:rsid w:val="008201EB"/>
    <w:rsid w:val="00820F26"/>
    <w:rsid w:val="008212C8"/>
    <w:rsid w:val="00822838"/>
    <w:rsid w:val="00823174"/>
    <w:rsid w:val="00823990"/>
    <w:rsid w:val="008241EF"/>
    <w:rsid w:val="00825616"/>
    <w:rsid w:val="00825833"/>
    <w:rsid w:val="00825AC9"/>
    <w:rsid w:val="00825BC4"/>
    <w:rsid w:val="00825EB4"/>
    <w:rsid w:val="008263C5"/>
    <w:rsid w:val="008267B0"/>
    <w:rsid w:val="00827E70"/>
    <w:rsid w:val="0083012E"/>
    <w:rsid w:val="00830F0C"/>
    <w:rsid w:val="00831773"/>
    <w:rsid w:val="00832866"/>
    <w:rsid w:val="00832B1C"/>
    <w:rsid w:val="00833BED"/>
    <w:rsid w:val="00833FE0"/>
    <w:rsid w:val="008343F0"/>
    <w:rsid w:val="00834C35"/>
    <w:rsid w:val="00834C6D"/>
    <w:rsid w:val="00835167"/>
    <w:rsid w:val="00836610"/>
    <w:rsid w:val="00836918"/>
    <w:rsid w:val="00836BB4"/>
    <w:rsid w:val="00836CD3"/>
    <w:rsid w:val="00840300"/>
    <w:rsid w:val="008408BD"/>
    <w:rsid w:val="00840CDB"/>
    <w:rsid w:val="008410B5"/>
    <w:rsid w:val="00841655"/>
    <w:rsid w:val="00841EDE"/>
    <w:rsid w:val="00842161"/>
    <w:rsid w:val="00842630"/>
    <w:rsid w:val="00842ADC"/>
    <w:rsid w:val="00843260"/>
    <w:rsid w:val="0084343E"/>
    <w:rsid w:val="00843923"/>
    <w:rsid w:val="0084413A"/>
    <w:rsid w:val="008449EA"/>
    <w:rsid w:val="00844C1F"/>
    <w:rsid w:val="00846023"/>
    <w:rsid w:val="00846315"/>
    <w:rsid w:val="00846937"/>
    <w:rsid w:val="00846CED"/>
    <w:rsid w:val="00846EB6"/>
    <w:rsid w:val="008500A7"/>
    <w:rsid w:val="0085013F"/>
    <w:rsid w:val="0085054A"/>
    <w:rsid w:val="00851557"/>
    <w:rsid w:val="008520B3"/>
    <w:rsid w:val="008523A4"/>
    <w:rsid w:val="008525F6"/>
    <w:rsid w:val="00853DCD"/>
    <w:rsid w:val="0085483B"/>
    <w:rsid w:val="00855925"/>
    <w:rsid w:val="008565EC"/>
    <w:rsid w:val="008570ED"/>
    <w:rsid w:val="00857211"/>
    <w:rsid w:val="008578DC"/>
    <w:rsid w:val="00860317"/>
    <w:rsid w:val="008604A2"/>
    <w:rsid w:val="00861469"/>
    <w:rsid w:val="0086218A"/>
    <w:rsid w:val="008625DF"/>
    <w:rsid w:val="00862920"/>
    <w:rsid w:val="00862A10"/>
    <w:rsid w:val="0086373C"/>
    <w:rsid w:val="00863D17"/>
    <w:rsid w:val="00863D2D"/>
    <w:rsid w:val="00863F1E"/>
    <w:rsid w:val="0086558B"/>
    <w:rsid w:val="00865C13"/>
    <w:rsid w:val="008661CD"/>
    <w:rsid w:val="008668A0"/>
    <w:rsid w:val="00866979"/>
    <w:rsid w:val="0086698E"/>
    <w:rsid w:val="00867006"/>
    <w:rsid w:val="00867110"/>
    <w:rsid w:val="0086757B"/>
    <w:rsid w:val="0086778D"/>
    <w:rsid w:val="00867920"/>
    <w:rsid w:val="008702F2"/>
    <w:rsid w:val="008705F6"/>
    <w:rsid w:val="0087068D"/>
    <w:rsid w:val="008706DC"/>
    <w:rsid w:val="00870954"/>
    <w:rsid w:val="00870972"/>
    <w:rsid w:val="00870CC2"/>
    <w:rsid w:val="00873083"/>
    <w:rsid w:val="00873DB1"/>
    <w:rsid w:val="00873F85"/>
    <w:rsid w:val="0087411A"/>
    <w:rsid w:val="008743BC"/>
    <w:rsid w:val="00874458"/>
    <w:rsid w:val="00874B23"/>
    <w:rsid w:val="00875112"/>
    <w:rsid w:val="008755A5"/>
    <w:rsid w:val="0087712A"/>
    <w:rsid w:val="00877573"/>
    <w:rsid w:val="00877A27"/>
    <w:rsid w:val="00880071"/>
    <w:rsid w:val="0088009F"/>
    <w:rsid w:val="00880256"/>
    <w:rsid w:val="008804D4"/>
    <w:rsid w:val="00881265"/>
    <w:rsid w:val="00881D2E"/>
    <w:rsid w:val="00881F3B"/>
    <w:rsid w:val="0088209C"/>
    <w:rsid w:val="00882BA6"/>
    <w:rsid w:val="008848D0"/>
    <w:rsid w:val="00884A7A"/>
    <w:rsid w:val="00884BC9"/>
    <w:rsid w:val="00884FAF"/>
    <w:rsid w:val="00885242"/>
    <w:rsid w:val="0088574B"/>
    <w:rsid w:val="00885FF7"/>
    <w:rsid w:val="0088601F"/>
    <w:rsid w:val="0088695D"/>
    <w:rsid w:val="00886AB6"/>
    <w:rsid w:val="00886B5C"/>
    <w:rsid w:val="0088762A"/>
    <w:rsid w:val="00887DC1"/>
    <w:rsid w:val="00890249"/>
    <w:rsid w:val="008907CB"/>
    <w:rsid w:val="00890974"/>
    <w:rsid w:val="00890D6A"/>
    <w:rsid w:val="00891219"/>
    <w:rsid w:val="008916AA"/>
    <w:rsid w:val="00892576"/>
    <w:rsid w:val="00892803"/>
    <w:rsid w:val="00892E38"/>
    <w:rsid w:val="00893AD0"/>
    <w:rsid w:val="00893E95"/>
    <w:rsid w:val="0089528A"/>
    <w:rsid w:val="00895D12"/>
    <w:rsid w:val="00897D8D"/>
    <w:rsid w:val="008A0808"/>
    <w:rsid w:val="008A122B"/>
    <w:rsid w:val="008A1C51"/>
    <w:rsid w:val="008A1CE5"/>
    <w:rsid w:val="008A2999"/>
    <w:rsid w:val="008A4462"/>
    <w:rsid w:val="008A44D1"/>
    <w:rsid w:val="008A4A04"/>
    <w:rsid w:val="008A5196"/>
    <w:rsid w:val="008A544B"/>
    <w:rsid w:val="008A61BE"/>
    <w:rsid w:val="008A6BC5"/>
    <w:rsid w:val="008A7567"/>
    <w:rsid w:val="008A75C3"/>
    <w:rsid w:val="008A7E01"/>
    <w:rsid w:val="008A7E43"/>
    <w:rsid w:val="008B0111"/>
    <w:rsid w:val="008B03A9"/>
    <w:rsid w:val="008B07B0"/>
    <w:rsid w:val="008B0A0A"/>
    <w:rsid w:val="008B110A"/>
    <w:rsid w:val="008B110D"/>
    <w:rsid w:val="008B1B95"/>
    <w:rsid w:val="008B1C79"/>
    <w:rsid w:val="008B1F5D"/>
    <w:rsid w:val="008B2182"/>
    <w:rsid w:val="008B3570"/>
    <w:rsid w:val="008B416B"/>
    <w:rsid w:val="008B4222"/>
    <w:rsid w:val="008B4D74"/>
    <w:rsid w:val="008B4F4D"/>
    <w:rsid w:val="008B5137"/>
    <w:rsid w:val="008B5642"/>
    <w:rsid w:val="008B581B"/>
    <w:rsid w:val="008B59E2"/>
    <w:rsid w:val="008B6059"/>
    <w:rsid w:val="008B664E"/>
    <w:rsid w:val="008B7E75"/>
    <w:rsid w:val="008C0C69"/>
    <w:rsid w:val="008C1123"/>
    <w:rsid w:val="008C12FA"/>
    <w:rsid w:val="008C2441"/>
    <w:rsid w:val="008C26F7"/>
    <w:rsid w:val="008C2726"/>
    <w:rsid w:val="008C2901"/>
    <w:rsid w:val="008C2B04"/>
    <w:rsid w:val="008C2F20"/>
    <w:rsid w:val="008C32B3"/>
    <w:rsid w:val="008C32FD"/>
    <w:rsid w:val="008C34CD"/>
    <w:rsid w:val="008C3650"/>
    <w:rsid w:val="008C3F7E"/>
    <w:rsid w:val="008C4A42"/>
    <w:rsid w:val="008C4C84"/>
    <w:rsid w:val="008C4C9A"/>
    <w:rsid w:val="008C5422"/>
    <w:rsid w:val="008C599B"/>
    <w:rsid w:val="008C62B8"/>
    <w:rsid w:val="008C66DC"/>
    <w:rsid w:val="008C675B"/>
    <w:rsid w:val="008C6957"/>
    <w:rsid w:val="008C71AA"/>
    <w:rsid w:val="008C7A1E"/>
    <w:rsid w:val="008C7AD0"/>
    <w:rsid w:val="008C7F42"/>
    <w:rsid w:val="008D0A27"/>
    <w:rsid w:val="008D14FB"/>
    <w:rsid w:val="008D197B"/>
    <w:rsid w:val="008D1B02"/>
    <w:rsid w:val="008D2370"/>
    <w:rsid w:val="008D23CF"/>
    <w:rsid w:val="008D3124"/>
    <w:rsid w:val="008D3511"/>
    <w:rsid w:val="008D38DE"/>
    <w:rsid w:val="008D3AE4"/>
    <w:rsid w:val="008D3E89"/>
    <w:rsid w:val="008D440D"/>
    <w:rsid w:val="008D4ED8"/>
    <w:rsid w:val="008D51DE"/>
    <w:rsid w:val="008D5FF6"/>
    <w:rsid w:val="008D61EA"/>
    <w:rsid w:val="008D729A"/>
    <w:rsid w:val="008D74DD"/>
    <w:rsid w:val="008D756A"/>
    <w:rsid w:val="008D76A9"/>
    <w:rsid w:val="008D7C75"/>
    <w:rsid w:val="008E02E4"/>
    <w:rsid w:val="008E11DC"/>
    <w:rsid w:val="008E14A4"/>
    <w:rsid w:val="008E1D3C"/>
    <w:rsid w:val="008E1FE7"/>
    <w:rsid w:val="008E2C0A"/>
    <w:rsid w:val="008E3249"/>
    <w:rsid w:val="008E387F"/>
    <w:rsid w:val="008E444A"/>
    <w:rsid w:val="008E543D"/>
    <w:rsid w:val="008E68B2"/>
    <w:rsid w:val="008E719C"/>
    <w:rsid w:val="008F0493"/>
    <w:rsid w:val="008F05E7"/>
    <w:rsid w:val="008F05F4"/>
    <w:rsid w:val="008F0C47"/>
    <w:rsid w:val="008F1C38"/>
    <w:rsid w:val="008F1E8E"/>
    <w:rsid w:val="008F2089"/>
    <w:rsid w:val="008F2099"/>
    <w:rsid w:val="008F2396"/>
    <w:rsid w:val="008F252A"/>
    <w:rsid w:val="008F2A47"/>
    <w:rsid w:val="008F36C2"/>
    <w:rsid w:val="008F3A35"/>
    <w:rsid w:val="008F437B"/>
    <w:rsid w:val="008F45E1"/>
    <w:rsid w:val="008F4750"/>
    <w:rsid w:val="008F477D"/>
    <w:rsid w:val="008F4BA1"/>
    <w:rsid w:val="008F4CD7"/>
    <w:rsid w:val="008F4E70"/>
    <w:rsid w:val="008F51DC"/>
    <w:rsid w:val="008F55BE"/>
    <w:rsid w:val="008F55F3"/>
    <w:rsid w:val="008F5DB5"/>
    <w:rsid w:val="008F61B1"/>
    <w:rsid w:val="008F67BC"/>
    <w:rsid w:val="008F6899"/>
    <w:rsid w:val="008F69B1"/>
    <w:rsid w:val="008F6FDE"/>
    <w:rsid w:val="008F7EBC"/>
    <w:rsid w:val="0090016F"/>
    <w:rsid w:val="0090064B"/>
    <w:rsid w:val="00900AFA"/>
    <w:rsid w:val="00900D62"/>
    <w:rsid w:val="0090126E"/>
    <w:rsid w:val="00901558"/>
    <w:rsid w:val="009024AE"/>
    <w:rsid w:val="00902684"/>
    <w:rsid w:val="009026F6"/>
    <w:rsid w:val="0090275F"/>
    <w:rsid w:val="00903E95"/>
    <w:rsid w:val="0090551F"/>
    <w:rsid w:val="00905DD5"/>
    <w:rsid w:val="0090645E"/>
    <w:rsid w:val="009071DF"/>
    <w:rsid w:val="00907B39"/>
    <w:rsid w:val="00907F47"/>
    <w:rsid w:val="0091023E"/>
    <w:rsid w:val="00910491"/>
    <w:rsid w:val="00910801"/>
    <w:rsid w:val="00910809"/>
    <w:rsid w:val="009123A0"/>
    <w:rsid w:val="0091245A"/>
    <w:rsid w:val="00913171"/>
    <w:rsid w:val="00913335"/>
    <w:rsid w:val="0091334A"/>
    <w:rsid w:val="00913700"/>
    <w:rsid w:val="00913754"/>
    <w:rsid w:val="00913A17"/>
    <w:rsid w:val="009145FD"/>
    <w:rsid w:val="009146A1"/>
    <w:rsid w:val="009146AE"/>
    <w:rsid w:val="00915357"/>
    <w:rsid w:val="00915987"/>
    <w:rsid w:val="00915EDD"/>
    <w:rsid w:val="009161E1"/>
    <w:rsid w:val="009163C8"/>
    <w:rsid w:val="00916A3A"/>
    <w:rsid w:val="00916EA8"/>
    <w:rsid w:val="00917413"/>
    <w:rsid w:val="00917D45"/>
    <w:rsid w:val="00917EC9"/>
    <w:rsid w:val="00921988"/>
    <w:rsid w:val="00921FE0"/>
    <w:rsid w:val="00922596"/>
    <w:rsid w:val="0092327F"/>
    <w:rsid w:val="00923483"/>
    <w:rsid w:val="009234C0"/>
    <w:rsid w:val="00924252"/>
    <w:rsid w:val="00924C21"/>
    <w:rsid w:val="00925323"/>
    <w:rsid w:val="00925BB6"/>
    <w:rsid w:val="00925DCF"/>
    <w:rsid w:val="00927257"/>
    <w:rsid w:val="009274B0"/>
    <w:rsid w:val="009277A4"/>
    <w:rsid w:val="009305DB"/>
    <w:rsid w:val="00930D73"/>
    <w:rsid w:val="00931BCF"/>
    <w:rsid w:val="00931DE4"/>
    <w:rsid w:val="0093255A"/>
    <w:rsid w:val="00932EAE"/>
    <w:rsid w:val="009330C4"/>
    <w:rsid w:val="00933841"/>
    <w:rsid w:val="0093397B"/>
    <w:rsid w:val="00933E8E"/>
    <w:rsid w:val="00935468"/>
    <w:rsid w:val="00935590"/>
    <w:rsid w:val="0093729E"/>
    <w:rsid w:val="00937335"/>
    <w:rsid w:val="00937C8F"/>
    <w:rsid w:val="00940122"/>
    <w:rsid w:val="0094036D"/>
    <w:rsid w:val="009406F7"/>
    <w:rsid w:val="00940814"/>
    <w:rsid w:val="00940EBB"/>
    <w:rsid w:val="009413A0"/>
    <w:rsid w:val="0094191E"/>
    <w:rsid w:val="00941E50"/>
    <w:rsid w:val="00941FA4"/>
    <w:rsid w:val="00942556"/>
    <w:rsid w:val="00942576"/>
    <w:rsid w:val="009429DC"/>
    <w:rsid w:val="00942E67"/>
    <w:rsid w:val="0094349A"/>
    <w:rsid w:val="00943F8D"/>
    <w:rsid w:val="009445F9"/>
    <w:rsid w:val="00944DAC"/>
    <w:rsid w:val="00944F82"/>
    <w:rsid w:val="00944FBF"/>
    <w:rsid w:val="00945506"/>
    <w:rsid w:val="00945551"/>
    <w:rsid w:val="009460CB"/>
    <w:rsid w:val="00946567"/>
    <w:rsid w:val="00946E23"/>
    <w:rsid w:val="009473A2"/>
    <w:rsid w:val="00947940"/>
    <w:rsid w:val="009501FD"/>
    <w:rsid w:val="00950690"/>
    <w:rsid w:val="009507B5"/>
    <w:rsid w:val="009507E7"/>
    <w:rsid w:val="009515E6"/>
    <w:rsid w:val="00951A7B"/>
    <w:rsid w:val="00951B16"/>
    <w:rsid w:val="00951F1F"/>
    <w:rsid w:val="00952B4C"/>
    <w:rsid w:val="00952BBE"/>
    <w:rsid w:val="00952D82"/>
    <w:rsid w:val="00952FA5"/>
    <w:rsid w:val="00953287"/>
    <w:rsid w:val="0095378C"/>
    <w:rsid w:val="009538C5"/>
    <w:rsid w:val="00953B33"/>
    <w:rsid w:val="00953DA9"/>
    <w:rsid w:val="0095403F"/>
    <w:rsid w:val="00954386"/>
    <w:rsid w:val="009558CD"/>
    <w:rsid w:val="00955E46"/>
    <w:rsid w:val="00956090"/>
    <w:rsid w:val="00956A76"/>
    <w:rsid w:val="00956EB7"/>
    <w:rsid w:val="009604C2"/>
    <w:rsid w:val="00960779"/>
    <w:rsid w:val="009607A9"/>
    <w:rsid w:val="009607FC"/>
    <w:rsid w:val="00960A1C"/>
    <w:rsid w:val="009612E6"/>
    <w:rsid w:val="0096191A"/>
    <w:rsid w:val="00961D2F"/>
    <w:rsid w:val="00961F02"/>
    <w:rsid w:val="00962008"/>
    <w:rsid w:val="00963B3F"/>
    <w:rsid w:val="009652DD"/>
    <w:rsid w:val="0096605D"/>
    <w:rsid w:val="009661F2"/>
    <w:rsid w:val="00966C01"/>
    <w:rsid w:val="00966C2C"/>
    <w:rsid w:val="00966E31"/>
    <w:rsid w:val="0096716E"/>
    <w:rsid w:val="00967C26"/>
    <w:rsid w:val="00967E22"/>
    <w:rsid w:val="00967F77"/>
    <w:rsid w:val="00971180"/>
    <w:rsid w:val="00971279"/>
    <w:rsid w:val="009717CF"/>
    <w:rsid w:val="00971CB2"/>
    <w:rsid w:val="0097214D"/>
    <w:rsid w:val="0097297E"/>
    <w:rsid w:val="00972CA5"/>
    <w:rsid w:val="0097324E"/>
    <w:rsid w:val="009735AD"/>
    <w:rsid w:val="00973CBE"/>
    <w:rsid w:val="00973E08"/>
    <w:rsid w:val="00974993"/>
    <w:rsid w:val="00974B94"/>
    <w:rsid w:val="00975234"/>
    <w:rsid w:val="00975541"/>
    <w:rsid w:val="0097582F"/>
    <w:rsid w:val="00975B34"/>
    <w:rsid w:val="00975E2D"/>
    <w:rsid w:val="009761FE"/>
    <w:rsid w:val="00976348"/>
    <w:rsid w:val="00977A6D"/>
    <w:rsid w:val="0098071A"/>
    <w:rsid w:val="00980B2C"/>
    <w:rsid w:val="00980BC1"/>
    <w:rsid w:val="0098104F"/>
    <w:rsid w:val="009814E7"/>
    <w:rsid w:val="00981D0A"/>
    <w:rsid w:val="00982773"/>
    <w:rsid w:val="00982DEA"/>
    <w:rsid w:val="00982FA8"/>
    <w:rsid w:val="00983805"/>
    <w:rsid w:val="00983E92"/>
    <w:rsid w:val="00984299"/>
    <w:rsid w:val="0098439A"/>
    <w:rsid w:val="00984835"/>
    <w:rsid w:val="00985402"/>
    <w:rsid w:val="009857D7"/>
    <w:rsid w:val="009865A3"/>
    <w:rsid w:val="009877EA"/>
    <w:rsid w:val="00987C90"/>
    <w:rsid w:val="009902B2"/>
    <w:rsid w:val="00990928"/>
    <w:rsid w:val="0099096C"/>
    <w:rsid w:val="00991524"/>
    <w:rsid w:val="00991F74"/>
    <w:rsid w:val="009923B3"/>
    <w:rsid w:val="00992432"/>
    <w:rsid w:val="00992CF8"/>
    <w:rsid w:val="00993743"/>
    <w:rsid w:val="00993AE5"/>
    <w:rsid w:val="00994883"/>
    <w:rsid w:val="00994CCD"/>
    <w:rsid w:val="00994E6A"/>
    <w:rsid w:val="0099549E"/>
    <w:rsid w:val="009955CE"/>
    <w:rsid w:val="00995D2E"/>
    <w:rsid w:val="00995F65"/>
    <w:rsid w:val="00996052"/>
    <w:rsid w:val="00996852"/>
    <w:rsid w:val="00996FEA"/>
    <w:rsid w:val="00997A64"/>
    <w:rsid w:val="009A0183"/>
    <w:rsid w:val="009A0909"/>
    <w:rsid w:val="009A098B"/>
    <w:rsid w:val="009A1119"/>
    <w:rsid w:val="009A13B1"/>
    <w:rsid w:val="009A1B3B"/>
    <w:rsid w:val="009A22EF"/>
    <w:rsid w:val="009A2BFE"/>
    <w:rsid w:val="009A2C14"/>
    <w:rsid w:val="009A309F"/>
    <w:rsid w:val="009A3EB1"/>
    <w:rsid w:val="009A4F57"/>
    <w:rsid w:val="009A5197"/>
    <w:rsid w:val="009A5198"/>
    <w:rsid w:val="009A588C"/>
    <w:rsid w:val="009A5E74"/>
    <w:rsid w:val="009A6DE6"/>
    <w:rsid w:val="009A728E"/>
    <w:rsid w:val="009A7A29"/>
    <w:rsid w:val="009A7F51"/>
    <w:rsid w:val="009B0B9A"/>
    <w:rsid w:val="009B0CE1"/>
    <w:rsid w:val="009B1D91"/>
    <w:rsid w:val="009B2618"/>
    <w:rsid w:val="009B2AAC"/>
    <w:rsid w:val="009B2CD1"/>
    <w:rsid w:val="009B2D92"/>
    <w:rsid w:val="009B30AE"/>
    <w:rsid w:val="009B3628"/>
    <w:rsid w:val="009B3FB7"/>
    <w:rsid w:val="009B43BE"/>
    <w:rsid w:val="009B482E"/>
    <w:rsid w:val="009B4FEC"/>
    <w:rsid w:val="009B5595"/>
    <w:rsid w:val="009B5F47"/>
    <w:rsid w:val="009B65C4"/>
    <w:rsid w:val="009B6835"/>
    <w:rsid w:val="009B6C83"/>
    <w:rsid w:val="009B6F6D"/>
    <w:rsid w:val="009B7B49"/>
    <w:rsid w:val="009C03F6"/>
    <w:rsid w:val="009C05ED"/>
    <w:rsid w:val="009C0656"/>
    <w:rsid w:val="009C0D6D"/>
    <w:rsid w:val="009C0E8F"/>
    <w:rsid w:val="009C1259"/>
    <w:rsid w:val="009C1457"/>
    <w:rsid w:val="009C1522"/>
    <w:rsid w:val="009C1743"/>
    <w:rsid w:val="009C232A"/>
    <w:rsid w:val="009C2790"/>
    <w:rsid w:val="009C3AEA"/>
    <w:rsid w:val="009C3F41"/>
    <w:rsid w:val="009C48FA"/>
    <w:rsid w:val="009C4ADD"/>
    <w:rsid w:val="009D0265"/>
    <w:rsid w:val="009D0503"/>
    <w:rsid w:val="009D1179"/>
    <w:rsid w:val="009D1F7E"/>
    <w:rsid w:val="009D322D"/>
    <w:rsid w:val="009D3B01"/>
    <w:rsid w:val="009D3C93"/>
    <w:rsid w:val="009D41A3"/>
    <w:rsid w:val="009D480D"/>
    <w:rsid w:val="009D4D2F"/>
    <w:rsid w:val="009D51B9"/>
    <w:rsid w:val="009D51F8"/>
    <w:rsid w:val="009D568A"/>
    <w:rsid w:val="009D5A2F"/>
    <w:rsid w:val="009D5E91"/>
    <w:rsid w:val="009D6C23"/>
    <w:rsid w:val="009D71A0"/>
    <w:rsid w:val="009D73B4"/>
    <w:rsid w:val="009D748B"/>
    <w:rsid w:val="009E020F"/>
    <w:rsid w:val="009E0929"/>
    <w:rsid w:val="009E1105"/>
    <w:rsid w:val="009E1CF9"/>
    <w:rsid w:val="009E1D3E"/>
    <w:rsid w:val="009E1E11"/>
    <w:rsid w:val="009E2002"/>
    <w:rsid w:val="009E2049"/>
    <w:rsid w:val="009E2192"/>
    <w:rsid w:val="009E2CDE"/>
    <w:rsid w:val="009E34B2"/>
    <w:rsid w:val="009E3565"/>
    <w:rsid w:val="009E362C"/>
    <w:rsid w:val="009E3699"/>
    <w:rsid w:val="009E46CB"/>
    <w:rsid w:val="009E4B6A"/>
    <w:rsid w:val="009E609C"/>
    <w:rsid w:val="009E627B"/>
    <w:rsid w:val="009E6301"/>
    <w:rsid w:val="009E6392"/>
    <w:rsid w:val="009E6649"/>
    <w:rsid w:val="009E669C"/>
    <w:rsid w:val="009E69BD"/>
    <w:rsid w:val="009E6BD0"/>
    <w:rsid w:val="009E7186"/>
    <w:rsid w:val="009E763B"/>
    <w:rsid w:val="009E79FB"/>
    <w:rsid w:val="009F0648"/>
    <w:rsid w:val="009F07D4"/>
    <w:rsid w:val="009F09A7"/>
    <w:rsid w:val="009F0E5A"/>
    <w:rsid w:val="009F155D"/>
    <w:rsid w:val="009F17A7"/>
    <w:rsid w:val="009F2BAA"/>
    <w:rsid w:val="009F2D84"/>
    <w:rsid w:val="009F36DC"/>
    <w:rsid w:val="009F5AFE"/>
    <w:rsid w:val="009F6828"/>
    <w:rsid w:val="009F6AE4"/>
    <w:rsid w:val="009F6BC1"/>
    <w:rsid w:val="009F6EB9"/>
    <w:rsid w:val="009F725D"/>
    <w:rsid w:val="009F7564"/>
    <w:rsid w:val="009F7B2D"/>
    <w:rsid w:val="009F7E95"/>
    <w:rsid w:val="00A004D2"/>
    <w:rsid w:val="00A00DA0"/>
    <w:rsid w:val="00A01D91"/>
    <w:rsid w:val="00A021BF"/>
    <w:rsid w:val="00A02403"/>
    <w:rsid w:val="00A024BF"/>
    <w:rsid w:val="00A026F1"/>
    <w:rsid w:val="00A02BE3"/>
    <w:rsid w:val="00A035F4"/>
    <w:rsid w:val="00A040A9"/>
    <w:rsid w:val="00A0413A"/>
    <w:rsid w:val="00A04565"/>
    <w:rsid w:val="00A049E4"/>
    <w:rsid w:val="00A04D30"/>
    <w:rsid w:val="00A04ED5"/>
    <w:rsid w:val="00A053CF"/>
    <w:rsid w:val="00A05657"/>
    <w:rsid w:val="00A0582E"/>
    <w:rsid w:val="00A05A90"/>
    <w:rsid w:val="00A05C4E"/>
    <w:rsid w:val="00A064B2"/>
    <w:rsid w:val="00A076CA"/>
    <w:rsid w:val="00A11153"/>
    <w:rsid w:val="00A11235"/>
    <w:rsid w:val="00A11B96"/>
    <w:rsid w:val="00A1235F"/>
    <w:rsid w:val="00A12945"/>
    <w:rsid w:val="00A12AFB"/>
    <w:rsid w:val="00A135C6"/>
    <w:rsid w:val="00A13C52"/>
    <w:rsid w:val="00A1401D"/>
    <w:rsid w:val="00A144EC"/>
    <w:rsid w:val="00A14C09"/>
    <w:rsid w:val="00A14F81"/>
    <w:rsid w:val="00A15037"/>
    <w:rsid w:val="00A15360"/>
    <w:rsid w:val="00A156B7"/>
    <w:rsid w:val="00A15D78"/>
    <w:rsid w:val="00A16435"/>
    <w:rsid w:val="00A1674F"/>
    <w:rsid w:val="00A1682A"/>
    <w:rsid w:val="00A1730B"/>
    <w:rsid w:val="00A17487"/>
    <w:rsid w:val="00A178CF"/>
    <w:rsid w:val="00A17B7D"/>
    <w:rsid w:val="00A20859"/>
    <w:rsid w:val="00A211AF"/>
    <w:rsid w:val="00A213C3"/>
    <w:rsid w:val="00A21EEF"/>
    <w:rsid w:val="00A22821"/>
    <w:rsid w:val="00A22994"/>
    <w:rsid w:val="00A22DED"/>
    <w:rsid w:val="00A23121"/>
    <w:rsid w:val="00A24051"/>
    <w:rsid w:val="00A24A0A"/>
    <w:rsid w:val="00A24ABD"/>
    <w:rsid w:val="00A25F22"/>
    <w:rsid w:val="00A265C4"/>
    <w:rsid w:val="00A26D98"/>
    <w:rsid w:val="00A26E56"/>
    <w:rsid w:val="00A273B3"/>
    <w:rsid w:val="00A27533"/>
    <w:rsid w:val="00A27E97"/>
    <w:rsid w:val="00A27FB0"/>
    <w:rsid w:val="00A3000E"/>
    <w:rsid w:val="00A30214"/>
    <w:rsid w:val="00A3040F"/>
    <w:rsid w:val="00A307B8"/>
    <w:rsid w:val="00A30802"/>
    <w:rsid w:val="00A30CE3"/>
    <w:rsid w:val="00A311C4"/>
    <w:rsid w:val="00A320E9"/>
    <w:rsid w:val="00A32591"/>
    <w:rsid w:val="00A32C27"/>
    <w:rsid w:val="00A32D6C"/>
    <w:rsid w:val="00A331BE"/>
    <w:rsid w:val="00A3342B"/>
    <w:rsid w:val="00A338BD"/>
    <w:rsid w:val="00A33A73"/>
    <w:rsid w:val="00A33A74"/>
    <w:rsid w:val="00A33B3D"/>
    <w:rsid w:val="00A34B8C"/>
    <w:rsid w:val="00A3713E"/>
    <w:rsid w:val="00A3714C"/>
    <w:rsid w:val="00A4003A"/>
    <w:rsid w:val="00A40526"/>
    <w:rsid w:val="00A40CB2"/>
    <w:rsid w:val="00A41008"/>
    <w:rsid w:val="00A4192B"/>
    <w:rsid w:val="00A42CBF"/>
    <w:rsid w:val="00A4301B"/>
    <w:rsid w:val="00A4305D"/>
    <w:rsid w:val="00A4306B"/>
    <w:rsid w:val="00A4309A"/>
    <w:rsid w:val="00A43333"/>
    <w:rsid w:val="00A4355B"/>
    <w:rsid w:val="00A43CB4"/>
    <w:rsid w:val="00A43DF3"/>
    <w:rsid w:val="00A4449D"/>
    <w:rsid w:val="00A444AA"/>
    <w:rsid w:val="00A44831"/>
    <w:rsid w:val="00A44F24"/>
    <w:rsid w:val="00A45347"/>
    <w:rsid w:val="00A454FC"/>
    <w:rsid w:val="00A46446"/>
    <w:rsid w:val="00A46CDE"/>
    <w:rsid w:val="00A46D4B"/>
    <w:rsid w:val="00A46D5D"/>
    <w:rsid w:val="00A46FE7"/>
    <w:rsid w:val="00A47008"/>
    <w:rsid w:val="00A476AB"/>
    <w:rsid w:val="00A47702"/>
    <w:rsid w:val="00A47825"/>
    <w:rsid w:val="00A47E17"/>
    <w:rsid w:val="00A47F89"/>
    <w:rsid w:val="00A50220"/>
    <w:rsid w:val="00A506C7"/>
    <w:rsid w:val="00A509B3"/>
    <w:rsid w:val="00A50D00"/>
    <w:rsid w:val="00A5120B"/>
    <w:rsid w:val="00A5121A"/>
    <w:rsid w:val="00A519C7"/>
    <w:rsid w:val="00A527E7"/>
    <w:rsid w:val="00A5283E"/>
    <w:rsid w:val="00A537D5"/>
    <w:rsid w:val="00A53847"/>
    <w:rsid w:val="00A53B25"/>
    <w:rsid w:val="00A53B3E"/>
    <w:rsid w:val="00A544ED"/>
    <w:rsid w:val="00A5458D"/>
    <w:rsid w:val="00A54B12"/>
    <w:rsid w:val="00A552F7"/>
    <w:rsid w:val="00A556E9"/>
    <w:rsid w:val="00A55E07"/>
    <w:rsid w:val="00A56158"/>
    <w:rsid w:val="00A565A5"/>
    <w:rsid w:val="00A568D4"/>
    <w:rsid w:val="00A56963"/>
    <w:rsid w:val="00A57169"/>
    <w:rsid w:val="00A57C6C"/>
    <w:rsid w:val="00A57CEB"/>
    <w:rsid w:val="00A57E40"/>
    <w:rsid w:val="00A602E0"/>
    <w:rsid w:val="00A603A2"/>
    <w:rsid w:val="00A6108C"/>
    <w:rsid w:val="00A62AA5"/>
    <w:rsid w:val="00A62D28"/>
    <w:rsid w:val="00A62DC0"/>
    <w:rsid w:val="00A63843"/>
    <w:rsid w:val="00A63A12"/>
    <w:rsid w:val="00A63A1A"/>
    <w:rsid w:val="00A63B18"/>
    <w:rsid w:val="00A6459B"/>
    <w:rsid w:val="00A64A03"/>
    <w:rsid w:val="00A64AC8"/>
    <w:rsid w:val="00A64AE4"/>
    <w:rsid w:val="00A64EA5"/>
    <w:rsid w:val="00A64FF0"/>
    <w:rsid w:val="00A657D1"/>
    <w:rsid w:val="00A6643C"/>
    <w:rsid w:val="00A666F7"/>
    <w:rsid w:val="00A6766F"/>
    <w:rsid w:val="00A704CD"/>
    <w:rsid w:val="00A70E07"/>
    <w:rsid w:val="00A71273"/>
    <w:rsid w:val="00A7186E"/>
    <w:rsid w:val="00A71E97"/>
    <w:rsid w:val="00A72570"/>
    <w:rsid w:val="00A726F7"/>
    <w:rsid w:val="00A72F4E"/>
    <w:rsid w:val="00A73215"/>
    <w:rsid w:val="00A7358D"/>
    <w:rsid w:val="00A742A4"/>
    <w:rsid w:val="00A7443B"/>
    <w:rsid w:val="00A7458E"/>
    <w:rsid w:val="00A75FB1"/>
    <w:rsid w:val="00A7656D"/>
    <w:rsid w:val="00A778C0"/>
    <w:rsid w:val="00A77992"/>
    <w:rsid w:val="00A80CB7"/>
    <w:rsid w:val="00A80DDE"/>
    <w:rsid w:val="00A810F9"/>
    <w:rsid w:val="00A8135B"/>
    <w:rsid w:val="00A8189F"/>
    <w:rsid w:val="00A82328"/>
    <w:rsid w:val="00A8293D"/>
    <w:rsid w:val="00A82DBB"/>
    <w:rsid w:val="00A833E6"/>
    <w:rsid w:val="00A836FB"/>
    <w:rsid w:val="00A837F2"/>
    <w:rsid w:val="00A84832"/>
    <w:rsid w:val="00A84B45"/>
    <w:rsid w:val="00A84C2D"/>
    <w:rsid w:val="00A84F93"/>
    <w:rsid w:val="00A8502B"/>
    <w:rsid w:val="00A850C1"/>
    <w:rsid w:val="00A85AD0"/>
    <w:rsid w:val="00A85CCC"/>
    <w:rsid w:val="00A87214"/>
    <w:rsid w:val="00A87A46"/>
    <w:rsid w:val="00A90088"/>
    <w:rsid w:val="00A90102"/>
    <w:rsid w:val="00A903F1"/>
    <w:rsid w:val="00A908D2"/>
    <w:rsid w:val="00A90AE2"/>
    <w:rsid w:val="00A91ACB"/>
    <w:rsid w:val="00A91E95"/>
    <w:rsid w:val="00A92211"/>
    <w:rsid w:val="00A92370"/>
    <w:rsid w:val="00A93124"/>
    <w:rsid w:val="00A93BF0"/>
    <w:rsid w:val="00A93FA9"/>
    <w:rsid w:val="00A950F5"/>
    <w:rsid w:val="00A95791"/>
    <w:rsid w:val="00A96B4F"/>
    <w:rsid w:val="00A972CE"/>
    <w:rsid w:val="00A97804"/>
    <w:rsid w:val="00AA0ECE"/>
    <w:rsid w:val="00AA1191"/>
    <w:rsid w:val="00AA149E"/>
    <w:rsid w:val="00AA1770"/>
    <w:rsid w:val="00AA24A8"/>
    <w:rsid w:val="00AA26C1"/>
    <w:rsid w:val="00AA2F27"/>
    <w:rsid w:val="00AA3908"/>
    <w:rsid w:val="00AA3929"/>
    <w:rsid w:val="00AA45E1"/>
    <w:rsid w:val="00AA47A4"/>
    <w:rsid w:val="00AA4A7D"/>
    <w:rsid w:val="00AA4BCC"/>
    <w:rsid w:val="00AA4E77"/>
    <w:rsid w:val="00AA59BD"/>
    <w:rsid w:val="00AA5A61"/>
    <w:rsid w:val="00AA646E"/>
    <w:rsid w:val="00AA6EE5"/>
    <w:rsid w:val="00AA72F9"/>
    <w:rsid w:val="00AB11B6"/>
    <w:rsid w:val="00AB23C8"/>
    <w:rsid w:val="00AB282F"/>
    <w:rsid w:val="00AB2AAE"/>
    <w:rsid w:val="00AB2EFB"/>
    <w:rsid w:val="00AB35E8"/>
    <w:rsid w:val="00AB432B"/>
    <w:rsid w:val="00AB48E6"/>
    <w:rsid w:val="00AB5630"/>
    <w:rsid w:val="00AB7265"/>
    <w:rsid w:val="00AB7AB2"/>
    <w:rsid w:val="00AC02C4"/>
    <w:rsid w:val="00AC1757"/>
    <w:rsid w:val="00AC1AD1"/>
    <w:rsid w:val="00AC1E92"/>
    <w:rsid w:val="00AC2E60"/>
    <w:rsid w:val="00AC3549"/>
    <w:rsid w:val="00AC3D8A"/>
    <w:rsid w:val="00AC4EB5"/>
    <w:rsid w:val="00AC511C"/>
    <w:rsid w:val="00AC5272"/>
    <w:rsid w:val="00AC52DF"/>
    <w:rsid w:val="00AC53D0"/>
    <w:rsid w:val="00AC6735"/>
    <w:rsid w:val="00AC6751"/>
    <w:rsid w:val="00AC67E4"/>
    <w:rsid w:val="00AC68CD"/>
    <w:rsid w:val="00AC696D"/>
    <w:rsid w:val="00AD11B1"/>
    <w:rsid w:val="00AD21A2"/>
    <w:rsid w:val="00AD2448"/>
    <w:rsid w:val="00AD28BD"/>
    <w:rsid w:val="00AD2BDE"/>
    <w:rsid w:val="00AD2EED"/>
    <w:rsid w:val="00AD3782"/>
    <w:rsid w:val="00AD3BDA"/>
    <w:rsid w:val="00AD3FB5"/>
    <w:rsid w:val="00AD42C1"/>
    <w:rsid w:val="00AD445E"/>
    <w:rsid w:val="00AD4466"/>
    <w:rsid w:val="00AD4B07"/>
    <w:rsid w:val="00AD4B4B"/>
    <w:rsid w:val="00AD568D"/>
    <w:rsid w:val="00AD643E"/>
    <w:rsid w:val="00AD74A7"/>
    <w:rsid w:val="00AE053F"/>
    <w:rsid w:val="00AE0D59"/>
    <w:rsid w:val="00AE194B"/>
    <w:rsid w:val="00AE195C"/>
    <w:rsid w:val="00AE1B97"/>
    <w:rsid w:val="00AE244E"/>
    <w:rsid w:val="00AE2BE8"/>
    <w:rsid w:val="00AE30E4"/>
    <w:rsid w:val="00AE443B"/>
    <w:rsid w:val="00AE4901"/>
    <w:rsid w:val="00AE4930"/>
    <w:rsid w:val="00AE4A32"/>
    <w:rsid w:val="00AE4E68"/>
    <w:rsid w:val="00AE4ECE"/>
    <w:rsid w:val="00AE6317"/>
    <w:rsid w:val="00AE641D"/>
    <w:rsid w:val="00AE6421"/>
    <w:rsid w:val="00AE67BE"/>
    <w:rsid w:val="00AE70B9"/>
    <w:rsid w:val="00AE7998"/>
    <w:rsid w:val="00AF02EE"/>
    <w:rsid w:val="00AF0638"/>
    <w:rsid w:val="00AF0987"/>
    <w:rsid w:val="00AF0CED"/>
    <w:rsid w:val="00AF2634"/>
    <w:rsid w:val="00AF263E"/>
    <w:rsid w:val="00AF2882"/>
    <w:rsid w:val="00AF2F26"/>
    <w:rsid w:val="00AF35BA"/>
    <w:rsid w:val="00AF3E51"/>
    <w:rsid w:val="00AF4B5C"/>
    <w:rsid w:val="00AF4B65"/>
    <w:rsid w:val="00AF4FC5"/>
    <w:rsid w:val="00AF5623"/>
    <w:rsid w:val="00AF58C8"/>
    <w:rsid w:val="00AF601E"/>
    <w:rsid w:val="00AF67F7"/>
    <w:rsid w:val="00AF680B"/>
    <w:rsid w:val="00AF70CB"/>
    <w:rsid w:val="00AF73CC"/>
    <w:rsid w:val="00AF76C1"/>
    <w:rsid w:val="00AF7718"/>
    <w:rsid w:val="00AF7D1A"/>
    <w:rsid w:val="00B0045B"/>
    <w:rsid w:val="00B00AEE"/>
    <w:rsid w:val="00B011BA"/>
    <w:rsid w:val="00B02DBC"/>
    <w:rsid w:val="00B03863"/>
    <w:rsid w:val="00B04809"/>
    <w:rsid w:val="00B0526B"/>
    <w:rsid w:val="00B05908"/>
    <w:rsid w:val="00B059D1"/>
    <w:rsid w:val="00B05B6C"/>
    <w:rsid w:val="00B05B73"/>
    <w:rsid w:val="00B05C09"/>
    <w:rsid w:val="00B06975"/>
    <w:rsid w:val="00B06D4C"/>
    <w:rsid w:val="00B10C3C"/>
    <w:rsid w:val="00B10D10"/>
    <w:rsid w:val="00B10E58"/>
    <w:rsid w:val="00B1190B"/>
    <w:rsid w:val="00B11F29"/>
    <w:rsid w:val="00B12206"/>
    <w:rsid w:val="00B13C02"/>
    <w:rsid w:val="00B14D72"/>
    <w:rsid w:val="00B14D91"/>
    <w:rsid w:val="00B150FB"/>
    <w:rsid w:val="00B155FD"/>
    <w:rsid w:val="00B1563B"/>
    <w:rsid w:val="00B1595C"/>
    <w:rsid w:val="00B16953"/>
    <w:rsid w:val="00B16A9D"/>
    <w:rsid w:val="00B1750C"/>
    <w:rsid w:val="00B17919"/>
    <w:rsid w:val="00B17DF0"/>
    <w:rsid w:val="00B17F42"/>
    <w:rsid w:val="00B20702"/>
    <w:rsid w:val="00B2075C"/>
    <w:rsid w:val="00B211F5"/>
    <w:rsid w:val="00B217DC"/>
    <w:rsid w:val="00B218E5"/>
    <w:rsid w:val="00B219EF"/>
    <w:rsid w:val="00B21B21"/>
    <w:rsid w:val="00B22022"/>
    <w:rsid w:val="00B22EDF"/>
    <w:rsid w:val="00B23881"/>
    <w:rsid w:val="00B239C8"/>
    <w:rsid w:val="00B23B01"/>
    <w:rsid w:val="00B24406"/>
    <w:rsid w:val="00B24CC2"/>
    <w:rsid w:val="00B2500D"/>
    <w:rsid w:val="00B25078"/>
    <w:rsid w:val="00B2541C"/>
    <w:rsid w:val="00B26926"/>
    <w:rsid w:val="00B269BC"/>
    <w:rsid w:val="00B26B87"/>
    <w:rsid w:val="00B27942"/>
    <w:rsid w:val="00B27B2A"/>
    <w:rsid w:val="00B27C38"/>
    <w:rsid w:val="00B303E2"/>
    <w:rsid w:val="00B304AA"/>
    <w:rsid w:val="00B30B02"/>
    <w:rsid w:val="00B30B69"/>
    <w:rsid w:val="00B30D50"/>
    <w:rsid w:val="00B314B7"/>
    <w:rsid w:val="00B31926"/>
    <w:rsid w:val="00B32D53"/>
    <w:rsid w:val="00B332F5"/>
    <w:rsid w:val="00B33EB6"/>
    <w:rsid w:val="00B345A4"/>
    <w:rsid w:val="00B34B24"/>
    <w:rsid w:val="00B3546C"/>
    <w:rsid w:val="00B35DAB"/>
    <w:rsid w:val="00B360D8"/>
    <w:rsid w:val="00B361F7"/>
    <w:rsid w:val="00B3646A"/>
    <w:rsid w:val="00B36CC1"/>
    <w:rsid w:val="00B40017"/>
    <w:rsid w:val="00B4066C"/>
    <w:rsid w:val="00B40D43"/>
    <w:rsid w:val="00B419AC"/>
    <w:rsid w:val="00B41A2B"/>
    <w:rsid w:val="00B42FFD"/>
    <w:rsid w:val="00B430DA"/>
    <w:rsid w:val="00B4378A"/>
    <w:rsid w:val="00B43E4D"/>
    <w:rsid w:val="00B43F0B"/>
    <w:rsid w:val="00B44068"/>
    <w:rsid w:val="00B44C30"/>
    <w:rsid w:val="00B44C79"/>
    <w:rsid w:val="00B44CD7"/>
    <w:rsid w:val="00B44E7B"/>
    <w:rsid w:val="00B45973"/>
    <w:rsid w:val="00B459B2"/>
    <w:rsid w:val="00B45C06"/>
    <w:rsid w:val="00B463C0"/>
    <w:rsid w:val="00B468A5"/>
    <w:rsid w:val="00B46AA2"/>
    <w:rsid w:val="00B46D9B"/>
    <w:rsid w:val="00B46FA8"/>
    <w:rsid w:val="00B4716F"/>
    <w:rsid w:val="00B47FEF"/>
    <w:rsid w:val="00B5075B"/>
    <w:rsid w:val="00B507CC"/>
    <w:rsid w:val="00B50B62"/>
    <w:rsid w:val="00B5133A"/>
    <w:rsid w:val="00B51458"/>
    <w:rsid w:val="00B518BD"/>
    <w:rsid w:val="00B51912"/>
    <w:rsid w:val="00B52ADA"/>
    <w:rsid w:val="00B53726"/>
    <w:rsid w:val="00B53815"/>
    <w:rsid w:val="00B5392F"/>
    <w:rsid w:val="00B53A2B"/>
    <w:rsid w:val="00B53B68"/>
    <w:rsid w:val="00B54267"/>
    <w:rsid w:val="00B5465F"/>
    <w:rsid w:val="00B548DC"/>
    <w:rsid w:val="00B54989"/>
    <w:rsid w:val="00B56F7F"/>
    <w:rsid w:val="00B5796C"/>
    <w:rsid w:val="00B57ADF"/>
    <w:rsid w:val="00B57B8B"/>
    <w:rsid w:val="00B6041A"/>
    <w:rsid w:val="00B60C7B"/>
    <w:rsid w:val="00B60EB3"/>
    <w:rsid w:val="00B614B1"/>
    <w:rsid w:val="00B615FB"/>
    <w:rsid w:val="00B61FAC"/>
    <w:rsid w:val="00B62333"/>
    <w:rsid w:val="00B62BBE"/>
    <w:rsid w:val="00B62CED"/>
    <w:rsid w:val="00B63C55"/>
    <w:rsid w:val="00B63F42"/>
    <w:rsid w:val="00B64165"/>
    <w:rsid w:val="00B64421"/>
    <w:rsid w:val="00B65469"/>
    <w:rsid w:val="00B655B3"/>
    <w:rsid w:val="00B65C89"/>
    <w:rsid w:val="00B65D3F"/>
    <w:rsid w:val="00B65F7E"/>
    <w:rsid w:val="00B66649"/>
    <w:rsid w:val="00B66898"/>
    <w:rsid w:val="00B66A41"/>
    <w:rsid w:val="00B66E69"/>
    <w:rsid w:val="00B66EE9"/>
    <w:rsid w:val="00B7065C"/>
    <w:rsid w:val="00B70D2D"/>
    <w:rsid w:val="00B70FE4"/>
    <w:rsid w:val="00B713C4"/>
    <w:rsid w:val="00B71628"/>
    <w:rsid w:val="00B7193E"/>
    <w:rsid w:val="00B71A77"/>
    <w:rsid w:val="00B71C50"/>
    <w:rsid w:val="00B7235A"/>
    <w:rsid w:val="00B72F71"/>
    <w:rsid w:val="00B73CC4"/>
    <w:rsid w:val="00B74704"/>
    <w:rsid w:val="00B7489A"/>
    <w:rsid w:val="00B755C2"/>
    <w:rsid w:val="00B75C2F"/>
    <w:rsid w:val="00B769F5"/>
    <w:rsid w:val="00B8104D"/>
    <w:rsid w:val="00B82319"/>
    <w:rsid w:val="00B82684"/>
    <w:rsid w:val="00B838D7"/>
    <w:rsid w:val="00B83E5A"/>
    <w:rsid w:val="00B83FA8"/>
    <w:rsid w:val="00B865EE"/>
    <w:rsid w:val="00B86A5F"/>
    <w:rsid w:val="00B8749B"/>
    <w:rsid w:val="00B87835"/>
    <w:rsid w:val="00B878FD"/>
    <w:rsid w:val="00B90CA3"/>
    <w:rsid w:val="00B91B04"/>
    <w:rsid w:val="00B921AB"/>
    <w:rsid w:val="00B925B4"/>
    <w:rsid w:val="00B9354F"/>
    <w:rsid w:val="00B938F1"/>
    <w:rsid w:val="00B945E4"/>
    <w:rsid w:val="00B95D79"/>
    <w:rsid w:val="00B96AA7"/>
    <w:rsid w:val="00B97CBA"/>
    <w:rsid w:val="00B97FF9"/>
    <w:rsid w:val="00BA026D"/>
    <w:rsid w:val="00BA02CC"/>
    <w:rsid w:val="00BA04B6"/>
    <w:rsid w:val="00BA08FC"/>
    <w:rsid w:val="00BA0F8F"/>
    <w:rsid w:val="00BA16CD"/>
    <w:rsid w:val="00BA1C49"/>
    <w:rsid w:val="00BA2373"/>
    <w:rsid w:val="00BA2C97"/>
    <w:rsid w:val="00BA4EBB"/>
    <w:rsid w:val="00BA52A8"/>
    <w:rsid w:val="00BA5468"/>
    <w:rsid w:val="00BA5A41"/>
    <w:rsid w:val="00BA5A52"/>
    <w:rsid w:val="00BA69EC"/>
    <w:rsid w:val="00BA6A82"/>
    <w:rsid w:val="00BA6B51"/>
    <w:rsid w:val="00BA7027"/>
    <w:rsid w:val="00BA7423"/>
    <w:rsid w:val="00BA7675"/>
    <w:rsid w:val="00BA76C4"/>
    <w:rsid w:val="00BA7E99"/>
    <w:rsid w:val="00BB1080"/>
    <w:rsid w:val="00BB138C"/>
    <w:rsid w:val="00BB152D"/>
    <w:rsid w:val="00BB1A05"/>
    <w:rsid w:val="00BB25B6"/>
    <w:rsid w:val="00BB2D6B"/>
    <w:rsid w:val="00BB3465"/>
    <w:rsid w:val="00BB368C"/>
    <w:rsid w:val="00BB36FE"/>
    <w:rsid w:val="00BB3926"/>
    <w:rsid w:val="00BB456D"/>
    <w:rsid w:val="00BB52A6"/>
    <w:rsid w:val="00BB5A1E"/>
    <w:rsid w:val="00BB5E91"/>
    <w:rsid w:val="00BB5F08"/>
    <w:rsid w:val="00BB5FF7"/>
    <w:rsid w:val="00BB6149"/>
    <w:rsid w:val="00BB6419"/>
    <w:rsid w:val="00BB70F7"/>
    <w:rsid w:val="00BB718B"/>
    <w:rsid w:val="00BB74B2"/>
    <w:rsid w:val="00BB7742"/>
    <w:rsid w:val="00BB7C1F"/>
    <w:rsid w:val="00BC04D1"/>
    <w:rsid w:val="00BC0733"/>
    <w:rsid w:val="00BC0A19"/>
    <w:rsid w:val="00BC16C1"/>
    <w:rsid w:val="00BC1A73"/>
    <w:rsid w:val="00BC1B33"/>
    <w:rsid w:val="00BC230F"/>
    <w:rsid w:val="00BC2A47"/>
    <w:rsid w:val="00BC3350"/>
    <w:rsid w:val="00BC3640"/>
    <w:rsid w:val="00BC3C67"/>
    <w:rsid w:val="00BC3CA0"/>
    <w:rsid w:val="00BC40F0"/>
    <w:rsid w:val="00BC4854"/>
    <w:rsid w:val="00BC53EA"/>
    <w:rsid w:val="00BC5626"/>
    <w:rsid w:val="00BC5733"/>
    <w:rsid w:val="00BC5FB6"/>
    <w:rsid w:val="00BC619E"/>
    <w:rsid w:val="00BC6CEA"/>
    <w:rsid w:val="00BC6EA9"/>
    <w:rsid w:val="00BC6EF2"/>
    <w:rsid w:val="00BC7136"/>
    <w:rsid w:val="00BC76E8"/>
    <w:rsid w:val="00BC78BB"/>
    <w:rsid w:val="00BC7903"/>
    <w:rsid w:val="00BC7A63"/>
    <w:rsid w:val="00BD1EDB"/>
    <w:rsid w:val="00BD220E"/>
    <w:rsid w:val="00BD2486"/>
    <w:rsid w:val="00BD24DF"/>
    <w:rsid w:val="00BD2A82"/>
    <w:rsid w:val="00BD41C4"/>
    <w:rsid w:val="00BD43C7"/>
    <w:rsid w:val="00BD46EB"/>
    <w:rsid w:val="00BD4A0A"/>
    <w:rsid w:val="00BD4A22"/>
    <w:rsid w:val="00BD4C02"/>
    <w:rsid w:val="00BD4CEF"/>
    <w:rsid w:val="00BD501E"/>
    <w:rsid w:val="00BD5020"/>
    <w:rsid w:val="00BD585F"/>
    <w:rsid w:val="00BD5A6F"/>
    <w:rsid w:val="00BD5E0C"/>
    <w:rsid w:val="00BD685D"/>
    <w:rsid w:val="00BD6C6F"/>
    <w:rsid w:val="00BD6D7B"/>
    <w:rsid w:val="00BD71B2"/>
    <w:rsid w:val="00BD77A1"/>
    <w:rsid w:val="00BD7A0A"/>
    <w:rsid w:val="00BD7E9B"/>
    <w:rsid w:val="00BD7F31"/>
    <w:rsid w:val="00BE0C74"/>
    <w:rsid w:val="00BE101A"/>
    <w:rsid w:val="00BE14EB"/>
    <w:rsid w:val="00BE1631"/>
    <w:rsid w:val="00BE1731"/>
    <w:rsid w:val="00BE27E5"/>
    <w:rsid w:val="00BE27FA"/>
    <w:rsid w:val="00BE28AF"/>
    <w:rsid w:val="00BE3551"/>
    <w:rsid w:val="00BE361F"/>
    <w:rsid w:val="00BE3D82"/>
    <w:rsid w:val="00BE4008"/>
    <w:rsid w:val="00BE490F"/>
    <w:rsid w:val="00BE4929"/>
    <w:rsid w:val="00BE4DB7"/>
    <w:rsid w:val="00BE505C"/>
    <w:rsid w:val="00BE58C5"/>
    <w:rsid w:val="00BE5BF8"/>
    <w:rsid w:val="00BE5C7F"/>
    <w:rsid w:val="00BE605D"/>
    <w:rsid w:val="00BE61F4"/>
    <w:rsid w:val="00BE6343"/>
    <w:rsid w:val="00BE71C1"/>
    <w:rsid w:val="00BE73B2"/>
    <w:rsid w:val="00BE7866"/>
    <w:rsid w:val="00BE7D6D"/>
    <w:rsid w:val="00BE7E10"/>
    <w:rsid w:val="00BF0A16"/>
    <w:rsid w:val="00BF0FF0"/>
    <w:rsid w:val="00BF1D61"/>
    <w:rsid w:val="00BF1E2E"/>
    <w:rsid w:val="00BF245A"/>
    <w:rsid w:val="00BF2EA8"/>
    <w:rsid w:val="00BF35F0"/>
    <w:rsid w:val="00BF45A0"/>
    <w:rsid w:val="00BF469B"/>
    <w:rsid w:val="00BF4F1B"/>
    <w:rsid w:val="00BF5B01"/>
    <w:rsid w:val="00BF6319"/>
    <w:rsid w:val="00BF6829"/>
    <w:rsid w:val="00BF77DB"/>
    <w:rsid w:val="00C0074A"/>
    <w:rsid w:val="00C00888"/>
    <w:rsid w:val="00C01006"/>
    <w:rsid w:val="00C014FB"/>
    <w:rsid w:val="00C0248A"/>
    <w:rsid w:val="00C02CCD"/>
    <w:rsid w:val="00C02CE9"/>
    <w:rsid w:val="00C02F20"/>
    <w:rsid w:val="00C03BC8"/>
    <w:rsid w:val="00C03DE2"/>
    <w:rsid w:val="00C042B3"/>
    <w:rsid w:val="00C04FB4"/>
    <w:rsid w:val="00C05489"/>
    <w:rsid w:val="00C0626C"/>
    <w:rsid w:val="00C06458"/>
    <w:rsid w:val="00C06795"/>
    <w:rsid w:val="00C10296"/>
    <w:rsid w:val="00C107E8"/>
    <w:rsid w:val="00C11543"/>
    <w:rsid w:val="00C122D2"/>
    <w:rsid w:val="00C1291C"/>
    <w:rsid w:val="00C130FE"/>
    <w:rsid w:val="00C1331D"/>
    <w:rsid w:val="00C13450"/>
    <w:rsid w:val="00C13676"/>
    <w:rsid w:val="00C13E6E"/>
    <w:rsid w:val="00C14238"/>
    <w:rsid w:val="00C15803"/>
    <w:rsid w:val="00C16388"/>
    <w:rsid w:val="00C164D5"/>
    <w:rsid w:val="00C16CD1"/>
    <w:rsid w:val="00C17256"/>
    <w:rsid w:val="00C200C5"/>
    <w:rsid w:val="00C204B3"/>
    <w:rsid w:val="00C205A9"/>
    <w:rsid w:val="00C20CE4"/>
    <w:rsid w:val="00C20E4D"/>
    <w:rsid w:val="00C20E8C"/>
    <w:rsid w:val="00C21041"/>
    <w:rsid w:val="00C210B3"/>
    <w:rsid w:val="00C21231"/>
    <w:rsid w:val="00C218BD"/>
    <w:rsid w:val="00C21A1B"/>
    <w:rsid w:val="00C23651"/>
    <w:rsid w:val="00C23890"/>
    <w:rsid w:val="00C239C5"/>
    <w:rsid w:val="00C23AE6"/>
    <w:rsid w:val="00C2405A"/>
    <w:rsid w:val="00C244C0"/>
    <w:rsid w:val="00C25855"/>
    <w:rsid w:val="00C25BA3"/>
    <w:rsid w:val="00C25F0B"/>
    <w:rsid w:val="00C25F59"/>
    <w:rsid w:val="00C25FFB"/>
    <w:rsid w:val="00C2659F"/>
    <w:rsid w:val="00C278D8"/>
    <w:rsid w:val="00C27B6B"/>
    <w:rsid w:val="00C30529"/>
    <w:rsid w:val="00C3092F"/>
    <w:rsid w:val="00C33848"/>
    <w:rsid w:val="00C33CF4"/>
    <w:rsid w:val="00C3429E"/>
    <w:rsid w:val="00C34549"/>
    <w:rsid w:val="00C345B4"/>
    <w:rsid w:val="00C348DD"/>
    <w:rsid w:val="00C35002"/>
    <w:rsid w:val="00C36A16"/>
    <w:rsid w:val="00C36E88"/>
    <w:rsid w:val="00C3711B"/>
    <w:rsid w:val="00C37500"/>
    <w:rsid w:val="00C37594"/>
    <w:rsid w:val="00C376CA"/>
    <w:rsid w:val="00C37A58"/>
    <w:rsid w:val="00C37BD4"/>
    <w:rsid w:val="00C37E53"/>
    <w:rsid w:val="00C40364"/>
    <w:rsid w:val="00C405D4"/>
    <w:rsid w:val="00C409EB"/>
    <w:rsid w:val="00C41478"/>
    <w:rsid w:val="00C4158E"/>
    <w:rsid w:val="00C41AC5"/>
    <w:rsid w:val="00C4257E"/>
    <w:rsid w:val="00C42AA6"/>
    <w:rsid w:val="00C43CF8"/>
    <w:rsid w:val="00C44813"/>
    <w:rsid w:val="00C4494E"/>
    <w:rsid w:val="00C44D0E"/>
    <w:rsid w:val="00C44F91"/>
    <w:rsid w:val="00C453BA"/>
    <w:rsid w:val="00C4548F"/>
    <w:rsid w:val="00C455FB"/>
    <w:rsid w:val="00C46AAD"/>
    <w:rsid w:val="00C472D7"/>
    <w:rsid w:val="00C4751B"/>
    <w:rsid w:val="00C47F5B"/>
    <w:rsid w:val="00C50BF9"/>
    <w:rsid w:val="00C51657"/>
    <w:rsid w:val="00C5223E"/>
    <w:rsid w:val="00C52B6B"/>
    <w:rsid w:val="00C52FF6"/>
    <w:rsid w:val="00C53426"/>
    <w:rsid w:val="00C53935"/>
    <w:rsid w:val="00C53A78"/>
    <w:rsid w:val="00C53AD5"/>
    <w:rsid w:val="00C54A3B"/>
    <w:rsid w:val="00C54DFC"/>
    <w:rsid w:val="00C55236"/>
    <w:rsid w:val="00C55567"/>
    <w:rsid w:val="00C55F57"/>
    <w:rsid w:val="00C56472"/>
    <w:rsid w:val="00C57066"/>
    <w:rsid w:val="00C571E3"/>
    <w:rsid w:val="00C57B1D"/>
    <w:rsid w:val="00C57C02"/>
    <w:rsid w:val="00C60612"/>
    <w:rsid w:val="00C60C92"/>
    <w:rsid w:val="00C60EA2"/>
    <w:rsid w:val="00C60ECD"/>
    <w:rsid w:val="00C6138A"/>
    <w:rsid w:val="00C61972"/>
    <w:rsid w:val="00C627BB"/>
    <w:rsid w:val="00C62A62"/>
    <w:rsid w:val="00C6358D"/>
    <w:rsid w:val="00C63F17"/>
    <w:rsid w:val="00C64793"/>
    <w:rsid w:val="00C64837"/>
    <w:rsid w:val="00C659AC"/>
    <w:rsid w:val="00C65B26"/>
    <w:rsid w:val="00C6798F"/>
    <w:rsid w:val="00C707A8"/>
    <w:rsid w:val="00C7097A"/>
    <w:rsid w:val="00C71568"/>
    <w:rsid w:val="00C72AA8"/>
    <w:rsid w:val="00C72BB4"/>
    <w:rsid w:val="00C735FC"/>
    <w:rsid w:val="00C745FD"/>
    <w:rsid w:val="00C751B6"/>
    <w:rsid w:val="00C75541"/>
    <w:rsid w:val="00C7587B"/>
    <w:rsid w:val="00C75E16"/>
    <w:rsid w:val="00C75E8C"/>
    <w:rsid w:val="00C76E3E"/>
    <w:rsid w:val="00C80436"/>
    <w:rsid w:val="00C80B0D"/>
    <w:rsid w:val="00C81086"/>
    <w:rsid w:val="00C82207"/>
    <w:rsid w:val="00C825D4"/>
    <w:rsid w:val="00C828DF"/>
    <w:rsid w:val="00C8294C"/>
    <w:rsid w:val="00C82CA2"/>
    <w:rsid w:val="00C83200"/>
    <w:rsid w:val="00C841B0"/>
    <w:rsid w:val="00C847C5"/>
    <w:rsid w:val="00C847DC"/>
    <w:rsid w:val="00C849A3"/>
    <w:rsid w:val="00C85050"/>
    <w:rsid w:val="00C85491"/>
    <w:rsid w:val="00C857E0"/>
    <w:rsid w:val="00C85DEE"/>
    <w:rsid w:val="00C85E0C"/>
    <w:rsid w:val="00C8627F"/>
    <w:rsid w:val="00C863AA"/>
    <w:rsid w:val="00C87EFB"/>
    <w:rsid w:val="00C9002F"/>
    <w:rsid w:val="00C9040C"/>
    <w:rsid w:val="00C905B0"/>
    <w:rsid w:val="00C90CF1"/>
    <w:rsid w:val="00C9112C"/>
    <w:rsid w:val="00C92477"/>
    <w:rsid w:val="00C933BA"/>
    <w:rsid w:val="00C93A32"/>
    <w:rsid w:val="00C94033"/>
    <w:rsid w:val="00C94763"/>
    <w:rsid w:val="00C94C57"/>
    <w:rsid w:val="00C94FAF"/>
    <w:rsid w:val="00C956D0"/>
    <w:rsid w:val="00C9586E"/>
    <w:rsid w:val="00C95ECD"/>
    <w:rsid w:val="00C96030"/>
    <w:rsid w:val="00C96624"/>
    <w:rsid w:val="00C96E51"/>
    <w:rsid w:val="00C977A8"/>
    <w:rsid w:val="00C97F4F"/>
    <w:rsid w:val="00CA00F2"/>
    <w:rsid w:val="00CA034E"/>
    <w:rsid w:val="00CA0681"/>
    <w:rsid w:val="00CA0936"/>
    <w:rsid w:val="00CA12EF"/>
    <w:rsid w:val="00CA1E38"/>
    <w:rsid w:val="00CA2697"/>
    <w:rsid w:val="00CA2C0D"/>
    <w:rsid w:val="00CA2DD0"/>
    <w:rsid w:val="00CA31C8"/>
    <w:rsid w:val="00CA40A3"/>
    <w:rsid w:val="00CA4300"/>
    <w:rsid w:val="00CA4C59"/>
    <w:rsid w:val="00CA5149"/>
    <w:rsid w:val="00CA51A4"/>
    <w:rsid w:val="00CA5559"/>
    <w:rsid w:val="00CA665A"/>
    <w:rsid w:val="00CA7333"/>
    <w:rsid w:val="00CB0327"/>
    <w:rsid w:val="00CB079C"/>
    <w:rsid w:val="00CB0EA5"/>
    <w:rsid w:val="00CB1F12"/>
    <w:rsid w:val="00CB2292"/>
    <w:rsid w:val="00CB3BD0"/>
    <w:rsid w:val="00CB46F4"/>
    <w:rsid w:val="00CB520C"/>
    <w:rsid w:val="00CB55AD"/>
    <w:rsid w:val="00CB5A77"/>
    <w:rsid w:val="00CB63B0"/>
    <w:rsid w:val="00CB78CC"/>
    <w:rsid w:val="00CB7CD4"/>
    <w:rsid w:val="00CC04BA"/>
    <w:rsid w:val="00CC0684"/>
    <w:rsid w:val="00CC10DB"/>
    <w:rsid w:val="00CC15B9"/>
    <w:rsid w:val="00CC1735"/>
    <w:rsid w:val="00CC19A7"/>
    <w:rsid w:val="00CC2028"/>
    <w:rsid w:val="00CC267A"/>
    <w:rsid w:val="00CC34B7"/>
    <w:rsid w:val="00CC40DE"/>
    <w:rsid w:val="00CC4C9E"/>
    <w:rsid w:val="00CC4CC3"/>
    <w:rsid w:val="00CC5FE5"/>
    <w:rsid w:val="00CC6EE3"/>
    <w:rsid w:val="00CC6F21"/>
    <w:rsid w:val="00CC7077"/>
    <w:rsid w:val="00CD06A0"/>
    <w:rsid w:val="00CD090E"/>
    <w:rsid w:val="00CD0A3B"/>
    <w:rsid w:val="00CD0FA0"/>
    <w:rsid w:val="00CD1AC1"/>
    <w:rsid w:val="00CD2341"/>
    <w:rsid w:val="00CD253A"/>
    <w:rsid w:val="00CD254C"/>
    <w:rsid w:val="00CD27FE"/>
    <w:rsid w:val="00CD3D2F"/>
    <w:rsid w:val="00CD4049"/>
    <w:rsid w:val="00CD575E"/>
    <w:rsid w:val="00CD5BFF"/>
    <w:rsid w:val="00CD5D0A"/>
    <w:rsid w:val="00CD6A67"/>
    <w:rsid w:val="00CD6FF4"/>
    <w:rsid w:val="00CD796F"/>
    <w:rsid w:val="00CE174E"/>
    <w:rsid w:val="00CE17E2"/>
    <w:rsid w:val="00CE1A2F"/>
    <w:rsid w:val="00CE3678"/>
    <w:rsid w:val="00CE4972"/>
    <w:rsid w:val="00CE4D19"/>
    <w:rsid w:val="00CE4F50"/>
    <w:rsid w:val="00CE4FF0"/>
    <w:rsid w:val="00CE5ABB"/>
    <w:rsid w:val="00CE61A8"/>
    <w:rsid w:val="00CE61B1"/>
    <w:rsid w:val="00CE65DD"/>
    <w:rsid w:val="00CE7180"/>
    <w:rsid w:val="00CE7FE7"/>
    <w:rsid w:val="00CF0041"/>
    <w:rsid w:val="00CF08F9"/>
    <w:rsid w:val="00CF2280"/>
    <w:rsid w:val="00CF24DC"/>
    <w:rsid w:val="00CF289D"/>
    <w:rsid w:val="00CF28FC"/>
    <w:rsid w:val="00CF3C15"/>
    <w:rsid w:val="00CF4047"/>
    <w:rsid w:val="00CF43E9"/>
    <w:rsid w:val="00CF4C3F"/>
    <w:rsid w:val="00CF5355"/>
    <w:rsid w:val="00CF5870"/>
    <w:rsid w:val="00CF5A7C"/>
    <w:rsid w:val="00CF5B8E"/>
    <w:rsid w:val="00CF5CB8"/>
    <w:rsid w:val="00CF6645"/>
    <w:rsid w:val="00CF7A63"/>
    <w:rsid w:val="00CF7C32"/>
    <w:rsid w:val="00CF7FC7"/>
    <w:rsid w:val="00D002ED"/>
    <w:rsid w:val="00D008CF"/>
    <w:rsid w:val="00D0166F"/>
    <w:rsid w:val="00D019CB"/>
    <w:rsid w:val="00D02E23"/>
    <w:rsid w:val="00D030BC"/>
    <w:rsid w:val="00D04C01"/>
    <w:rsid w:val="00D05491"/>
    <w:rsid w:val="00D0574F"/>
    <w:rsid w:val="00D057C5"/>
    <w:rsid w:val="00D06B6F"/>
    <w:rsid w:val="00D06BB2"/>
    <w:rsid w:val="00D06FC0"/>
    <w:rsid w:val="00D072E3"/>
    <w:rsid w:val="00D0742D"/>
    <w:rsid w:val="00D074FF"/>
    <w:rsid w:val="00D07D8E"/>
    <w:rsid w:val="00D10515"/>
    <w:rsid w:val="00D10F5A"/>
    <w:rsid w:val="00D1198D"/>
    <w:rsid w:val="00D11C2A"/>
    <w:rsid w:val="00D12219"/>
    <w:rsid w:val="00D129EF"/>
    <w:rsid w:val="00D12BF0"/>
    <w:rsid w:val="00D13298"/>
    <w:rsid w:val="00D1369F"/>
    <w:rsid w:val="00D139CA"/>
    <w:rsid w:val="00D13D74"/>
    <w:rsid w:val="00D148EB"/>
    <w:rsid w:val="00D14B6C"/>
    <w:rsid w:val="00D14E88"/>
    <w:rsid w:val="00D155C0"/>
    <w:rsid w:val="00D160EF"/>
    <w:rsid w:val="00D163E2"/>
    <w:rsid w:val="00D169FD"/>
    <w:rsid w:val="00D16D95"/>
    <w:rsid w:val="00D173E8"/>
    <w:rsid w:val="00D1752E"/>
    <w:rsid w:val="00D1754B"/>
    <w:rsid w:val="00D17766"/>
    <w:rsid w:val="00D2045F"/>
    <w:rsid w:val="00D2055E"/>
    <w:rsid w:val="00D20A17"/>
    <w:rsid w:val="00D20F14"/>
    <w:rsid w:val="00D22685"/>
    <w:rsid w:val="00D22FCA"/>
    <w:rsid w:val="00D23540"/>
    <w:rsid w:val="00D23607"/>
    <w:rsid w:val="00D23B9A"/>
    <w:rsid w:val="00D2457C"/>
    <w:rsid w:val="00D24905"/>
    <w:rsid w:val="00D24C54"/>
    <w:rsid w:val="00D2565F"/>
    <w:rsid w:val="00D25962"/>
    <w:rsid w:val="00D25A60"/>
    <w:rsid w:val="00D25DCA"/>
    <w:rsid w:val="00D25EBF"/>
    <w:rsid w:val="00D26364"/>
    <w:rsid w:val="00D27334"/>
    <w:rsid w:val="00D278C6"/>
    <w:rsid w:val="00D278F4"/>
    <w:rsid w:val="00D27AE2"/>
    <w:rsid w:val="00D30073"/>
    <w:rsid w:val="00D30B52"/>
    <w:rsid w:val="00D31167"/>
    <w:rsid w:val="00D314D7"/>
    <w:rsid w:val="00D31EE9"/>
    <w:rsid w:val="00D320E2"/>
    <w:rsid w:val="00D321CA"/>
    <w:rsid w:val="00D32F0B"/>
    <w:rsid w:val="00D33FFE"/>
    <w:rsid w:val="00D3494A"/>
    <w:rsid w:val="00D34DE1"/>
    <w:rsid w:val="00D35392"/>
    <w:rsid w:val="00D357E7"/>
    <w:rsid w:val="00D3674E"/>
    <w:rsid w:val="00D36B08"/>
    <w:rsid w:val="00D36E20"/>
    <w:rsid w:val="00D37468"/>
    <w:rsid w:val="00D378FB"/>
    <w:rsid w:val="00D4052F"/>
    <w:rsid w:val="00D41C27"/>
    <w:rsid w:val="00D42456"/>
    <w:rsid w:val="00D425C4"/>
    <w:rsid w:val="00D428F8"/>
    <w:rsid w:val="00D43620"/>
    <w:rsid w:val="00D438B2"/>
    <w:rsid w:val="00D4394C"/>
    <w:rsid w:val="00D44099"/>
    <w:rsid w:val="00D44305"/>
    <w:rsid w:val="00D44549"/>
    <w:rsid w:val="00D44614"/>
    <w:rsid w:val="00D44687"/>
    <w:rsid w:val="00D446CA"/>
    <w:rsid w:val="00D44848"/>
    <w:rsid w:val="00D44A1F"/>
    <w:rsid w:val="00D45556"/>
    <w:rsid w:val="00D45858"/>
    <w:rsid w:val="00D459E7"/>
    <w:rsid w:val="00D46C6F"/>
    <w:rsid w:val="00D472B7"/>
    <w:rsid w:val="00D478E4"/>
    <w:rsid w:val="00D4796F"/>
    <w:rsid w:val="00D47A39"/>
    <w:rsid w:val="00D47CEB"/>
    <w:rsid w:val="00D50E1F"/>
    <w:rsid w:val="00D50ED0"/>
    <w:rsid w:val="00D51313"/>
    <w:rsid w:val="00D51A7F"/>
    <w:rsid w:val="00D530F0"/>
    <w:rsid w:val="00D532CE"/>
    <w:rsid w:val="00D536A4"/>
    <w:rsid w:val="00D53C93"/>
    <w:rsid w:val="00D53CA9"/>
    <w:rsid w:val="00D5415C"/>
    <w:rsid w:val="00D54413"/>
    <w:rsid w:val="00D545F0"/>
    <w:rsid w:val="00D55484"/>
    <w:rsid w:val="00D55E7D"/>
    <w:rsid w:val="00D5682E"/>
    <w:rsid w:val="00D56856"/>
    <w:rsid w:val="00D56B39"/>
    <w:rsid w:val="00D56CBF"/>
    <w:rsid w:val="00D56F2A"/>
    <w:rsid w:val="00D56F37"/>
    <w:rsid w:val="00D56F41"/>
    <w:rsid w:val="00D60AB3"/>
    <w:rsid w:val="00D60F2D"/>
    <w:rsid w:val="00D616C1"/>
    <w:rsid w:val="00D6299A"/>
    <w:rsid w:val="00D62B2E"/>
    <w:rsid w:val="00D63BA6"/>
    <w:rsid w:val="00D63C09"/>
    <w:rsid w:val="00D63DE3"/>
    <w:rsid w:val="00D63FFC"/>
    <w:rsid w:val="00D640EA"/>
    <w:rsid w:val="00D64207"/>
    <w:rsid w:val="00D6444B"/>
    <w:rsid w:val="00D654C0"/>
    <w:rsid w:val="00D65A20"/>
    <w:rsid w:val="00D663CA"/>
    <w:rsid w:val="00D678E1"/>
    <w:rsid w:val="00D679FF"/>
    <w:rsid w:val="00D7001C"/>
    <w:rsid w:val="00D70A65"/>
    <w:rsid w:val="00D70BE0"/>
    <w:rsid w:val="00D70F88"/>
    <w:rsid w:val="00D70FD3"/>
    <w:rsid w:val="00D71093"/>
    <w:rsid w:val="00D71186"/>
    <w:rsid w:val="00D7153D"/>
    <w:rsid w:val="00D71C6E"/>
    <w:rsid w:val="00D732AE"/>
    <w:rsid w:val="00D7399F"/>
    <w:rsid w:val="00D7438A"/>
    <w:rsid w:val="00D746DF"/>
    <w:rsid w:val="00D753D4"/>
    <w:rsid w:val="00D76409"/>
    <w:rsid w:val="00D764B9"/>
    <w:rsid w:val="00D76C08"/>
    <w:rsid w:val="00D76D91"/>
    <w:rsid w:val="00D76EE4"/>
    <w:rsid w:val="00D77057"/>
    <w:rsid w:val="00D77430"/>
    <w:rsid w:val="00D7772A"/>
    <w:rsid w:val="00D77C91"/>
    <w:rsid w:val="00D77D40"/>
    <w:rsid w:val="00D80024"/>
    <w:rsid w:val="00D801E7"/>
    <w:rsid w:val="00D80252"/>
    <w:rsid w:val="00D8101B"/>
    <w:rsid w:val="00D81B95"/>
    <w:rsid w:val="00D81C3E"/>
    <w:rsid w:val="00D81DC7"/>
    <w:rsid w:val="00D82444"/>
    <w:rsid w:val="00D82582"/>
    <w:rsid w:val="00D82AAD"/>
    <w:rsid w:val="00D82CBA"/>
    <w:rsid w:val="00D82E7B"/>
    <w:rsid w:val="00D8382C"/>
    <w:rsid w:val="00D83BDE"/>
    <w:rsid w:val="00D83EFB"/>
    <w:rsid w:val="00D843B3"/>
    <w:rsid w:val="00D84673"/>
    <w:rsid w:val="00D847CA"/>
    <w:rsid w:val="00D84D9A"/>
    <w:rsid w:val="00D8527F"/>
    <w:rsid w:val="00D85573"/>
    <w:rsid w:val="00D855C1"/>
    <w:rsid w:val="00D85649"/>
    <w:rsid w:val="00D85DB4"/>
    <w:rsid w:val="00D8638D"/>
    <w:rsid w:val="00D86683"/>
    <w:rsid w:val="00D86A42"/>
    <w:rsid w:val="00D86FB8"/>
    <w:rsid w:val="00D87508"/>
    <w:rsid w:val="00D87B04"/>
    <w:rsid w:val="00D87C2B"/>
    <w:rsid w:val="00D87FBF"/>
    <w:rsid w:val="00D90AC7"/>
    <w:rsid w:val="00D90BFF"/>
    <w:rsid w:val="00D9126F"/>
    <w:rsid w:val="00D9147A"/>
    <w:rsid w:val="00D917C8"/>
    <w:rsid w:val="00D92084"/>
    <w:rsid w:val="00D920C1"/>
    <w:rsid w:val="00D92657"/>
    <w:rsid w:val="00D92AA4"/>
    <w:rsid w:val="00D932DD"/>
    <w:rsid w:val="00D94514"/>
    <w:rsid w:val="00D951D6"/>
    <w:rsid w:val="00D951E3"/>
    <w:rsid w:val="00D964AD"/>
    <w:rsid w:val="00D97526"/>
    <w:rsid w:val="00D9760B"/>
    <w:rsid w:val="00D97AA2"/>
    <w:rsid w:val="00DA0791"/>
    <w:rsid w:val="00DA08F4"/>
    <w:rsid w:val="00DA1457"/>
    <w:rsid w:val="00DA1B61"/>
    <w:rsid w:val="00DA1BA6"/>
    <w:rsid w:val="00DA1D76"/>
    <w:rsid w:val="00DA3438"/>
    <w:rsid w:val="00DA34A0"/>
    <w:rsid w:val="00DA3F3B"/>
    <w:rsid w:val="00DA3F60"/>
    <w:rsid w:val="00DA40C9"/>
    <w:rsid w:val="00DA43C7"/>
    <w:rsid w:val="00DA446D"/>
    <w:rsid w:val="00DA4B49"/>
    <w:rsid w:val="00DA5C41"/>
    <w:rsid w:val="00DA654F"/>
    <w:rsid w:val="00DA6689"/>
    <w:rsid w:val="00DA686B"/>
    <w:rsid w:val="00DA7964"/>
    <w:rsid w:val="00DA7BBB"/>
    <w:rsid w:val="00DA7CC2"/>
    <w:rsid w:val="00DB017D"/>
    <w:rsid w:val="00DB02A4"/>
    <w:rsid w:val="00DB0A0C"/>
    <w:rsid w:val="00DB0F07"/>
    <w:rsid w:val="00DB1103"/>
    <w:rsid w:val="00DB13C1"/>
    <w:rsid w:val="00DB17CD"/>
    <w:rsid w:val="00DB1E38"/>
    <w:rsid w:val="00DB26E9"/>
    <w:rsid w:val="00DB2BA8"/>
    <w:rsid w:val="00DB444C"/>
    <w:rsid w:val="00DB46B3"/>
    <w:rsid w:val="00DB4700"/>
    <w:rsid w:val="00DB5E1F"/>
    <w:rsid w:val="00DB5ECC"/>
    <w:rsid w:val="00DB5F4D"/>
    <w:rsid w:val="00DB5FDA"/>
    <w:rsid w:val="00DB6067"/>
    <w:rsid w:val="00DB6263"/>
    <w:rsid w:val="00DB62D3"/>
    <w:rsid w:val="00DB6D4F"/>
    <w:rsid w:val="00DB7135"/>
    <w:rsid w:val="00DB7478"/>
    <w:rsid w:val="00DB7BED"/>
    <w:rsid w:val="00DB7F60"/>
    <w:rsid w:val="00DC0797"/>
    <w:rsid w:val="00DC0EE3"/>
    <w:rsid w:val="00DC11F3"/>
    <w:rsid w:val="00DC1227"/>
    <w:rsid w:val="00DC16D9"/>
    <w:rsid w:val="00DC1773"/>
    <w:rsid w:val="00DC1CBC"/>
    <w:rsid w:val="00DC20AD"/>
    <w:rsid w:val="00DC26BA"/>
    <w:rsid w:val="00DC277D"/>
    <w:rsid w:val="00DC2A08"/>
    <w:rsid w:val="00DC2D1F"/>
    <w:rsid w:val="00DC2F1B"/>
    <w:rsid w:val="00DC32D2"/>
    <w:rsid w:val="00DC392D"/>
    <w:rsid w:val="00DC44C1"/>
    <w:rsid w:val="00DC54FB"/>
    <w:rsid w:val="00DC57A3"/>
    <w:rsid w:val="00DC581C"/>
    <w:rsid w:val="00DC59F6"/>
    <w:rsid w:val="00DC5DFB"/>
    <w:rsid w:val="00DC653A"/>
    <w:rsid w:val="00DC6731"/>
    <w:rsid w:val="00DC6DA1"/>
    <w:rsid w:val="00DC7E98"/>
    <w:rsid w:val="00DD0351"/>
    <w:rsid w:val="00DD07AC"/>
    <w:rsid w:val="00DD1069"/>
    <w:rsid w:val="00DD1216"/>
    <w:rsid w:val="00DD12C1"/>
    <w:rsid w:val="00DD26C5"/>
    <w:rsid w:val="00DD27BA"/>
    <w:rsid w:val="00DD2DE4"/>
    <w:rsid w:val="00DD3396"/>
    <w:rsid w:val="00DD38E1"/>
    <w:rsid w:val="00DD3CEA"/>
    <w:rsid w:val="00DD3F84"/>
    <w:rsid w:val="00DD3FF6"/>
    <w:rsid w:val="00DD4985"/>
    <w:rsid w:val="00DD4C74"/>
    <w:rsid w:val="00DD505E"/>
    <w:rsid w:val="00DD5926"/>
    <w:rsid w:val="00DD702B"/>
    <w:rsid w:val="00DE089E"/>
    <w:rsid w:val="00DE0ECC"/>
    <w:rsid w:val="00DE2704"/>
    <w:rsid w:val="00DE2A1B"/>
    <w:rsid w:val="00DE2A69"/>
    <w:rsid w:val="00DE2B65"/>
    <w:rsid w:val="00DE2D3D"/>
    <w:rsid w:val="00DE2DEF"/>
    <w:rsid w:val="00DE377E"/>
    <w:rsid w:val="00DE3B14"/>
    <w:rsid w:val="00DE3BF5"/>
    <w:rsid w:val="00DE3D6A"/>
    <w:rsid w:val="00DE3FAC"/>
    <w:rsid w:val="00DE40DE"/>
    <w:rsid w:val="00DE4672"/>
    <w:rsid w:val="00DE4B7D"/>
    <w:rsid w:val="00DE508F"/>
    <w:rsid w:val="00DE53E3"/>
    <w:rsid w:val="00DE5F21"/>
    <w:rsid w:val="00DE68B8"/>
    <w:rsid w:val="00DE6C2E"/>
    <w:rsid w:val="00DE6E33"/>
    <w:rsid w:val="00DE77E0"/>
    <w:rsid w:val="00DE7F0A"/>
    <w:rsid w:val="00DF0107"/>
    <w:rsid w:val="00DF0761"/>
    <w:rsid w:val="00DF09BD"/>
    <w:rsid w:val="00DF0BA5"/>
    <w:rsid w:val="00DF11D1"/>
    <w:rsid w:val="00DF1F58"/>
    <w:rsid w:val="00DF2D27"/>
    <w:rsid w:val="00DF2F9C"/>
    <w:rsid w:val="00DF3CB2"/>
    <w:rsid w:val="00DF3DA0"/>
    <w:rsid w:val="00DF4340"/>
    <w:rsid w:val="00DF4889"/>
    <w:rsid w:val="00DF4AB6"/>
    <w:rsid w:val="00DF4BA7"/>
    <w:rsid w:val="00DF4D21"/>
    <w:rsid w:val="00DF4DEB"/>
    <w:rsid w:val="00DF4ED3"/>
    <w:rsid w:val="00DF5692"/>
    <w:rsid w:val="00DF5A4C"/>
    <w:rsid w:val="00DF5B88"/>
    <w:rsid w:val="00DF5F6F"/>
    <w:rsid w:val="00DF6080"/>
    <w:rsid w:val="00DF6824"/>
    <w:rsid w:val="00DF68F3"/>
    <w:rsid w:val="00DF69D5"/>
    <w:rsid w:val="00DF7487"/>
    <w:rsid w:val="00DF74A4"/>
    <w:rsid w:val="00E00BE2"/>
    <w:rsid w:val="00E00F1E"/>
    <w:rsid w:val="00E01163"/>
    <w:rsid w:val="00E0178B"/>
    <w:rsid w:val="00E01A69"/>
    <w:rsid w:val="00E02EB3"/>
    <w:rsid w:val="00E02FF2"/>
    <w:rsid w:val="00E03007"/>
    <w:rsid w:val="00E0399F"/>
    <w:rsid w:val="00E03A65"/>
    <w:rsid w:val="00E03A8D"/>
    <w:rsid w:val="00E043E3"/>
    <w:rsid w:val="00E044C8"/>
    <w:rsid w:val="00E04D03"/>
    <w:rsid w:val="00E052AB"/>
    <w:rsid w:val="00E0555E"/>
    <w:rsid w:val="00E0568B"/>
    <w:rsid w:val="00E05940"/>
    <w:rsid w:val="00E05D40"/>
    <w:rsid w:val="00E060BB"/>
    <w:rsid w:val="00E06480"/>
    <w:rsid w:val="00E06701"/>
    <w:rsid w:val="00E06734"/>
    <w:rsid w:val="00E07983"/>
    <w:rsid w:val="00E10AA2"/>
    <w:rsid w:val="00E10E83"/>
    <w:rsid w:val="00E1102B"/>
    <w:rsid w:val="00E112BA"/>
    <w:rsid w:val="00E114D8"/>
    <w:rsid w:val="00E115C5"/>
    <w:rsid w:val="00E11610"/>
    <w:rsid w:val="00E12FF2"/>
    <w:rsid w:val="00E13018"/>
    <w:rsid w:val="00E13D82"/>
    <w:rsid w:val="00E14B78"/>
    <w:rsid w:val="00E14DF9"/>
    <w:rsid w:val="00E15161"/>
    <w:rsid w:val="00E1526F"/>
    <w:rsid w:val="00E1534E"/>
    <w:rsid w:val="00E16AA3"/>
    <w:rsid w:val="00E17074"/>
    <w:rsid w:val="00E176E1"/>
    <w:rsid w:val="00E177B0"/>
    <w:rsid w:val="00E17B64"/>
    <w:rsid w:val="00E204EA"/>
    <w:rsid w:val="00E20A9B"/>
    <w:rsid w:val="00E21316"/>
    <w:rsid w:val="00E21965"/>
    <w:rsid w:val="00E21D2F"/>
    <w:rsid w:val="00E22885"/>
    <w:rsid w:val="00E22D16"/>
    <w:rsid w:val="00E236AD"/>
    <w:rsid w:val="00E23AF2"/>
    <w:rsid w:val="00E23CC9"/>
    <w:rsid w:val="00E24876"/>
    <w:rsid w:val="00E24A2E"/>
    <w:rsid w:val="00E26D0D"/>
    <w:rsid w:val="00E270C7"/>
    <w:rsid w:val="00E273B9"/>
    <w:rsid w:val="00E27A11"/>
    <w:rsid w:val="00E27A50"/>
    <w:rsid w:val="00E30BB2"/>
    <w:rsid w:val="00E3221E"/>
    <w:rsid w:val="00E3231F"/>
    <w:rsid w:val="00E3255B"/>
    <w:rsid w:val="00E32A53"/>
    <w:rsid w:val="00E33C2D"/>
    <w:rsid w:val="00E33C66"/>
    <w:rsid w:val="00E34A04"/>
    <w:rsid w:val="00E354C4"/>
    <w:rsid w:val="00E355CD"/>
    <w:rsid w:val="00E35727"/>
    <w:rsid w:val="00E36D1A"/>
    <w:rsid w:val="00E36D6E"/>
    <w:rsid w:val="00E37288"/>
    <w:rsid w:val="00E376F2"/>
    <w:rsid w:val="00E37E5B"/>
    <w:rsid w:val="00E402D5"/>
    <w:rsid w:val="00E402E5"/>
    <w:rsid w:val="00E40AD9"/>
    <w:rsid w:val="00E429D6"/>
    <w:rsid w:val="00E42FBE"/>
    <w:rsid w:val="00E43238"/>
    <w:rsid w:val="00E4383E"/>
    <w:rsid w:val="00E439A0"/>
    <w:rsid w:val="00E43B9C"/>
    <w:rsid w:val="00E44590"/>
    <w:rsid w:val="00E44E6F"/>
    <w:rsid w:val="00E4581F"/>
    <w:rsid w:val="00E45ACF"/>
    <w:rsid w:val="00E46598"/>
    <w:rsid w:val="00E46A76"/>
    <w:rsid w:val="00E4716A"/>
    <w:rsid w:val="00E479C8"/>
    <w:rsid w:val="00E50470"/>
    <w:rsid w:val="00E50CB5"/>
    <w:rsid w:val="00E515D3"/>
    <w:rsid w:val="00E5192B"/>
    <w:rsid w:val="00E51A02"/>
    <w:rsid w:val="00E51CB4"/>
    <w:rsid w:val="00E529C2"/>
    <w:rsid w:val="00E53F0F"/>
    <w:rsid w:val="00E544FF"/>
    <w:rsid w:val="00E55A4C"/>
    <w:rsid w:val="00E55B80"/>
    <w:rsid w:val="00E55DA3"/>
    <w:rsid w:val="00E56044"/>
    <w:rsid w:val="00E56140"/>
    <w:rsid w:val="00E56B0C"/>
    <w:rsid w:val="00E56DDB"/>
    <w:rsid w:val="00E579D9"/>
    <w:rsid w:val="00E57E81"/>
    <w:rsid w:val="00E6049D"/>
    <w:rsid w:val="00E616EE"/>
    <w:rsid w:val="00E61736"/>
    <w:rsid w:val="00E61BE8"/>
    <w:rsid w:val="00E61F7B"/>
    <w:rsid w:val="00E62410"/>
    <w:rsid w:val="00E633E8"/>
    <w:rsid w:val="00E6340C"/>
    <w:rsid w:val="00E637F9"/>
    <w:rsid w:val="00E64A14"/>
    <w:rsid w:val="00E65BCD"/>
    <w:rsid w:val="00E662DC"/>
    <w:rsid w:val="00E66A4B"/>
    <w:rsid w:val="00E6705E"/>
    <w:rsid w:val="00E67BDF"/>
    <w:rsid w:val="00E701D5"/>
    <w:rsid w:val="00E7020D"/>
    <w:rsid w:val="00E7058C"/>
    <w:rsid w:val="00E705DF"/>
    <w:rsid w:val="00E7068F"/>
    <w:rsid w:val="00E70B93"/>
    <w:rsid w:val="00E70C9D"/>
    <w:rsid w:val="00E71FFB"/>
    <w:rsid w:val="00E720E3"/>
    <w:rsid w:val="00E728EE"/>
    <w:rsid w:val="00E7298C"/>
    <w:rsid w:val="00E7374A"/>
    <w:rsid w:val="00E74556"/>
    <w:rsid w:val="00E74D49"/>
    <w:rsid w:val="00E755C7"/>
    <w:rsid w:val="00E75E72"/>
    <w:rsid w:val="00E761FA"/>
    <w:rsid w:val="00E7680F"/>
    <w:rsid w:val="00E76B69"/>
    <w:rsid w:val="00E7700D"/>
    <w:rsid w:val="00E802BC"/>
    <w:rsid w:val="00E811E9"/>
    <w:rsid w:val="00E812DF"/>
    <w:rsid w:val="00E8174B"/>
    <w:rsid w:val="00E818BE"/>
    <w:rsid w:val="00E81A94"/>
    <w:rsid w:val="00E8200A"/>
    <w:rsid w:val="00E821AA"/>
    <w:rsid w:val="00E82990"/>
    <w:rsid w:val="00E82FE6"/>
    <w:rsid w:val="00E8397D"/>
    <w:rsid w:val="00E83A2F"/>
    <w:rsid w:val="00E84059"/>
    <w:rsid w:val="00E849CF"/>
    <w:rsid w:val="00E85A76"/>
    <w:rsid w:val="00E85FAE"/>
    <w:rsid w:val="00E87494"/>
    <w:rsid w:val="00E87524"/>
    <w:rsid w:val="00E876BB"/>
    <w:rsid w:val="00E878F7"/>
    <w:rsid w:val="00E903A3"/>
    <w:rsid w:val="00E904A1"/>
    <w:rsid w:val="00E90938"/>
    <w:rsid w:val="00E909BF"/>
    <w:rsid w:val="00E9132E"/>
    <w:rsid w:val="00E91353"/>
    <w:rsid w:val="00E919E4"/>
    <w:rsid w:val="00E93378"/>
    <w:rsid w:val="00E938F1"/>
    <w:rsid w:val="00E93B01"/>
    <w:rsid w:val="00E941C0"/>
    <w:rsid w:val="00E94589"/>
    <w:rsid w:val="00E94716"/>
    <w:rsid w:val="00E94909"/>
    <w:rsid w:val="00E9498C"/>
    <w:rsid w:val="00E94CBA"/>
    <w:rsid w:val="00E95A13"/>
    <w:rsid w:val="00E962E8"/>
    <w:rsid w:val="00E9683C"/>
    <w:rsid w:val="00E9705B"/>
    <w:rsid w:val="00E972A0"/>
    <w:rsid w:val="00EA2414"/>
    <w:rsid w:val="00EA3765"/>
    <w:rsid w:val="00EA425C"/>
    <w:rsid w:val="00EA4BF2"/>
    <w:rsid w:val="00EA5083"/>
    <w:rsid w:val="00EA5137"/>
    <w:rsid w:val="00EA5214"/>
    <w:rsid w:val="00EA5E04"/>
    <w:rsid w:val="00EA6A14"/>
    <w:rsid w:val="00EA6C8D"/>
    <w:rsid w:val="00EA782C"/>
    <w:rsid w:val="00EA7A91"/>
    <w:rsid w:val="00EA7B04"/>
    <w:rsid w:val="00EA7C02"/>
    <w:rsid w:val="00EB0EFE"/>
    <w:rsid w:val="00EB1809"/>
    <w:rsid w:val="00EB188C"/>
    <w:rsid w:val="00EB1D2C"/>
    <w:rsid w:val="00EB2778"/>
    <w:rsid w:val="00EB2BA5"/>
    <w:rsid w:val="00EB2ED9"/>
    <w:rsid w:val="00EB30FA"/>
    <w:rsid w:val="00EB31B1"/>
    <w:rsid w:val="00EB3A37"/>
    <w:rsid w:val="00EB5A53"/>
    <w:rsid w:val="00EB6AD0"/>
    <w:rsid w:val="00EB6B85"/>
    <w:rsid w:val="00EB6FAE"/>
    <w:rsid w:val="00EB6FB7"/>
    <w:rsid w:val="00EB73EB"/>
    <w:rsid w:val="00EB766E"/>
    <w:rsid w:val="00EB7878"/>
    <w:rsid w:val="00EB78D7"/>
    <w:rsid w:val="00EB78F7"/>
    <w:rsid w:val="00EC02F2"/>
    <w:rsid w:val="00EC0CD0"/>
    <w:rsid w:val="00EC1AE4"/>
    <w:rsid w:val="00EC203F"/>
    <w:rsid w:val="00EC29EC"/>
    <w:rsid w:val="00EC3535"/>
    <w:rsid w:val="00EC3749"/>
    <w:rsid w:val="00EC3DD3"/>
    <w:rsid w:val="00EC5271"/>
    <w:rsid w:val="00EC54EE"/>
    <w:rsid w:val="00EC5827"/>
    <w:rsid w:val="00EC665B"/>
    <w:rsid w:val="00EC6F79"/>
    <w:rsid w:val="00EC78C2"/>
    <w:rsid w:val="00ED0398"/>
    <w:rsid w:val="00ED0A62"/>
    <w:rsid w:val="00ED0B1C"/>
    <w:rsid w:val="00ED0BE8"/>
    <w:rsid w:val="00ED11CC"/>
    <w:rsid w:val="00ED1E4A"/>
    <w:rsid w:val="00ED23BC"/>
    <w:rsid w:val="00ED297C"/>
    <w:rsid w:val="00ED2A49"/>
    <w:rsid w:val="00ED2CE8"/>
    <w:rsid w:val="00ED2DC6"/>
    <w:rsid w:val="00ED3ADC"/>
    <w:rsid w:val="00ED490E"/>
    <w:rsid w:val="00ED4B12"/>
    <w:rsid w:val="00ED4C81"/>
    <w:rsid w:val="00ED602A"/>
    <w:rsid w:val="00ED60E3"/>
    <w:rsid w:val="00ED6106"/>
    <w:rsid w:val="00ED67F4"/>
    <w:rsid w:val="00ED68AB"/>
    <w:rsid w:val="00ED6A9F"/>
    <w:rsid w:val="00ED7101"/>
    <w:rsid w:val="00EE1C8D"/>
    <w:rsid w:val="00EE217A"/>
    <w:rsid w:val="00EE23C2"/>
    <w:rsid w:val="00EE2404"/>
    <w:rsid w:val="00EE251F"/>
    <w:rsid w:val="00EE27C5"/>
    <w:rsid w:val="00EE2963"/>
    <w:rsid w:val="00EE3439"/>
    <w:rsid w:val="00EE3A48"/>
    <w:rsid w:val="00EE3D8B"/>
    <w:rsid w:val="00EE40ED"/>
    <w:rsid w:val="00EE4C38"/>
    <w:rsid w:val="00EE4D7F"/>
    <w:rsid w:val="00EE4E37"/>
    <w:rsid w:val="00EE6998"/>
    <w:rsid w:val="00EE7223"/>
    <w:rsid w:val="00EE7991"/>
    <w:rsid w:val="00EE7A79"/>
    <w:rsid w:val="00EF164D"/>
    <w:rsid w:val="00EF19E2"/>
    <w:rsid w:val="00EF1B64"/>
    <w:rsid w:val="00EF1E40"/>
    <w:rsid w:val="00EF1EAC"/>
    <w:rsid w:val="00EF203B"/>
    <w:rsid w:val="00EF215A"/>
    <w:rsid w:val="00EF2EA4"/>
    <w:rsid w:val="00EF3AE5"/>
    <w:rsid w:val="00EF3BE9"/>
    <w:rsid w:val="00EF4975"/>
    <w:rsid w:val="00EF4986"/>
    <w:rsid w:val="00EF4B4F"/>
    <w:rsid w:val="00EF4CB9"/>
    <w:rsid w:val="00EF5028"/>
    <w:rsid w:val="00EF51A3"/>
    <w:rsid w:val="00EF53BF"/>
    <w:rsid w:val="00EF5693"/>
    <w:rsid w:val="00EF5D01"/>
    <w:rsid w:val="00EF6562"/>
    <w:rsid w:val="00EF67DA"/>
    <w:rsid w:val="00EF692B"/>
    <w:rsid w:val="00EF6CA6"/>
    <w:rsid w:val="00EF703C"/>
    <w:rsid w:val="00EF7603"/>
    <w:rsid w:val="00EF76D7"/>
    <w:rsid w:val="00EF7F9F"/>
    <w:rsid w:val="00F00252"/>
    <w:rsid w:val="00F00401"/>
    <w:rsid w:val="00F00F2B"/>
    <w:rsid w:val="00F01445"/>
    <w:rsid w:val="00F015DE"/>
    <w:rsid w:val="00F01FCE"/>
    <w:rsid w:val="00F021F5"/>
    <w:rsid w:val="00F02943"/>
    <w:rsid w:val="00F03FCA"/>
    <w:rsid w:val="00F0463E"/>
    <w:rsid w:val="00F046BF"/>
    <w:rsid w:val="00F04A3C"/>
    <w:rsid w:val="00F04BAA"/>
    <w:rsid w:val="00F0674D"/>
    <w:rsid w:val="00F06792"/>
    <w:rsid w:val="00F0693C"/>
    <w:rsid w:val="00F06BE3"/>
    <w:rsid w:val="00F072E5"/>
    <w:rsid w:val="00F072FD"/>
    <w:rsid w:val="00F07419"/>
    <w:rsid w:val="00F0746D"/>
    <w:rsid w:val="00F07521"/>
    <w:rsid w:val="00F07AF5"/>
    <w:rsid w:val="00F07B6D"/>
    <w:rsid w:val="00F07D46"/>
    <w:rsid w:val="00F07E12"/>
    <w:rsid w:val="00F10CAB"/>
    <w:rsid w:val="00F10D48"/>
    <w:rsid w:val="00F11186"/>
    <w:rsid w:val="00F11B9D"/>
    <w:rsid w:val="00F11E2B"/>
    <w:rsid w:val="00F132CE"/>
    <w:rsid w:val="00F135FC"/>
    <w:rsid w:val="00F148D4"/>
    <w:rsid w:val="00F14AEC"/>
    <w:rsid w:val="00F153AD"/>
    <w:rsid w:val="00F15D14"/>
    <w:rsid w:val="00F1605A"/>
    <w:rsid w:val="00F16BF6"/>
    <w:rsid w:val="00F16E88"/>
    <w:rsid w:val="00F170CF"/>
    <w:rsid w:val="00F172DB"/>
    <w:rsid w:val="00F17466"/>
    <w:rsid w:val="00F175EC"/>
    <w:rsid w:val="00F201A0"/>
    <w:rsid w:val="00F21B89"/>
    <w:rsid w:val="00F23F69"/>
    <w:rsid w:val="00F2452B"/>
    <w:rsid w:val="00F248E2"/>
    <w:rsid w:val="00F24B59"/>
    <w:rsid w:val="00F24D8D"/>
    <w:rsid w:val="00F25BCD"/>
    <w:rsid w:val="00F25DAB"/>
    <w:rsid w:val="00F2604C"/>
    <w:rsid w:val="00F260AE"/>
    <w:rsid w:val="00F26B07"/>
    <w:rsid w:val="00F27373"/>
    <w:rsid w:val="00F27E25"/>
    <w:rsid w:val="00F27F09"/>
    <w:rsid w:val="00F30C69"/>
    <w:rsid w:val="00F31773"/>
    <w:rsid w:val="00F31AE4"/>
    <w:rsid w:val="00F328ED"/>
    <w:rsid w:val="00F329E1"/>
    <w:rsid w:val="00F329F2"/>
    <w:rsid w:val="00F32F1B"/>
    <w:rsid w:val="00F33E30"/>
    <w:rsid w:val="00F33F2E"/>
    <w:rsid w:val="00F349EE"/>
    <w:rsid w:val="00F3568D"/>
    <w:rsid w:val="00F35E5D"/>
    <w:rsid w:val="00F36878"/>
    <w:rsid w:val="00F368C0"/>
    <w:rsid w:val="00F37EDB"/>
    <w:rsid w:val="00F405EE"/>
    <w:rsid w:val="00F40FAF"/>
    <w:rsid w:val="00F4185C"/>
    <w:rsid w:val="00F41E78"/>
    <w:rsid w:val="00F423BD"/>
    <w:rsid w:val="00F425E0"/>
    <w:rsid w:val="00F42CDC"/>
    <w:rsid w:val="00F42E94"/>
    <w:rsid w:val="00F43134"/>
    <w:rsid w:val="00F43519"/>
    <w:rsid w:val="00F43C0A"/>
    <w:rsid w:val="00F446DE"/>
    <w:rsid w:val="00F44710"/>
    <w:rsid w:val="00F456A3"/>
    <w:rsid w:val="00F459C2"/>
    <w:rsid w:val="00F4640B"/>
    <w:rsid w:val="00F46753"/>
    <w:rsid w:val="00F46BE8"/>
    <w:rsid w:val="00F472D8"/>
    <w:rsid w:val="00F504BF"/>
    <w:rsid w:val="00F506FE"/>
    <w:rsid w:val="00F50E6C"/>
    <w:rsid w:val="00F518D1"/>
    <w:rsid w:val="00F51E57"/>
    <w:rsid w:val="00F52060"/>
    <w:rsid w:val="00F521D1"/>
    <w:rsid w:val="00F524A5"/>
    <w:rsid w:val="00F52ED1"/>
    <w:rsid w:val="00F52ED7"/>
    <w:rsid w:val="00F52F9A"/>
    <w:rsid w:val="00F5385F"/>
    <w:rsid w:val="00F54308"/>
    <w:rsid w:val="00F543E3"/>
    <w:rsid w:val="00F54690"/>
    <w:rsid w:val="00F548F3"/>
    <w:rsid w:val="00F56536"/>
    <w:rsid w:val="00F56870"/>
    <w:rsid w:val="00F5720F"/>
    <w:rsid w:val="00F5792E"/>
    <w:rsid w:val="00F608BF"/>
    <w:rsid w:val="00F60CB7"/>
    <w:rsid w:val="00F61540"/>
    <w:rsid w:val="00F61B19"/>
    <w:rsid w:val="00F62201"/>
    <w:rsid w:val="00F62760"/>
    <w:rsid w:val="00F627FB"/>
    <w:rsid w:val="00F63211"/>
    <w:rsid w:val="00F63566"/>
    <w:rsid w:val="00F63935"/>
    <w:rsid w:val="00F646B9"/>
    <w:rsid w:val="00F64A9A"/>
    <w:rsid w:val="00F6530F"/>
    <w:rsid w:val="00F65857"/>
    <w:rsid w:val="00F66058"/>
    <w:rsid w:val="00F66112"/>
    <w:rsid w:val="00F666E3"/>
    <w:rsid w:val="00F667B4"/>
    <w:rsid w:val="00F66F3C"/>
    <w:rsid w:val="00F67174"/>
    <w:rsid w:val="00F67987"/>
    <w:rsid w:val="00F67FE6"/>
    <w:rsid w:val="00F70A25"/>
    <w:rsid w:val="00F70BAD"/>
    <w:rsid w:val="00F70E97"/>
    <w:rsid w:val="00F70FC5"/>
    <w:rsid w:val="00F7128D"/>
    <w:rsid w:val="00F725B6"/>
    <w:rsid w:val="00F72CC2"/>
    <w:rsid w:val="00F72D38"/>
    <w:rsid w:val="00F73106"/>
    <w:rsid w:val="00F733A7"/>
    <w:rsid w:val="00F733D3"/>
    <w:rsid w:val="00F73446"/>
    <w:rsid w:val="00F73566"/>
    <w:rsid w:val="00F73993"/>
    <w:rsid w:val="00F742DE"/>
    <w:rsid w:val="00F755E6"/>
    <w:rsid w:val="00F76734"/>
    <w:rsid w:val="00F76AB1"/>
    <w:rsid w:val="00F76CFA"/>
    <w:rsid w:val="00F777CE"/>
    <w:rsid w:val="00F7783C"/>
    <w:rsid w:val="00F80183"/>
    <w:rsid w:val="00F804FB"/>
    <w:rsid w:val="00F80C4A"/>
    <w:rsid w:val="00F80E60"/>
    <w:rsid w:val="00F81C0C"/>
    <w:rsid w:val="00F81D2E"/>
    <w:rsid w:val="00F81DB9"/>
    <w:rsid w:val="00F82719"/>
    <w:rsid w:val="00F82E12"/>
    <w:rsid w:val="00F830F4"/>
    <w:rsid w:val="00F834FA"/>
    <w:rsid w:val="00F83543"/>
    <w:rsid w:val="00F83797"/>
    <w:rsid w:val="00F83926"/>
    <w:rsid w:val="00F84F0F"/>
    <w:rsid w:val="00F852F5"/>
    <w:rsid w:val="00F853E1"/>
    <w:rsid w:val="00F85942"/>
    <w:rsid w:val="00F859E1"/>
    <w:rsid w:val="00F8654F"/>
    <w:rsid w:val="00F86CB4"/>
    <w:rsid w:val="00F87108"/>
    <w:rsid w:val="00F878B6"/>
    <w:rsid w:val="00F878EA"/>
    <w:rsid w:val="00F9046C"/>
    <w:rsid w:val="00F90C85"/>
    <w:rsid w:val="00F90D60"/>
    <w:rsid w:val="00F925DF"/>
    <w:rsid w:val="00F929F5"/>
    <w:rsid w:val="00F9353F"/>
    <w:rsid w:val="00F937E4"/>
    <w:rsid w:val="00F939B5"/>
    <w:rsid w:val="00F93B41"/>
    <w:rsid w:val="00F94726"/>
    <w:rsid w:val="00F94E19"/>
    <w:rsid w:val="00F94E37"/>
    <w:rsid w:val="00F95128"/>
    <w:rsid w:val="00F9520A"/>
    <w:rsid w:val="00F9576A"/>
    <w:rsid w:val="00F95C63"/>
    <w:rsid w:val="00F96351"/>
    <w:rsid w:val="00F96403"/>
    <w:rsid w:val="00F96B56"/>
    <w:rsid w:val="00F978B3"/>
    <w:rsid w:val="00FA046B"/>
    <w:rsid w:val="00FA0617"/>
    <w:rsid w:val="00FA12DC"/>
    <w:rsid w:val="00FA1450"/>
    <w:rsid w:val="00FA2A46"/>
    <w:rsid w:val="00FA2C88"/>
    <w:rsid w:val="00FA36BC"/>
    <w:rsid w:val="00FA3CE8"/>
    <w:rsid w:val="00FA42B4"/>
    <w:rsid w:val="00FA5913"/>
    <w:rsid w:val="00FA5D90"/>
    <w:rsid w:val="00FA5FBA"/>
    <w:rsid w:val="00FA6B2F"/>
    <w:rsid w:val="00FA6E5C"/>
    <w:rsid w:val="00FA74FE"/>
    <w:rsid w:val="00FA79C9"/>
    <w:rsid w:val="00FB015B"/>
    <w:rsid w:val="00FB04B0"/>
    <w:rsid w:val="00FB187F"/>
    <w:rsid w:val="00FB19B6"/>
    <w:rsid w:val="00FB1FEF"/>
    <w:rsid w:val="00FB22A3"/>
    <w:rsid w:val="00FB2819"/>
    <w:rsid w:val="00FB2AE8"/>
    <w:rsid w:val="00FB43F5"/>
    <w:rsid w:val="00FB458C"/>
    <w:rsid w:val="00FB4BD3"/>
    <w:rsid w:val="00FB50DC"/>
    <w:rsid w:val="00FB50E1"/>
    <w:rsid w:val="00FB5382"/>
    <w:rsid w:val="00FB6A16"/>
    <w:rsid w:val="00FB734A"/>
    <w:rsid w:val="00FB7367"/>
    <w:rsid w:val="00FB7488"/>
    <w:rsid w:val="00FB7788"/>
    <w:rsid w:val="00FB780B"/>
    <w:rsid w:val="00FB795C"/>
    <w:rsid w:val="00FC05B6"/>
    <w:rsid w:val="00FC102B"/>
    <w:rsid w:val="00FC168B"/>
    <w:rsid w:val="00FC1C5E"/>
    <w:rsid w:val="00FC2372"/>
    <w:rsid w:val="00FC2492"/>
    <w:rsid w:val="00FC24A1"/>
    <w:rsid w:val="00FC2514"/>
    <w:rsid w:val="00FC265D"/>
    <w:rsid w:val="00FC36E4"/>
    <w:rsid w:val="00FC3836"/>
    <w:rsid w:val="00FC3886"/>
    <w:rsid w:val="00FC3D88"/>
    <w:rsid w:val="00FC4C1D"/>
    <w:rsid w:val="00FC4CCC"/>
    <w:rsid w:val="00FC57C3"/>
    <w:rsid w:val="00FC5AE3"/>
    <w:rsid w:val="00FC5B78"/>
    <w:rsid w:val="00FC5E22"/>
    <w:rsid w:val="00FC719B"/>
    <w:rsid w:val="00FC79D8"/>
    <w:rsid w:val="00FC7D97"/>
    <w:rsid w:val="00FD020D"/>
    <w:rsid w:val="00FD0822"/>
    <w:rsid w:val="00FD0B3A"/>
    <w:rsid w:val="00FD1DE3"/>
    <w:rsid w:val="00FD23F1"/>
    <w:rsid w:val="00FD2410"/>
    <w:rsid w:val="00FD27A2"/>
    <w:rsid w:val="00FD33B6"/>
    <w:rsid w:val="00FD3453"/>
    <w:rsid w:val="00FD3973"/>
    <w:rsid w:val="00FD43ED"/>
    <w:rsid w:val="00FD4B59"/>
    <w:rsid w:val="00FD4E74"/>
    <w:rsid w:val="00FD57EE"/>
    <w:rsid w:val="00FD5856"/>
    <w:rsid w:val="00FD62C1"/>
    <w:rsid w:val="00FD6469"/>
    <w:rsid w:val="00FD67CC"/>
    <w:rsid w:val="00FD6E73"/>
    <w:rsid w:val="00FD71DB"/>
    <w:rsid w:val="00FD7720"/>
    <w:rsid w:val="00FD7AC3"/>
    <w:rsid w:val="00FE01C6"/>
    <w:rsid w:val="00FE06B0"/>
    <w:rsid w:val="00FE07D2"/>
    <w:rsid w:val="00FE12E1"/>
    <w:rsid w:val="00FE25C2"/>
    <w:rsid w:val="00FE25EC"/>
    <w:rsid w:val="00FE264F"/>
    <w:rsid w:val="00FE2AFD"/>
    <w:rsid w:val="00FE2BC3"/>
    <w:rsid w:val="00FE33CF"/>
    <w:rsid w:val="00FE418C"/>
    <w:rsid w:val="00FE47C2"/>
    <w:rsid w:val="00FE4C03"/>
    <w:rsid w:val="00FE5575"/>
    <w:rsid w:val="00FE5EC1"/>
    <w:rsid w:val="00FE601A"/>
    <w:rsid w:val="00FE6EB1"/>
    <w:rsid w:val="00FE71AF"/>
    <w:rsid w:val="00FF05A5"/>
    <w:rsid w:val="00FF15C9"/>
    <w:rsid w:val="00FF161E"/>
    <w:rsid w:val="00FF2011"/>
    <w:rsid w:val="00FF29CF"/>
    <w:rsid w:val="00FF2E07"/>
    <w:rsid w:val="00FF2E50"/>
    <w:rsid w:val="00FF3ABE"/>
    <w:rsid w:val="00FF4310"/>
    <w:rsid w:val="00FF47C9"/>
    <w:rsid w:val="00FF50C1"/>
    <w:rsid w:val="00FF566E"/>
    <w:rsid w:val="00FF5CD4"/>
    <w:rsid w:val="00FF6368"/>
    <w:rsid w:val="00FF6B2E"/>
    <w:rsid w:val="00FF7761"/>
    <w:rsid w:val="00FF7D53"/>
    <w:rsid w:val="00FF7D9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8FBD88"/>
  <w15:docId w15:val="{7C76222A-A12E-461D-A286-D884D600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A8D"/>
    <w:pPr>
      <w:spacing w:before="120" w:after="120" w:line="360" w:lineRule="auto"/>
      <w:jc w:val="both"/>
    </w:pPr>
    <w:rPr>
      <w:rFonts w:ascii="Arial" w:eastAsia="Times New Roman" w:hAnsi="Arial"/>
      <w:szCs w:val="24"/>
    </w:rPr>
  </w:style>
  <w:style w:type="paragraph" w:styleId="Heading1">
    <w:name w:val="heading 1"/>
    <w:basedOn w:val="Normal"/>
    <w:next w:val="Normal"/>
    <w:link w:val="Heading1Char1"/>
    <w:uiPriority w:val="9"/>
    <w:qFormat/>
    <w:rsid w:val="00C23AE6"/>
    <w:pPr>
      <w:keepNext/>
      <w:keepLines/>
      <w:numPr>
        <w:numId w:val="52"/>
      </w:numPr>
      <w:pBdr>
        <w:top w:val="single" w:sz="4" w:space="1" w:color="auto"/>
        <w:left w:val="single" w:sz="4" w:space="4" w:color="auto"/>
        <w:bottom w:val="single" w:sz="4" w:space="1" w:color="auto"/>
        <w:right w:val="single" w:sz="4" w:space="4" w:color="auto"/>
      </w:pBdr>
      <w:spacing w:before="400" w:after="0"/>
      <w:outlineLvl w:val="0"/>
    </w:pPr>
    <w:rPr>
      <w:rFonts w:eastAsiaTheme="majorEastAsia" w:cstheme="majorBidi"/>
      <w:b/>
      <w:bCs/>
      <w:sz w:val="28"/>
      <w:szCs w:val="28"/>
    </w:rPr>
  </w:style>
  <w:style w:type="paragraph" w:styleId="Heading2">
    <w:name w:val="heading 2"/>
    <w:basedOn w:val="Normal"/>
    <w:next w:val="Normal"/>
    <w:link w:val="Heading2Char1"/>
    <w:uiPriority w:val="9"/>
    <w:qFormat/>
    <w:rsid w:val="00FE01C6"/>
    <w:pPr>
      <w:keepNext/>
      <w:keepLines/>
      <w:numPr>
        <w:ilvl w:val="1"/>
        <w:numId w:val="52"/>
      </w:numPr>
      <w:spacing w:before="200" w:after="200"/>
      <w:ind w:left="578" w:hanging="578"/>
      <w:outlineLvl w:val="1"/>
    </w:pPr>
    <w:rPr>
      <w:rFonts w:eastAsiaTheme="majorEastAsia" w:cstheme="majorBidi"/>
      <w:b/>
      <w:bCs/>
      <w:sz w:val="24"/>
      <w:szCs w:val="26"/>
    </w:rPr>
  </w:style>
  <w:style w:type="paragraph" w:styleId="Heading3">
    <w:name w:val="heading 3"/>
    <w:basedOn w:val="Normal"/>
    <w:next w:val="Normal"/>
    <w:link w:val="Heading3Char1"/>
    <w:uiPriority w:val="9"/>
    <w:qFormat/>
    <w:rsid w:val="00BE58C5"/>
    <w:pPr>
      <w:keepNext/>
      <w:keepLines/>
      <w:numPr>
        <w:ilvl w:val="2"/>
        <w:numId w:val="52"/>
      </w:numPr>
      <w:spacing w:before="200" w:after="200"/>
      <w:ind w:left="720"/>
      <w:outlineLvl w:val="2"/>
    </w:pPr>
    <w:rPr>
      <w:rFonts w:eastAsiaTheme="majorEastAsia" w:cstheme="majorBidi"/>
      <w:b/>
      <w:bCs/>
    </w:rPr>
  </w:style>
  <w:style w:type="paragraph" w:styleId="Heading4">
    <w:name w:val="heading 4"/>
    <w:basedOn w:val="Normal"/>
    <w:next w:val="Normal"/>
    <w:link w:val="Heading4Char"/>
    <w:autoRedefine/>
    <w:uiPriority w:val="9"/>
    <w:qFormat/>
    <w:rsid w:val="00901558"/>
    <w:pPr>
      <w:keepNext/>
      <w:keepLines/>
      <w:spacing w:line="259" w:lineRule="auto"/>
      <w:jc w:val="left"/>
      <w:outlineLvl w:val="3"/>
    </w:pPr>
    <w:rPr>
      <w:rFonts w:cs="Arial"/>
      <w:b/>
      <w:i/>
      <w:iCs/>
      <w:noProof/>
      <w:szCs w:val="20"/>
    </w:rPr>
  </w:style>
  <w:style w:type="paragraph" w:styleId="Heading5">
    <w:name w:val="heading 5"/>
    <w:basedOn w:val="Normal"/>
    <w:next w:val="Normal"/>
    <w:link w:val="Heading5Char"/>
    <w:uiPriority w:val="9"/>
    <w:qFormat/>
    <w:rsid w:val="00C23AE6"/>
    <w:pPr>
      <w:keepNext/>
      <w:keepLines/>
      <w:numPr>
        <w:ilvl w:val="4"/>
        <w:numId w:val="52"/>
      </w:numPr>
      <w:spacing w:before="200"/>
      <w:outlineLvl w:val="4"/>
    </w:pPr>
    <w:rPr>
      <w:rFonts w:ascii="Cambria" w:hAnsi="Cambria"/>
      <w:color w:val="243F60"/>
    </w:rPr>
  </w:style>
  <w:style w:type="paragraph" w:styleId="Heading6">
    <w:name w:val="heading 6"/>
    <w:basedOn w:val="Normal"/>
    <w:next w:val="Normal"/>
    <w:link w:val="Heading6Char"/>
    <w:uiPriority w:val="9"/>
    <w:qFormat/>
    <w:rsid w:val="00C23AE6"/>
    <w:pPr>
      <w:numPr>
        <w:ilvl w:val="5"/>
        <w:numId w:val="52"/>
      </w:numPr>
      <w:spacing w:after="60"/>
      <w:outlineLvl w:val="5"/>
    </w:pPr>
    <w:rPr>
      <w:b/>
      <w:bCs/>
      <w:sz w:val="22"/>
      <w:szCs w:val="22"/>
    </w:rPr>
  </w:style>
  <w:style w:type="paragraph" w:styleId="Heading7">
    <w:name w:val="heading 7"/>
    <w:basedOn w:val="Normal"/>
    <w:next w:val="Normal"/>
    <w:link w:val="Heading7Char"/>
    <w:uiPriority w:val="9"/>
    <w:qFormat/>
    <w:rsid w:val="00C23AE6"/>
    <w:pPr>
      <w:keepNext/>
      <w:numPr>
        <w:ilvl w:val="6"/>
        <w:numId w:val="52"/>
      </w:numPr>
      <w:pBdr>
        <w:top w:val="single" w:sz="4" w:space="1" w:color="auto"/>
        <w:left w:val="single" w:sz="4" w:space="4" w:color="auto"/>
        <w:bottom w:val="single" w:sz="4" w:space="1" w:color="auto"/>
        <w:right w:val="single" w:sz="4" w:space="4" w:color="auto"/>
      </w:pBdr>
      <w:outlineLvl w:val="6"/>
    </w:pPr>
    <w:rPr>
      <w:rFonts w:cs="Arial"/>
      <w:b/>
      <w:iCs/>
      <w:sz w:val="32"/>
      <w:szCs w:val="20"/>
      <w:lang w:eastAsia="en-US"/>
    </w:rPr>
  </w:style>
  <w:style w:type="paragraph" w:styleId="Heading8">
    <w:name w:val="heading 8"/>
    <w:basedOn w:val="Normal"/>
    <w:next w:val="Normal"/>
    <w:link w:val="Heading8Char"/>
    <w:uiPriority w:val="9"/>
    <w:qFormat/>
    <w:rsid w:val="00C23AE6"/>
    <w:pPr>
      <w:keepNext/>
      <w:keepLines/>
      <w:numPr>
        <w:ilvl w:val="7"/>
        <w:numId w:val="52"/>
      </w:numPr>
      <w:spacing w:before="200"/>
      <w:outlineLvl w:val="7"/>
    </w:pPr>
    <w:rPr>
      <w:rFonts w:ascii="Cambria" w:hAnsi="Cambria"/>
      <w:color w:val="404040"/>
      <w:szCs w:val="20"/>
    </w:rPr>
  </w:style>
  <w:style w:type="paragraph" w:styleId="Heading9">
    <w:name w:val="heading 9"/>
    <w:basedOn w:val="Normal"/>
    <w:next w:val="Normal"/>
    <w:link w:val="Heading9Char"/>
    <w:uiPriority w:val="9"/>
    <w:qFormat/>
    <w:rsid w:val="00C23AE6"/>
    <w:pPr>
      <w:keepNext/>
      <w:keepLines/>
      <w:numPr>
        <w:ilvl w:val="8"/>
        <w:numId w:val="52"/>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DF0107"/>
    <w:rPr>
      <w:rFonts w:ascii="Tahoma" w:hAnsi="Tahoma" w:cs="Tahoma"/>
      <w:sz w:val="16"/>
      <w:szCs w:val="16"/>
    </w:rPr>
  </w:style>
  <w:style w:type="character" w:customStyle="1" w:styleId="BalloonTextChar">
    <w:name w:val="Balloon Text Char"/>
    <w:basedOn w:val="DefaultParagraphFont"/>
    <w:uiPriority w:val="99"/>
    <w:semiHidden/>
    <w:rsid w:val="00957C7B"/>
    <w:rPr>
      <w:rFonts w:ascii="Lucida Grande" w:hAnsi="Lucida Grande"/>
      <w:sz w:val="18"/>
      <w:szCs w:val="18"/>
    </w:rPr>
  </w:style>
  <w:style w:type="character" w:customStyle="1" w:styleId="BalloonTextChar3">
    <w:name w:val="Balloon Text Char3"/>
    <w:basedOn w:val="DefaultParagraphFont"/>
    <w:uiPriority w:val="99"/>
    <w:semiHidden/>
    <w:rsid w:val="00957C7B"/>
    <w:rPr>
      <w:rFonts w:ascii="Lucida Grande" w:hAnsi="Lucida Grande"/>
      <w:sz w:val="18"/>
      <w:szCs w:val="18"/>
    </w:rPr>
  </w:style>
  <w:style w:type="character" w:customStyle="1" w:styleId="BalloonTextChar2">
    <w:name w:val="Balloon Text Char2"/>
    <w:basedOn w:val="DefaultParagraphFont"/>
    <w:uiPriority w:val="99"/>
    <w:semiHidden/>
    <w:rsid w:val="00957C7B"/>
    <w:rPr>
      <w:rFonts w:ascii="Lucida Grande" w:hAnsi="Lucida Grande"/>
      <w:sz w:val="18"/>
      <w:szCs w:val="18"/>
    </w:rPr>
  </w:style>
  <w:style w:type="table" w:customStyle="1" w:styleId="Style1">
    <w:name w:val="Style1"/>
    <w:basedOn w:val="TableNormal"/>
    <w:uiPriority w:val="99"/>
    <w:qFormat/>
    <w:rsid w:val="00587396"/>
    <w:tblPr/>
  </w:style>
  <w:style w:type="character" w:customStyle="1" w:styleId="Heading1Char">
    <w:name w:val="Heading 1 Char"/>
    <w:basedOn w:val="DefaultParagraphFont"/>
    <w:uiPriority w:val="9"/>
    <w:rsid w:val="00992432"/>
    <w:rPr>
      <w:rFonts w:ascii="Arial" w:eastAsia="Times New Roman" w:hAnsi="Arial" w:cs="Arial"/>
      <w:b/>
      <w:bCs/>
      <w:caps/>
      <w:kern w:val="32"/>
      <w:sz w:val="32"/>
      <w:szCs w:val="32"/>
    </w:rPr>
  </w:style>
  <w:style w:type="character" w:customStyle="1" w:styleId="Heading2Char">
    <w:name w:val="Heading 2 Char"/>
    <w:basedOn w:val="DefaultParagraphFont"/>
    <w:uiPriority w:val="9"/>
    <w:rsid w:val="00001018"/>
    <w:rPr>
      <w:rFonts w:ascii="Arial" w:eastAsia="Times New Roman" w:hAnsi="Arial"/>
      <w:b/>
      <w:sz w:val="24"/>
      <w:szCs w:val="28"/>
    </w:rPr>
  </w:style>
  <w:style w:type="character" w:customStyle="1" w:styleId="Heading3Char">
    <w:name w:val="Heading 3 Char"/>
    <w:basedOn w:val="DefaultParagraphFont"/>
    <w:uiPriority w:val="9"/>
    <w:rsid w:val="00001018"/>
    <w:rPr>
      <w:rFonts w:ascii="Arial" w:eastAsia="Times New Roman" w:hAnsi="Arial" w:cs="Arial"/>
      <w:bCs/>
      <w:sz w:val="22"/>
      <w:szCs w:val="28"/>
    </w:rPr>
  </w:style>
  <w:style w:type="character" w:customStyle="1" w:styleId="Heading4Char">
    <w:name w:val="Heading 4 Char"/>
    <w:basedOn w:val="DefaultParagraphFont"/>
    <w:link w:val="Heading4"/>
    <w:uiPriority w:val="9"/>
    <w:rsid w:val="00901558"/>
    <w:rPr>
      <w:rFonts w:ascii="Arial" w:eastAsia="Times New Roman" w:hAnsi="Arial" w:cs="Arial"/>
      <w:b/>
      <w:i/>
      <w:iCs/>
      <w:noProof/>
    </w:rPr>
  </w:style>
  <w:style w:type="character" w:customStyle="1" w:styleId="Heading6Char">
    <w:name w:val="Heading 6 Char"/>
    <w:basedOn w:val="DefaultParagraphFont"/>
    <w:link w:val="Heading6"/>
    <w:uiPriority w:val="9"/>
    <w:rsid w:val="00A035F4"/>
    <w:rPr>
      <w:rFonts w:ascii="Arial" w:eastAsia="Times New Roman" w:hAnsi="Arial"/>
      <w:b/>
      <w:bCs/>
      <w:sz w:val="22"/>
      <w:szCs w:val="22"/>
    </w:rPr>
  </w:style>
  <w:style w:type="character" w:customStyle="1" w:styleId="Heading7Char">
    <w:name w:val="Heading 7 Char"/>
    <w:basedOn w:val="DefaultParagraphFont"/>
    <w:link w:val="Heading7"/>
    <w:uiPriority w:val="9"/>
    <w:rsid w:val="00A035F4"/>
    <w:rPr>
      <w:rFonts w:ascii="Arial" w:eastAsia="Times New Roman" w:hAnsi="Arial" w:cs="Arial"/>
      <w:b/>
      <w:iCs/>
      <w:sz w:val="32"/>
      <w:lang w:eastAsia="en-US"/>
    </w:rPr>
  </w:style>
  <w:style w:type="paragraph" w:customStyle="1" w:styleId="Styleheading3A14pt">
    <w:name w:val="Style heading3A + 14 pt"/>
    <w:basedOn w:val="Normal"/>
    <w:autoRedefine/>
    <w:uiPriority w:val="99"/>
    <w:rsid w:val="00924C21"/>
    <w:pPr>
      <w:tabs>
        <w:tab w:val="left" w:pos="851"/>
      </w:tabs>
      <w:outlineLvl w:val="1"/>
    </w:pPr>
    <w:rPr>
      <w:rFonts w:cs="Arial"/>
      <w:b/>
      <w:bCs/>
      <w:sz w:val="28"/>
      <w:szCs w:val="28"/>
    </w:rPr>
  </w:style>
  <w:style w:type="paragraph" w:customStyle="1" w:styleId="heading3A">
    <w:name w:val="heading3A"/>
    <w:basedOn w:val="Normal"/>
    <w:next w:val="Normal"/>
    <w:autoRedefine/>
    <w:uiPriority w:val="99"/>
    <w:rsid w:val="00BD5E0C"/>
    <w:pPr>
      <w:tabs>
        <w:tab w:val="left" w:pos="851"/>
      </w:tabs>
      <w:outlineLvl w:val="1"/>
    </w:pPr>
    <w:rPr>
      <w:rFonts w:cs="Arial"/>
      <w:b/>
      <w:bCs/>
      <w:iCs/>
      <w:sz w:val="22"/>
      <w:szCs w:val="28"/>
      <w:u w:val="single"/>
    </w:rPr>
  </w:style>
  <w:style w:type="paragraph" w:customStyle="1" w:styleId="heading30">
    <w:name w:val="heading3"/>
    <w:basedOn w:val="Normal"/>
    <w:next w:val="Normal"/>
    <w:autoRedefine/>
    <w:uiPriority w:val="99"/>
    <w:rsid w:val="00327D59"/>
    <w:pPr>
      <w:tabs>
        <w:tab w:val="left" w:pos="851"/>
      </w:tabs>
      <w:outlineLvl w:val="1"/>
    </w:pPr>
    <w:rPr>
      <w:rFonts w:cs="Arial"/>
      <w:b/>
      <w:bCs/>
      <w:iCs/>
      <w:sz w:val="28"/>
      <w:szCs w:val="28"/>
    </w:rPr>
  </w:style>
  <w:style w:type="paragraph" w:customStyle="1" w:styleId="heading3MA">
    <w:name w:val="heading3MA"/>
    <w:basedOn w:val="Normal"/>
    <w:next w:val="Normal"/>
    <w:autoRedefine/>
    <w:uiPriority w:val="99"/>
    <w:rsid w:val="00DF0107"/>
    <w:pPr>
      <w:numPr>
        <w:numId w:val="1"/>
      </w:numPr>
      <w:spacing w:before="0" w:after="0"/>
    </w:pPr>
  </w:style>
  <w:style w:type="paragraph" w:customStyle="1" w:styleId="Styleheading3MABefore12ptAfter12pt">
    <w:name w:val="Style heading3MA + Before:  12 pt After:  12 pt"/>
    <w:basedOn w:val="heading3MA"/>
    <w:autoRedefine/>
    <w:uiPriority w:val="99"/>
    <w:rsid w:val="00DF0107"/>
    <w:pPr>
      <w:numPr>
        <w:numId w:val="11"/>
      </w:numPr>
      <w:spacing w:before="240" w:after="240"/>
    </w:pPr>
    <w:rPr>
      <w:szCs w:val="20"/>
    </w:rPr>
  </w:style>
  <w:style w:type="paragraph" w:styleId="Caption">
    <w:name w:val="caption"/>
    <w:basedOn w:val="Normal"/>
    <w:next w:val="Normal"/>
    <w:link w:val="CaptionChar"/>
    <w:uiPriority w:val="35"/>
    <w:qFormat/>
    <w:rsid w:val="0000266C"/>
    <w:pPr>
      <w:spacing w:before="40" w:after="40" w:line="276" w:lineRule="auto"/>
    </w:pPr>
    <w:rPr>
      <w:b/>
      <w:bCs/>
      <w:szCs w:val="20"/>
    </w:rPr>
  </w:style>
  <w:style w:type="character" w:customStyle="1" w:styleId="CaptionChar">
    <w:name w:val="Caption Char"/>
    <w:basedOn w:val="DefaultParagraphFont"/>
    <w:link w:val="Caption"/>
    <w:uiPriority w:val="35"/>
    <w:rsid w:val="0000266C"/>
    <w:rPr>
      <w:rFonts w:ascii="Arial" w:eastAsia="Times New Roman" w:hAnsi="Arial"/>
      <w:b/>
      <w:bCs/>
    </w:rPr>
  </w:style>
  <w:style w:type="paragraph" w:styleId="BodyText">
    <w:name w:val="Body Text"/>
    <w:basedOn w:val="Normal"/>
    <w:link w:val="BodyTextChar1"/>
    <w:uiPriority w:val="1"/>
    <w:qFormat/>
    <w:rsid w:val="004E760C"/>
  </w:style>
  <w:style w:type="character" w:customStyle="1" w:styleId="BodyTextChar">
    <w:name w:val="Body Text Char"/>
    <w:basedOn w:val="DefaultParagraphFont"/>
    <w:uiPriority w:val="99"/>
    <w:rsid w:val="00DF0107"/>
    <w:rPr>
      <w:rFonts w:ascii="Times New Roman" w:eastAsia="Times New Roman" w:hAnsi="Times New Roman" w:cs="Times New Roman"/>
      <w:sz w:val="24"/>
      <w:szCs w:val="24"/>
      <w:lang w:eastAsia="en-AU"/>
    </w:rPr>
  </w:style>
  <w:style w:type="character" w:customStyle="1" w:styleId="BodyTextChar1">
    <w:name w:val="Body Text Char1"/>
    <w:basedOn w:val="DefaultParagraphFont"/>
    <w:link w:val="BodyText"/>
    <w:uiPriority w:val="1"/>
    <w:rsid w:val="004E760C"/>
    <w:rPr>
      <w:rFonts w:ascii="Arial" w:eastAsia="Times New Roman" w:hAnsi="Arial"/>
      <w:szCs w:val="24"/>
    </w:rPr>
  </w:style>
  <w:style w:type="character" w:customStyle="1" w:styleId="BodyTextCharChar">
    <w:name w:val="Body Text Char Char"/>
    <w:basedOn w:val="DefaultParagraphFont"/>
    <w:rsid w:val="00DF0107"/>
    <w:rPr>
      <w:sz w:val="24"/>
      <w:szCs w:val="24"/>
      <w:lang w:val="en-US" w:eastAsia="en-US" w:bidi="ar-SA"/>
    </w:rPr>
  </w:style>
  <w:style w:type="paragraph" w:customStyle="1" w:styleId="AATableheading">
    <w:name w:val="AA Table heading"/>
    <w:basedOn w:val="PlainText"/>
    <w:link w:val="AATableheadingChar"/>
    <w:rsid w:val="00DF0107"/>
    <w:pPr>
      <w:tabs>
        <w:tab w:val="left" w:pos="1418"/>
      </w:tabs>
      <w:ind w:left="1418" w:hanging="1418"/>
    </w:pPr>
    <w:rPr>
      <w:rFonts w:eastAsia="Arial Unicode MS"/>
      <w:b/>
      <w:bCs/>
      <w:sz w:val="24"/>
      <w:szCs w:val="24"/>
      <w:lang w:eastAsia="en-US"/>
    </w:rPr>
  </w:style>
  <w:style w:type="character" w:customStyle="1" w:styleId="AATableheadingChar">
    <w:name w:val="AA Table heading Char"/>
    <w:basedOn w:val="BodyTextChar1"/>
    <w:link w:val="AATableheading"/>
    <w:rsid w:val="00DF0107"/>
    <w:rPr>
      <w:rFonts w:ascii="Courier New" w:eastAsia="Arial Unicode MS" w:hAnsi="Courier New" w:cs="Courier New"/>
      <w:b/>
      <w:bCs/>
      <w:sz w:val="24"/>
      <w:szCs w:val="24"/>
    </w:rPr>
  </w:style>
  <w:style w:type="paragraph" w:customStyle="1" w:styleId="AATable">
    <w:name w:val="AA Table"/>
    <w:basedOn w:val="Normal"/>
    <w:uiPriority w:val="99"/>
    <w:rsid w:val="00DF0107"/>
    <w:pPr>
      <w:autoSpaceDE w:val="0"/>
      <w:autoSpaceDN w:val="0"/>
      <w:adjustRightInd w:val="0"/>
      <w:spacing w:before="60" w:after="60"/>
    </w:pPr>
    <w:rPr>
      <w:color w:val="000000"/>
      <w:sz w:val="22"/>
      <w:lang w:val="en-US" w:eastAsia="en-US"/>
    </w:rPr>
  </w:style>
  <w:style w:type="paragraph" w:customStyle="1" w:styleId="StyleArialBoldJustifiedBefore3ptAfter3pt">
    <w:name w:val="Style Arial Bold Justified Before:  3 pt After:  3 pt"/>
    <w:basedOn w:val="Normal"/>
    <w:uiPriority w:val="99"/>
    <w:rsid w:val="00DF0107"/>
    <w:pPr>
      <w:spacing w:before="60" w:after="60"/>
    </w:pPr>
    <w:rPr>
      <w:b/>
      <w:bCs/>
      <w:szCs w:val="20"/>
      <w:lang w:val="en-US" w:eastAsia="en-US"/>
    </w:rPr>
  </w:style>
  <w:style w:type="paragraph" w:styleId="PlainText">
    <w:name w:val="Plain Text"/>
    <w:basedOn w:val="Normal"/>
    <w:link w:val="PlainTextChar"/>
    <w:uiPriority w:val="99"/>
    <w:rsid w:val="00DF0107"/>
    <w:rPr>
      <w:rFonts w:ascii="Courier New" w:hAnsi="Courier New" w:cs="Courier New"/>
      <w:szCs w:val="20"/>
    </w:rPr>
  </w:style>
  <w:style w:type="character" w:customStyle="1" w:styleId="PlainTextChar">
    <w:name w:val="Plain Text Char"/>
    <w:basedOn w:val="DefaultParagraphFont"/>
    <w:link w:val="PlainText"/>
    <w:uiPriority w:val="99"/>
    <w:rsid w:val="00DF0107"/>
    <w:rPr>
      <w:rFonts w:ascii="Courier New" w:eastAsia="Times New Roman" w:hAnsi="Courier New" w:cs="Courier New"/>
      <w:sz w:val="20"/>
      <w:szCs w:val="20"/>
      <w:lang w:eastAsia="en-AU"/>
    </w:rPr>
  </w:style>
  <w:style w:type="table" w:styleId="TableGrid">
    <w:name w:val="Table Grid"/>
    <w:basedOn w:val="TableNormal"/>
    <w:uiPriority w:val="39"/>
    <w:rsid w:val="00DF01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0107"/>
    <w:pPr>
      <w:tabs>
        <w:tab w:val="center" w:pos="4153"/>
        <w:tab w:val="right" w:pos="8306"/>
      </w:tabs>
    </w:pPr>
    <w:rPr>
      <w:szCs w:val="20"/>
      <w:lang w:eastAsia="en-US"/>
    </w:rPr>
  </w:style>
  <w:style w:type="character" w:customStyle="1" w:styleId="HeaderChar">
    <w:name w:val="Header Char"/>
    <w:basedOn w:val="DefaultParagraphFont"/>
    <w:link w:val="Header"/>
    <w:uiPriority w:val="99"/>
    <w:rsid w:val="00DF0107"/>
    <w:rPr>
      <w:rFonts w:ascii="Times New Roman" w:eastAsia="Times New Roman" w:hAnsi="Times New Roman" w:cs="Times New Roman"/>
      <w:sz w:val="24"/>
      <w:szCs w:val="20"/>
    </w:rPr>
  </w:style>
  <w:style w:type="paragraph" w:styleId="BodyText3">
    <w:name w:val="Body Text 3"/>
    <w:basedOn w:val="Normal"/>
    <w:link w:val="BodyText3Char"/>
    <w:uiPriority w:val="99"/>
    <w:semiHidden/>
    <w:rsid w:val="00DF0107"/>
    <w:rPr>
      <w:sz w:val="16"/>
      <w:szCs w:val="16"/>
      <w:lang w:eastAsia="en-US"/>
    </w:rPr>
  </w:style>
  <w:style w:type="character" w:customStyle="1" w:styleId="BodyText3Char">
    <w:name w:val="Body Text 3 Char"/>
    <w:basedOn w:val="DefaultParagraphFont"/>
    <w:link w:val="BodyText3"/>
    <w:uiPriority w:val="99"/>
    <w:semiHidden/>
    <w:rsid w:val="00DF0107"/>
    <w:rPr>
      <w:rFonts w:ascii="Times New Roman" w:eastAsia="Times New Roman" w:hAnsi="Times New Roman" w:cs="Times New Roman"/>
      <w:sz w:val="16"/>
      <w:szCs w:val="16"/>
    </w:rPr>
  </w:style>
  <w:style w:type="character" w:customStyle="1" w:styleId="BalloonTextChar1">
    <w:name w:val="Balloon Text Char1"/>
    <w:basedOn w:val="DefaultParagraphFont"/>
    <w:link w:val="BalloonText"/>
    <w:uiPriority w:val="99"/>
    <w:semiHidden/>
    <w:rsid w:val="00DF0107"/>
    <w:rPr>
      <w:rFonts w:ascii="Tahoma" w:eastAsia="Times New Roman" w:hAnsi="Tahoma" w:cs="Tahoma"/>
      <w:sz w:val="16"/>
      <w:szCs w:val="16"/>
      <w:lang w:eastAsia="en-AU"/>
    </w:rPr>
  </w:style>
  <w:style w:type="paragraph" w:customStyle="1" w:styleId="AATableBold">
    <w:name w:val="AA Table + Bold"/>
    <w:basedOn w:val="AATable"/>
    <w:uiPriority w:val="99"/>
    <w:rsid w:val="00DF0107"/>
    <w:rPr>
      <w:b/>
      <w:bCs/>
    </w:rPr>
  </w:style>
  <w:style w:type="paragraph" w:customStyle="1" w:styleId="AANormal">
    <w:name w:val="AA Normal"/>
    <w:basedOn w:val="Normal"/>
    <w:link w:val="AANormalChar"/>
    <w:uiPriority w:val="99"/>
    <w:rsid w:val="00992432"/>
    <w:pPr>
      <w:numPr>
        <w:numId w:val="15"/>
      </w:numPr>
    </w:pPr>
    <w:rPr>
      <w:lang w:val="en-US" w:eastAsia="en-US"/>
    </w:rPr>
  </w:style>
  <w:style w:type="character" w:customStyle="1" w:styleId="AANormalChar">
    <w:name w:val="AA Normal Char"/>
    <w:basedOn w:val="DefaultParagraphFont"/>
    <w:link w:val="AANormal"/>
    <w:uiPriority w:val="99"/>
    <w:rsid w:val="00992432"/>
    <w:rPr>
      <w:rFonts w:ascii="Arial" w:eastAsia="Times New Roman" w:hAnsi="Arial"/>
      <w:szCs w:val="24"/>
      <w:lang w:val="en-US" w:eastAsia="en-US"/>
    </w:rPr>
  </w:style>
  <w:style w:type="paragraph" w:customStyle="1" w:styleId="Tabeheading">
    <w:name w:val="Tabe heading"/>
    <w:basedOn w:val="PlainText"/>
    <w:uiPriority w:val="99"/>
    <w:rsid w:val="00DF0107"/>
    <w:pPr>
      <w:ind w:left="965" w:hanging="965"/>
      <w:jc w:val="center"/>
    </w:pPr>
    <w:rPr>
      <w:rFonts w:ascii="Times New Roman" w:eastAsia="Arial Unicode MS" w:hAnsi="Times New Roman" w:cs="Times New Roman"/>
      <w:b/>
      <w:bCs/>
      <w:sz w:val="24"/>
      <w:szCs w:val="24"/>
      <w:lang w:eastAsia="en-US"/>
    </w:rPr>
  </w:style>
  <w:style w:type="paragraph" w:customStyle="1" w:styleId="Styleheading314ptBottomNoborder">
    <w:name w:val="Style heading3 + 14 pt Bottom: (No border)"/>
    <w:basedOn w:val="heading30"/>
    <w:uiPriority w:val="99"/>
    <w:rsid w:val="00DF0107"/>
    <w:pPr>
      <w:tabs>
        <w:tab w:val="clear" w:pos="851"/>
        <w:tab w:val="num" w:pos="960"/>
      </w:tabs>
      <w:ind w:left="960" w:hanging="960"/>
    </w:pPr>
    <w:rPr>
      <w:rFonts w:cs="Times New Roman"/>
      <w:iCs w:val="0"/>
      <w:szCs w:val="20"/>
    </w:rPr>
  </w:style>
  <w:style w:type="character" w:styleId="Hyperlink">
    <w:name w:val="Hyperlink"/>
    <w:basedOn w:val="DefaultParagraphFont"/>
    <w:uiPriority w:val="99"/>
    <w:rsid w:val="00DF0107"/>
    <w:rPr>
      <w:color w:val="0000FF"/>
      <w:u w:val="single"/>
    </w:rPr>
  </w:style>
  <w:style w:type="paragraph" w:customStyle="1" w:styleId="quest">
    <w:name w:val="quest"/>
    <w:basedOn w:val="Normal"/>
    <w:uiPriority w:val="99"/>
    <w:rsid w:val="00DF0107"/>
    <w:pPr>
      <w:tabs>
        <w:tab w:val="left" w:pos="360"/>
      </w:tabs>
      <w:ind w:left="360" w:hanging="360"/>
    </w:pPr>
    <w:rPr>
      <w:b/>
      <w:szCs w:val="20"/>
      <w:lang w:eastAsia="en-US"/>
    </w:rPr>
  </w:style>
  <w:style w:type="paragraph" w:styleId="BodyTextIndent">
    <w:name w:val="Body Text Indent"/>
    <w:basedOn w:val="Normal"/>
    <w:link w:val="BodyTextIndentChar"/>
    <w:uiPriority w:val="99"/>
    <w:rsid w:val="00DF0107"/>
    <w:pPr>
      <w:ind w:left="283"/>
    </w:pPr>
    <w:rPr>
      <w:lang w:eastAsia="en-US"/>
    </w:rPr>
  </w:style>
  <w:style w:type="character" w:customStyle="1" w:styleId="BodyTextIndentChar">
    <w:name w:val="Body Text Indent Char"/>
    <w:basedOn w:val="DefaultParagraphFont"/>
    <w:link w:val="BodyTextIndent"/>
    <w:uiPriority w:val="99"/>
    <w:rsid w:val="00DF0107"/>
    <w:rPr>
      <w:rFonts w:ascii="Times New Roman" w:eastAsia="Times New Roman" w:hAnsi="Times New Roman" w:cs="Times New Roman"/>
      <w:sz w:val="24"/>
      <w:szCs w:val="24"/>
    </w:rPr>
  </w:style>
  <w:style w:type="paragraph" w:customStyle="1" w:styleId="Style0">
    <w:name w:val="Style0"/>
    <w:uiPriority w:val="99"/>
    <w:rsid w:val="00DF0107"/>
    <w:rPr>
      <w:rFonts w:ascii="Arial" w:eastAsia="Times New Roman" w:hAnsi="Arial"/>
      <w:snapToGrid w:val="0"/>
      <w:sz w:val="24"/>
      <w:lang w:val="en-US" w:eastAsia="en-US"/>
    </w:rPr>
  </w:style>
  <w:style w:type="table" w:customStyle="1" w:styleId="TR31Table">
    <w:name w:val="TR31_Table"/>
    <w:basedOn w:val="TableNormal"/>
    <w:uiPriority w:val="99"/>
    <w:rsid w:val="00490B8D"/>
    <w:rPr>
      <w:rFonts w:ascii="Arial" w:hAnsi="Arial"/>
    </w:rPr>
    <w:tblPr>
      <w:tblBorders>
        <w:top w:val="single" w:sz="4" w:space="0" w:color="auto"/>
        <w:bottom w:val="single" w:sz="4" w:space="0" w:color="auto"/>
      </w:tblBorders>
    </w:tblPr>
  </w:style>
  <w:style w:type="character" w:customStyle="1" w:styleId="StyleArial11ptBlack">
    <w:name w:val="Style Arial 11 pt Black"/>
    <w:basedOn w:val="DefaultParagraphFont"/>
    <w:rsid w:val="00DF0107"/>
    <w:rPr>
      <w:rFonts w:ascii="Arial" w:hAnsi="Arial"/>
      <w:color w:val="000000"/>
      <w:sz w:val="24"/>
    </w:rPr>
  </w:style>
  <w:style w:type="paragraph" w:customStyle="1" w:styleId="Heading21">
    <w:name w:val="Heading 21"/>
    <w:basedOn w:val="List"/>
    <w:next w:val="ListContinue3"/>
    <w:autoRedefine/>
    <w:uiPriority w:val="9"/>
    <w:qFormat/>
    <w:rsid w:val="00655B34"/>
    <w:pPr>
      <w:outlineLvl w:val="1"/>
    </w:pPr>
    <w:rPr>
      <w:rFonts w:eastAsia="MS Gothic"/>
      <w:szCs w:val="20"/>
    </w:rPr>
  </w:style>
  <w:style w:type="paragraph" w:styleId="ListContinue2">
    <w:name w:val="List Continue 2"/>
    <w:basedOn w:val="Normal"/>
    <w:uiPriority w:val="99"/>
    <w:unhideWhenUsed/>
    <w:rsid w:val="00384758"/>
    <w:pPr>
      <w:ind w:left="566"/>
      <w:contextualSpacing/>
    </w:pPr>
  </w:style>
  <w:style w:type="paragraph" w:customStyle="1" w:styleId="xl26">
    <w:name w:val="xl26"/>
    <w:basedOn w:val="Normal"/>
    <w:uiPriority w:val="99"/>
    <w:rsid w:val="00DF0107"/>
    <w:pPr>
      <w:pBdr>
        <w:bottom w:val="single" w:sz="4" w:space="0" w:color="auto"/>
      </w:pBdr>
      <w:spacing w:before="100" w:beforeAutospacing="1" w:after="100" w:afterAutospacing="1"/>
      <w:jc w:val="center"/>
      <w:textAlignment w:val="top"/>
    </w:pPr>
    <w:rPr>
      <w:rFonts w:eastAsia="Arial Unicode MS" w:cs="Arial"/>
      <w:lang w:eastAsia="en-US"/>
    </w:rPr>
  </w:style>
  <w:style w:type="paragraph" w:styleId="CommentText">
    <w:name w:val="annotation text"/>
    <w:basedOn w:val="Normal"/>
    <w:link w:val="CommentTextChar"/>
    <w:uiPriority w:val="99"/>
    <w:rsid w:val="00DF0107"/>
    <w:rPr>
      <w:szCs w:val="20"/>
      <w:lang w:eastAsia="en-US"/>
    </w:rPr>
  </w:style>
  <w:style w:type="character" w:customStyle="1" w:styleId="CommentTextChar">
    <w:name w:val="Comment Text Char"/>
    <w:basedOn w:val="DefaultParagraphFont"/>
    <w:link w:val="CommentText"/>
    <w:uiPriority w:val="99"/>
    <w:rsid w:val="00DF0107"/>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DF0107"/>
    <w:rPr>
      <w:szCs w:val="20"/>
    </w:rPr>
  </w:style>
  <w:style w:type="character" w:customStyle="1" w:styleId="FootnoteTextChar">
    <w:name w:val="Footnote Text Char"/>
    <w:basedOn w:val="DefaultParagraphFont"/>
    <w:link w:val="FootnoteText"/>
    <w:uiPriority w:val="99"/>
    <w:semiHidden/>
    <w:rsid w:val="00DF0107"/>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rsid w:val="00DF0107"/>
    <w:rPr>
      <w:vertAlign w:val="superscript"/>
    </w:rPr>
  </w:style>
  <w:style w:type="paragraph" w:styleId="Title">
    <w:name w:val="Title"/>
    <w:basedOn w:val="Normal"/>
    <w:link w:val="TitleChar"/>
    <w:uiPriority w:val="10"/>
    <w:qFormat/>
    <w:rsid w:val="00DF0107"/>
    <w:pPr>
      <w:jc w:val="center"/>
    </w:pPr>
    <w:rPr>
      <w:szCs w:val="20"/>
      <w:lang w:eastAsia="en-US"/>
    </w:rPr>
  </w:style>
  <w:style w:type="character" w:customStyle="1" w:styleId="TitleChar">
    <w:name w:val="Title Char"/>
    <w:basedOn w:val="DefaultParagraphFont"/>
    <w:link w:val="Title"/>
    <w:uiPriority w:val="10"/>
    <w:rsid w:val="00DF0107"/>
    <w:rPr>
      <w:rFonts w:ascii="Times New Roman" w:eastAsia="Times New Roman" w:hAnsi="Times New Roman" w:cs="Times New Roman"/>
      <w:sz w:val="24"/>
      <w:szCs w:val="20"/>
    </w:rPr>
  </w:style>
  <w:style w:type="paragraph" w:styleId="NormalWeb">
    <w:name w:val="Normal (Web)"/>
    <w:basedOn w:val="Normal"/>
    <w:link w:val="NormalWebChar"/>
    <w:uiPriority w:val="99"/>
    <w:rsid w:val="00DF0107"/>
    <w:pPr>
      <w:spacing w:before="100" w:beforeAutospacing="1" w:after="100" w:afterAutospacing="1"/>
    </w:pPr>
    <w:rPr>
      <w:color w:val="333333"/>
      <w:lang w:eastAsia="en-US"/>
    </w:rPr>
  </w:style>
  <w:style w:type="paragraph" w:customStyle="1" w:styleId="AANormalBulleted">
    <w:name w:val="AA Normal Bulleted"/>
    <w:basedOn w:val="BodyText2"/>
    <w:uiPriority w:val="99"/>
    <w:rsid w:val="003A2315"/>
    <w:pPr>
      <w:numPr>
        <w:numId w:val="2"/>
      </w:numPr>
      <w:tabs>
        <w:tab w:val="left" w:pos="-1080"/>
        <w:tab w:val="left" w:pos="-720"/>
        <w:tab w:val="left" w:pos="0"/>
        <w:tab w:val="left" w:pos="1440"/>
        <w:tab w:val="left" w:pos="1790"/>
        <w:tab w:val="left" w:pos="2880"/>
      </w:tabs>
      <w:spacing w:before="40" w:after="40" w:line="276" w:lineRule="auto"/>
      <w:ind w:left="601" w:hanging="425"/>
    </w:pPr>
    <w:rPr>
      <w:lang w:eastAsia="en-US"/>
    </w:rPr>
  </w:style>
  <w:style w:type="paragraph" w:styleId="BodyText2">
    <w:name w:val="Body Text 2"/>
    <w:basedOn w:val="Normal"/>
    <w:link w:val="BodyText2Char"/>
    <w:uiPriority w:val="99"/>
    <w:rsid w:val="004302F0"/>
    <w:pPr>
      <w:spacing w:line="312" w:lineRule="auto"/>
    </w:pPr>
  </w:style>
  <w:style w:type="character" w:customStyle="1" w:styleId="BodyText2Char">
    <w:name w:val="Body Text 2 Char"/>
    <w:basedOn w:val="DefaultParagraphFont"/>
    <w:link w:val="BodyText2"/>
    <w:uiPriority w:val="99"/>
    <w:rsid w:val="004302F0"/>
    <w:rPr>
      <w:rFonts w:ascii="Arial" w:eastAsia="Times New Roman" w:hAnsi="Arial"/>
      <w:szCs w:val="24"/>
    </w:rPr>
  </w:style>
  <w:style w:type="paragraph" w:styleId="Footer">
    <w:name w:val="footer"/>
    <w:basedOn w:val="Normal"/>
    <w:link w:val="FooterChar"/>
    <w:uiPriority w:val="99"/>
    <w:rsid w:val="00DF0107"/>
    <w:pPr>
      <w:tabs>
        <w:tab w:val="center" w:pos="4153"/>
        <w:tab w:val="right" w:pos="8306"/>
      </w:tabs>
    </w:pPr>
  </w:style>
  <w:style w:type="character" w:customStyle="1" w:styleId="FooterChar">
    <w:name w:val="Footer Char"/>
    <w:basedOn w:val="DefaultParagraphFont"/>
    <w:link w:val="Footer"/>
    <w:uiPriority w:val="99"/>
    <w:rsid w:val="00DF0107"/>
    <w:rPr>
      <w:rFonts w:ascii="Times New Roman" w:eastAsia="Times New Roman" w:hAnsi="Times New Roman" w:cs="Times New Roman"/>
      <w:sz w:val="24"/>
      <w:szCs w:val="24"/>
      <w:lang w:eastAsia="en-AU"/>
    </w:rPr>
  </w:style>
  <w:style w:type="character" w:styleId="PageNumber">
    <w:name w:val="page number"/>
    <w:basedOn w:val="DefaultParagraphFont"/>
    <w:rsid w:val="00DF0107"/>
  </w:style>
  <w:style w:type="table" w:styleId="TableGrid1">
    <w:name w:val="Table Grid 1"/>
    <w:basedOn w:val="TableNormal"/>
    <w:rsid w:val="00DF010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lainboxesforTR">
    <w:name w:val="Plain boxes for TR"/>
    <w:basedOn w:val="Normal"/>
    <w:next w:val="Normal"/>
    <w:uiPriority w:val="99"/>
    <w:rsid w:val="004076BC"/>
  </w:style>
  <w:style w:type="paragraph" w:styleId="TOC2">
    <w:name w:val="toc 2"/>
    <w:basedOn w:val="Normal"/>
    <w:next w:val="Normal"/>
    <w:autoRedefine/>
    <w:uiPriority w:val="39"/>
    <w:qFormat/>
    <w:rsid w:val="003E697C"/>
    <w:pPr>
      <w:tabs>
        <w:tab w:val="left" w:pos="1304"/>
        <w:tab w:val="right" w:leader="dot" w:pos="8302"/>
      </w:tabs>
      <w:spacing w:before="40" w:after="40"/>
      <w:ind w:left="681" w:right="1418" w:hanging="454"/>
    </w:pPr>
    <w:rPr>
      <w:rFonts w:cs="Arial"/>
      <w:b/>
      <w:bCs/>
      <w:noProof/>
      <w:szCs w:val="20"/>
    </w:rPr>
  </w:style>
  <w:style w:type="paragraph" w:styleId="TOC3">
    <w:name w:val="toc 3"/>
    <w:basedOn w:val="Normal"/>
    <w:next w:val="Normal"/>
    <w:autoRedefine/>
    <w:uiPriority w:val="39"/>
    <w:qFormat/>
    <w:rsid w:val="00DE3BF5"/>
    <w:pPr>
      <w:tabs>
        <w:tab w:val="left" w:pos="720"/>
        <w:tab w:val="left" w:pos="1440"/>
        <w:tab w:val="right" w:leader="dot" w:pos="8302"/>
      </w:tabs>
      <w:spacing w:before="40" w:after="40"/>
      <w:ind w:left="1797" w:right="1418" w:hanging="1077"/>
    </w:pPr>
    <w:rPr>
      <w:rFonts w:eastAsiaTheme="majorEastAsia" w:cstheme="majorBidi"/>
      <w:b/>
      <w:bCs/>
      <w:noProof/>
      <w:szCs w:val="20"/>
    </w:rPr>
  </w:style>
  <w:style w:type="paragraph" w:styleId="TableofFigures">
    <w:name w:val="table of figures"/>
    <w:basedOn w:val="Normal"/>
    <w:next w:val="Normal"/>
    <w:uiPriority w:val="99"/>
    <w:rsid w:val="00494F68"/>
    <w:pPr>
      <w:tabs>
        <w:tab w:val="left" w:pos="284"/>
        <w:tab w:val="right" w:leader="dot" w:pos="8301"/>
      </w:tabs>
      <w:spacing w:before="40" w:after="40"/>
      <w:ind w:left="1077" w:right="1418" w:hanging="1077"/>
      <w:jc w:val="left"/>
    </w:pPr>
    <w:rPr>
      <w:noProof/>
      <w:szCs w:val="20"/>
    </w:rPr>
  </w:style>
  <w:style w:type="paragraph" w:customStyle="1" w:styleId="NormalLinespacing15lines">
    <w:name w:val="Normal + Line spacing:  1.5 lines"/>
    <w:basedOn w:val="Normal"/>
    <w:link w:val="NormalLinespacing15linesChar"/>
    <w:rsid w:val="00DF0107"/>
  </w:style>
  <w:style w:type="character" w:customStyle="1" w:styleId="NormalLinespacing15linesChar">
    <w:name w:val="Normal + Line spacing:  1.5 lines Char"/>
    <w:basedOn w:val="DefaultParagraphFont"/>
    <w:link w:val="NormalLinespacing15lines"/>
    <w:rsid w:val="00DF0107"/>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rsid w:val="00DF0107"/>
    <w:rPr>
      <w:color w:val="800080"/>
      <w:u w:val="single"/>
    </w:rPr>
  </w:style>
  <w:style w:type="character" w:customStyle="1" w:styleId="CommentSubjectChar">
    <w:name w:val="Comment Subject Char"/>
    <w:basedOn w:val="CommentTextChar"/>
    <w:link w:val="CommentSubject"/>
    <w:uiPriority w:val="99"/>
    <w:semiHidden/>
    <w:rsid w:val="00DF010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DF0107"/>
    <w:rPr>
      <w:b/>
      <w:bCs/>
    </w:rPr>
  </w:style>
  <w:style w:type="character" w:customStyle="1" w:styleId="CommentSubjectChar1">
    <w:name w:val="Comment Subject Char1"/>
    <w:basedOn w:val="CommentTextChar"/>
    <w:uiPriority w:val="99"/>
    <w:semiHidden/>
    <w:rsid w:val="00DF0107"/>
    <w:rPr>
      <w:rFonts w:ascii="Times New Roman" w:eastAsia="Times New Roman" w:hAnsi="Times New Roman" w:cs="Times New Roman"/>
      <w:b/>
      <w:bCs/>
      <w:sz w:val="20"/>
      <w:szCs w:val="20"/>
    </w:rPr>
  </w:style>
  <w:style w:type="character" w:styleId="Strong">
    <w:name w:val="Strong"/>
    <w:basedOn w:val="DefaultParagraphFont"/>
    <w:uiPriority w:val="22"/>
    <w:qFormat/>
    <w:rsid w:val="00DF0107"/>
    <w:rPr>
      <w:b/>
      <w:bCs/>
    </w:rPr>
  </w:style>
  <w:style w:type="paragraph" w:styleId="EndnoteText">
    <w:name w:val="endnote text"/>
    <w:basedOn w:val="Normal"/>
    <w:link w:val="EndnoteTextChar"/>
    <w:uiPriority w:val="99"/>
    <w:rsid w:val="00DF0107"/>
    <w:rPr>
      <w:szCs w:val="20"/>
    </w:rPr>
  </w:style>
  <w:style w:type="character" w:customStyle="1" w:styleId="EndnoteTextChar">
    <w:name w:val="Endnote Text Char"/>
    <w:basedOn w:val="DefaultParagraphFont"/>
    <w:link w:val="EndnoteText"/>
    <w:uiPriority w:val="99"/>
    <w:rsid w:val="00DF0107"/>
    <w:rPr>
      <w:rFonts w:ascii="Times New Roman" w:eastAsia="Times New Roman" w:hAnsi="Times New Roman" w:cs="Times New Roman"/>
      <w:sz w:val="20"/>
      <w:szCs w:val="20"/>
      <w:lang w:eastAsia="en-AU"/>
    </w:rPr>
  </w:style>
  <w:style w:type="character" w:styleId="EndnoteReference">
    <w:name w:val="endnote reference"/>
    <w:basedOn w:val="DefaultParagraphFont"/>
    <w:rsid w:val="00DF0107"/>
    <w:rPr>
      <w:vertAlign w:val="superscript"/>
    </w:rPr>
  </w:style>
  <w:style w:type="paragraph" w:styleId="TOCHeading">
    <w:name w:val="TOC Heading"/>
    <w:basedOn w:val="Normal"/>
    <w:next w:val="Normal"/>
    <w:uiPriority w:val="39"/>
    <w:qFormat/>
    <w:rsid w:val="00A72570"/>
    <w:pPr>
      <w:keepLines/>
      <w:spacing w:before="480" w:after="0" w:line="276" w:lineRule="auto"/>
    </w:pPr>
    <w:rPr>
      <w:sz w:val="28"/>
      <w:szCs w:val="28"/>
      <w:lang w:val="en-US" w:eastAsia="en-US"/>
    </w:rPr>
  </w:style>
  <w:style w:type="paragraph" w:styleId="DocumentMap">
    <w:name w:val="Document Map"/>
    <w:basedOn w:val="Normal"/>
    <w:link w:val="DocumentMapChar"/>
    <w:uiPriority w:val="99"/>
    <w:semiHidden/>
    <w:unhideWhenUsed/>
    <w:rsid w:val="00DF0107"/>
    <w:rPr>
      <w:rFonts w:ascii="Tahoma" w:hAnsi="Tahoma" w:cs="Tahoma"/>
      <w:sz w:val="16"/>
      <w:szCs w:val="16"/>
    </w:rPr>
  </w:style>
  <w:style w:type="character" w:customStyle="1" w:styleId="DocumentMapChar">
    <w:name w:val="Document Map Char"/>
    <w:basedOn w:val="DefaultParagraphFont"/>
    <w:link w:val="DocumentMap"/>
    <w:uiPriority w:val="99"/>
    <w:semiHidden/>
    <w:rsid w:val="00DF0107"/>
    <w:rPr>
      <w:rFonts w:ascii="Tahoma" w:eastAsia="Times New Roman" w:hAnsi="Tahoma" w:cs="Tahoma"/>
      <w:sz w:val="16"/>
      <w:szCs w:val="16"/>
      <w:lang w:eastAsia="en-AU"/>
    </w:rPr>
  </w:style>
  <w:style w:type="character" w:styleId="CommentReference">
    <w:name w:val="annotation reference"/>
    <w:basedOn w:val="DefaultParagraphFont"/>
    <w:uiPriority w:val="99"/>
    <w:unhideWhenUsed/>
    <w:rsid w:val="00DF0107"/>
    <w:rPr>
      <w:sz w:val="16"/>
      <w:szCs w:val="16"/>
    </w:rPr>
  </w:style>
  <w:style w:type="paragraph" w:customStyle="1" w:styleId="ListParagraph1">
    <w:name w:val="List Paragraph1"/>
    <w:aliases w:val="Research updates bullets"/>
    <w:basedOn w:val="Normal"/>
    <w:next w:val="Normal"/>
    <w:uiPriority w:val="99"/>
    <w:rsid w:val="00391937"/>
    <w:pPr>
      <w:numPr>
        <w:numId w:val="7"/>
      </w:numPr>
      <w:tabs>
        <w:tab w:val="left" w:pos="374"/>
        <w:tab w:val="left" w:pos="567"/>
      </w:tabs>
      <w:spacing w:line="276" w:lineRule="auto"/>
      <w:contextualSpacing/>
    </w:pPr>
    <w:rPr>
      <w:rFonts w:ascii="Calibri" w:hAnsi="Calibri"/>
      <w:sz w:val="24"/>
    </w:rPr>
  </w:style>
  <w:style w:type="paragraph" w:customStyle="1" w:styleId="base">
    <w:name w:val="base"/>
    <w:basedOn w:val="Normal"/>
    <w:link w:val="baseChar"/>
    <w:autoRedefine/>
    <w:rsid w:val="00DF0107"/>
    <w:rPr>
      <w:szCs w:val="20"/>
    </w:rPr>
  </w:style>
  <w:style w:type="paragraph" w:customStyle="1" w:styleId="heading3report">
    <w:name w:val="heading3report"/>
    <w:basedOn w:val="Normal"/>
    <w:next w:val="BodyText"/>
    <w:autoRedefine/>
    <w:uiPriority w:val="99"/>
    <w:rsid w:val="00DF0107"/>
    <w:pPr>
      <w:keepLines/>
      <w:tabs>
        <w:tab w:val="num" w:pos="1134"/>
      </w:tabs>
      <w:autoSpaceDE w:val="0"/>
      <w:autoSpaceDN w:val="0"/>
      <w:adjustRightInd w:val="0"/>
      <w:ind w:left="2381" w:hanging="2381"/>
    </w:pPr>
    <w:rPr>
      <w:bCs/>
      <w:lang w:bidi="bn-BD"/>
    </w:rPr>
  </w:style>
  <w:style w:type="character" w:customStyle="1" w:styleId="baseChar">
    <w:name w:val="base Char"/>
    <w:basedOn w:val="DefaultParagraphFont"/>
    <w:link w:val="base"/>
    <w:rsid w:val="00DF0107"/>
    <w:rPr>
      <w:rFonts w:ascii="Arial" w:eastAsia="Times New Roman" w:hAnsi="Arial" w:cs="Times New Roman"/>
      <w:sz w:val="20"/>
      <w:szCs w:val="20"/>
      <w:lang w:eastAsia="en-AU"/>
    </w:rPr>
  </w:style>
  <w:style w:type="character" w:customStyle="1" w:styleId="style131">
    <w:name w:val="style131"/>
    <w:basedOn w:val="DefaultParagraphFont"/>
    <w:rsid w:val="00DF0107"/>
    <w:rPr>
      <w:i/>
      <w:iCs/>
      <w:sz w:val="15"/>
      <w:szCs w:val="15"/>
    </w:rPr>
  </w:style>
  <w:style w:type="character" w:customStyle="1" w:styleId="style171">
    <w:name w:val="style171"/>
    <w:basedOn w:val="DefaultParagraphFont"/>
    <w:rsid w:val="00DF0107"/>
    <w:rPr>
      <w:b/>
      <w:bCs/>
      <w:color w:val="000000"/>
      <w:sz w:val="18"/>
      <w:szCs w:val="18"/>
    </w:rPr>
  </w:style>
  <w:style w:type="paragraph" w:customStyle="1" w:styleId="StyleHeading3Left0cmFirstline0cm">
    <w:name w:val="Style Heading 3 + Left:  0 cm First line:  0 cm"/>
    <w:basedOn w:val="Normal"/>
    <w:uiPriority w:val="99"/>
    <w:rsid w:val="00DF0107"/>
    <w:rPr>
      <w:szCs w:val="20"/>
    </w:rPr>
  </w:style>
  <w:style w:type="paragraph" w:customStyle="1" w:styleId="TechHeading1">
    <w:name w:val="TechHeading1"/>
    <w:basedOn w:val="Normal"/>
    <w:link w:val="TechHeading1Char"/>
    <w:rsid w:val="00DF0107"/>
  </w:style>
  <w:style w:type="character" w:customStyle="1" w:styleId="TechHeading1Char">
    <w:name w:val="TechHeading1 Char"/>
    <w:basedOn w:val="Heading1Char"/>
    <w:link w:val="TechHeading1"/>
    <w:rsid w:val="00DF0107"/>
    <w:rPr>
      <w:rFonts w:ascii="Arial" w:eastAsia="Times New Roman" w:hAnsi="Arial" w:cs="Arial"/>
      <w:b/>
      <w:bCs/>
      <w:caps/>
      <w:kern w:val="32"/>
      <w:sz w:val="32"/>
      <w:szCs w:val="32"/>
    </w:rPr>
  </w:style>
  <w:style w:type="paragraph" w:customStyle="1" w:styleId="Style3">
    <w:name w:val="Style3"/>
    <w:basedOn w:val="Styleheading314ptBottomNoborder"/>
    <w:uiPriority w:val="99"/>
    <w:rsid w:val="00DF0107"/>
    <w:rPr>
      <w:u w:val="single"/>
    </w:rPr>
  </w:style>
  <w:style w:type="paragraph" w:customStyle="1" w:styleId="Style4">
    <w:name w:val="Style4"/>
    <w:basedOn w:val="Style3"/>
    <w:uiPriority w:val="99"/>
    <w:rsid w:val="00DF0107"/>
  </w:style>
  <w:style w:type="paragraph" w:customStyle="1" w:styleId="Style5">
    <w:name w:val="Style5"/>
    <w:basedOn w:val="Normal"/>
    <w:link w:val="Style5Char"/>
    <w:autoRedefine/>
    <w:rsid w:val="00F14AEC"/>
    <w:pPr>
      <w:pBdr>
        <w:bottom w:val="single" w:sz="2" w:space="1" w:color="auto"/>
      </w:pBdr>
      <w:tabs>
        <w:tab w:val="left" w:pos="851"/>
      </w:tabs>
    </w:pPr>
  </w:style>
  <w:style w:type="paragraph" w:customStyle="1" w:styleId="StyleAATableheadingLatinArial">
    <w:name w:val="Style AA Table heading + (Latin) Arial"/>
    <w:basedOn w:val="AATableheading"/>
    <w:uiPriority w:val="99"/>
    <w:rsid w:val="00DF0107"/>
    <w:pPr>
      <w:ind w:left="2836"/>
    </w:pPr>
    <w:rPr>
      <w:rFonts w:ascii="Arial" w:hAnsi="Arial"/>
    </w:rPr>
  </w:style>
  <w:style w:type="paragraph" w:customStyle="1" w:styleId="StyleAATableheadingLatinArial1">
    <w:name w:val="Style AA Table heading + (Latin) Arial1"/>
    <w:basedOn w:val="AATableheading"/>
    <w:uiPriority w:val="99"/>
    <w:rsid w:val="00DF0107"/>
    <w:pPr>
      <w:ind w:left="0" w:firstLine="0"/>
      <w:outlineLvl w:val="0"/>
    </w:pPr>
    <w:rPr>
      <w:rFonts w:ascii="Arial" w:hAnsi="Arial"/>
    </w:rPr>
  </w:style>
  <w:style w:type="paragraph" w:customStyle="1" w:styleId="StyleAATableheadingLatinArial2">
    <w:name w:val="Style AA Table heading + (Latin) Arial2"/>
    <w:basedOn w:val="AATableheading"/>
    <w:uiPriority w:val="99"/>
    <w:rsid w:val="00DF0107"/>
    <w:rPr>
      <w:rFonts w:ascii="Arial" w:hAnsi="Arial"/>
      <w:sz w:val="20"/>
    </w:rPr>
  </w:style>
  <w:style w:type="character" w:customStyle="1" w:styleId="ti">
    <w:name w:val="ti"/>
    <w:basedOn w:val="DefaultParagraphFont"/>
    <w:rsid w:val="00DF0107"/>
  </w:style>
  <w:style w:type="paragraph" w:customStyle="1" w:styleId="Style6">
    <w:name w:val="Style6"/>
    <w:basedOn w:val="Normal"/>
    <w:uiPriority w:val="99"/>
    <w:rsid w:val="002D55F9"/>
    <w:rPr>
      <w:rFonts w:ascii="Times New Roman" w:hAnsi="Times New Roman"/>
      <w:b/>
      <w:bCs/>
    </w:rPr>
  </w:style>
  <w:style w:type="paragraph" w:customStyle="1" w:styleId="Style7">
    <w:name w:val="Style7"/>
    <w:basedOn w:val="Normal"/>
    <w:uiPriority w:val="99"/>
    <w:rsid w:val="00B150FB"/>
    <w:rPr>
      <w:b/>
    </w:rPr>
  </w:style>
  <w:style w:type="character" w:customStyle="1" w:styleId="Heading5Char">
    <w:name w:val="Heading 5 Char"/>
    <w:basedOn w:val="DefaultParagraphFont"/>
    <w:link w:val="Heading5"/>
    <w:uiPriority w:val="9"/>
    <w:rsid w:val="00A035F4"/>
    <w:rPr>
      <w:rFonts w:eastAsia="Times New Roman"/>
      <w:color w:val="243F60"/>
      <w:szCs w:val="24"/>
    </w:rPr>
  </w:style>
  <w:style w:type="character" w:customStyle="1" w:styleId="Heading8Char">
    <w:name w:val="Heading 8 Char"/>
    <w:basedOn w:val="DefaultParagraphFont"/>
    <w:link w:val="Heading8"/>
    <w:uiPriority w:val="9"/>
    <w:rsid w:val="00A035F4"/>
    <w:rPr>
      <w:rFonts w:eastAsia="Times New Roman"/>
      <w:color w:val="404040"/>
    </w:rPr>
  </w:style>
  <w:style w:type="paragraph" w:customStyle="1" w:styleId="Style8">
    <w:name w:val="Style8"/>
    <w:basedOn w:val="Normal"/>
    <w:uiPriority w:val="99"/>
    <w:rsid w:val="00F73106"/>
    <w:pPr>
      <w:numPr>
        <w:numId w:val="4"/>
      </w:numPr>
      <w:ind w:left="720"/>
    </w:pPr>
  </w:style>
  <w:style w:type="paragraph" w:customStyle="1" w:styleId="Style9">
    <w:name w:val="Style9"/>
    <w:basedOn w:val="Normal"/>
    <w:uiPriority w:val="99"/>
    <w:rsid w:val="00670372"/>
    <w:pPr>
      <w:pBdr>
        <w:bottom w:val="single" w:sz="4" w:space="1" w:color="auto"/>
      </w:pBdr>
    </w:pPr>
  </w:style>
  <w:style w:type="paragraph" w:customStyle="1" w:styleId="Style10">
    <w:name w:val="Style10"/>
    <w:basedOn w:val="Style9"/>
    <w:uiPriority w:val="99"/>
    <w:rsid w:val="00D51313"/>
  </w:style>
  <w:style w:type="character" w:styleId="IntenseReference">
    <w:name w:val="Intense Reference"/>
    <w:basedOn w:val="DefaultParagraphFont"/>
    <w:uiPriority w:val="32"/>
    <w:qFormat/>
    <w:rsid w:val="00670372"/>
    <w:rPr>
      <w:b/>
      <w:bCs/>
      <w:smallCaps/>
      <w:color w:val="C0504D"/>
      <w:spacing w:val="5"/>
      <w:u w:val="single"/>
    </w:rPr>
  </w:style>
  <w:style w:type="character" w:styleId="SubtleEmphasis">
    <w:name w:val="Subtle Emphasis"/>
    <w:basedOn w:val="DefaultParagraphFont"/>
    <w:uiPriority w:val="19"/>
    <w:qFormat/>
    <w:rsid w:val="00670372"/>
    <w:rPr>
      <w:i/>
      <w:iCs/>
      <w:color w:val="808080"/>
    </w:rPr>
  </w:style>
  <w:style w:type="paragraph" w:styleId="NoSpacing">
    <w:name w:val="No Spacing"/>
    <w:link w:val="NoSpacingChar"/>
    <w:uiPriority w:val="1"/>
    <w:qFormat/>
    <w:rsid w:val="00670372"/>
    <w:rPr>
      <w:rFonts w:ascii="Times New Roman" w:eastAsia="Times New Roman" w:hAnsi="Times New Roman"/>
      <w:sz w:val="24"/>
      <w:szCs w:val="24"/>
    </w:rPr>
  </w:style>
  <w:style w:type="paragraph" w:styleId="ListContinue3">
    <w:name w:val="List Continue 3"/>
    <w:basedOn w:val="Normal"/>
    <w:uiPriority w:val="99"/>
    <w:semiHidden/>
    <w:unhideWhenUsed/>
    <w:rsid w:val="00384758"/>
    <w:pPr>
      <w:ind w:left="849"/>
      <w:contextualSpacing/>
    </w:pPr>
  </w:style>
  <w:style w:type="paragraph" w:styleId="ListContinue4">
    <w:name w:val="List Continue 4"/>
    <w:basedOn w:val="Normal"/>
    <w:uiPriority w:val="99"/>
    <w:semiHidden/>
    <w:unhideWhenUsed/>
    <w:rsid w:val="00384758"/>
    <w:pPr>
      <w:ind w:left="1132"/>
      <w:contextualSpacing/>
    </w:pPr>
  </w:style>
  <w:style w:type="paragraph" w:styleId="List">
    <w:name w:val="List"/>
    <w:basedOn w:val="Normal"/>
    <w:uiPriority w:val="99"/>
    <w:semiHidden/>
    <w:unhideWhenUsed/>
    <w:rsid w:val="00384758"/>
    <w:pPr>
      <w:ind w:left="283" w:hanging="283"/>
      <w:contextualSpacing/>
    </w:pPr>
  </w:style>
  <w:style w:type="character" w:customStyle="1" w:styleId="Style5Char">
    <w:name w:val="Style5 Char"/>
    <w:basedOn w:val="Heading1Char"/>
    <w:link w:val="Style5"/>
    <w:rsid w:val="00F14AEC"/>
    <w:rPr>
      <w:rFonts w:ascii="Arial" w:eastAsia="Times New Roman" w:hAnsi="Arial" w:cs="Times New Roman"/>
      <w:b/>
      <w:bCs/>
      <w:caps/>
      <w:kern w:val="32"/>
      <w:sz w:val="28"/>
      <w:szCs w:val="28"/>
    </w:rPr>
  </w:style>
  <w:style w:type="character" w:customStyle="1" w:styleId="Heading9Char">
    <w:name w:val="Heading 9 Char"/>
    <w:basedOn w:val="DefaultParagraphFont"/>
    <w:link w:val="Heading9"/>
    <w:uiPriority w:val="9"/>
    <w:rsid w:val="00A035F4"/>
    <w:rPr>
      <w:rFonts w:eastAsia="Times New Roman"/>
      <w:i/>
      <w:iCs/>
      <w:color w:val="404040"/>
    </w:rPr>
  </w:style>
  <w:style w:type="character" w:styleId="Emphasis">
    <w:name w:val="Emphasis"/>
    <w:basedOn w:val="DefaultParagraphFont"/>
    <w:uiPriority w:val="20"/>
    <w:qFormat/>
    <w:rsid w:val="00994CCD"/>
    <w:rPr>
      <w:i/>
    </w:rPr>
  </w:style>
  <w:style w:type="character" w:customStyle="1" w:styleId="ti2">
    <w:name w:val="ti2"/>
    <w:basedOn w:val="DefaultParagraphFont"/>
    <w:rsid w:val="006D5726"/>
    <w:rPr>
      <w:sz w:val="22"/>
      <w:szCs w:val="22"/>
    </w:rPr>
  </w:style>
  <w:style w:type="paragraph" w:customStyle="1" w:styleId="TRpubsauthorbox">
    <w:name w:val="TR_pubs_author_box"/>
    <w:basedOn w:val="Normal"/>
    <w:next w:val="Normal"/>
    <w:uiPriority w:val="99"/>
    <w:rsid w:val="004A2FEC"/>
    <w:pPr>
      <w:pBdr>
        <w:top w:val="single" w:sz="4" w:space="1" w:color="auto"/>
        <w:left w:val="single" w:sz="4" w:space="4" w:color="auto"/>
        <w:bottom w:val="single" w:sz="4" w:space="1" w:color="auto"/>
        <w:right w:val="single" w:sz="4" w:space="4" w:color="auto"/>
      </w:pBdr>
      <w:shd w:val="clear" w:color="auto" w:fill="DDD9C3"/>
      <w:spacing w:before="40" w:after="40"/>
    </w:pPr>
  </w:style>
  <w:style w:type="paragraph" w:styleId="TOC4">
    <w:name w:val="toc 4"/>
    <w:basedOn w:val="Normal"/>
    <w:next w:val="Normal"/>
    <w:autoRedefine/>
    <w:uiPriority w:val="39"/>
    <w:unhideWhenUsed/>
    <w:qFormat/>
    <w:rsid w:val="00D616C1"/>
    <w:pPr>
      <w:tabs>
        <w:tab w:val="right" w:leader="dot" w:pos="7938"/>
      </w:tabs>
      <w:spacing w:before="40" w:after="40"/>
      <w:ind w:left="851" w:right="1134"/>
    </w:pPr>
    <w:rPr>
      <w:i/>
      <w:szCs w:val="20"/>
    </w:rPr>
  </w:style>
  <w:style w:type="paragraph" w:styleId="TOC5">
    <w:name w:val="toc 5"/>
    <w:basedOn w:val="Normal"/>
    <w:next w:val="Normal"/>
    <w:autoRedefine/>
    <w:uiPriority w:val="39"/>
    <w:unhideWhenUsed/>
    <w:rsid w:val="00A44F24"/>
    <w:pPr>
      <w:ind w:left="720"/>
    </w:pPr>
    <w:rPr>
      <w:rFonts w:ascii="Calibri" w:hAnsi="Calibri"/>
      <w:szCs w:val="20"/>
    </w:rPr>
  </w:style>
  <w:style w:type="paragraph" w:styleId="TOC6">
    <w:name w:val="toc 6"/>
    <w:basedOn w:val="Normal"/>
    <w:next w:val="Normal"/>
    <w:autoRedefine/>
    <w:uiPriority w:val="39"/>
    <w:unhideWhenUsed/>
    <w:rsid w:val="00A44F24"/>
    <w:pPr>
      <w:ind w:left="960"/>
    </w:pPr>
    <w:rPr>
      <w:rFonts w:ascii="Calibri" w:hAnsi="Calibri"/>
      <w:szCs w:val="20"/>
    </w:rPr>
  </w:style>
  <w:style w:type="paragraph" w:styleId="TOC7">
    <w:name w:val="toc 7"/>
    <w:basedOn w:val="Normal"/>
    <w:next w:val="Normal"/>
    <w:autoRedefine/>
    <w:uiPriority w:val="39"/>
    <w:unhideWhenUsed/>
    <w:rsid w:val="00A44F24"/>
    <w:pPr>
      <w:ind w:left="1200"/>
    </w:pPr>
    <w:rPr>
      <w:rFonts w:ascii="Calibri" w:hAnsi="Calibri"/>
      <w:szCs w:val="20"/>
    </w:rPr>
  </w:style>
  <w:style w:type="paragraph" w:styleId="TOC8">
    <w:name w:val="toc 8"/>
    <w:basedOn w:val="Normal"/>
    <w:next w:val="Normal"/>
    <w:autoRedefine/>
    <w:uiPriority w:val="39"/>
    <w:unhideWhenUsed/>
    <w:rsid w:val="00A44F24"/>
    <w:pPr>
      <w:ind w:left="1440"/>
    </w:pPr>
    <w:rPr>
      <w:rFonts w:ascii="Calibri" w:hAnsi="Calibri"/>
      <w:szCs w:val="20"/>
    </w:rPr>
  </w:style>
  <w:style w:type="paragraph" w:styleId="TOC9">
    <w:name w:val="toc 9"/>
    <w:basedOn w:val="Normal"/>
    <w:next w:val="Normal"/>
    <w:autoRedefine/>
    <w:uiPriority w:val="39"/>
    <w:unhideWhenUsed/>
    <w:rsid w:val="00A44F24"/>
    <w:pPr>
      <w:ind w:left="1680"/>
    </w:pPr>
    <w:rPr>
      <w:rFonts w:ascii="Calibri" w:hAnsi="Calibri"/>
      <w:szCs w:val="20"/>
    </w:rPr>
  </w:style>
  <w:style w:type="paragraph" w:styleId="TOC1">
    <w:name w:val="toc 1"/>
    <w:basedOn w:val="Normal"/>
    <w:next w:val="Normal"/>
    <w:autoRedefine/>
    <w:uiPriority w:val="39"/>
    <w:unhideWhenUsed/>
    <w:qFormat/>
    <w:rsid w:val="007D19D7"/>
    <w:pPr>
      <w:tabs>
        <w:tab w:val="left" w:pos="720"/>
        <w:tab w:val="right" w:leader="dot" w:pos="8301"/>
      </w:tabs>
      <w:spacing w:before="40" w:after="40"/>
      <w:ind w:left="1531" w:right="1418" w:hanging="1304"/>
    </w:pPr>
    <w:rPr>
      <w:b/>
      <w:caps/>
      <w:noProof/>
    </w:rPr>
  </w:style>
  <w:style w:type="table" w:customStyle="1" w:styleId="TableforReports">
    <w:name w:val="Table for Reports"/>
    <w:basedOn w:val="TableNormal"/>
    <w:uiPriority w:val="99"/>
    <w:rsid w:val="00AF7718"/>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TableArial12ptBlack">
    <w:name w:val="Table Arial 12 pt Black"/>
    <w:aliases w:val="b4 &amp; after 3pt"/>
    <w:basedOn w:val="Normal"/>
    <w:uiPriority w:val="99"/>
    <w:rsid w:val="00B5796C"/>
    <w:pPr>
      <w:spacing w:before="60" w:after="60"/>
    </w:pPr>
    <w:rPr>
      <w:color w:val="000000"/>
      <w:sz w:val="24"/>
      <w:szCs w:val="20"/>
      <w:lang w:val="en-US" w:eastAsia="en-US"/>
    </w:rPr>
  </w:style>
  <w:style w:type="paragraph" w:customStyle="1" w:styleId="PublicationsTR">
    <w:name w:val="Publications TR"/>
    <w:basedOn w:val="AANormal"/>
    <w:next w:val="Normal"/>
    <w:uiPriority w:val="99"/>
    <w:rsid w:val="00191292"/>
    <w:pPr>
      <w:pBdr>
        <w:top w:val="single" w:sz="4" w:space="1" w:color="auto"/>
        <w:left w:val="single" w:sz="4" w:space="4" w:color="auto"/>
        <w:bottom w:val="single" w:sz="4" w:space="1" w:color="auto"/>
        <w:right w:val="single" w:sz="4" w:space="4" w:color="auto"/>
      </w:pBdr>
      <w:shd w:val="clear" w:color="auto" w:fill="E5DFEC"/>
      <w:spacing w:before="40" w:after="40"/>
    </w:pPr>
  </w:style>
  <w:style w:type="numbering" w:customStyle="1" w:styleId="StyleBulletedSymbolsymbolLeft063cmHanging063cm">
    <w:name w:val="Style Bulleted Symbol (symbol) Left:  0.63 cm Hanging:  0.63 cm"/>
    <w:basedOn w:val="NoList"/>
    <w:rsid w:val="0088762A"/>
    <w:pPr>
      <w:numPr>
        <w:numId w:val="8"/>
      </w:numPr>
    </w:pPr>
  </w:style>
  <w:style w:type="numbering" w:customStyle="1" w:styleId="StyleBulletedSymbolsymbolLeft063cmHanging063cm1">
    <w:name w:val="Style Bulleted Symbol (symbol) Left:  0.63 cm Hanging:  0.63 cm1"/>
    <w:basedOn w:val="NoList"/>
    <w:rsid w:val="0088762A"/>
    <w:pPr>
      <w:numPr>
        <w:numId w:val="9"/>
      </w:numPr>
    </w:pPr>
  </w:style>
  <w:style w:type="paragraph" w:customStyle="1" w:styleId="Collaboratorboxes">
    <w:name w:val="Collaborator boxes"/>
    <w:basedOn w:val="Normal"/>
    <w:link w:val="CollaboratorboxesChar"/>
    <w:uiPriority w:val="99"/>
    <w:qFormat/>
    <w:rsid w:val="003E4E08"/>
    <w:pPr>
      <w:numPr>
        <w:numId w:val="10"/>
      </w:numPr>
      <w:spacing w:before="40" w:after="40"/>
    </w:pPr>
  </w:style>
  <w:style w:type="character" w:customStyle="1" w:styleId="CollaboratorboxesChar">
    <w:name w:val="Collaborator boxes Char"/>
    <w:basedOn w:val="DefaultParagraphFont"/>
    <w:link w:val="Collaboratorboxes"/>
    <w:uiPriority w:val="99"/>
    <w:rsid w:val="003E4E08"/>
    <w:rPr>
      <w:rFonts w:ascii="Arial" w:eastAsia="Times New Roman" w:hAnsi="Arial"/>
      <w:szCs w:val="24"/>
    </w:rPr>
  </w:style>
  <w:style w:type="paragraph" w:customStyle="1" w:styleId="StyleArial15ptBoldBefore12ptAfter12ptBottomS">
    <w:name w:val="Style Arial 15 pt Bold Before:  12 pt After:  12 pt Bottom: (S..."/>
    <w:basedOn w:val="Normal"/>
    <w:uiPriority w:val="99"/>
    <w:rsid w:val="002A6B35"/>
    <w:rPr>
      <w:b/>
      <w:bCs/>
      <w:sz w:val="30"/>
      <w:szCs w:val="20"/>
    </w:rPr>
  </w:style>
  <w:style w:type="paragraph" w:customStyle="1" w:styleId="StyleHeading2BottomSinglesolidlineAuto05ptLinewi">
    <w:name w:val="Style Heading 2 + Bottom: (Single solid line Auto  0.5 pt Line wi..."/>
    <w:basedOn w:val="Normal"/>
    <w:uiPriority w:val="99"/>
    <w:rsid w:val="002A6B35"/>
    <w:pPr>
      <w:keepNext/>
      <w:tabs>
        <w:tab w:val="num" w:pos="1134"/>
      </w:tabs>
      <w:spacing w:after="60"/>
      <w:ind w:left="555" w:hanging="555"/>
    </w:pPr>
    <w:rPr>
      <w:bCs/>
      <w:szCs w:val="20"/>
    </w:rPr>
  </w:style>
  <w:style w:type="paragraph" w:customStyle="1" w:styleId="Reporttextparagraph">
    <w:name w:val="Report text paragraph"/>
    <w:basedOn w:val="Normal"/>
    <w:link w:val="ReporttextparagraphChar"/>
    <w:qFormat/>
    <w:rsid w:val="005A1465"/>
    <w:pPr>
      <w:spacing w:before="0" w:after="200" w:line="276" w:lineRule="auto"/>
    </w:pPr>
    <w:rPr>
      <w:rFonts w:eastAsiaTheme="minorHAnsi" w:cs="Arial"/>
      <w:szCs w:val="20"/>
      <w:lang w:eastAsia="en-US"/>
    </w:rPr>
  </w:style>
  <w:style w:type="character" w:customStyle="1" w:styleId="ReporttextparagraphChar">
    <w:name w:val="Report text paragraph Char"/>
    <w:basedOn w:val="DefaultParagraphFont"/>
    <w:link w:val="Reporttextparagraph"/>
    <w:rsid w:val="005A1465"/>
    <w:rPr>
      <w:rFonts w:ascii="Arial" w:eastAsiaTheme="minorHAnsi" w:hAnsi="Arial" w:cs="Arial"/>
      <w:lang w:eastAsia="en-US"/>
    </w:rPr>
  </w:style>
  <w:style w:type="paragraph" w:styleId="ListParagraph">
    <w:name w:val="List Paragraph"/>
    <w:basedOn w:val="Normal"/>
    <w:link w:val="ListParagraphChar"/>
    <w:uiPriority w:val="34"/>
    <w:qFormat/>
    <w:rsid w:val="005A1465"/>
    <w:pPr>
      <w:ind w:left="720"/>
      <w:contextualSpacing/>
    </w:pPr>
  </w:style>
  <w:style w:type="paragraph" w:customStyle="1" w:styleId="Pa4">
    <w:name w:val="Pa4"/>
    <w:basedOn w:val="Normal"/>
    <w:next w:val="Normal"/>
    <w:uiPriority w:val="99"/>
    <w:rsid w:val="00570963"/>
    <w:pPr>
      <w:autoSpaceDE w:val="0"/>
      <w:autoSpaceDN w:val="0"/>
      <w:adjustRightInd w:val="0"/>
      <w:spacing w:before="0" w:after="0" w:line="221" w:lineRule="atLeast"/>
    </w:pPr>
    <w:rPr>
      <w:rFonts w:cs="Arial"/>
      <w:sz w:val="24"/>
    </w:rPr>
  </w:style>
  <w:style w:type="paragraph" w:customStyle="1" w:styleId="StyleBody11ptItalicBlackBefore2pt">
    <w:name w:val="Style +Body 11 pt Italic Black Before:  2 pt"/>
    <w:basedOn w:val="Normal"/>
    <w:uiPriority w:val="99"/>
    <w:rsid w:val="00570963"/>
    <w:pPr>
      <w:spacing w:before="0" w:after="0"/>
    </w:pPr>
    <w:rPr>
      <w:rFonts w:asciiTheme="minorHAnsi" w:hAnsiTheme="minorHAnsi"/>
      <w:i/>
      <w:iCs/>
      <w:color w:val="000000"/>
      <w:sz w:val="22"/>
      <w:szCs w:val="20"/>
      <w:lang w:eastAsia="en-US"/>
    </w:rPr>
  </w:style>
  <w:style w:type="character" w:customStyle="1" w:styleId="lg1">
    <w:name w:val="lg1"/>
    <w:basedOn w:val="DefaultParagraphFont"/>
    <w:rsid w:val="00B30B69"/>
    <w:rPr>
      <w:color w:val="888888"/>
    </w:rPr>
  </w:style>
  <w:style w:type="paragraph" w:customStyle="1" w:styleId="Default">
    <w:name w:val="Default"/>
    <w:rsid w:val="00E0568B"/>
    <w:pPr>
      <w:autoSpaceDE w:val="0"/>
      <w:autoSpaceDN w:val="0"/>
      <w:adjustRightInd w:val="0"/>
    </w:pPr>
    <w:rPr>
      <w:rFonts w:ascii="Calibri" w:hAnsi="Calibri" w:cs="Calibri"/>
      <w:color w:val="000000"/>
      <w:sz w:val="24"/>
      <w:szCs w:val="24"/>
    </w:rPr>
  </w:style>
  <w:style w:type="paragraph" w:customStyle="1" w:styleId="emphasisheading">
    <w:name w:val="emphasis heading"/>
    <w:basedOn w:val="Heading4"/>
    <w:next w:val="AANormal"/>
    <w:uiPriority w:val="99"/>
    <w:qFormat/>
    <w:rsid w:val="006D37BA"/>
  </w:style>
  <w:style w:type="paragraph" w:customStyle="1" w:styleId="Appendixpubs">
    <w:name w:val="Appendix pubs"/>
    <w:basedOn w:val="Normal"/>
    <w:next w:val="AANormal"/>
    <w:uiPriority w:val="99"/>
    <w:qFormat/>
    <w:rsid w:val="004E6E0D"/>
    <w:pPr>
      <w:widowControl w:val="0"/>
      <w:tabs>
        <w:tab w:val="left" w:pos="90"/>
      </w:tabs>
      <w:autoSpaceDE w:val="0"/>
      <w:autoSpaceDN w:val="0"/>
      <w:adjustRightInd w:val="0"/>
      <w:spacing w:after="0"/>
    </w:pPr>
    <w:rPr>
      <w:rFonts w:cs="Arial"/>
      <w:bCs/>
      <w:color w:val="000000"/>
      <w:szCs w:val="20"/>
    </w:rPr>
  </w:style>
  <w:style w:type="paragraph" w:customStyle="1" w:styleId="Pubslastpara">
    <w:name w:val="Pubs_last para"/>
    <w:basedOn w:val="Normal"/>
    <w:uiPriority w:val="99"/>
    <w:qFormat/>
    <w:rsid w:val="00A50D00"/>
    <w:pPr>
      <w:widowControl w:val="0"/>
      <w:tabs>
        <w:tab w:val="left" w:pos="90"/>
      </w:tabs>
      <w:autoSpaceDE w:val="0"/>
      <w:autoSpaceDN w:val="0"/>
      <w:adjustRightInd w:val="0"/>
      <w:spacing w:before="160" w:after="200"/>
    </w:pPr>
    <w:rPr>
      <w:rFonts w:cs="Arial"/>
      <w:color w:val="000000"/>
      <w:szCs w:val="20"/>
    </w:rPr>
  </w:style>
  <w:style w:type="character" w:customStyle="1" w:styleId="apple-style-span">
    <w:name w:val="apple-style-span"/>
    <w:basedOn w:val="DefaultParagraphFont"/>
    <w:rsid w:val="00540B51"/>
  </w:style>
  <w:style w:type="character" w:customStyle="1" w:styleId="reference-miscellaneoustext">
    <w:name w:val="reference-miscellaneoustext"/>
    <w:basedOn w:val="DefaultParagraphFont"/>
    <w:rsid w:val="009C1259"/>
  </w:style>
  <w:style w:type="paragraph" w:styleId="Subtitle">
    <w:name w:val="Subtitle"/>
    <w:basedOn w:val="Normal"/>
    <w:link w:val="SubtitleChar"/>
    <w:uiPriority w:val="11"/>
    <w:qFormat/>
    <w:rsid w:val="00F733A7"/>
    <w:pPr>
      <w:numPr>
        <w:numId w:val="12"/>
      </w:numPr>
      <w:tabs>
        <w:tab w:val="left" w:pos="851"/>
        <w:tab w:val="left" w:pos="1418"/>
        <w:tab w:val="left" w:pos="1985"/>
        <w:tab w:val="left" w:pos="2552"/>
        <w:tab w:val="left" w:pos="3119"/>
        <w:tab w:val="right" w:pos="9027"/>
      </w:tabs>
      <w:spacing w:before="8" w:after="4" w:line="280" w:lineRule="atLeast"/>
      <w:jc w:val="center"/>
      <w:outlineLvl w:val="1"/>
    </w:pPr>
    <w:rPr>
      <w:rFonts w:cs="Arial"/>
      <w:sz w:val="24"/>
      <w:lang w:eastAsia="en-US"/>
    </w:rPr>
  </w:style>
  <w:style w:type="character" w:customStyle="1" w:styleId="SubtitleChar">
    <w:name w:val="Subtitle Char"/>
    <w:basedOn w:val="DefaultParagraphFont"/>
    <w:link w:val="Subtitle"/>
    <w:uiPriority w:val="11"/>
    <w:rsid w:val="00F733A7"/>
    <w:rPr>
      <w:rFonts w:ascii="Arial" w:eastAsia="Times New Roman" w:hAnsi="Arial" w:cs="Arial"/>
      <w:sz w:val="24"/>
      <w:szCs w:val="24"/>
      <w:lang w:eastAsia="en-US"/>
    </w:rPr>
  </w:style>
  <w:style w:type="paragraph" w:styleId="Quote">
    <w:name w:val="Quote"/>
    <w:basedOn w:val="Normal"/>
    <w:link w:val="QuoteChar"/>
    <w:uiPriority w:val="29"/>
    <w:qFormat/>
    <w:rsid w:val="00F733A7"/>
    <w:pPr>
      <w:tabs>
        <w:tab w:val="left" w:pos="709"/>
      </w:tabs>
      <w:ind w:left="1276" w:right="425"/>
    </w:pPr>
    <w:rPr>
      <w:i/>
      <w:sz w:val="18"/>
      <w:szCs w:val="18"/>
    </w:rPr>
  </w:style>
  <w:style w:type="character" w:customStyle="1" w:styleId="QuoteChar">
    <w:name w:val="Quote Char"/>
    <w:basedOn w:val="DefaultParagraphFont"/>
    <w:link w:val="Quote"/>
    <w:uiPriority w:val="29"/>
    <w:rsid w:val="00F733A7"/>
    <w:rPr>
      <w:rFonts w:ascii="Arial" w:eastAsia="Times New Roman" w:hAnsi="Arial"/>
      <w:i/>
      <w:sz w:val="18"/>
      <w:szCs w:val="18"/>
    </w:rPr>
  </w:style>
  <w:style w:type="table" w:customStyle="1" w:styleId="LightShading-Accent11">
    <w:name w:val="Light Shading - Accent 11"/>
    <w:basedOn w:val="TableNormal"/>
    <w:uiPriority w:val="60"/>
    <w:rsid w:val="00F733A7"/>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F733A7"/>
    <w:rPr>
      <w:rFonts w:ascii="Arial" w:eastAsia="Times New Roman" w:hAnsi="Arial"/>
      <w:lang w:eastAsia="en-US"/>
    </w:rPr>
  </w:style>
  <w:style w:type="character" w:customStyle="1" w:styleId="TOCbodyChar">
    <w:name w:val="TOC body Char"/>
    <w:basedOn w:val="Heading4Char"/>
    <w:link w:val="TOCbody"/>
    <w:rsid w:val="00173233"/>
    <w:rPr>
      <w:rFonts w:ascii="Arial" w:eastAsia="Times New Roman" w:hAnsi="Arial" w:cs="Arial"/>
      <w:b w:val="0"/>
      <w:i w:val="0"/>
      <w:iCs/>
      <w:noProof/>
    </w:rPr>
  </w:style>
  <w:style w:type="paragraph" w:customStyle="1" w:styleId="Referencelist">
    <w:name w:val="Reference list"/>
    <w:basedOn w:val="Normal"/>
    <w:uiPriority w:val="99"/>
    <w:qFormat/>
    <w:rsid w:val="00350175"/>
    <w:pPr>
      <w:spacing w:line="276" w:lineRule="auto"/>
      <w:ind w:left="567" w:hanging="567"/>
    </w:pPr>
    <w:rPr>
      <w:rFonts w:eastAsiaTheme="minorHAnsi"/>
      <w:color w:val="0D0D0D" w:themeColor="text1" w:themeTint="F2"/>
      <w:lang w:eastAsia="en-US"/>
    </w:rPr>
  </w:style>
  <w:style w:type="paragraph" w:customStyle="1" w:styleId="Reportlistparagraph">
    <w:name w:val="Report list paragraph"/>
    <w:basedOn w:val="Normal"/>
    <w:autoRedefine/>
    <w:uiPriority w:val="99"/>
    <w:rsid w:val="00350175"/>
    <w:pPr>
      <w:numPr>
        <w:numId w:val="13"/>
      </w:numPr>
      <w:spacing w:before="0" w:after="200" w:line="276" w:lineRule="auto"/>
    </w:pPr>
    <w:rPr>
      <w:rFonts w:eastAsiaTheme="minorHAnsi" w:cs="Arial"/>
      <w:szCs w:val="20"/>
      <w:lang w:eastAsia="en-US"/>
    </w:rPr>
  </w:style>
  <w:style w:type="character" w:customStyle="1" w:styleId="Heading2Char1">
    <w:name w:val="Heading 2 Char1"/>
    <w:basedOn w:val="DefaultParagraphFont"/>
    <w:link w:val="Heading2"/>
    <w:uiPriority w:val="9"/>
    <w:rsid w:val="00FE01C6"/>
    <w:rPr>
      <w:rFonts w:ascii="Arial" w:eastAsiaTheme="majorEastAsia" w:hAnsi="Arial" w:cstheme="majorBidi"/>
      <w:b/>
      <w:bCs/>
      <w:sz w:val="24"/>
      <w:szCs w:val="26"/>
    </w:rPr>
  </w:style>
  <w:style w:type="paragraph" w:customStyle="1" w:styleId="TOC40">
    <w:name w:val="TOC4"/>
    <w:basedOn w:val="TOC4"/>
    <w:uiPriority w:val="99"/>
    <w:qFormat/>
    <w:rsid w:val="001A4913"/>
  </w:style>
  <w:style w:type="numbering" w:customStyle="1" w:styleId="StyleBulletedSymbolsymbolLeft0cmHanging063cm">
    <w:name w:val="Style Bulleted Symbol (symbol) Left:  0 cm Hanging:  0.63 cm"/>
    <w:basedOn w:val="NoList"/>
    <w:rsid w:val="00992432"/>
    <w:pPr>
      <w:numPr>
        <w:numId w:val="14"/>
      </w:numPr>
    </w:pPr>
  </w:style>
  <w:style w:type="numbering" w:customStyle="1" w:styleId="StyleBulletedSymbolsymbolLeft0cmHanging063cm1">
    <w:name w:val="Style Bulleted Symbol (symbol) Left:  0 cm Hanging:  0.63 cm1"/>
    <w:basedOn w:val="NoList"/>
    <w:rsid w:val="00992432"/>
    <w:pPr>
      <w:numPr>
        <w:numId w:val="16"/>
      </w:numPr>
    </w:pPr>
  </w:style>
  <w:style w:type="paragraph" w:customStyle="1" w:styleId="TR34bullet">
    <w:name w:val="TR#34_bullet"/>
    <w:basedOn w:val="ListParagraph1"/>
    <w:uiPriority w:val="99"/>
    <w:qFormat/>
    <w:rsid w:val="002D4508"/>
    <w:pPr>
      <w:spacing w:before="40" w:after="40" w:line="336" w:lineRule="auto"/>
    </w:pPr>
  </w:style>
  <w:style w:type="paragraph" w:customStyle="1" w:styleId="EoItitle">
    <w:name w:val="EoI title"/>
    <w:basedOn w:val="Normal"/>
    <w:uiPriority w:val="99"/>
    <w:qFormat/>
    <w:rsid w:val="00992432"/>
    <w:pPr>
      <w:spacing w:before="40" w:after="40"/>
    </w:pPr>
  </w:style>
  <w:style w:type="paragraph" w:customStyle="1" w:styleId="DetailsforEoI">
    <w:name w:val="Details for EoI"/>
    <w:basedOn w:val="Normal"/>
    <w:uiPriority w:val="99"/>
    <w:qFormat/>
    <w:rsid w:val="00992432"/>
    <w:pPr>
      <w:spacing w:before="40" w:after="40"/>
    </w:pPr>
  </w:style>
  <w:style w:type="paragraph" w:customStyle="1" w:styleId="Firstheading">
    <w:name w:val="First heading"/>
    <w:basedOn w:val="Heading1"/>
    <w:uiPriority w:val="99"/>
    <w:qFormat/>
    <w:rsid w:val="00554C85"/>
    <w:pPr>
      <w:numPr>
        <w:numId w:val="17"/>
      </w:numPr>
    </w:pPr>
  </w:style>
  <w:style w:type="character" w:customStyle="1" w:styleId="Heading3Char1">
    <w:name w:val="Heading 3 Char1"/>
    <w:basedOn w:val="DefaultParagraphFont"/>
    <w:link w:val="Heading3"/>
    <w:uiPriority w:val="9"/>
    <w:rsid w:val="00BE58C5"/>
    <w:rPr>
      <w:rFonts w:ascii="Arial" w:eastAsiaTheme="majorEastAsia" w:hAnsi="Arial" w:cstheme="majorBidi"/>
      <w:b/>
      <w:bCs/>
      <w:szCs w:val="24"/>
    </w:rPr>
  </w:style>
  <w:style w:type="character" w:customStyle="1" w:styleId="Heading1Char1">
    <w:name w:val="Heading 1 Char1"/>
    <w:basedOn w:val="DefaultParagraphFont"/>
    <w:link w:val="Heading1"/>
    <w:uiPriority w:val="9"/>
    <w:rsid w:val="0048101D"/>
    <w:rPr>
      <w:rFonts w:ascii="Arial" w:eastAsiaTheme="majorEastAsia" w:hAnsi="Arial" w:cstheme="majorBidi"/>
      <w:b/>
      <w:bCs/>
      <w:sz w:val="28"/>
      <w:szCs w:val="28"/>
    </w:rPr>
  </w:style>
  <w:style w:type="paragraph" w:customStyle="1" w:styleId="Publicationsformatbox">
    <w:name w:val="Publications format box"/>
    <w:basedOn w:val="Normal"/>
    <w:uiPriority w:val="99"/>
    <w:qFormat/>
    <w:rsid w:val="0054681E"/>
    <w:pPr>
      <w:pBdr>
        <w:top w:val="single" w:sz="4" w:space="1" w:color="auto"/>
        <w:left w:val="single" w:sz="4" w:space="4" w:color="auto"/>
        <w:bottom w:val="single" w:sz="4" w:space="1" w:color="auto"/>
        <w:right w:val="single" w:sz="4" w:space="4" w:color="auto"/>
      </w:pBdr>
      <w:shd w:val="clear" w:color="auto" w:fill="E5DFEC" w:themeFill="accent4" w:themeFillTint="33"/>
      <w:spacing w:before="80" w:after="80" w:line="276" w:lineRule="auto"/>
    </w:pPr>
  </w:style>
  <w:style w:type="paragraph" w:customStyle="1" w:styleId="TOCbody">
    <w:name w:val="TOC body"/>
    <w:basedOn w:val="Heading4"/>
    <w:link w:val="TOCbodyChar"/>
    <w:autoRedefine/>
    <w:qFormat/>
    <w:rsid w:val="00D20F14"/>
    <w:pPr>
      <w:spacing w:before="40" w:after="40"/>
      <w:ind w:left="862" w:hanging="862"/>
    </w:pPr>
    <w:rPr>
      <w:b w:val="0"/>
      <w:i w:val="0"/>
    </w:rPr>
  </w:style>
  <w:style w:type="paragraph" w:customStyle="1" w:styleId="2AutoList1">
    <w:name w:val="2AutoList1"/>
    <w:uiPriority w:val="99"/>
    <w:rsid w:val="00D20F14"/>
    <w:pPr>
      <w:widowControl w:val="0"/>
      <w:tabs>
        <w:tab w:val="left" w:pos="720"/>
        <w:tab w:val="left" w:pos="1440"/>
      </w:tabs>
      <w:autoSpaceDE w:val="0"/>
      <w:autoSpaceDN w:val="0"/>
      <w:ind w:left="1440" w:hanging="720"/>
      <w:jc w:val="both"/>
    </w:pPr>
    <w:rPr>
      <w:rFonts w:ascii="Times New Roman" w:eastAsia="Times New Roman" w:hAnsi="Times New Roman"/>
      <w:sz w:val="24"/>
      <w:szCs w:val="24"/>
      <w:lang w:eastAsia="en-US"/>
    </w:rPr>
  </w:style>
  <w:style w:type="paragraph" w:customStyle="1" w:styleId="BodyText0">
    <w:name w:val="Body Text!"/>
    <w:link w:val="BodyTextChar0"/>
    <w:autoRedefine/>
    <w:rsid w:val="009E6BD0"/>
    <w:pPr>
      <w:spacing w:line="360" w:lineRule="auto"/>
      <w:jc w:val="both"/>
    </w:pPr>
    <w:rPr>
      <w:rFonts w:ascii="Arial" w:eastAsia="Times New Roman" w:hAnsi="Arial"/>
      <w:lang w:eastAsia="en-US"/>
    </w:rPr>
  </w:style>
  <w:style w:type="character" w:customStyle="1" w:styleId="BodyTextChar0">
    <w:name w:val="Body Text! Char"/>
    <w:basedOn w:val="DefaultParagraphFont"/>
    <w:link w:val="BodyText0"/>
    <w:rsid w:val="009E6BD0"/>
    <w:rPr>
      <w:rFonts w:ascii="Arial" w:eastAsia="Times New Roman" w:hAnsi="Arial"/>
      <w:lang w:eastAsia="en-US"/>
    </w:rPr>
  </w:style>
  <w:style w:type="table" w:customStyle="1" w:styleId="TableGrid7">
    <w:name w:val="Table Grid7"/>
    <w:basedOn w:val="TableNormal"/>
    <w:next w:val="TableGrid"/>
    <w:uiPriority w:val="59"/>
    <w:rsid w:val="009161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0F4B71"/>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Text">
    <w:name w:val="Table Text"/>
    <w:basedOn w:val="Normal"/>
    <w:link w:val="TableTextChar"/>
    <w:qFormat/>
    <w:rsid w:val="000F4B71"/>
    <w:pPr>
      <w:spacing w:before="0" w:after="0"/>
    </w:pPr>
    <w:rPr>
      <w:rFonts w:ascii="Times New Roman" w:eastAsiaTheme="minorHAnsi" w:hAnsi="Times New Roman" w:cstheme="minorBidi"/>
      <w:bCs/>
      <w:sz w:val="18"/>
      <w:szCs w:val="18"/>
      <w:lang w:eastAsia="en-US"/>
    </w:rPr>
  </w:style>
  <w:style w:type="character" w:customStyle="1" w:styleId="TableTextChar">
    <w:name w:val="Table Text Char"/>
    <w:basedOn w:val="DefaultParagraphFont"/>
    <w:link w:val="TableText"/>
    <w:rsid w:val="000F4B71"/>
    <w:rPr>
      <w:rFonts w:ascii="Times New Roman" w:eastAsiaTheme="minorHAnsi" w:hAnsi="Times New Roman" w:cstheme="minorBidi"/>
      <w:bCs/>
      <w:sz w:val="18"/>
      <w:szCs w:val="18"/>
      <w:lang w:eastAsia="en-US"/>
    </w:rPr>
  </w:style>
  <w:style w:type="table" w:styleId="LightList-Accent4">
    <w:name w:val="Light List Accent 4"/>
    <w:basedOn w:val="TableNormal"/>
    <w:uiPriority w:val="61"/>
    <w:rsid w:val="000F4B71"/>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2012TechReportBodytext">
    <w:name w:val="2012 Tech Report Body text"/>
    <w:basedOn w:val="Normal"/>
    <w:qFormat/>
    <w:rsid w:val="00203CA0"/>
    <w:pPr>
      <w:spacing w:before="0" w:after="40"/>
    </w:pPr>
  </w:style>
  <w:style w:type="paragraph" w:customStyle="1" w:styleId="Progressreportgap">
    <w:name w:val="Progress report gap"/>
    <w:basedOn w:val="Normal"/>
    <w:uiPriority w:val="99"/>
    <w:qFormat/>
    <w:rsid w:val="00136266"/>
    <w:pPr>
      <w:spacing w:before="0" w:after="0"/>
    </w:pPr>
    <w:rPr>
      <w:noProof/>
    </w:rPr>
  </w:style>
  <w:style w:type="paragraph" w:customStyle="1" w:styleId="Progressreportgap-after">
    <w:name w:val="Progress report gap -after"/>
    <w:basedOn w:val="Normal"/>
    <w:uiPriority w:val="99"/>
    <w:qFormat/>
    <w:rsid w:val="00966C01"/>
    <w:pPr>
      <w:spacing w:before="60" w:after="60" w:line="360" w:lineRule="exact"/>
    </w:pPr>
  </w:style>
  <w:style w:type="character" w:styleId="HTMLCite">
    <w:name w:val="HTML Cite"/>
    <w:basedOn w:val="DefaultParagraphFont"/>
    <w:uiPriority w:val="99"/>
    <w:semiHidden/>
    <w:unhideWhenUsed/>
    <w:rsid w:val="00F43C0A"/>
    <w:rPr>
      <w:i/>
      <w:iCs/>
    </w:rPr>
  </w:style>
  <w:style w:type="character" w:customStyle="1" w:styleId="cit-ahead-of-print-date">
    <w:name w:val="cit-ahead-of-print-date"/>
    <w:basedOn w:val="DefaultParagraphFont"/>
    <w:rsid w:val="00F43C0A"/>
  </w:style>
  <w:style w:type="character" w:customStyle="1" w:styleId="cit-sep">
    <w:name w:val="cit-sep"/>
    <w:basedOn w:val="DefaultParagraphFont"/>
    <w:rsid w:val="00F43C0A"/>
  </w:style>
  <w:style w:type="character" w:customStyle="1" w:styleId="cit-doi">
    <w:name w:val="cit-doi"/>
    <w:basedOn w:val="DefaultParagraphFont"/>
    <w:rsid w:val="00F43C0A"/>
  </w:style>
  <w:style w:type="character" w:customStyle="1" w:styleId="cit-page-count">
    <w:name w:val="cit-page-count"/>
    <w:basedOn w:val="DefaultParagraphFont"/>
    <w:rsid w:val="00F43C0A"/>
  </w:style>
  <w:style w:type="paragraph" w:customStyle="1" w:styleId="paper">
    <w:name w:val="paper"/>
    <w:basedOn w:val="Normal"/>
    <w:uiPriority w:val="99"/>
    <w:qFormat/>
    <w:rsid w:val="00C4158E"/>
    <w:pPr>
      <w:autoSpaceDE w:val="0"/>
      <w:autoSpaceDN w:val="0"/>
      <w:adjustRightInd w:val="0"/>
      <w:spacing w:before="0" w:after="0" w:line="480" w:lineRule="auto"/>
    </w:pPr>
    <w:rPr>
      <w:rFonts w:ascii="Times New Roman" w:eastAsiaTheme="minorHAnsi" w:hAnsi="Times New Roman"/>
      <w:sz w:val="24"/>
    </w:rPr>
  </w:style>
  <w:style w:type="character" w:customStyle="1" w:styleId="pseudotab">
    <w:name w:val="pseudotab"/>
    <w:basedOn w:val="DefaultParagraphFont"/>
    <w:rsid w:val="00A908D2"/>
  </w:style>
  <w:style w:type="table" w:customStyle="1" w:styleId="Style13">
    <w:name w:val="Style13"/>
    <w:basedOn w:val="TableNormal"/>
    <w:uiPriority w:val="99"/>
    <w:qFormat/>
    <w:rsid w:val="00C61972"/>
    <w:tblPr/>
  </w:style>
  <w:style w:type="table" w:customStyle="1" w:styleId="TableGrid10">
    <w:name w:val="Table Grid1"/>
    <w:basedOn w:val="TableNormal"/>
    <w:next w:val="TableGrid"/>
    <w:uiPriority w:val="59"/>
    <w:rsid w:val="00C619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
    <w:name w:val="TR31_Table1"/>
    <w:basedOn w:val="TableNormal"/>
    <w:uiPriority w:val="99"/>
    <w:rsid w:val="00C61972"/>
    <w:rPr>
      <w:rFonts w:ascii="Arial" w:hAnsi="Arial"/>
    </w:rPr>
    <w:tblPr>
      <w:tblBorders>
        <w:top w:val="single" w:sz="4" w:space="0" w:color="auto"/>
        <w:bottom w:val="single" w:sz="4" w:space="0" w:color="auto"/>
      </w:tblBorders>
    </w:tblPr>
  </w:style>
  <w:style w:type="table" w:customStyle="1" w:styleId="TableGrid11">
    <w:name w:val="Table Grid 11"/>
    <w:basedOn w:val="TableNormal"/>
    <w:next w:val="TableGrid1"/>
    <w:rsid w:val="00C619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1">
    <w:name w:val="Style21"/>
    <w:uiPriority w:val="99"/>
    <w:rsid w:val="00C61972"/>
    <w:pPr>
      <w:numPr>
        <w:numId w:val="3"/>
      </w:numPr>
    </w:pPr>
  </w:style>
  <w:style w:type="numbering" w:customStyle="1" w:styleId="Style111">
    <w:name w:val="Style111"/>
    <w:uiPriority w:val="99"/>
    <w:rsid w:val="00C61972"/>
    <w:pPr>
      <w:numPr>
        <w:numId w:val="5"/>
      </w:numPr>
    </w:pPr>
  </w:style>
  <w:style w:type="numbering" w:customStyle="1" w:styleId="Style121">
    <w:name w:val="Style121"/>
    <w:uiPriority w:val="99"/>
    <w:rsid w:val="00C61972"/>
    <w:pPr>
      <w:numPr>
        <w:numId w:val="6"/>
      </w:numPr>
    </w:pPr>
  </w:style>
  <w:style w:type="table" w:customStyle="1" w:styleId="TableforReports1">
    <w:name w:val="Table for Reports1"/>
    <w:basedOn w:val="TableNormal"/>
    <w:uiPriority w:val="99"/>
    <w:rsid w:val="00C61972"/>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
    <w:name w:val="Light Shading - Accent 111"/>
    <w:basedOn w:val="TableNormal"/>
    <w:uiPriority w:val="60"/>
    <w:rsid w:val="00C61972"/>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
    <w:name w:val="Table Grid71"/>
    <w:basedOn w:val="TableNormal"/>
    <w:next w:val="TableGrid"/>
    <w:uiPriority w:val="59"/>
    <w:rsid w:val="00C6197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
    <w:name w:val="Medium Shading 1 - Accent 41"/>
    <w:basedOn w:val="TableNormal"/>
    <w:next w:val="MediumShading1-Accent4"/>
    <w:uiPriority w:val="63"/>
    <w:rsid w:val="00C61972"/>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
    <w:name w:val="Light List - Accent 41"/>
    <w:basedOn w:val="TableNormal"/>
    <w:next w:val="LightList-Accent4"/>
    <w:uiPriority w:val="61"/>
    <w:rsid w:val="00C61972"/>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
    <w:name w:val="Light Shading1"/>
    <w:basedOn w:val="TableNormal"/>
    <w:next w:val="LightShading"/>
    <w:uiPriority w:val="60"/>
    <w:rsid w:val="00C61972"/>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C619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DHS">
    <w:name w:val="Body DHS"/>
    <w:uiPriority w:val="99"/>
    <w:rsid w:val="00AC6735"/>
    <w:pPr>
      <w:suppressAutoHyphens/>
      <w:spacing w:after="180" w:line="260" w:lineRule="exact"/>
    </w:pPr>
    <w:rPr>
      <w:rFonts w:ascii="Book Antiqua" w:eastAsia="Times New Roman" w:hAnsi="Book Antiqua" w:cs="Book Antiqua"/>
      <w:sz w:val="21"/>
      <w:szCs w:val="21"/>
    </w:rPr>
  </w:style>
  <w:style w:type="table" w:styleId="LightShading-Accent4">
    <w:name w:val="Light Shading Accent 4"/>
    <w:basedOn w:val="TableNormal"/>
    <w:uiPriority w:val="60"/>
    <w:rsid w:val="00AC6735"/>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marginb3">
    <w:name w:val="marginb3"/>
    <w:basedOn w:val="Normal"/>
    <w:uiPriority w:val="99"/>
    <w:rsid w:val="006E4EA8"/>
    <w:pPr>
      <w:spacing w:before="100" w:beforeAutospacing="1" w:after="100" w:afterAutospacing="1"/>
    </w:pPr>
    <w:rPr>
      <w:rFonts w:ascii="Times New Roman" w:hAnsi="Times New Roman"/>
      <w:sz w:val="24"/>
    </w:rPr>
  </w:style>
  <w:style w:type="paragraph" w:customStyle="1" w:styleId="Pa5">
    <w:name w:val="Pa5"/>
    <w:basedOn w:val="Default"/>
    <w:next w:val="Default"/>
    <w:uiPriority w:val="99"/>
    <w:rsid w:val="00C57066"/>
    <w:pPr>
      <w:spacing w:line="221" w:lineRule="atLeast"/>
    </w:pPr>
    <w:rPr>
      <w:rFonts w:ascii="Myriad Pro" w:eastAsiaTheme="minorHAnsi" w:hAnsi="Myriad Pro" w:cstheme="minorBidi"/>
      <w:color w:val="auto"/>
      <w:lang w:eastAsia="en-US"/>
    </w:rPr>
  </w:style>
  <w:style w:type="character" w:customStyle="1" w:styleId="eval">
    <w:name w:val="eval"/>
    <w:basedOn w:val="DefaultParagraphFont"/>
    <w:rsid w:val="00C57066"/>
    <w:rPr>
      <w:color w:val="83C8BC"/>
    </w:rPr>
  </w:style>
  <w:style w:type="character" w:customStyle="1" w:styleId="A4">
    <w:name w:val="A4"/>
    <w:uiPriority w:val="99"/>
    <w:rsid w:val="00C57066"/>
    <w:rPr>
      <w:rFonts w:ascii="Myriad Pro" w:hAnsi="Myriad Pro" w:cs="Myriad Pro" w:hint="default"/>
      <w:color w:val="62268E"/>
    </w:rPr>
  </w:style>
  <w:style w:type="paragraph" w:customStyle="1" w:styleId="TableParagraph">
    <w:name w:val="Table Paragraph"/>
    <w:basedOn w:val="Normal"/>
    <w:uiPriority w:val="1"/>
    <w:qFormat/>
    <w:rsid w:val="00F4640B"/>
    <w:pPr>
      <w:widowControl w:val="0"/>
      <w:spacing w:before="0" w:after="0"/>
    </w:pPr>
    <w:rPr>
      <w:rFonts w:asciiTheme="minorHAnsi" w:eastAsiaTheme="minorHAnsi" w:hAnsiTheme="minorHAnsi" w:cstheme="minorBidi"/>
      <w:sz w:val="22"/>
      <w:szCs w:val="22"/>
      <w:lang w:val="en-US" w:eastAsia="en-US"/>
    </w:rPr>
  </w:style>
  <w:style w:type="character" w:customStyle="1" w:styleId="scdddoi">
    <w:name w:val="s_c_dddoi"/>
    <w:rsid w:val="00C33CF4"/>
  </w:style>
  <w:style w:type="paragraph" w:customStyle="1" w:styleId="11ptArialRegular">
    <w:name w:val="11pt Arial Regular"/>
    <w:basedOn w:val="Normal"/>
    <w:uiPriority w:val="99"/>
    <w:qFormat/>
    <w:rsid w:val="008B664E"/>
    <w:pPr>
      <w:spacing w:before="0" w:after="0"/>
    </w:pPr>
    <w:rPr>
      <w:rFonts w:eastAsia="Calibri" w:cs="Arial"/>
      <w:sz w:val="22"/>
      <w:szCs w:val="22"/>
      <w:lang w:eastAsia="en-US"/>
    </w:rPr>
  </w:style>
  <w:style w:type="paragraph" w:customStyle="1" w:styleId="font5">
    <w:name w:val="font5"/>
    <w:basedOn w:val="Normal"/>
    <w:rsid w:val="005F4178"/>
    <w:pPr>
      <w:spacing w:before="100" w:beforeAutospacing="1" w:after="100" w:afterAutospacing="1"/>
    </w:pPr>
    <w:rPr>
      <w:rFonts w:eastAsia="Calibri" w:cs="Arial"/>
      <w:b/>
      <w:bCs/>
      <w:color w:val="0000FF"/>
      <w:szCs w:val="20"/>
      <w:lang w:eastAsia="en-US"/>
    </w:rPr>
  </w:style>
  <w:style w:type="paragraph" w:customStyle="1" w:styleId="xl63">
    <w:name w:val="xl63"/>
    <w:basedOn w:val="Normal"/>
    <w:uiPriority w:val="99"/>
    <w:rsid w:val="005F4178"/>
    <w:pPr>
      <w:spacing w:before="100" w:beforeAutospacing="1" w:after="100" w:afterAutospacing="1"/>
    </w:pPr>
    <w:rPr>
      <w:rFonts w:ascii="Times" w:eastAsia="Calibri" w:hAnsi="Times"/>
      <w:szCs w:val="20"/>
      <w:lang w:eastAsia="en-US"/>
    </w:rPr>
  </w:style>
  <w:style w:type="paragraph" w:customStyle="1" w:styleId="xl64">
    <w:name w:val="xl64"/>
    <w:basedOn w:val="Normal"/>
    <w:uiPriority w:val="99"/>
    <w:rsid w:val="005F417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szCs w:val="20"/>
      <w:lang w:eastAsia="en-US"/>
    </w:rPr>
  </w:style>
  <w:style w:type="paragraph" w:customStyle="1" w:styleId="xl65">
    <w:name w:val="xl65"/>
    <w:basedOn w:val="Normal"/>
    <w:rsid w:val="005F417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color w:val="0000FF"/>
      <w:szCs w:val="20"/>
      <w:u w:val="single"/>
      <w:lang w:eastAsia="en-US"/>
    </w:rPr>
  </w:style>
  <w:style w:type="paragraph" w:customStyle="1" w:styleId="xl66">
    <w:name w:val="xl66"/>
    <w:basedOn w:val="Normal"/>
    <w:rsid w:val="005F417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Arial"/>
      <w:b/>
      <w:bCs/>
      <w:szCs w:val="20"/>
      <w:u w:val="single"/>
      <w:lang w:eastAsia="en-US"/>
    </w:rPr>
  </w:style>
  <w:style w:type="paragraph" w:customStyle="1" w:styleId="xl67">
    <w:name w:val="xl67"/>
    <w:basedOn w:val="Normal"/>
    <w:rsid w:val="005F417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szCs w:val="20"/>
      <w:lang w:eastAsia="en-US"/>
    </w:rPr>
  </w:style>
  <w:style w:type="paragraph" w:customStyle="1" w:styleId="xl68">
    <w:name w:val="xl68"/>
    <w:basedOn w:val="Normal"/>
    <w:rsid w:val="005F4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Arial"/>
      <w:b/>
      <w:bCs/>
      <w:szCs w:val="20"/>
      <w:lang w:eastAsia="en-US"/>
    </w:rPr>
  </w:style>
  <w:style w:type="paragraph" w:customStyle="1" w:styleId="font6">
    <w:name w:val="font6"/>
    <w:basedOn w:val="Normal"/>
    <w:rsid w:val="00C75E8C"/>
    <w:pPr>
      <w:spacing w:before="100" w:beforeAutospacing="1" w:after="100" w:afterAutospacing="1"/>
    </w:pPr>
    <w:rPr>
      <w:rFonts w:eastAsia="Calibri" w:cs="Arial"/>
      <w:b/>
      <w:bCs/>
      <w:color w:val="0000FF"/>
      <w:szCs w:val="20"/>
      <w:lang w:eastAsia="en-US"/>
    </w:rPr>
  </w:style>
  <w:style w:type="character" w:customStyle="1" w:styleId="NoSpacingChar">
    <w:name w:val="No Spacing Char"/>
    <w:basedOn w:val="DefaultParagraphFont"/>
    <w:link w:val="NoSpacing"/>
    <w:uiPriority w:val="1"/>
    <w:rsid w:val="00903E95"/>
    <w:rPr>
      <w:rFonts w:ascii="Times New Roman" w:eastAsia="Times New Roman" w:hAnsi="Times New Roman"/>
      <w:sz w:val="24"/>
      <w:szCs w:val="24"/>
    </w:rPr>
  </w:style>
  <w:style w:type="paragraph" w:customStyle="1" w:styleId="EndNoteBibliography">
    <w:name w:val="EndNote Bibliography"/>
    <w:basedOn w:val="Normal"/>
    <w:link w:val="EndNoteBibliographyChar"/>
    <w:rsid w:val="00903E95"/>
    <w:pPr>
      <w:spacing w:before="0" w:after="200"/>
    </w:pPr>
    <w:rPr>
      <w:rFonts w:ascii="Calibri" w:eastAsiaTheme="minorHAns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903E95"/>
    <w:rPr>
      <w:rFonts w:ascii="Calibri" w:eastAsiaTheme="minorHAnsi" w:hAnsi="Calibri" w:cstheme="minorBidi"/>
      <w:noProof/>
      <w:sz w:val="22"/>
      <w:szCs w:val="22"/>
      <w:lang w:val="en-US" w:eastAsia="en-US"/>
    </w:rPr>
  </w:style>
  <w:style w:type="paragraph" w:customStyle="1" w:styleId="AIHWbodytext">
    <w:name w:val="AIHW body text"/>
    <w:basedOn w:val="Normal"/>
    <w:link w:val="AIHWbodytextChar"/>
    <w:qFormat/>
    <w:rsid w:val="007206C7"/>
    <w:pPr>
      <w:spacing w:before="60" w:line="260" w:lineRule="atLeast"/>
    </w:pPr>
    <w:rPr>
      <w:rFonts w:ascii="Book Antiqua" w:hAnsi="Book Antiqua"/>
      <w:sz w:val="22"/>
      <w:szCs w:val="20"/>
      <w:lang w:eastAsia="en-US"/>
    </w:rPr>
  </w:style>
  <w:style w:type="character" w:customStyle="1" w:styleId="AIHWbodytextChar">
    <w:name w:val="AIHW body text Char"/>
    <w:link w:val="AIHWbodytext"/>
    <w:locked/>
    <w:rsid w:val="007206C7"/>
    <w:rPr>
      <w:rFonts w:ascii="Book Antiqua" w:eastAsia="Times New Roman" w:hAnsi="Book Antiqua"/>
      <w:sz w:val="22"/>
      <w:lang w:eastAsia="en-US"/>
    </w:rPr>
  </w:style>
  <w:style w:type="paragraph" w:styleId="HTMLAddress">
    <w:name w:val="HTML Address"/>
    <w:basedOn w:val="Normal"/>
    <w:link w:val="HTMLAddressChar"/>
    <w:semiHidden/>
    <w:unhideWhenUsed/>
    <w:rsid w:val="007206C7"/>
    <w:pPr>
      <w:spacing w:before="60" w:line="260" w:lineRule="atLeast"/>
    </w:pPr>
    <w:rPr>
      <w:rFonts w:ascii="Book Antiqua" w:hAnsi="Book Antiqua"/>
      <w:i/>
      <w:iCs/>
      <w:sz w:val="22"/>
      <w:szCs w:val="22"/>
    </w:rPr>
  </w:style>
  <w:style w:type="character" w:customStyle="1" w:styleId="HTMLAddressChar">
    <w:name w:val="HTML Address Char"/>
    <w:basedOn w:val="DefaultParagraphFont"/>
    <w:link w:val="HTMLAddress"/>
    <w:semiHidden/>
    <w:rsid w:val="007206C7"/>
    <w:rPr>
      <w:rFonts w:ascii="Book Antiqua" w:eastAsia="Times New Roman" w:hAnsi="Book Antiqua"/>
      <w:i/>
      <w:iCs/>
      <w:sz w:val="22"/>
      <w:szCs w:val="22"/>
    </w:rPr>
  </w:style>
  <w:style w:type="character" w:styleId="HTMLCode">
    <w:name w:val="HTML Code"/>
    <w:semiHidden/>
    <w:unhideWhenUsed/>
    <w:rsid w:val="007206C7"/>
    <w:rPr>
      <w:rFonts w:ascii="Courier New" w:eastAsia="Times New Roman" w:hAnsi="Courier New" w:cs="Courier New" w:hint="default"/>
      <w:sz w:val="20"/>
      <w:szCs w:val="20"/>
    </w:rPr>
  </w:style>
  <w:style w:type="character" w:styleId="HTMLKeyboard">
    <w:name w:val="HTML Keyboard"/>
    <w:semiHidden/>
    <w:unhideWhenUsed/>
    <w:rsid w:val="007206C7"/>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720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60" w:lineRule="atLeast"/>
    </w:pPr>
    <w:rPr>
      <w:rFonts w:ascii="Courier New" w:hAnsi="Courier New" w:cs="Courier New"/>
      <w:szCs w:val="20"/>
    </w:rPr>
  </w:style>
  <w:style w:type="character" w:customStyle="1" w:styleId="HTMLPreformattedChar">
    <w:name w:val="HTML Preformatted Char"/>
    <w:basedOn w:val="DefaultParagraphFont"/>
    <w:link w:val="HTMLPreformatted"/>
    <w:semiHidden/>
    <w:rsid w:val="007206C7"/>
    <w:rPr>
      <w:rFonts w:ascii="Courier New" w:eastAsia="Times New Roman" w:hAnsi="Courier New" w:cs="Courier New"/>
    </w:rPr>
  </w:style>
  <w:style w:type="character" w:styleId="HTMLSample">
    <w:name w:val="HTML Sample"/>
    <w:semiHidden/>
    <w:unhideWhenUsed/>
    <w:rsid w:val="007206C7"/>
    <w:rPr>
      <w:rFonts w:ascii="Courier New" w:eastAsia="Times New Roman" w:hAnsi="Courier New" w:cs="Courier New" w:hint="default"/>
    </w:rPr>
  </w:style>
  <w:style w:type="character" w:styleId="HTMLTypewriter">
    <w:name w:val="HTML Typewriter"/>
    <w:semiHidden/>
    <w:unhideWhenUsed/>
    <w:rsid w:val="007206C7"/>
    <w:rPr>
      <w:rFonts w:ascii="Courier New" w:eastAsia="Times New Roman" w:hAnsi="Courier New" w:cs="Courier New" w:hint="default"/>
      <w:sz w:val="20"/>
      <w:szCs w:val="20"/>
    </w:rPr>
  </w:style>
  <w:style w:type="paragraph" w:styleId="NormalIndent">
    <w:name w:val="Normal Indent"/>
    <w:basedOn w:val="Normal"/>
    <w:uiPriority w:val="99"/>
    <w:semiHidden/>
    <w:unhideWhenUsed/>
    <w:rsid w:val="007206C7"/>
    <w:pPr>
      <w:spacing w:before="60" w:line="260" w:lineRule="atLeast"/>
      <w:ind w:left="720"/>
    </w:pPr>
    <w:rPr>
      <w:rFonts w:ascii="Book Antiqua" w:hAnsi="Book Antiqua"/>
      <w:sz w:val="22"/>
      <w:szCs w:val="22"/>
    </w:rPr>
  </w:style>
  <w:style w:type="paragraph" w:styleId="EnvelopeAddress">
    <w:name w:val="envelope address"/>
    <w:basedOn w:val="Normal"/>
    <w:uiPriority w:val="99"/>
    <w:semiHidden/>
    <w:unhideWhenUsed/>
    <w:rsid w:val="007206C7"/>
    <w:pPr>
      <w:framePr w:w="7920" w:h="1980" w:hSpace="180" w:wrap="auto" w:hAnchor="page" w:xAlign="center" w:yAlign="bottom"/>
      <w:spacing w:before="60" w:line="260" w:lineRule="atLeast"/>
      <w:ind w:left="2880"/>
    </w:pPr>
    <w:rPr>
      <w:rFonts w:cs="Arial"/>
      <w:sz w:val="24"/>
      <w:szCs w:val="22"/>
    </w:rPr>
  </w:style>
  <w:style w:type="paragraph" w:styleId="EnvelopeReturn">
    <w:name w:val="envelope return"/>
    <w:basedOn w:val="Normal"/>
    <w:uiPriority w:val="99"/>
    <w:semiHidden/>
    <w:unhideWhenUsed/>
    <w:rsid w:val="007206C7"/>
    <w:pPr>
      <w:spacing w:before="60" w:line="260" w:lineRule="atLeast"/>
    </w:pPr>
    <w:rPr>
      <w:rFonts w:cs="Arial"/>
      <w:szCs w:val="20"/>
    </w:rPr>
  </w:style>
  <w:style w:type="paragraph" w:styleId="ListBullet">
    <w:name w:val="List Bullet"/>
    <w:basedOn w:val="Normal"/>
    <w:uiPriority w:val="99"/>
    <w:semiHidden/>
    <w:unhideWhenUsed/>
    <w:rsid w:val="007206C7"/>
    <w:pPr>
      <w:numPr>
        <w:numId w:val="22"/>
      </w:numPr>
      <w:spacing w:before="60" w:line="260" w:lineRule="atLeast"/>
    </w:pPr>
    <w:rPr>
      <w:rFonts w:ascii="Book Antiqua" w:hAnsi="Book Antiqua"/>
      <w:sz w:val="22"/>
      <w:szCs w:val="22"/>
    </w:rPr>
  </w:style>
  <w:style w:type="paragraph" w:styleId="ListNumber">
    <w:name w:val="List Number"/>
    <w:basedOn w:val="Normal"/>
    <w:uiPriority w:val="99"/>
    <w:semiHidden/>
    <w:unhideWhenUsed/>
    <w:rsid w:val="007206C7"/>
    <w:pPr>
      <w:numPr>
        <w:numId w:val="23"/>
      </w:numPr>
      <w:tabs>
        <w:tab w:val="clear" w:pos="360"/>
        <w:tab w:val="num" w:pos="1209"/>
      </w:tabs>
      <w:spacing w:before="60" w:line="260" w:lineRule="atLeast"/>
      <w:ind w:left="1209"/>
    </w:pPr>
    <w:rPr>
      <w:rFonts w:ascii="Book Antiqua" w:hAnsi="Book Antiqua"/>
      <w:sz w:val="22"/>
      <w:szCs w:val="22"/>
    </w:rPr>
  </w:style>
  <w:style w:type="paragraph" w:styleId="List2">
    <w:name w:val="List 2"/>
    <w:basedOn w:val="Normal"/>
    <w:uiPriority w:val="99"/>
    <w:semiHidden/>
    <w:unhideWhenUsed/>
    <w:rsid w:val="007206C7"/>
    <w:pPr>
      <w:spacing w:before="60" w:line="260" w:lineRule="atLeast"/>
      <w:ind w:left="566" w:hanging="283"/>
    </w:pPr>
    <w:rPr>
      <w:rFonts w:ascii="Book Antiqua" w:hAnsi="Book Antiqua"/>
      <w:sz w:val="22"/>
      <w:szCs w:val="22"/>
    </w:rPr>
  </w:style>
  <w:style w:type="paragraph" w:styleId="List3">
    <w:name w:val="List 3"/>
    <w:basedOn w:val="Normal"/>
    <w:uiPriority w:val="99"/>
    <w:semiHidden/>
    <w:unhideWhenUsed/>
    <w:rsid w:val="007206C7"/>
    <w:pPr>
      <w:spacing w:before="60" w:line="260" w:lineRule="atLeast"/>
      <w:ind w:left="849" w:hanging="283"/>
    </w:pPr>
    <w:rPr>
      <w:rFonts w:ascii="Book Antiqua" w:hAnsi="Book Antiqua"/>
      <w:sz w:val="22"/>
      <w:szCs w:val="22"/>
    </w:rPr>
  </w:style>
  <w:style w:type="paragraph" w:styleId="List4">
    <w:name w:val="List 4"/>
    <w:basedOn w:val="Normal"/>
    <w:uiPriority w:val="99"/>
    <w:semiHidden/>
    <w:unhideWhenUsed/>
    <w:rsid w:val="007206C7"/>
    <w:pPr>
      <w:spacing w:before="60" w:line="260" w:lineRule="atLeast"/>
      <w:ind w:left="1132" w:hanging="283"/>
    </w:pPr>
    <w:rPr>
      <w:rFonts w:ascii="Book Antiqua" w:hAnsi="Book Antiqua"/>
      <w:sz w:val="22"/>
      <w:szCs w:val="22"/>
    </w:rPr>
  </w:style>
  <w:style w:type="paragraph" w:styleId="List5">
    <w:name w:val="List 5"/>
    <w:basedOn w:val="Normal"/>
    <w:uiPriority w:val="99"/>
    <w:semiHidden/>
    <w:unhideWhenUsed/>
    <w:rsid w:val="007206C7"/>
    <w:pPr>
      <w:spacing w:before="60" w:line="260" w:lineRule="atLeast"/>
      <w:ind w:left="1415" w:hanging="283"/>
    </w:pPr>
    <w:rPr>
      <w:rFonts w:ascii="Book Antiqua" w:hAnsi="Book Antiqua"/>
      <w:sz w:val="22"/>
      <w:szCs w:val="22"/>
    </w:rPr>
  </w:style>
  <w:style w:type="paragraph" w:styleId="ListBullet2">
    <w:name w:val="List Bullet 2"/>
    <w:basedOn w:val="Normal"/>
    <w:uiPriority w:val="99"/>
    <w:semiHidden/>
    <w:unhideWhenUsed/>
    <w:rsid w:val="007206C7"/>
    <w:pPr>
      <w:numPr>
        <w:numId w:val="24"/>
      </w:numPr>
      <w:tabs>
        <w:tab w:val="clear" w:pos="643"/>
        <w:tab w:val="num" w:pos="1492"/>
      </w:tabs>
      <w:spacing w:before="60" w:line="260" w:lineRule="atLeast"/>
      <w:ind w:left="1492"/>
    </w:pPr>
    <w:rPr>
      <w:rFonts w:ascii="Book Antiqua" w:hAnsi="Book Antiqua"/>
      <w:sz w:val="22"/>
      <w:szCs w:val="22"/>
    </w:rPr>
  </w:style>
  <w:style w:type="paragraph" w:styleId="ListBullet3">
    <w:name w:val="List Bullet 3"/>
    <w:basedOn w:val="Normal"/>
    <w:uiPriority w:val="99"/>
    <w:semiHidden/>
    <w:unhideWhenUsed/>
    <w:rsid w:val="007206C7"/>
    <w:pPr>
      <w:numPr>
        <w:numId w:val="25"/>
      </w:numPr>
      <w:tabs>
        <w:tab w:val="clear" w:pos="926"/>
        <w:tab w:val="num" w:pos="643"/>
      </w:tabs>
      <w:spacing w:before="60" w:line="260" w:lineRule="atLeast"/>
      <w:ind w:left="643"/>
    </w:pPr>
    <w:rPr>
      <w:rFonts w:ascii="Book Antiqua" w:hAnsi="Book Antiqua"/>
      <w:sz w:val="22"/>
      <w:szCs w:val="22"/>
    </w:rPr>
  </w:style>
  <w:style w:type="paragraph" w:styleId="ListBullet4">
    <w:name w:val="List Bullet 4"/>
    <w:basedOn w:val="Normal"/>
    <w:uiPriority w:val="99"/>
    <w:semiHidden/>
    <w:unhideWhenUsed/>
    <w:rsid w:val="007206C7"/>
    <w:pPr>
      <w:numPr>
        <w:numId w:val="26"/>
      </w:numPr>
      <w:tabs>
        <w:tab w:val="clear" w:pos="1209"/>
        <w:tab w:val="num" w:pos="926"/>
      </w:tabs>
      <w:spacing w:before="60" w:line="260" w:lineRule="atLeast"/>
      <w:ind w:left="926"/>
    </w:pPr>
    <w:rPr>
      <w:rFonts w:ascii="Book Antiqua" w:hAnsi="Book Antiqua"/>
      <w:sz w:val="22"/>
      <w:szCs w:val="22"/>
    </w:rPr>
  </w:style>
  <w:style w:type="paragraph" w:styleId="ListBullet5">
    <w:name w:val="List Bullet 5"/>
    <w:basedOn w:val="Normal"/>
    <w:uiPriority w:val="99"/>
    <w:semiHidden/>
    <w:unhideWhenUsed/>
    <w:rsid w:val="007206C7"/>
    <w:pPr>
      <w:numPr>
        <w:numId w:val="27"/>
      </w:numPr>
      <w:tabs>
        <w:tab w:val="clear" w:pos="1492"/>
        <w:tab w:val="num" w:pos="1209"/>
      </w:tabs>
      <w:spacing w:before="60" w:line="260" w:lineRule="atLeast"/>
      <w:ind w:left="1209"/>
    </w:pPr>
    <w:rPr>
      <w:rFonts w:ascii="Book Antiqua" w:hAnsi="Book Antiqua"/>
      <w:sz w:val="22"/>
      <w:szCs w:val="22"/>
    </w:rPr>
  </w:style>
  <w:style w:type="paragraph" w:styleId="ListNumber2">
    <w:name w:val="List Number 2"/>
    <w:basedOn w:val="Normal"/>
    <w:uiPriority w:val="99"/>
    <w:semiHidden/>
    <w:unhideWhenUsed/>
    <w:rsid w:val="007206C7"/>
    <w:pPr>
      <w:numPr>
        <w:numId w:val="28"/>
      </w:numPr>
      <w:tabs>
        <w:tab w:val="clear" w:pos="643"/>
        <w:tab w:val="num" w:pos="1492"/>
      </w:tabs>
      <w:spacing w:before="60" w:line="260" w:lineRule="atLeast"/>
      <w:ind w:left="1492"/>
    </w:pPr>
    <w:rPr>
      <w:rFonts w:ascii="Book Antiqua" w:hAnsi="Book Antiqua"/>
      <w:sz w:val="22"/>
      <w:szCs w:val="22"/>
    </w:rPr>
  </w:style>
  <w:style w:type="paragraph" w:styleId="ListNumber3">
    <w:name w:val="List Number 3"/>
    <w:basedOn w:val="Normal"/>
    <w:uiPriority w:val="99"/>
    <w:semiHidden/>
    <w:unhideWhenUsed/>
    <w:rsid w:val="007206C7"/>
    <w:pPr>
      <w:numPr>
        <w:numId w:val="29"/>
      </w:numPr>
      <w:tabs>
        <w:tab w:val="clear" w:pos="926"/>
        <w:tab w:val="num" w:pos="397"/>
      </w:tabs>
      <w:spacing w:before="60" w:line="260" w:lineRule="atLeast"/>
      <w:ind w:left="397" w:hanging="397"/>
    </w:pPr>
    <w:rPr>
      <w:rFonts w:ascii="Book Antiqua" w:hAnsi="Book Antiqua"/>
      <w:sz w:val="22"/>
      <w:szCs w:val="22"/>
    </w:rPr>
  </w:style>
  <w:style w:type="paragraph" w:styleId="ListNumber4">
    <w:name w:val="List Number 4"/>
    <w:basedOn w:val="Normal"/>
    <w:uiPriority w:val="99"/>
    <w:semiHidden/>
    <w:unhideWhenUsed/>
    <w:rsid w:val="007206C7"/>
    <w:pPr>
      <w:numPr>
        <w:numId w:val="30"/>
      </w:numPr>
      <w:tabs>
        <w:tab w:val="clear" w:pos="1209"/>
        <w:tab w:val="num" w:pos="794"/>
      </w:tabs>
      <w:spacing w:before="60" w:line="260" w:lineRule="atLeast"/>
      <w:ind w:left="794" w:hanging="397"/>
    </w:pPr>
    <w:rPr>
      <w:rFonts w:ascii="Book Antiqua" w:hAnsi="Book Antiqua"/>
      <w:sz w:val="22"/>
      <w:szCs w:val="22"/>
    </w:rPr>
  </w:style>
  <w:style w:type="paragraph" w:styleId="ListNumber5">
    <w:name w:val="List Number 5"/>
    <w:basedOn w:val="Normal"/>
    <w:uiPriority w:val="99"/>
    <w:semiHidden/>
    <w:unhideWhenUsed/>
    <w:rsid w:val="007206C7"/>
    <w:pPr>
      <w:numPr>
        <w:numId w:val="31"/>
      </w:numPr>
      <w:tabs>
        <w:tab w:val="clear" w:pos="1492"/>
        <w:tab w:val="num" w:pos="964"/>
      </w:tabs>
      <w:spacing w:before="60" w:line="260" w:lineRule="atLeast"/>
      <w:ind w:left="964" w:hanging="720"/>
    </w:pPr>
    <w:rPr>
      <w:rFonts w:ascii="Book Antiqua" w:hAnsi="Book Antiqua"/>
      <w:sz w:val="22"/>
      <w:szCs w:val="22"/>
    </w:rPr>
  </w:style>
  <w:style w:type="paragraph" w:styleId="Closing">
    <w:name w:val="Closing"/>
    <w:basedOn w:val="Normal"/>
    <w:link w:val="ClosingChar"/>
    <w:uiPriority w:val="99"/>
    <w:semiHidden/>
    <w:unhideWhenUsed/>
    <w:rsid w:val="007206C7"/>
    <w:pPr>
      <w:spacing w:before="60" w:line="260" w:lineRule="atLeast"/>
      <w:ind w:left="4252"/>
    </w:pPr>
    <w:rPr>
      <w:rFonts w:ascii="Book Antiqua" w:hAnsi="Book Antiqua"/>
      <w:sz w:val="22"/>
      <w:szCs w:val="22"/>
    </w:rPr>
  </w:style>
  <w:style w:type="character" w:customStyle="1" w:styleId="ClosingChar">
    <w:name w:val="Closing Char"/>
    <w:basedOn w:val="DefaultParagraphFont"/>
    <w:link w:val="Closing"/>
    <w:uiPriority w:val="99"/>
    <w:semiHidden/>
    <w:rsid w:val="007206C7"/>
    <w:rPr>
      <w:rFonts w:ascii="Book Antiqua" w:eastAsia="Times New Roman" w:hAnsi="Book Antiqua"/>
      <w:sz w:val="22"/>
      <w:szCs w:val="22"/>
    </w:rPr>
  </w:style>
  <w:style w:type="paragraph" w:styleId="Signature">
    <w:name w:val="Signature"/>
    <w:basedOn w:val="Normal"/>
    <w:link w:val="SignatureChar"/>
    <w:uiPriority w:val="99"/>
    <w:semiHidden/>
    <w:unhideWhenUsed/>
    <w:rsid w:val="007206C7"/>
    <w:pPr>
      <w:spacing w:before="60" w:line="260" w:lineRule="atLeast"/>
      <w:ind w:left="4252"/>
    </w:pPr>
    <w:rPr>
      <w:rFonts w:ascii="Book Antiqua" w:hAnsi="Book Antiqua"/>
      <w:sz w:val="22"/>
      <w:szCs w:val="22"/>
    </w:rPr>
  </w:style>
  <w:style w:type="character" w:customStyle="1" w:styleId="SignatureChar">
    <w:name w:val="Signature Char"/>
    <w:basedOn w:val="DefaultParagraphFont"/>
    <w:link w:val="Signature"/>
    <w:uiPriority w:val="99"/>
    <w:semiHidden/>
    <w:rsid w:val="007206C7"/>
    <w:rPr>
      <w:rFonts w:ascii="Book Antiqua" w:eastAsia="Times New Roman" w:hAnsi="Book Antiqua"/>
      <w:sz w:val="22"/>
      <w:szCs w:val="22"/>
    </w:rPr>
  </w:style>
  <w:style w:type="paragraph" w:styleId="ListContinue">
    <w:name w:val="List Continue"/>
    <w:basedOn w:val="Normal"/>
    <w:uiPriority w:val="99"/>
    <w:semiHidden/>
    <w:unhideWhenUsed/>
    <w:rsid w:val="007206C7"/>
    <w:pPr>
      <w:spacing w:before="60" w:line="260" w:lineRule="atLeast"/>
      <w:ind w:left="283"/>
    </w:pPr>
    <w:rPr>
      <w:rFonts w:ascii="Book Antiqua" w:hAnsi="Book Antiqua"/>
      <w:sz w:val="22"/>
      <w:szCs w:val="22"/>
    </w:rPr>
  </w:style>
  <w:style w:type="paragraph" w:styleId="ListContinue5">
    <w:name w:val="List Continue 5"/>
    <w:basedOn w:val="Normal"/>
    <w:uiPriority w:val="99"/>
    <w:semiHidden/>
    <w:unhideWhenUsed/>
    <w:rsid w:val="007206C7"/>
    <w:pPr>
      <w:spacing w:before="60" w:line="260" w:lineRule="atLeast"/>
      <w:ind w:left="1415"/>
    </w:pPr>
    <w:rPr>
      <w:rFonts w:ascii="Book Antiqua" w:hAnsi="Book Antiqua"/>
      <w:sz w:val="22"/>
      <w:szCs w:val="22"/>
    </w:rPr>
  </w:style>
  <w:style w:type="paragraph" w:styleId="MessageHeader">
    <w:name w:val="Message Header"/>
    <w:basedOn w:val="Normal"/>
    <w:link w:val="MessageHeaderChar"/>
    <w:uiPriority w:val="99"/>
    <w:semiHidden/>
    <w:unhideWhenUsed/>
    <w:rsid w:val="007206C7"/>
    <w:pPr>
      <w:pBdr>
        <w:top w:val="single" w:sz="6" w:space="1" w:color="auto"/>
        <w:left w:val="single" w:sz="6" w:space="1" w:color="auto"/>
        <w:bottom w:val="single" w:sz="6" w:space="1" w:color="auto"/>
        <w:right w:val="single" w:sz="6" w:space="1" w:color="auto"/>
      </w:pBdr>
      <w:shd w:val="pct20" w:color="auto" w:fill="auto"/>
      <w:spacing w:before="60" w:line="260" w:lineRule="atLeast"/>
      <w:ind w:left="1134" w:hanging="1134"/>
    </w:pPr>
    <w:rPr>
      <w:rFonts w:cs="Arial"/>
      <w:sz w:val="24"/>
      <w:szCs w:val="22"/>
    </w:rPr>
  </w:style>
  <w:style w:type="character" w:customStyle="1" w:styleId="MessageHeaderChar">
    <w:name w:val="Message Header Char"/>
    <w:basedOn w:val="DefaultParagraphFont"/>
    <w:link w:val="MessageHeader"/>
    <w:uiPriority w:val="99"/>
    <w:semiHidden/>
    <w:rsid w:val="007206C7"/>
    <w:rPr>
      <w:rFonts w:ascii="Arial" w:eastAsia="Times New Roman" w:hAnsi="Arial" w:cs="Arial"/>
      <w:sz w:val="24"/>
      <w:szCs w:val="22"/>
      <w:shd w:val="pct20" w:color="auto" w:fill="auto"/>
    </w:rPr>
  </w:style>
  <w:style w:type="paragraph" w:styleId="Salutation">
    <w:name w:val="Salutation"/>
    <w:basedOn w:val="Normal"/>
    <w:next w:val="Normal"/>
    <w:link w:val="SalutationChar"/>
    <w:uiPriority w:val="99"/>
    <w:semiHidden/>
    <w:unhideWhenUsed/>
    <w:rsid w:val="007206C7"/>
    <w:pPr>
      <w:spacing w:before="60" w:line="260" w:lineRule="atLeast"/>
    </w:pPr>
    <w:rPr>
      <w:rFonts w:ascii="Book Antiqua" w:hAnsi="Book Antiqua"/>
      <w:sz w:val="22"/>
      <w:szCs w:val="22"/>
    </w:rPr>
  </w:style>
  <w:style w:type="character" w:customStyle="1" w:styleId="SalutationChar">
    <w:name w:val="Salutation Char"/>
    <w:basedOn w:val="DefaultParagraphFont"/>
    <w:link w:val="Salutation"/>
    <w:uiPriority w:val="99"/>
    <w:semiHidden/>
    <w:rsid w:val="007206C7"/>
    <w:rPr>
      <w:rFonts w:ascii="Book Antiqua" w:eastAsia="Times New Roman" w:hAnsi="Book Antiqua"/>
      <w:sz w:val="22"/>
      <w:szCs w:val="22"/>
    </w:rPr>
  </w:style>
  <w:style w:type="paragraph" w:styleId="Date">
    <w:name w:val="Date"/>
    <w:basedOn w:val="Normal"/>
    <w:next w:val="Normal"/>
    <w:link w:val="DateChar"/>
    <w:uiPriority w:val="99"/>
    <w:semiHidden/>
    <w:unhideWhenUsed/>
    <w:rsid w:val="007206C7"/>
    <w:pPr>
      <w:spacing w:before="60" w:line="260" w:lineRule="atLeast"/>
    </w:pPr>
    <w:rPr>
      <w:rFonts w:ascii="Book Antiqua" w:hAnsi="Book Antiqua"/>
      <w:sz w:val="22"/>
      <w:szCs w:val="22"/>
    </w:rPr>
  </w:style>
  <w:style w:type="character" w:customStyle="1" w:styleId="DateChar">
    <w:name w:val="Date Char"/>
    <w:basedOn w:val="DefaultParagraphFont"/>
    <w:link w:val="Date"/>
    <w:uiPriority w:val="99"/>
    <w:semiHidden/>
    <w:rsid w:val="007206C7"/>
    <w:rPr>
      <w:rFonts w:ascii="Book Antiqua" w:eastAsia="Times New Roman" w:hAnsi="Book Antiqua"/>
      <w:sz w:val="22"/>
      <w:szCs w:val="22"/>
    </w:rPr>
  </w:style>
  <w:style w:type="paragraph" w:styleId="BodyTextFirstIndent">
    <w:name w:val="Body Text First Indent"/>
    <w:basedOn w:val="BodyText"/>
    <w:link w:val="BodyTextFirstIndentChar"/>
    <w:uiPriority w:val="99"/>
    <w:semiHidden/>
    <w:unhideWhenUsed/>
    <w:rsid w:val="007206C7"/>
    <w:pPr>
      <w:spacing w:before="60" w:line="260" w:lineRule="atLeast"/>
      <w:ind w:firstLine="210"/>
      <w:jc w:val="left"/>
    </w:pPr>
    <w:rPr>
      <w:rFonts w:ascii="Book Antiqua" w:hAnsi="Book Antiqua"/>
      <w:sz w:val="22"/>
      <w:szCs w:val="22"/>
    </w:rPr>
  </w:style>
  <w:style w:type="character" w:customStyle="1" w:styleId="BodyTextFirstIndentChar">
    <w:name w:val="Body Text First Indent Char"/>
    <w:basedOn w:val="BodyTextChar1"/>
    <w:link w:val="BodyTextFirstIndent"/>
    <w:uiPriority w:val="99"/>
    <w:semiHidden/>
    <w:rsid w:val="007206C7"/>
    <w:rPr>
      <w:rFonts w:ascii="Book Antiqua" w:eastAsia="Times New Roman" w:hAnsi="Book Antiqua"/>
      <w:sz w:val="22"/>
      <w:szCs w:val="22"/>
    </w:rPr>
  </w:style>
  <w:style w:type="paragraph" w:styleId="BodyTextFirstIndent2">
    <w:name w:val="Body Text First Indent 2"/>
    <w:basedOn w:val="BodyTextIndent"/>
    <w:link w:val="BodyTextFirstIndent2Char"/>
    <w:uiPriority w:val="99"/>
    <w:semiHidden/>
    <w:unhideWhenUsed/>
    <w:rsid w:val="007206C7"/>
    <w:pPr>
      <w:spacing w:before="60" w:line="260" w:lineRule="atLeast"/>
      <w:ind w:firstLine="210"/>
    </w:pPr>
    <w:rPr>
      <w:rFonts w:ascii="Book Antiqua" w:hAnsi="Book Antiqua"/>
      <w:sz w:val="22"/>
      <w:szCs w:val="22"/>
      <w:lang w:eastAsia="en-AU"/>
    </w:rPr>
  </w:style>
  <w:style w:type="character" w:customStyle="1" w:styleId="BodyTextFirstIndent2Char">
    <w:name w:val="Body Text First Indent 2 Char"/>
    <w:basedOn w:val="BodyTextIndentChar"/>
    <w:link w:val="BodyTextFirstIndent2"/>
    <w:uiPriority w:val="99"/>
    <w:semiHidden/>
    <w:rsid w:val="007206C7"/>
    <w:rPr>
      <w:rFonts w:ascii="Book Antiqua" w:eastAsia="Times New Roman" w:hAnsi="Book Antiqua" w:cs="Times New Roman"/>
      <w:sz w:val="22"/>
      <w:szCs w:val="22"/>
    </w:rPr>
  </w:style>
  <w:style w:type="paragraph" w:styleId="NoteHeading">
    <w:name w:val="Note Heading"/>
    <w:basedOn w:val="Normal"/>
    <w:next w:val="Normal"/>
    <w:link w:val="NoteHeadingChar"/>
    <w:uiPriority w:val="99"/>
    <w:semiHidden/>
    <w:unhideWhenUsed/>
    <w:rsid w:val="007206C7"/>
    <w:pPr>
      <w:spacing w:before="60" w:line="260" w:lineRule="atLeast"/>
    </w:pPr>
    <w:rPr>
      <w:rFonts w:ascii="Book Antiqua" w:hAnsi="Book Antiqua"/>
      <w:sz w:val="22"/>
      <w:szCs w:val="22"/>
    </w:rPr>
  </w:style>
  <w:style w:type="character" w:customStyle="1" w:styleId="NoteHeadingChar">
    <w:name w:val="Note Heading Char"/>
    <w:basedOn w:val="DefaultParagraphFont"/>
    <w:link w:val="NoteHeading"/>
    <w:uiPriority w:val="99"/>
    <w:semiHidden/>
    <w:rsid w:val="007206C7"/>
    <w:rPr>
      <w:rFonts w:ascii="Book Antiqua" w:eastAsia="Times New Roman" w:hAnsi="Book Antiqua"/>
      <w:sz w:val="22"/>
      <w:szCs w:val="22"/>
    </w:rPr>
  </w:style>
  <w:style w:type="paragraph" w:styleId="BodyTextIndent2">
    <w:name w:val="Body Text Indent 2"/>
    <w:basedOn w:val="Normal"/>
    <w:link w:val="BodyTextIndent2Char"/>
    <w:uiPriority w:val="99"/>
    <w:semiHidden/>
    <w:unhideWhenUsed/>
    <w:rsid w:val="007206C7"/>
    <w:pPr>
      <w:spacing w:before="60" w:line="480" w:lineRule="auto"/>
      <w:ind w:left="283"/>
    </w:pPr>
    <w:rPr>
      <w:rFonts w:ascii="Book Antiqua" w:hAnsi="Book Antiqua"/>
      <w:sz w:val="22"/>
      <w:szCs w:val="22"/>
    </w:rPr>
  </w:style>
  <w:style w:type="character" w:customStyle="1" w:styleId="BodyTextIndent2Char">
    <w:name w:val="Body Text Indent 2 Char"/>
    <w:basedOn w:val="DefaultParagraphFont"/>
    <w:link w:val="BodyTextIndent2"/>
    <w:uiPriority w:val="99"/>
    <w:semiHidden/>
    <w:rsid w:val="007206C7"/>
    <w:rPr>
      <w:rFonts w:ascii="Book Antiqua" w:eastAsia="Times New Roman" w:hAnsi="Book Antiqua"/>
      <w:sz w:val="22"/>
      <w:szCs w:val="22"/>
    </w:rPr>
  </w:style>
  <w:style w:type="paragraph" w:styleId="BodyTextIndent3">
    <w:name w:val="Body Text Indent 3"/>
    <w:basedOn w:val="Normal"/>
    <w:link w:val="BodyTextIndent3Char"/>
    <w:uiPriority w:val="99"/>
    <w:semiHidden/>
    <w:unhideWhenUsed/>
    <w:rsid w:val="007206C7"/>
    <w:pPr>
      <w:spacing w:before="60" w:line="260" w:lineRule="atLeast"/>
      <w:ind w:left="283"/>
    </w:pPr>
    <w:rPr>
      <w:rFonts w:ascii="Book Antiqua" w:hAnsi="Book Antiqua"/>
      <w:sz w:val="16"/>
      <w:szCs w:val="16"/>
    </w:rPr>
  </w:style>
  <w:style w:type="character" w:customStyle="1" w:styleId="BodyTextIndent3Char">
    <w:name w:val="Body Text Indent 3 Char"/>
    <w:basedOn w:val="DefaultParagraphFont"/>
    <w:link w:val="BodyTextIndent3"/>
    <w:uiPriority w:val="99"/>
    <w:semiHidden/>
    <w:rsid w:val="007206C7"/>
    <w:rPr>
      <w:rFonts w:ascii="Book Antiqua" w:eastAsia="Times New Roman" w:hAnsi="Book Antiqua"/>
      <w:sz w:val="16"/>
      <w:szCs w:val="16"/>
    </w:rPr>
  </w:style>
  <w:style w:type="paragraph" w:styleId="BlockText">
    <w:name w:val="Block Text"/>
    <w:basedOn w:val="Normal"/>
    <w:uiPriority w:val="99"/>
    <w:semiHidden/>
    <w:unhideWhenUsed/>
    <w:rsid w:val="007206C7"/>
    <w:pPr>
      <w:spacing w:before="60" w:line="260" w:lineRule="atLeast"/>
      <w:ind w:left="1440" w:right="1440"/>
    </w:pPr>
    <w:rPr>
      <w:rFonts w:ascii="Book Antiqua" w:hAnsi="Book Antiqua"/>
      <w:sz w:val="22"/>
      <w:szCs w:val="22"/>
    </w:rPr>
  </w:style>
  <w:style w:type="paragraph" w:styleId="E-mailSignature">
    <w:name w:val="E-mail Signature"/>
    <w:basedOn w:val="Normal"/>
    <w:link w:val="E-mailSignatureChar"/>
    <w:uiPriority w:val="99"/>
    <w:semiHidden/>
    <w:unhideWhenUsed/>
    <w:rsid w:val="007206C7"/>
    <w:pPr>
      <w:spacing w:before="60" w:line="260" w:lineRule="atLeast"/>
    </w:pPr>
    <w:rPr>
      <w:rFonts w:ascii="Book Antiqua" w:hAnsi="Book Antiqua"/>
      <w:sz w:val="22"/>
      <w:szCs w:val="22"/>
    </w:rPr>
  </w:style>
  <w:style w:type="character" w:customStyle="1" w:styleId="E-mailSignatureChar">
    <w:name w:val="E-mail Signature Char"/>
    <w:basedOn w:val="DefaultParagraphFont"/>
    <w:link w:val="E-mailSignature"/>
    <w:uiPriority w:val="99"/>
    <w:semiHidden/>
    <w:rsid w:val="007206C7"/>
    <w:rPr>
      <w:rFonts w:ascii="Book Antiqua" w:eastAsia="Times New Roman" w:hAnsi="Book Antiqua"/>
      <w:sz w:val="22"/>
      <w:szCs w:val="22"/>
    </w:rPr>
  </w:style>
  <w:style w:type="paragraph" w:customStyle="1" w:styleId="Bullet1">
    <w:name w:val="Bullet 1"/>
    <w:basedOn w:val="AIHWbodytext"/>
    <w:uiPriority w:val="2"/>
    <w:semiHidden/>
    <w:qFormat/>
    <w:rsid w:val="007206C7"/>
    <w:pPr>
      <w:numPr>
        <w:numId w:val="32"/>
      </w:numPr>
      <w:tabs>
        <w:tab w:val="clear" w:pos="397"/>
      </w:tabs>
      <w:spacing w:before="0" w:after="200" w:line="276" w:lineRule="auto"/>
      <w:ind w:left="0" w:firstLine="0"/>
    </w:pPr>
    <w:rPr>
      <w:rFonts w:asciiTheme="minorHAnsi" w:eastAsiaTheme="minorHAnsi" w:hAnsiTheme="minorHAnsi" w:cstheme="minorBidi"/>
      <w:szCs w:val="22"/>
    </w:rPr>
  </w:style>
  <w:style w:type="paragraph" w:customStyle="1" w:styleId="Bullet2">
    <w:name w:val="Bullet 2"/>
    <w:basedOn w:val="Bullet1"/>
    <w:uiPriority w:val="2"/>
    <w:semiHidden/>
    <w:qFormat/>
    <w:rsid w:val="007206C7"/>
    <w:pPr>
      <w:numPr>
        <w:numId w:val="33"/>
      </w:numPr>
      <w:tabs>
        <w:tab w:val="clear" w:pos="794"/>
      </w:tabs>
      <w:ind w:left="0" w:firstLine="0"/>
    </w:pPr>
  </w:style>
  <w:style w:type="character" w:customStyle="1" w:styleId="TableFigTextChar">
    <w:name w:val="Table/Fig: Text Char"/>
    <w:link w:val="TableFigText"/>
    <w:uiPriority w:val="6"/>
    <w:semiHidden/>
    <w:locked/>
    <w:rsid w:val="007206C7"/>
  </w:style>
  <w:style w:type="paragraph" w:customStyle="1" w:styleId="TableFigText">
    <w:name w:val="Table/Fig: Text"/>
    <w:basedOn w:val="AIHWbodytext"/>
    <w:link w:val="TableFigTextChar"/>
    <w:uiPriority w:val="6"/>
    <w:semiHidden/>
    <w:rsid w:val="007206C7"/>
    <w:pPr>
      <w:spacing w:before="0" w:after="200" w:line="276" w:lineRule="auto"/>
    </w:pPr>
    <w:rPr>
      <w:rFonts w:ascii="Cambria" w:eastAsia="Calibri" w:hAnsi="Cambria"/>
      <w:sz w:val="20"/>
      <w:lang w:eastAsia="en-AU"/>
    </w:rPr>
  </w:style>
  <w:style w:type="character" w:customStyle="1" w:styleId="Heading1notinTOCChar">
    <w:name w:val="Heading 1 not in TOC Char"/>
    <w:basedOn w:val="Heading1Char"/>
    <w:link w:val="Heading1notinTOC"/>
    <w:uiPriority w:val="1"/>
    <w:semiHidden/>
    <w:locked/>
    <w:rsid w:val="007206C7"/>
    <w:rPr>
      <w:rFonts w:asciiTheme="majorHAnsi" w:eastAsiaTheme="majorEastAsia" w:hAnsiTheme="majorHAnsi" w:cstheme="majorBidi"/>
      <w:b/>
      <w:bCs/>
      <w:caps w:val="0"/>
      <w:color w:val="365F91" w:themeColor="accent1" w:themeShade="BF"/>
      <w:kern w:val="32"/>
      <w:sz w:val="28"/>
      <w:szCs w:val="28"/>
    </w:rPr>
  </w:style>
  <w:style w:type="paragraph" w:customStyle="1" w:styleId="Heading1notinTOC">
    <w:name w:val="Heading 1 not in TOC"/>
    <w:basedOn w:val="Heading1"/>
    <w:next w:val="AIHWbodytext"/>
    <w:link w:val="Heading1notinTOCChar"/>
    <w:uiPriority w:val="1"/>
    <w:semiHidden/>
    <w:rsid w:val="007206C7"/>
    <w:pPr>
      <w:pBdr>
        <w:top w:val="none" w:sz="0" w:space="0" w:color="auto"/>
        <w:left w:val="none" w:sz="0" w:space="0" w:color="auto"/>
        <w:bottom w:val="none" w:sz="0" w:space="0" w:color="auto"/>
        <w:right w:val="none" w:sz="0" w:space="0" w:color="auto"/>
      </w:pBdr>
      <w:tabs>
        <w:tab w:val="num" w:pos="284"/>
      </w:tabs>
      <w:spacing w:before="480" w:line="276" w:lineRule="auto"/>
    </w:pPr>
    <w:rPr>
      <w:rFonts w:asciiTheme="majorHAnsi" w:hAnsiTheme="majorHAnsi"/>
      <w:color w:val="365F91" w:themeColor="accent1" w:themeShade="BF"/>
    </w:rPr>
  </w:style>
  <w:style w:type="paragraph" w:customStyle="1" w:styleId="05Author">
    <w:name w:val="05 Author"/>
    <w:aliases w:val="date"/>
    <w:basedOn w:val="02Subtitle"/>
    <w:next w:val="06Publisher"/>
    <w:rsid w:val="007206C7"/>
  </w:style>
  <w:style w:type="paragraph" w:customStyle="1" w:styleId="01Title">
    <w:name w:val="01 Title"/>
    <w:basedOn w:val="Heading1"/>
    <w:next w:val="05Author"/>
    <w:uiPriority w:val="8"/>
    <w:semiHidden/>
    <w:rsid w:val="007206C7"/>
    <w:pPr>
      <w:pBdr>
        <w:top w:val="none" w:sz="0" w:space="0" w:color="auto"/>
        <w:left w:val="none" w:sz="0" w:space="0" w:color="auto"/>
        <w:bottom w:val="none" w:sz="0" w:space="0" w:color="auto"/>
        <w:right w:val="none" w:sz="0" w:space="0" w:color="auto"/>
      </w:pBdr>
      <w:tabs>
        <w:tab w:val="num" w:pos="284"/>
      </w:tabs>
      <w:spacing w:before="480" w:line="276" w:lineRule="auto"/>
    </w:pPr>
    <w:rPr>
      <w:rFonts w:asciiTheme="majorHAnsi" w:hAnsiTheme="majorHAnsi"/>
      <w:color w:val="365F91" w:themeColor="accent1" w:themeShade="BF"/>
      <w:lang w:eastAsia="en-US"/>
    </w:rPr>
  </w:style>
  <w:style w:type="paragraph" w:customStyle="1" w:styleId="02Subtitle">
    <w:name w:val="02 Subtitle"/>
    <w:basedOn w:val="01Title"/>
    <w:next w:val="05Author"/>
    <w:uiPriority w:val="8"/>
    <w:semiHidden/>
    <w:rsid w:val="007206C7"/>
  </w:style>
  <w:style w:type="paragraph" w:customStyle="1" w:styleId="04Seriesnumber">
    <w:name w:val="04 Series number"/>
    <w:basedOn w:val="03Series"/>
    <w:next w:val="03Series"/>
    <w:rsid w:val="007206C7"/>
  </w:style>
  <w:style w:type="paragraph" w:customStyle="1" w:styleId="03Series">
    <w:name w:val="03 Series"/>
    <w:basedOn w:val="02Subtitle"/>
    <w:next w:val="04Seriesnumber"/>
    <w:uiPriority w:val="8"/>
    <w:semiHidden/>
    <w:rsid w:val="007206C7"/>
  </w:style>
  <w:style w:type="paragraph" w:customStyle="1" w:styleId="06Publisher">
    <w:name w:val="06 Publisher"/>
    <w:basedOn w:val="05Author"/>
    <w:next w:val="07catno"/>
    <w:uiPriority w:val="8"/>
    <w:semiHidden/>
    <w:rsid w:val="007206C7"/>
  </w:style>
  <w:style w:type="paragraph" w:customStyle="1" w:styleId="07catno">
    <w:name w:val="07 cat. no."/>
    <w:basedOn w:val="06Publisher"/>
    <w:next w:val="09Versotitlepagetext"/>
    <w:uiPriority w:val="8"/>
    <w:rsid w:val="007206C7"/>
  </w:style>
  <w:style w:type="paragraph" w:customStyle="1" w:styleId="09Versotitlepagetext">
    <w:name w:val="09 Verso titlepage text"/>
    <w:basedOn w:val="08Versotitlepageheading"/>
    <w:rsid w:val="007206C7"/>
  </w:style>
  <w:style w:type="paragraph" w:customStyle="1" w:styleId="08Versotitlepageheading">
    <w:name w:val="08 Verso titlepage heading"/>
    <w:basedOn w:val="06Publisher"/>
    <w:next w:val="09Versotitlepagetext"/>
    <w:uiPriority w:val="8"/>
    <w:semiHidden/>
    <w:rsid w:val="007206C7"/>
  </w:style>
  <w:style w:type="character" w:customStyle="1" w:styleId="BoxTextChar">
    <w:name w:val="Box: Text Char"/>
    <w:link w:val="BoxText"/>
    <w:uiPriority w:val="3"/>
    <w:semiHidden/>
    <w:locked/>
    <w:rsid w:val="007206C7"/>
  </w:style>
  <w:style w:type="paragraph" w:customStyle="1" w:styleId="BoxText">
    <w:name w:val="Box: Text"/>
    <w:basedOn w:val="AIHWbodytext"/>
    <w:next w:val="AIHWbodytext"/>
    <w:link w:val="BoxTextChar"/>
    <w:uiPriority w:val="3"/>
    <w:semiHidden/>
    <w:qFormat/>
    <w:rsid w:val="007206C7"/>
    <w:pPr>
      <w:spacing w:before="0" w:after="200" w:line="276" w:lineRule="auto"/>
    </w:pPr>
    <w:rPr>
      <w:rFonts w:ascii="Cambria" w:eastAsia="Calibri" w:hAnsi="Cambria"/>
      <w:sz w:val="20"/>
      <w:lang w:eastAsia="en-AU"/>
    </w:rPr>
  </w:style>
  <w:style w:type="paragraph" w:customStyle="1" w:styleId="BoxBullet1">
    <w:name w:val="Box: Bullet 1"/>
    <w:basedOn w:val="BoxText"/>
    <w:uiPriority w:val="3"/>
    <w:semiHidden/>
    <w:qFormat/>
    <w:rsid w:val="007206C7"/>
    <w:pPr>
      <w:numPr>
        <w:numId w:val="34"/>
      </w:numPr>
      <w:tabs>
        <w:tab w:val="clear" w:pos="964"/>
        <w:tab w:val="num" w:pos="1440"/>
      </w:tabs>
      <w:ind w:left="0" w:firstLine="0"/>
    </w:pPr>
  </w:style>
  <w:style w:type="paragraph" w:customStyle="1" w:styleId="BoxHeading1">
    <w:name w:val="Box: Heading 1"/>
    <w:basedOn w:val="BoxText"/>
    <w:next w:val="BoxText"/>
    <w:uiPriority w:val="3"/>
    <w:semiHidden/>
    <w:qFormat/>
    <w:rsid w:val="007206C7"/>
  </w:style>
  <w:style w:type="paragraph" w:customStyle="1" w:styleId="IndentedQuotes">
    <w:name w:val="Indented: Quotes"/>
    <w:aliases w:val="etc."/>
    <w:basedOn w:val="AIHWbodytext"/>
    <w:next w:val="AIHWbodytext"/>
    <w:uiPriority w:val="4"/>
    <w:semiHidden/>
    <w:qFormat/>
    <w:rsid w:val="007206C7"/>
    <w:pPr>
      <w:spacing w:before="0" w:after="200" w:line="276" w:lineRule="auto"/>
    </w:pPr>
    <w:rPr>
      <w:rFonts w:asciiTheme="minorHAnsi" w:eastAsiaTheme="minorHAnsi" w:hAnsiTheme="minorHAnsi" w:cstheme="minorBidi"/>
      <w:szCs w:val="22"/>
    </w:rPr>
  </w:style>
  <w:style w:type="paragraph" w:customStyle="1" w:styleId="TableFigBullet1">
    <w:name w:val="Table/Fig: Bullet 1"/>
    <w:basedOn w:val="TableFigText"/>
    <w:uiPriority w:val="6"/>
    <w:semiHidden/>
    <w:rsid w:val="007206C7"/>
    <w:pPr>
      <w:numPr>
        <w:numId w:val="35"/>
      </w:numPr>
      <w:tabs>
        <w:tab w:val="num" w:pos="360"/>
      </w:tabs>
      <w:ind w:left="0" w:firstLine="0"/>
    </w:pPr>
  </w:style>
  <w:style w:type="paragraph" w:customStyle="1" w:styleId="TableFigSubtotal">
    <w:name w:val="Table/Fig: Subtotal"/>
    <w:basedOn w:val="TableFigText"/>
    <w:next w:val="TableFigText"/>
    <w:uiPriority w:val="6"/>
    <w:semiHidden/>
    <w:rsid w:val="007206C7"/>
  </w:style>
  <w:style w:type="paragraph" w:customStyle="1" w:styleId="TableFigTextindented">
    <w:name w:val="Table/Fig: Text indented"/>
    <w:basedOn w:val="TableFigText"/>
    <w:uiPriority w:val="6"/>
    <w:semiHidden/>
    <w:rsid w:val="007206C7"/>
  </w:style>
  <w:style w:type="paragraph" w:customStyle="1" w:styleId="TableCaption">
    <w:name w:val="Table: Caption"/>
    <w:basedOn w:val="AIHWbodytext"/>
    <w:next w:val="TableFigHeadingtotal"/>
    <w:uiPriority w:val="5"/>
    <w:semiHidden/>
    <w:rsid w:val="007206C7"/>
    <w:pPr>
      <w:spacing w:before="0" w:after="200" w:line="276" w:lineRule="auto"/>
    </w:pPr>
    <w:rPr>
      <w:rFonts w:asciiTheme="minorHAnsi" w:eastAsiaTheme="minorHAnsi" w:hAnsiTheme="minorHAnsi" w:cstheme="minorBidi"/>
      <w:szCs w:val="22"/>
    </w:rPr>
  </w:style>
  <w:style w:type="paragraph" w:customStyle="1" w:styleId="Tablecontinued">
    <w:name w:val="Table: (continued)"/>
    <w:basedOn w:val="AIHWbodytext"/>
    <w:next w:val="TableCaption"/>
    <w:uiPriority w:val="6"/>
    <w:semiHidden/>
    <w:rsid w:val="007206C7"/>
    <w:pPr>
      <w:spacing w:before="0" w:after="200" w:line="276" w:lineRule="auto"/>
    </w:pPr>
    <w:rPr>
      <w:rFonts w:asciiTheme="minorHAnsi" w:eastAsiaTheme="minorHAnsi" w:hAnsiTheme="minorHAnsi" w:cstheme="minorBidi"/>
      <w:szCs w:val="22"/>
    </w:rPr>
  </w:style>
  <w:style w:type="paragraph" w:customStyle="1" w:styleId="TableFigHeadingtotal">
    <w:name w:val="Table/Fig: Heading &amp; total"/>
    <w:basedOn w:val="TableFigText"/>
    <w:next w:val="TableFigText"/>
    <w:uiPriority w:val="6"/>
    <w:semiHidden/>
    <w:rsid w:val="007206C7"/>
  </w:style>
  <w:style w:type="paragraph" w:customStyle="1" w:styleId="TableSourcefootnotes">
    <w:name w:val="Table: Source &amp; footnotes"/>
    <w:basedOn w:val="AIHWbodytext"/>
    <w:next w:val="AIHWbodytext"/>
    <w:uiPriority w:val="5"/>
    <w:semiHidden/>
    <w:rsid w:val="007206C7"/>
    <w:pPr>
      <w:spacing w:before="0" w:after="200" w:line="276" w:lineRule="auto"/>
    </w:pPr>
    <w:rPr>
      <w:rFonts w:asciiTheme="minorHAnsi" w:eastAsiaTheme="minorHAnsi" w:hAnsiTheme="minorHAnsi" w:cstheme="minorBidi"/>
      <w:szCs w:val="22"/>
    </w:rPr>
  </w:style>
  <w:style w:type="paragraph" w:customStyle="1" w:styleId="Bullet3">
    <w:name w:val="Bullet 3"/>
    <w:basedOn w:val="Bullet2"/>
    <w:uiPriority w:val="2"/>
    <w:semiHidden/>
    <w:qFormat/>
    <w:rsid w:val="007206C7"/>
    <w:pPr>
      <w:numPr>
        <w:ilvl w:val="1"/>
        <w:numId w:val="36"/>
      </w:numPr>
      <w:tabs>
        <w:tab w:val="clear" w:pos="1440"/>
      </w:tabs>
      <w:ind w:left="0" w:firstLine="0"/>
    </w:pPr>
  </w:style>
  <w:style w:type="paragraph" w:customStyle="1" w:styleId="Heading1nopagebreak">
    <w:name w:val="Heading 1 no page break"/>
    <w:basedOn w:val="Heading1"/>
    <w:uiPriority w:val="1"/>
    <w:semiHidden/>
    <w:rsid w:val="007206C7"/>
    <w:pPr>
      <w:pBdr>
        <w:top w:val="none" w:sz="0" w:space="0" w:color="auto"/>
        <w:left w:val="none" w:sz="0" w:space="0" w:color="auto"/>
        <w:bottom w:val="none" w:sz="0" w:space="0" w:color="auto"/>
        <w:right w:val="none" w:sz="0" w:space="0" w:color="auto"/>
      </w:pBdr>
      <w:tabs>
        <w:tab w:val="num" w:pos="284"/>
      </w:tabs>
      <w:spacing w:before="480" w:line="276" w:lineRule="auto"/>
    </w:pPr>
    <w:rPr>
      <w:rFonts w:asciiTheme="majorHAnsi" w:hAnsiTheme="majorHAnsi"/>
      <w:color w:val="365F91" w:themeColor="accent1" w:themeShade="BF"/>
      <w:lang w:eastAsia="en-US"/>
    </w:rPr>
  </w:style>
  <w:style w:type="character" w:customStyle="1" w:styleId="BoxItalicsChar">
    <w:name w:val="Box: Italics Char"/>
    <w:link w:val="BoxItalics"/>
    <w:uiPriority w:val="3"/>
    <w:semiHidden/>
    <w:locked/>
    <w:rsid w:val="007206C7"/>
    <w:rPr>
      <w:i/>
      <w:sz w:val="21"/>
    </w:rPr>
  </w:style>
  <w:style w:type="paragraph" w:customStyle="1" w:styleId="BoxItalics">
    <w:name w:val="Box: Italics"/>
    <w:basedOn w:val="BoxText"/>
    <w:next w:val="BoxText"/>
    <w:link w:val="BoxItalicsChar"/>
    <w:uiPriority w:val="3"/>
    <w:semiHidden/>
    <w:qFormat/>
    <w:rsid w:val="007206C7"/>
    <w:rPr>
      <w:i/>
      <w:sz w:val="21"/>
    </w:rPr>
  </w:style>
  <w:style w:type="character" w:customStyle="1" w:styleId="GlossaryentryChar">
    <w:name w:val="Glossary entry Char"/>
    <w:link w:val="Glossaryentry"/>
    <w:uiPriority w:val="7"/>
    <w:semiHidden/>
    <w:locked/>
    <w:rsid w:val="007206C7"/>
    <w:rPr>
      <w:b/>
    </w:rPr>
  </w:style>
  <w:style w:type="paragraph" w:customStyle="1" w:styleId="Glossaryentry">
    <w:name w:val="Glossary entry"/>
    <w:basedOn w:val="Normal"/>
    <w:link w:val="GlossaryentryChar"/>
    <w:uiPriority w:val="7"/>
    <w:semiHidden/>
    <w:rsid w:val="007206C7"/>
    <w:pPr>
      <w:spacing w:before="0" w:line="260" w:lineRule="atLeast"/>
    </w:pPr>
    <w:rPr>
      <w:rFonts w:ascii="Cambria" w:eastAsia="Calibri" w:hAnsi="Cambria"/>
      <w:b/>
      <w:szCs w:val="20"/>
    </w:rPr>
  </w:style>
  <w:style w:type="character" w:customStyle="1" w:styleId="GlossarydefinitionChar">
    <w:name w:val="Glossary definition Char"/>
    <w:link w:val="Glossarydefinition"/>
    <w:uiPriority w:val="7"/>
    <w:semiHidden/>
    <w:locked/>
    <w:rsid w:val="007206C7"/>
  </w:style>
  <w:style w:type="paragraph" w:customStyle="1" w:styleId="Glossarydefinition">
    <w:name w:val="Glossary definition"/>
    <w:basedOn w:val="Normal"/>
    <w:link w:val="GlossarydefinitionChar"/>
    <w:uiPriority w:val="7"/>
    <w:semiHidden/>
    <w:rsid w:val="007206C7"/>
    <w:pPr>
      <w:spacing w:before="0" w:line="260" w:lineRule="atLeast"/>
    </w:pPr>
    <w:rPr>
      <w:rFonts w:ascii="Cambria" w:eastAsia="Calibri" w:hAnsi="Cambria"/>
      <w:szCs w:val="20"/>
    </w:rPr>
  </w:style>
  <w:style w:type="character" w:customStyle="1" w:styleId="InstructionsChar">
    <w:name w:val="Instructions Char"/>
    <w:basedOn w:val="AIHWbodytextChar"/>
    <w:link w:val="Instructions"/>
    <w:uiPriority w:val="10"/>
    <w:semiHidden/>
    <w:locked/>
    <w:rsid w:val="007206C7"/>
    <w:rPr>
      <w:rFonts w:ascii="Book Antiqua" w:eastAsia="Times New Roman" w:hAnsi="Book Antiqua"/>
      <w:color w:val="C00000"/>
      <w:sz w:val="22"/>
      <w:lang w:eastAsia="en-US"/>
    </w:rPr>
  </w:style>
  <w:style w:type="paragraph" w:customStyle="1" w:styleId="Instructions">
    <w:name w:val="Instructions"/>
    <w:basedOn w:val="AIHWbodytext"/>
    <w:link w:val="InstructionsChar"/>
    <w:uiPriority w:val="10"/>
    <w:semiHidden/>
    <w:rsid w:val="007206C7"/>
    <w:pPr>
      <w:spacing w:before="0" w:after="200" w:line="276" w:lineRule="auto"/>
    </w:pPr>
    <w:rPr>
      <w:color w:val="C00000"/>
    </w:rPr>
  </w:style>
  <w:style w:type="paragraph" w:customStyle="1" w:styleId="AIHWbodytextintable">
    <w:name w:val="AIHW body text in table"/>
    <w:basedOn w:val="AIHWbodytext"/>
    <w:next w:val="AIHWbodytext"/>
    <w:uiPriority w:val="99"/>
    <w:semiHidden/>
    <w:rsid w:val="007206C7"/>
    <w:pPr>
      <w:spacing w:before="0" w:after="200" w:line="276" w:lineRule="auto"/>
    </w:pPr>
    <w:rPr>
      <w:rFonts w:asciiTheme="minorHAnsi" w:eastAsiaTheme="minorHAnsi" w:hAnsiTheme="minorHAnsi" w:cstheme="minorBidi"/>
      <w:szCs w:val="22"/>
    </w:rPr>
  </w:style>
  <w:style w:type="paragraph" w:customStyle="1" w:styleId="Boxcontinued">
    <w:name w:val="Box: (continued)"/>
    <w:basedOn w:val="BoxText"/>
    <w:next w:val="BoxHeading1"/>
    <w:uiPriority w:val="4"/>
    <w:semiHidden/>
    <w:rsid w:val="007206C7"/>
  </w:style>
  <w:style w:type="paragraph" w:customStyle="1" w:styleId="TableFigTextright">
    <w:name w:val="Table/Fig: Text right"/>
    <w:basedOn w:val="TableFigText"/>
    <w:uiPriority w:val="6"/>
    <w:semiHidden/>
    <w:rsid w:val="007206C7"/>
  </w:style>
  <w:style w:type="paragraph" w:customStyle="1" w:styleId="TableFigHeadingtotalright">
    <w:name w:val="Table/Fig: Heading &amp; total right"/>
    <w:basedOn w:val="TableFigHeadingtotal"/>
    <w:uiPriority w:val="6"/>
    <w:semiHidden/>
    <w:rsid w:val="007206C7"/>
  </w:style>
  <w:style w:type="paragraph" w:customStyle="1" w:styleId="TableFigSubtotalright">
    <w:name w:val="Table/Fig: Subtotal right"/>
    <w:basedOn w:val="TableFigSubtotal"/>
    <w:uiPriority w:val="6"/>
    <w:semiHidden/>
    <w:rsid w:val="007206C7"/>
  </w:style>
  <w:style w:type="paragraph" w:customStyle="1" w:styleId="aftercaption">
    <w:name w:val="aftercaption"/>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batch">
    <w:name w:val="batch"/>
    <w:basedOn w:val="Normal"/>
    <w:uiPriority w:val="99"/>
    <w:semiHidden/>
    <w:rsid w:val="007206C7"/>
    <w:pPr>
      <w:pBdr>
        <w:top w:val="single" w:sz="6" w:space="5" w:color="C1C1C1"/>
        <w:left w:val="single" w:sz="6" w:space="5" w:color="C1C1C1"/>
        <w:bottom w:val="single" w:sz="6" w:space="5" w:color="C1C1C1"/>
        <w:right w:val="single" w:sz="6" w:space="5" w:color="C1C1C1"/>
      </w:pBdr>
      <w:shd w:val="clear" w:color="auto" w:fill="FAFBFE"/>
      <w:spacing w:before="100" w:beforeAutospacing="1" w:after="100" w:afterAutospacing="1"/>
    </w:pPr>
    <w:rPr>
      <w:rFonts w:ascii="SAS Monospace" w:hAnsi="SAS Monospace"/>
      <w:color w:val="000000"/>
      <w:szCs w:val="20"/>
    </w:rPr>
  </w:style>
  <w:style w:type="paragraph" w:customStyle="1" w:styleId="beforecaption">
    <w:name w:val="beforecaption"/>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body">
    <w:name w:val="body"/>
    <w:basedOn w:val="Normal"/>
    <w:uiPriority w:val="99"/>
    <w:semiHidden/>
    <w:rsid w:val="007206C7"/>
    <w:pPr>
      <w:shd w:val="clear" w:color="auto" w:fill="FAFBFE"/>
      <w:spacing w:before="100" w:beforeAutospacing="1" w:after="100" w:afterAutospacing="1"/>
      <w:ind w:left="120" w:right="120"/>
    </w:pPr>
    <w:rPr>
      <w:rFonts w:cs="Arial"/>
      <w:color w:val="000000"/>
      <w:szCs w:val="20"/>
    </w:rPr>
  </w:style>
  <w:style w:type="paragraph" w:customStyle="1" w:styleId="bodydate">
    <w:name w:val="bodydate"/>
    <w:basedOn w:val="Normal"/>
    <w:uiPriority w:val="99"/>
    <w:semiHidden/>
    <w:rsid w:val="007206C7"/>
    <w:pPr>
      <w:shd w:val="clear" w:color="auto" w:fill="FAFBFE"/>
      <w:spacing w:before="100" w:beforeAutospacing="1" w:after="100" w:afterAutospacing="1"/>
      <w:jc w:val="right"/>
    </w:pPr>
    <w:rPr>
      <w:rFonts w:cs="Arial"/>
      <w:color w:val="000000"/>
      <w:szCs w:val="20"/>
    </w:rPr>
  </w:style>
  <w:style w:type="paragraph" w:customStyle="1" w:styleId="bycontentfolder">
    <w:name w:val="bycontentfolder"/>
    <w:basedOn w:val="Normal"/>
    <w:uiPriority w:val="99"/>
    <w:semiHidden/>
    <w:rsid w:val="007206C7"/>
    <w:pPr>
      <w:spacing w:before="100" w:beforeAutospacing="1" w:after="100" w:afterAutospacing="1"/>
      <w:ind w:left="120"/>
    </w:pPr>
    <w:rPr>
      <w:rFonts w:cs="Arial"/>
      <w:color w:val="000000"/>
      <w:szCs w:val="20"/>
    </w:rPr>
  </w:style>
  <w:style w:type="paragraph" w:customStyle="1" w:styleId="byline">
    <w:name w:val="byline"/>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bylinecontainer">
    <w:name w:val="bylinecontainer"/>
    <w:basedOn w:val="Normal"/>
    <w:uiPriority w:val="99"/>
    <w:semiHidden/>
    <w:rsid w:val="007206C7"/>
    <w:pPr>
      <w:pBdr>
        <w:top w:val="single" w:sz="2" w:space="0" w:color="000000"/>
        <w:left w:val="single" w:sz="2" w:space="0" w:color="000000"/>
        <w:bottom w:val="single" w:sz="2" w:space="0" w:color="000000"/>
        <w:right w:val="single" w:sz="2" w:space="0" w:color="000000"/>
      </w:pBdr>
      <w:shd w:val="clear" w:color="auto" w:fill="FAFBFE"/>
      <w:spacing w:before="100" w:beforeAutospacing="1" w:after="100" w:afterAutospacing="1"/>
    </w:pPr>
    <w:rPr>
      <w:rFonts w:cs="Arial"/>
      <w:color w:val="000000"/>
      <w:szCs w:val="20"/>
    </w:rPr>
  </w:style>
  <w:style w:type="paragraph" w:customStyle="1" w:styleId="Caption1">
    <w:name w:val="Caption1"/>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cell">
    <w:name w:val="cell"/>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container">
    <w:name w:val="container"/>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contentfolder">
    <w:name w:val="contentfolder"/>
    <w:basedOn w:val="Normal"/>
    <w:uiPriority w:val="99"/>
    <w:semiHidden/>
    <w:rsid w:val="007206C7"/>
    <w:pPr>
      <w:spacing w:before="100" w:beforeAutospacing="1" w:after="100" w:afterAutospacing="1"/>
      <w:ind w:left="120"/>
    </w:pPr>
    <w:rPr>
      <w:rFonts w:cs="Arial"/>
      <w:color w:val="000000"/>
      <w:szCs w:val="20"/>
    </w:rPr>
  </w:style>
  <w:style w:type="paragraph" w:customStyle="1" w:styleId="contentitem">
    <w:name w:val="contentitem"/>
    <w:basedOn w:val="Normal"/>
    <w:uiPriority w:val="99"/>
    <w:semiHidden/>
    <w:rsid w:val="007206C7"/>
    <w:pPr>
      <w:spacing w:before="100" w:beforeAutospacing="1" w:after="100" w:afterAutospacing="1"/>
      <w:ind w:left="120"/>
    </w:pPr>
    <w:rPr>
      <w:rFonts w:cs="Arial"/>
      <w:color w:val="000000"/>
      <w:szCs w:val="20"/>
    </w:rPr>
  </w:style>
  <w:style w:type="paragraph" w:customStyle="1" w:styleId="contentproclabel">
    <w:name w:val="contentproclabel"/>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contentprocname">
    <w:name w:val="contentprocname"/>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contents">
    <w:name w:val="contents"/>
    <w:basedOn w:val="Normal"/>
    <w:uiPriority w:val="99"/>
    <w:semiHidden/>
    <w:rsid w:val="007206C7"/>
    <w:pPr>
      <w:shd w:val="clear" w:color="auto" w:fill="FAFBFE"/>
      <w:spacing w:before="100" w:beforeAutospacing="1" w:after="100" w:afterAutospacing="1"/>
      <w:ind w:left="120" w:right="120"/>
    </w:pPr>
    <w:rPr>
      <w:rFonts w:cs="Arial"/>
      <w:color w:val="000000"/>
      <w:szCs w:val="20"/>
    </w:rPr>
  </w:style>
  <w:style w:type="paragraph" w:customStyle="1" w:styleId="contentsdate">
    <w:name w:val="contentsdate"/>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contenttitle">
    <w:name w:val="contenttitle"/>
    <w:basedOn w:val="Normal"/>
    <w:uiPriority w:val="99"/>
    <w:semiHidden/>
    <w:rsid w:val="007206C7"/>
    <w:pPr>
      <w:shd w:val="clear" w:color="auto" w:fill="FAFBFE"/>
      <w:spacing w:before="100" w:beforeAutospacing="1" w:after="100" w:afterAutospacing="1"/>
    </w:pPr>
    <w:rPr>
      <w:rFonts w:cs="Arial"/>
      <w:b/>
      <w:bCs/>
      <w:i/>
      <w:iCs/>
      <w:color w:val="112277"/>
      <w:szCs w:val="20"/>
    </w:rPr>
  </w:style>
  <w:style w:type="paragraph" w:customStyle="1" w:styleId="continued">
    <w:name w:val="continued"/>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data">
    <w:name w:val="data"/>
    <w:basedOn w:val="Normal"/>
    <w:uiPriority w:val="99"/>
    <w:semiHidden/>
    <w:rsid w:val="007206C7"/>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cs="Arial"/>
      <w:szCs w:val="20"/>
    </w:rPr>
  </w:style>
  <w:style w:type="paragraph" w:customStyle="1" w:styleId="dataemphasis">
    <w:name w:val="dataemphasis"/>
    <w:basedOn w:val="Normal"/>
    <w:uiPriority w:val="99"/>
    <w:semiHidden/>
    <w:rsid w:val="007206C7"/>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cs="Arial"/>
      <w:i/>
      <w:iCs/>
      <w:color w:val="000000"/>
      <w:szCs w:val="20"/>
    </w:rPr>
  </w:style>
  <w:style w:type="paragraph" w:customStyle="1" w:styleId="dataemphasisfixed">
    <w:name w:val="dataemphasisfixed"/>
    <w:basedOn w:val="Normal"/>
    <w:uiPriority w:val="99"/>
    <w:semiHidden/>
    <w:rsid w:val="007206C7"/>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Courier New" w:hAnsi="Courier New" w:cs="Courier New"/>
      <w:i/>
      <w:iCs/>
      <w:color w:val="000000"/>
      <w:szCs w:val="20"/>
    </w:rPr>
  </w:style>
  <w:style w:type="paragraph" w:customStyle="1" w:styleId="dataempty">
    <w:name w:val="dataempty"/>
    <w:basedOn w:val="Normal"/>
    <w:uiPriority w:val="99"/>
    <w:semiHidden/>
    <w:rsid w:val="007206C7"/>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cs="Arial"/>
      <w:szCs w:val="20"/>
    </w:rPr>
  </w:style>
  <w:style w:type="paragraph" w:customStyle="1" w:styleId="datafixed">
    <w:name w:val="datafixed"/>
    <w:basedOn w:val="Normal"/>
    <w:uiPriority w:val="99"/>
    <w:semiHidden/>
    <w:rsid w:val="007206C7"/>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Courier New" w:hAnsi="Courier New" w:cs="Courier New"/>
      <w:szCs w:val="20"/>
    </w:rPr>
  </w:style>
  <w:style w:type="paragraph" w:customStyle="1" w:styleId="datastrong">
    <w:name w:val="datastrong"/>
    <w:basedOn w:val="Normal"/>
    <w:uiPriority w:val="99"/>
    <w:semiHidden/>
    <w:rsid w:val="007206C7"/>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cs="Arial"/>
      <w:b/>
      <w:bCs/>
      <w:color w:val="000000"/>
      <w:szCs w:val="20"/>
    </w:rPr>
  </w:style>
  <w:style w:type="paragraph" w:customStyle="1" w:styleId="datastrongfixed">
    <w:name w:val="datastrongfixed"/>
    <w:basedOn w:val="Normal"/>
    <w:uiPriority w:val="99"/>
    <w:semiHidden/>
    <w:rsid w:val="007206C7"/>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Courier New" w:hAnsi="Courier New" w:cs="Courier New"/>
      <w:b/>
      <w:bCs/>
      <w:color w:val="000000"/>
      <w:szCs w:val="20"/>
    </w:rPr>
  </w:style>
  <w:style w:type="paragraph" w:customStyle="1" w:styleId="document">
    <w:name w:val="document"/>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errorbanner">
    <w:name w:val="errorbanner"/>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errorcontent">
    <w:name w:val="errorcontent"/>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errorcontentfixed">
    <w:name w:val="errorcontentfixed"/>
    <w:basedOn w:val="Normal"/>
    <w:uiPriority w:val="99"/>
    <w:semiHidden/>
    <w:rsid w:val="007206C7"/>
    <w:pPr>
      <w:shd w:val="clear" w:color="auto" w:fill="FAFBFE"/>
      <w:spacing w:before="100" w:beforeAutospacing="1" w:after="100" w:afterAutospacing="1"/>
    </w:pPr>
    <w:rPr>
      <w:rFonts w:ascii="Courier New" w:hAnsi="Courier New" w:cs="Courier New"/>
      <w:color w:val="112277"/>
      <w:szCs w:val="20"/>
    </w:rPr>
  </w:style>
  <w:style w:type="paragraph" w:customStyle="1" w:styleId="extendedpage">
    <w:name w:val="extendedpage"/>
    <w:basedOn w:val="Normal"/>
    <w:uiPriority w:val="99"/>
    <w:semiHidden/>
    <w:rsid w:val="007206C7"/>
    <w:pPr>
      <w:pBdr>
        <w:top w:val="single" w:sz="8" w:space="0" w:color="000000"/>
        <w:left w:val="single" w:sz="8" w:space="0" w:color="000000"/>
        <w:bottom w:val="single" w:sz="8" w:space="0" w:color="000000"/>
        <w:right w:val="single" w:sz="8" w:space="0" w:color="000000"/>
      </w:pBdr>
      <w:shd w:val="clear" w:color="auto" w:fill="FAFBFE"/>
      <w:spacing w:before="100" w:beforeAutospacing="1" w:after="100" w:afterAutospacing="1"/>
      <w:jc w:val="center"/>
    </w:pPr>
    <w:rPr>
      <w:rFonts w:cs="Arial"/>
      <w:i/>
      <w:iCs/>
      <w:color w:val="112277"/>
      <w:szCs w:val="20"/>
    </w:rPr>
  </w:style>
  <w:style w:type="paragraph" w:customStyle="1" w:styleId="fatalbanner">
    <w:name w:val="fatalbanner"/>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fatalcontent">
    <w:name w:val="fatalcontent"/>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fatalcontentfixed">
    <w:name w:val="fatalcontentfixed"/>
    <w:basedOn w:val="Normal"/>
    <w:uiPriority w:val="99"/>
    <w:semiHidden/>
    <w:rsid w:val="007206C7"/>
    <w:pPr>
      <w:shd w:val="clear" w:color="auto" w:fill="FAFBFE"/>
      <w:spacing w:before="100" w:beforeAutospacing="1" w:after="100" w:afterAutospacing="1"/>
    </w:pPr>
    <w:rPr>
      <w:rFonts w:ascii="Courier New" w:hAnsi="Courier New" w:cs="Courier New"/>
      <w:color w:val="112277"/>
      <w:szCs w:val="20"/>
    </w:rPr>
  </w:style>
  <w:style w:type="paragraph" w:customStyle="1" w:styleId="folderaction">
    <w:name w:val="folderaction"/>
    <w:basedOn w:val="Normal"/>
    <w:uiPriority w:val="99"/>
    <w:semiHidden/>
    <w:rsid w:val="007206C7"/>
    <w:pPr>
      <w:spacing w:before="100" w:beforeAutospacing="1" w:after="100" w:afterAutospacing="1"/>
      <w:ind w:left="120"/>
    </w:pPr>
    <w:rPr>
      <w:rFonts w:cs="Arial"/>
      <w:color w:val="000000"/>
      <w:szCs w:val="20"/>
    </w:rPr>
  </w:style>
  <w:style w:type="paragraph" w:customStyle="1" w:styleId="Footer1">
    <w:name w:val="Footer1"/>
    <w:basedOn w:val="Normal"/>
    <w:uiPriority w:val="99"/>
    <w:semiHidden/>
    <w:rsid w:val="007206C7"/>
    <w:pPr>
      <w:shd w:val="clear" w:color="auto" w:fill="EDF2F9"/>
      <w:spacing w:before="100" w:beforeAutospacing="1" w:after="100" w:afterAutospacing="1"/>
    </w:pPr>
    <w:rPr>
      <w:rFonts w:cs="Arial"/>
      <w:b/>
      <w:bCs/>
      <w:color w:val="000000"/>
      <w:szCs w:val="20"/>
    </w:rPr>
  </w:style>
  <w:style w:type="paragraph" w:customStyle="1" w:styleId="footeremphasis">
    <w:name w:val="footeremphasis"/>
    <w:basedOn w:val="Normal"/>
    <w:uiPriority w:val="99"/>
    <w:semiHidden/>
    <w:rsid w:val="007206C7"/>
    <w:pPr>
      <w:shd w:val="clear" w:color="auto" w:fill="EDF2F9"/>
      <w:spacing w:before="100" w:beforeAutospacing="1" w:after="100" w:afterAutospacing="1"/>
    </w:pPr>
    <w:rPr>
      <w:rFonts w:cs="Arial"/>
      <w:i/>
      <w:iCs/>
      <w:color w:val="000000"/>
      <w:szCs w:val="20"/>
    </w:rPr>
  </w:style>
  <w:style w:type="paragraph" w:customStyle="1" w:styleId="footeremphasisfixed">
    <w:name w:val="footeremphasisfixed"/>
    <w:basedOn w:val="Normal"/>
    <w:uiPriority w:val="99"/>
    <w:semiHidden/>
    <w:rsid w:val="007206C7"/>
    <w:pPr>
      <w:shd w:val="clear" w:color="auto" w:fill="EDF2F9"/>
      <w:spacing w:before="100" w:beforeAutospacing="1" w:after="100" w:afterAutospacing="1"/>
    </w:pPr>
    <w:rPr>
      <w:rFonts w:ascii="Courier New" w:hAnsi="Courier New" w:cs="Courier New"/>
      <w:i/>
      <w:iCs/>
      <w:color w:val="000000"/>
      <w:szCs w:val="20"/>
    </w:rPr>
  </w:style>
  <w:style w:type="paragraph" w:customStyle="1" w:styleId="footerempty">
    <w:name w:val="footerempty"/>
    <w:basedOn w:val="Normal"/>
    <w:uiPriority w:val="99"/>
    <w:semiHidden/>
    <w:rsid w:val="007206C7"/>
    <w:pPr>
      <w:shd w:val="clear" w:color="auto" w:fill="EDF2F9"/>
      <w:spacing w:before="100" w:beforeAutospacing="1" w:after="100" w:afterAutospacing="1"/>
    </w:pPr>
    <w:rPr>
      <w:rFonts w:cs="Arial"/>
      <w:b/>
      <w:bCs/>
      <w:color w:val="000000"/>
      <w:szCs w:val="20"/>
    </w:rPr>
  </w:style>
  <w:style w:type="paragraph" w:customStyle="1" w:styleId="footerfixed">
    <w:name w:val="footerfixed"/>
    <w:basedOn w:val="Normal"/>
    <w:uiPriority w:val="99"/>
    <w:semiHidden/>
    <w:rsid w:val="007206C7"/>
    <w:pPr>
      <w:shd w:val="clear" w:color="auto" w:fill="EDF2F9"/>
      <w:spacing w:before="100" w:beforeAutospacing="1" w:after="100" w:afterAutospacing="1"/>
    </w:pPr>
    <w:rPr>
      <w:rFonts w:ascii="Courier New" w:hAnsi="Courier New" w:cs="Courier New"/>
      <w:color w:val="000000"/>
      <w:szCs w:val="20"/>
    </w:rPr>
  </w:style>
  <w:style w:type="paragraph" w:customStyle="1" w:styleId="footerstrong">
    <w:name w:val="footerstrong"/>
    <w:basedOn w:val="Normal"/>
    <w:uiPriority w:val="99"/>
    <w:semiHidden/>
    <w:rsid w:val="007206C7"/>
    <w:pPr>
      <w:shd w:val="clear" w:color="auto" w:fill="EDF2F9"/>
      <w:spacing w:before="100" w:beforeAutospacing="1" w:after="100" w:afterAutospacing="1"/>
    </w:pPr>
    <w:rPr>
      <w:rFonts w:cs="Arial"/>
      <w:b/>
      <w:bCs/>
      <w:color w:val="000000"/>
      <w:szCs w:val="20"/>
    </w:rPr>
  </w:style>
  <w:style w:type="paragraph" w:customStyle="1" w:styleId="footerstrongfixed">
    <w:name w:val="footerstrongfixed"/>
    <w:basedOn w:val="Normal"/>
    <w:uiPriority w:val="99"/>
    <w:semiHidden/>
    <w:rsid w:val="007206C7"/>
    <w:pPr>
      <w:shd w:val="clear" w:color="auto" w:fill="EDF2F9"/>
      <w:spacing w:before="100" w:beforeAutospacing="1" w:after="100" w:afterAutospacing="1"/>
    </w:pPr>
    <w:rPr>
      <w:rFonts w:ascii="Courier New" w:hAnsi="Courier New" w:cs="Courier New"/>
      <w:b/>
      <w:bCs/>
      <w:color w:val="000000"/>
      <w:szCs w:val="20"/>
    </w:rPr>
  </w:style>
  <w:style w:type="paragraph" w:customStyle="1" w:styleId="frame">
    <w:name w:val="frame"/>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graph">
    <w:name w:val="graph"/>
    <w:basedOn w:val="Normal"/>
    <w:uiPriority w:val="99"/>
    <w:semiHidden/>
    <w:rsid w:val="007206C7"/>
    <w:pPr>
      <w:pBdr>
        <w:top w:val="single" w:sz="6" w:space="0" w:color="C1C1C1"/>
        <w:left w:val="single" w:sz="6" w:space="0" w:color="C1C1C1"/>
        <w:bottom w:val="single" w:sz="6" w:space="0" w:color="C1C1C1"/>
        <w:right w:val="single" w:sz="6" w:space="0" w:color="C1C1C1"/>
      </w:pBdr>
      <w:shd w:val="clear" w:color="auto" w:fill="FAFBFE"/>
      <w:spacing w:before="100" w:beforeAutospacing="1" w:after="100" w:afterAutospacing="1"/>
    </w:pPr>
    <w:rPr>
      <w:rFonts w:cs="Arial"/>
      <w:color w:val="000000"/>
      <w:szCs w:val="20"/>
    </w:rPr>
  </w:style>
  <w:style w:type="paragraph" w:customStyle="1" w:styleId="Header1">
    <w:name w:val="Header1"/>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cs="Arial"/>
      <w:b/>
      <w:bCs/>
      <w:color w:val="112277"/>
      <w:szCs w:val="20"/>
    </w:rPr>
  </w:style>
  <w:style w:type="paragraph" w:customStyle="1" w:styleId="headeremphasis">
    <w:name w:val="headeremphasis"/>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cs="Arial"/>
      <w:i/>
      <w:iCs/>
      <w:color w:val="000000"/>
      <w:szCs w:val="20"/>
    </w:rPr>
  </w:style>
  <w:style w:type="paragraph" w:customStyle="1" w:styleId="headeremphasisfixed">
    <w:name w:val="headeremphasisfixed"/>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ascii="Courier New" w:hAnsi="Courier New" w:cs="Courier New"/>
      <w:i/>
      <w:iCs/>
      <w:color w:val="000000"/>
      <w:szCs w:val="20"/>
    </w:rPr>
  </w:style>
  <w:style w:type="paragraph" w:customStyle="1" w:styleId="headerempty">
    <w:name w:val="headerempty"/>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cs="Arial"/>
      <w:b/>
      <w:bCs/>
      <w:color w:val="112277"/>
      <w:szCs w:val="20"/>
    </w:rPr>
  </w:style>
  <w:style w:type="paragraph" w:customStyle="1" w:styleId="headerfixed">
    <w:name w:val="headerfixed"/>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hAnsi="Courier New" w:cs="Courier New"/>
      <w:color w:val="112277"/>
      <w:szCs w:val="20"/>
    </w:rPr>
  </w:style>
  <w:style w:type="paragraph" w:customStyle="1" w:styleId="headersandfooters">
    <w:name w:val="headersandfooters"/>
    <w:basedOn w:val="Normal"/>
    <w:uiPriority w:val="99"/>
    <w:semiHidden/>
    <w:rsid w:val="007206C7"/>
    <w:pPr>
      <w:shd w:val="clear" w:color="auto" w:fill="EDF2F9"/>
      <w:spacing w:before="100" w:beforeAutospacing="1" w:after="100" w:afterAutospacing="1"/>
    </w:pPr>
    <w:rPr>
      <w:rFonts w:cs="Arial"/>
      <w:b/>
      <w:bCs/>
      <w:color w:val="000000"/>
      <w:szCs w:val="20"/>
    </w:rPr>
  </w:style>
  <w:style w:type="paragraph" w:customStyle="1" w:styleId="headerstrong">
    <w:name w:val="headerstrong"/>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cs="Arial"/>
      <w:b/>
      <w:bCs/>
      <w:color w:val="000000"/>
      <w:szCs w:val="20"/>
    </w:rPr>
  </w:style>
  <w:style w:type="paragraph" w:customStyle="1" w:styleId="headerstrongfixed">
    <w:name w:val="headerstrongfixed"/>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ascii="Courier New" w:hAnsi="Courier New" w:cs="Courier New"/>
      <w:b/>
      <w:bCs/>
      <w:color w:val="000000"/>
      <w:szCs w:val="20"/>
    </w:rPr>
  </w:style>
  <w:style w:type="paragraph" w:customStyle="1" w:styleId="index">
    <w:name w:val="index"/>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indexaction">
    <w:name w:val="indexaction"/>
    <w:basedOn w:val="Normal"/>
    <w:uiPriority w:val="99"/>
    <w:semiHidden/>
    <w:rsid w:val="007206C7"/>
    <w:pPr>
      <w:spacing w:before="100" w:beforeAutospacing="1" w:after="100" w:afterAutospacing="1"/>
      <w:ind w:left="120"/>
    </w:pPr>
    <w:rPr>
      <w:rFonts w:cs="Arial"/>
      <w:color w:val="000000"/>
      <w:szCs w:val="20"/>
    </w:rPr>
  </w:style>
  <w:style w:type="paragraph" w:customStyle="1" w:styleId="indexitem">
    <w:name w:val="indexitem"/>
    <w:basedOn w:val="Normal"/>
    <w:uiPriority w:val="99"/>
    <w:semiHidden/>
    <w:rsid w:val="007206C7"/>
    <w:pPr>
      <w:spacing w:before="100" w:beforeAutospacing="1" w:after="100" w:afterAutospacing="1"/>
      <w:ind w:left="120"/>
    </w:pPr>
    <w:rPr>
      <w:rFonts w:cs="Arial"/>
      <w:color w:val="000000"/>
      <w:szCs w:val="20"/>
    </w:rPr>
  </w:style>
  <w:style w:type="paragraph" w:customStyle="1" w:styleId="indexprocname">
    <w:name w:val="indexprocname"/>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indextitle">
    <w:name w:val="indextitle"/>
    <w:basedOn w:val="Normal"/>
    <w:uiPriority w:val="99"/>
    <w:semiHidden/>
    <w:rsid w:val="007206C7"/>
    <w:pPr>
      <w:shd w:val="clear" w:color="auto" w:fill="FAFBFE"/>
      <w:spacing w:before="100" w:beforeAutospacing="1" w:after="100" w:afterAutospacing="1"/>
    </w:pPr>
    <w:rPr>
      <w:rFonts w:cs="Arial"/>
      <w:b/>
      <w:bCs/>
      <w:i/>
      <w:iCs/>
      <w:color w:val="112277"/>
      <w:szCs w:val="20"/>
    </w:rPr>
  </w:style>
  <w:style w:type="paragraph" w:customStyle="1" w:styleId="layoutcontainer">
    <w:name w:val="layoutcontainer"/>
    <w:basedOn w:val="Normal"/>
    <w:uiPriority w:val="99"/>
    <w:semiHidden/>
    <w:rsid w:val="007206C7"/>
    <w:pPr>
      <w:pBdr>
        <w:top w:val="single" w:sz="2"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sz w:val="24"/>
    </w:rPr>
  </w:style>
  <w:style w:type="paragraph" w:customStyle="1" w:styleId="layoutregion">
    <w:name w:val="layoutregion"/>
    <w:basedOn w:val="Normal"/>
    <w:uiPriority w:val="99"/>
    <w:semiHidden/>
    <w:rsid w:val="007206C7"/>
    <w:pPr>
      <w:pBdr>
        <w:top w:val="single" w:sz="2"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sz w:val="24"/>
    </w:rPr>
  </w:style>
  <w:style w:type="paragraph" w:customStyle="1" w:styleId="List1">
    <w:name w:val="List1"/>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10">
    <w:name w:val="list10"/>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20">
    <w:name w:val="list2"/>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30">
    <w:name w:val="list3"/>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40">
    <w:name w:val="list4"/>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50">
    <w:name w:val="list5"/>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6">
    <w:name w:val="list6"/>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7">
    <w:name w:val="list7"/>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8">
    <w:name w:val="list8"/>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9">
    <w:name w:val="list9"/>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
    <w:name w:val="listitem"/>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10">
    <w:name w:val="listitem10"/>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2">
    <w:name w:val="listitem2"/>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3">
    <w:name w:val="listitem3"/>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4">
    <w:name w:val="listitem4"/>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5">
    <w:name w:val="listitem5"/>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6">
    <w:name w:val="listitem6"/>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7">
    <w:name w:val="listitem7"/>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8">
    <w:name w:val="listitem8"/>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9">
    <w:name w:val="listitem9"/>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note">
    <w:name w:val="note"/>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notebanner">
    <w:name w:val="notebanner"/>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notecontent">
    <w:name w:val="notecontent"/>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notecontentfixed">
    <w:name w:val="notecontentfixed"/>
    <w:basedOn w:val="Normal"/>
    <w:uiPriority w:val="99"/>
    <w:semiHidden/>
    <w:rsid w:val="007206C7"/>
    <w:pPr>
      <w:shd w:val="clear" w:color="auto" w:fill="FAFBFE"/>
      <w:spacing w:before="100" w:beforeAutospacing="1" w:after="100" w:afterAutospacing="1"/>
    </w:pPr>
    <w:rPr>
      <w:rFonts w:ascii="Courier New" w:hAnsi="Courier New" w:cs="Courier New"/>
      <w:color w:val="112277"/>
      <w:szCs w:val="20"/>
    </w:rPr>
  </w:style>
  <w:style w:type="paragraph" w:customStyle="1" w:styleId="output">
    <w:name w:val="output"/>
    <w:basedOn w:val="Normal"/>
    <w:uiPriority w:val="99"/>
    <w:semiHidden/>
    <w:rsid w:val="007206C7"/>
    <w:pPr>
      <w:pBdr>
        <w:top w:val="single" w:sz="6" w:space="0" w:color="C1C1C1"/>
        <w:left w:val="single" w:sz="6" w:space="0" w:color="C1C1C1"/>
        <w:bottom w:val="single" w:sz="6" w:space="0" w:color="C1C1C1"/>
        <w:right w:val="single" w:sz="6" w:space="0" w:color="C1C1C1"/>
      </w:pBdr>
      <w:shd w:val="clear" w:color="auto" w:fill="FAFBFE"/>
      <w:spacing w:before="100" w:beforeAutospacing="1" w:after="100" w:afterAutospacing="1"/>
    </w:pPr>
    <w:rPr>
      <w:rFonts w:cs="Arial"/>
      <w:color w:val="000000"/>
      <w:szCs w:val="20"/>
    </w:rPr>
  </w:style>
  <w:style w:type="paragraph" w:customStyle="1" w:styleId="pageno">
    <w:name w:val="pageno"/>
    <w:basedOn w:val="Normal"/>
    <w:uiPriority w:val="99"/>
    <w:semiHidden/>
    <w:rsid w:val="007206C7"/>
    <w:pPr>
      <w:shd w:val="clear" w:color="auto" w:fill="FAFBFE"/>
      <w:spacing w:before="100" w:beforeAutospacing="1" w:after="100" w:afterAutospacing="1"/>
      <w:jc w:val="right"/>
    </w:pPr>
    <w:rPr>
      <w:rFonts w:cs="Arial"/>
      <w:b/>
      <w:bCs/>
      <w:color w:val="112277"/>
      <w:szCs w:val="20"/>
    </w:rPr>
  </w:style>
  <w:style w:type="paragraph" w:customStyle="1" w:styleId="pages">
    <w:name w:val="pages"/>
    <w:basedOn w:val="Normal"/>
    <w:uiPriority w:val="99"/>
    <w:semiHidden/>
    <w:rsid w:val="007206C7"/>
    <w:pPr>
      <w:shd w:val="clear" w:color="auto" w:fill="FAFBFE"/>
      <w:spacing w:before="100" w:beforeAutospacing="1" w:after="100" w:afterAutospacing="1"/>
      <w:ind w:left="120" w:right="120"/>
    </w:pPr>
    <w:rPr>
      <w:rFonts w:cs="Arial"/>
      <w:color w:val="000000"/>
      <w:szCs w:val="20"/>
    </w:rPr>
  </w:style>
  <w:style w:type="paragraph" w:customStyle="1" w:styleId="pagesdate">
    <w:name w:val="pagesdate"/>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pagesitem">
    <w:name w:val="pagesitem"/>
    <w:basedOn w:val="Normal"/>
    <w:uiPriority w:val="99"/>
    <w:semiHidden/>
    <w:rsid w:val="007206C7"/>
    <w:pPr>
      <w:spacing w:before="100" w:beforeAutospacing="1" w:after="100" w:afterAutospacing="1"/>
      <w:ind w:left="120"/>
    </w:pPr>
    <w:rPr>
      <w:rFonts w:cs="Arial"/>
      <w:color w:val="000000"/>
      <w:szCs w:val="20"/>
    </w:rPr>
  </w:style>
  <w:style w:type="paragraph" w:customStyle="1" w:styleId="pagesproclabel">
    <w:name w:val="pagesproclabel"/>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pagesprocname">
    <w:name w:val="pagesprocname"/>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pagestitle">
    <w:name w:val="pagestitle"/>
    <w:basedOn w:val="Normal"/>
    <w:uiPriority w:val="99"/>
    <w:semiHidden/>
    <w:rsid w:val="007206C7"/>
    <w:pPr>
      <w:shd w:val="clear" w:color="auto" w:fill="FAFBFE"/>
      <w:spacing w:before="100" w:beforeAutospacing="1" w:after="100" w:afterAutospacing="1"/>
    </w:pPr>
    <w:rPr>
      <w:rFonts w:cs="Arial"/>
      <w:b/>
      <w:bCs/>
      <w:i/>
      <w:iCs/>
      <w:color w:val="112277"/>
      <w:szCs w:val="20"/>
    </w:rPr>
  </w:style>
  <w:style w:type="paragraph" w:customStyle="1" w:styleId="paragraph">
    <w:name w:val="paragraph"/>
    <w:basedOn w:val="Normal"/>
    <w:rsid w:val="007206C7"/>
    <w:pPr>
      <w:shd w:val="clear" w:color="auto" w:fill="FAFBFE"/>
      <w:spacing w:before="100" w:beforeAutospacing="1" w:after="100" w:afterAutospacing="1"/>
    </w:pPr>
    <w:rPr>
      <w:rFonts w:cs="Arial"/>
      <w:color w:val="000000"/>
      <w:szCs w:val="20"/>
    </w:rPr>
  </w:style>
  <w:style w:type="paragraph" w:customStyle="1" w:styleId="parskip">
    <w:name w:val="parskip"/>
    <w:basedOn w:val="Normal"/>
    <w:uiPriority w:val="99"/>
    <w:semiHidden/>
    <w:rsid w:val="007206C7"/>
    <w:pPr>
      <w:pBdr>
        <w:top w:val="single" w:sz="2" w:space="0" w:color="000000"/>
        <w:left w:val="single" w:sz="2" w:space="0" w:color="000000"/>
        <w:bottom w:val="single" w:sz="2" w:space="0" w:color="000000"/>
        <w:right w:val="single" w:sz="2" w:space="0" w:color="000000"/>
      </w:pBdr>
      <w:spacing w:before="100" w:beforeAutospacing="1" w:after="100" w:afterAutospacing="1"/>
    </w:pPr>
    <w:rPr>
      <w:rFonts w:cs="Arial"/>
      <w:b/>
      <w:bCs/>
      <w:szCs w:val="20"/>
    </w:rPr>
  </w:style>
  <w:style w:type="paragraph" w:customStyle="1" w:styleId="prepage">
    <w:name w:val="prepage"/>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proctitle">
    <w:name w:val="proctitle"/>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proctitlefixed">
    <w:name w:val="proctitlefixed"/>
    <w:basedOn w:val="Normal"/>
    <w:uiPriority w:val="99"/>
    <w:semiHidden/>
    <w:rsid w:val="007206C7"/>
    <w:pPr>
      <w:shd w:val="clear" w:color="auto" w:fill="FAFBFE"/>
      <w:spacing w:before="100" w:beforeAutospacing="1" w:after="100" w:afterAutospacing="1"/>
    </w:pPr>
    <w:rPr>
      <w:rFonts w:ascii="Courier New" w:hAnsi="Courier New" w:cs="Courier New"/>
      <w:b/>
      <w:bCs/>
      <w:color w:val="112277"/>
      <w:szCs w:val="20"/>
    </w:rPr>
  </w:style>
  <w:style w:type="paragraph" w:customStyle="1" w:styleId="rowfooter">
    <w:name w:val="rowfooter"/>
    <w:basedOn w:val="Normal"/>
    <w:uiPriority w:val="99"/>
    <w:semiHidden/>
    <w:rsid w:val="007206C7"/>
    <w:pPr>
      <w:shd w:val="clear" w:color="auto" w:fill="EDF2F9"/>
      <w:spacing w:before="100" w:beforeAutospacing="1" w:after="100" w:afterAutospacing="1"/>
    </w:pPr>
    <w:rPr>
      <w:rFonts w:cs="Arial"/>
      <w:b/>
      <w:bCs/>
      <w:color w:val="000000"/>
      <w:szCs w:val="20"/>
    </w:rPr>
  </w:style>
  <w:style w:type="paragraph" w:customStyle="1" w:styleId="rowfooteremphasis">
    <w:name w:val="rowfooteremphasis"/>
    <w:basedOn w:val="Normal"/>
    <w:uiPriority w:val="99"/>
    <w:semiHidden/>
    <w:rsid w:val="007206C7"/>
    <w:pPr>
      <w:shd w:val="clear" w:color="auto" w:fill="EDF2F9"/>
      <w:spacing w:before="100" w:beforeAutospacing="1" w:after="100" w:afterAutospacing="1"/>
    </w:pPr>
    <w:rPr>
      <w:rFonts w:cs="Arial"/>
      <w:i/>
      <w:iCs/>
      <w:color w:val="000000"/>
      <w:szCs w:val="20"/>
    </w:rPr>
  </w:style>
  <w:style w:type="paragraph" w:customStyle="1" w:styleId="rowfooteremphasisfixed">
    <w:name w:val="rowfooteremphasisfixed"/>
    <w:basedOn w:val="Normal"/>
    <w:uiPriority w:val="99"/>
    <w:semiHidden/>
    <w:rsid w:val="007206C7"/>
    <w:pPr>
      <w:shd w:val="clear" w:color="auto" w:fill="EDF2F9"/>
      <w:spacing w:before="100" w:beforeAutospacing="1" w:after="100" w:afterAutospacing="1"/>
    </w:pPr>
    <w:rPr>
      <w:rFonts w:ascii="Courier New" w:hAnsi="Courier New" w:cs="Courier New"/>
      <w:i/>
      <w:iCs/>
      <w:color w:val="000000"/>
      <w:szCs w:val="20"/>
    </w:rPr>
  </w:style>
  <w:style w:type="paragraph" w:customStyle="1" w:styleId="rowfooterempty">
    <w:name w:val="rowfooterempty"/>
    <w:basedOn w:val="Normal"/>
    <w:uiPriority w:val="99"/>
    <w:semiHidden/>
    <w:rsid w:val="007206C7"/>
    <w:pPr>
      <w:shd w:val="clear" w:color="auto" w:fill="EDF2F9"/>
      <w:spacing w:before="100" w:beforeAutospacing="1" w:after="100" w:afterAutospacing="1"/>
    </w:pPr>
    <w:rPr>
      <w:rFonts w:cs="Arial"/>
      <w:b/>
      <w:bCs/>
      <w:color w:val="000000"/>
      <w:szCs w:val="20"/>
    </w:rPr>
  </w:style>
  <w:style w:type="paragraph" w:customStyle="1" w:styleId="rowfooterfixed">
    <w:name w:val="rowfooterfixed"/>
    <w:basedOn w:val="Normal"/>
    <w:uiPriority w:val="99"/>
    <w:semiHidden/>
    <w:rsid w:val="007206C7"/>
    <w:pPr>
      <w:shd w:val="clear" w:color="auto" w:fill="EDF2F9"/>
      <w:spacing w:before="100" w:beforeAutospacing="1" w:after="100" w:afterAutospacing="1"/>
    </w:pPr>
    <w:rPr>
      <w:rFonts w:ascii="Courier New" w:hAnsi="Courier New" w:cs="Courier New"/>
      <w:color w:val="000000"/>
      <w:szCs w:val="20"/>
    </w:rPr>
  </w:style>
  <w:style w:type="paragraph" w:customStyle="1" w:styleId="rowfooterstrong">
    <w:name w:val="rowfooterstrong"/>
    <w:basedOn w:val="Normal"/>
    <w:uiPriority w:val="99"/>
    <w:semiHidden/>
    <w:rsid w:val="007206C7"/>
    <w:pPr>
      <w:shd w:val="clear" w:color="auto" w:fill="EDF2F9"/>
      <w:spacing w:before="100" w:beforeAutospacing="1" w:after="100" w:afterAutospacing="1"/>
    </w:pPr>
    <w:rPr>
      <w:rFonts w:cs="Arial"/>
      <w:b/>
      <w:bCs/>
      <w:color w:val="000000"/>
      <w:szCs w:val="20"/>
    </w:rPr>
  </w:style>
  <w:style w:type="paragraph" w:customStyle="1" w:styleId="rowfooterstrongfixed">
    <w:name w:val="rowfooterstrongfixed"/>
    <w:basedOn w:val="Normal"/>
    <w:uiPriority w:val="99"/>
    <w:semiHidden/>
    <w:rsid w:val="007206C7"/>
    <w:pPr>
      <w:shd w:val="clear" w:color="auto" w:fill="EDF2F9"/>
      <w:spacing w:before="100" w:beforeAutospacing="1" w:after="100" w:afterAutospacing="1"/>
    </w:pPr>
    <w:rPr>
      <w:rFonts w:ascii="Courier New" w:hAnsi="Courier New" w:cs="Courier New"/>
      <w:b/>
      <w:bCs/>
      <w:color w:val="000000"/>
      <w:szCs w:val="20"/>
    </w:rPr>
  </w:style>
  <w:style w:type="paragraph" w:customStyle="1" w:styleId="rowheader">
    <w:name w:val="rowheader"/>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cs="Arial"/>
      <w:b/>
      <w:bCs/>
      <w:color w:val="112277"/>
      <w:szCs w:val="20"/>
    </w:rPr>
  </w:style>
  <w:style w:type="paragraph" w:customStyle="1" w:styleId="rowheaderemphasis">
    <w:name w:val="rowheaderemphasis"/>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cs="Arial"/>
      <w:i/>
      <w:iCs/>
      <w:color w:val="112277"/>
      <w:szCs w:val="20"/>
    </w:rPr>
  </w:style>
  <w:style w:type="paragraph" w:customStyle="1" w:styleId="rowheaderemphasisfixed">
    <w:name w:val="rowheaderemphasisfixed"/>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hAnsi="Courier New" w:cs="Courier New"/>
      <w:i/>
      <w:iCs/>
      <w:color w:val="112277"/>
      <w:szCs w:val="20"/>
    </w:rPr>
  </w:style>
  <w:style w:type="paragraph" w:customStyle="1" w:styleId="rowheaderempty">
    <w:name w:val="rowheaderempty"/>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cs="Arial"/>
      <w:b/>
      <w:bCs/>
      <w:color w:val="112277"/>
      <w:szCs w:val="20"/>
    </w:rPr>
  </w:style>
  <w:style w:type="paragraph" w:customStyle="1" w:styleId="rowheaderfixed">
    <w:name w:val="rowheaderfixed"/>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hAnsi="Courier New" w:cs="Courier New"/>
      <w:color w:val="112277"/>
      <w:szCs w:val="20"/>
    </w:rPr>
  </w:style>
  <w:style w:type="paragraph" w:customStyle="1" w:styleId="rowheaderstrong">
    <w:name w:val="rowheaderstrong"/>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cs="Arial"/>
      <w:b/>
      <w:bCs/>
      <w:color w:val="112277"/>
      <w:szCs w:val="20"/>
    </w:rPr>
  </w:style>
  <w:style w:type="paragraph" w:customStyle="1" w:styleId="rowheaderstrongfixed">
    <w:name w:val="rowheaderstrongfixed"/>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hAnsi="Courier New" w:cs="Courier New"/>
      <w:b/>
      <w:bCs/>
      <w:color w:val="112277"/>
      <w:szCs w:val="20"/>
    </w:rPr>
  </w:style>
  <w:style w:type="paragraph" w:customStyle="1" w:styleId="systemfooter">
    <w:name w:val="systemfooter"/>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footer10">
    <w:name w:val="systemfooter10"/>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footer2">
    <w:name w:val="systemfooter2"/>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footer3">
    <w:name w:val="systemfooter3"/>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footer4">
    <w:name w:val="systemfooter4"/>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footer5">
    <w:name w:val="systemfooter5"/>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footer6">
    <w:name w:val="systemfooter6"/>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footer7">
    <w:name w:val="systemfooter7"/>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footer8">
    <w:name w:val="systemfooter8"/>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footer9">
    <w:name w:val="systemfooter9"/>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title">
    <w:name w:val="systemtitle"/>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emtitle10">
    <w:name w:val="systemtitle10"/>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emtitle2">
    <w:name w:val="systemtitle2"/>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emtitle3">
    <w:name w:val="systemtitle3"/>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emtitle4">
    <w:name w:val="systemtitle4"/>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emtitle5">
    <w:name w:val="systemtitle5"/>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emtitle6">
    <w:name w:val="systemtitle6"/>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emtitle7">
    <w:name w:val="systemtitle7"/>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emtitle8">
    <w:name w:val="systemtitle8"/>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emtitle9">
    <w:name w:val="systemtitle9"/>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itleandfootercontainer">
    <w:name w:val="systitleandfootercontainer"/>
    <w:basedOn w:val="Normal"/>
    <w:uiPriority w:val="99"/>
    <w:semiHidden/>
    <w:rsid w:val="007206C7"/>
    <w:pPr>
      <w:pBdr>
        <w:top w:val="single" w:sz="2" w:space="0" w:color="000000"/>
        <w:left w:val="single" w:sz="2" w:space="0" w:color="000000"/>
        <w:bottom w:val="single" w:sz="2" w:space="0" w:color="000000"/>
        <w:right w:val="single" w:sz="2" w:space="0" w:color="000000"/>
      </w:pBdr>
      <w:shd w:val="clear" w:color="auto" w:fill="FAFBFE"/>
      <w:spacing w:before="100" w:beforeAutospacing="1" w:after="100" w:afterAutospacing="1"/>
    </w:pPr>
    <w:rPr>
      <w:rFonts w:cs="Arial"/>
      <w:color w:val="000000"/>
      <w:szCs w:val="20"/>
    </w:rPr>
  </w:style>
  <w:style w:type="paragraph" w:customStyle="1" w:styleId="table">
    <w:name w:val="table"/>
    <w:basedOn w:val="Normal"/>
    <w:uiPriority w:val="99"/>
    <w:semiHidden/>
    <w:rsid w:val="007206C7"/>
    <w:pPr>
      <w:pBdr>
        <w:top w:val="single" w:sz="6" w:space="0" w:color="C1C1C1"/>
        <w:left w:val="single" w:sz="6" w:space="0" w:color="C1C1C1"/>
        <w:bottom w:val="single" w:sz="2" w:space="0" w:color="C1C1C1"/>
        <w:right w:val="single" w:sz="2" w:space="0" w:color="C1C1C1"/>
      </w:pBdr>
      <w:spacing w:before="100" w:beforeAutospacing="1" w:after="100" w:afterAutospacing="1"/>
    </w:pPr>
    <w:rPr>
      <w:rFonts w:ascii="Times New Roman" w:hAnsi="Times New Roman"/>
      <w:sz w:val="24"/>
    </w:rPr>
  </w:style>
  <w:style w:type="paragraph" w:customStyle="1" w:styleId="topstackedvalue">
    <w:name w:val="top_stacked_value"/>
    <w:basedOn w:val="Normal"/>
    <w:uiPriority w:val="99"/>
    <w:semiHidden/>
    <w:rsid w:val="007206C7"/>
    <w:pPr>
      <w:spacing w:before="100" w:beforeAutospacing="1" w:after="100" w:afterAutospacing="1"/>
    </w:pPr>
    <w:rPr>
      <w:rFonts w:ascii="Times New Roman" w:hAnsi="Times New Roman"/>
      <w:sz w:val="24"/>
    </w:rPr>
  </w:style>
  <w:style w:type="paragraph" w:customStyle="1" w:styleId="middlestackedvalue">
    <w:name w:val="middle_stacked_value"/>
    <w:basedOn w:val="Normal"/>
    <w:uiPriority w:val="99"/>
    <w:semiHidden/>
    <w:rsid w:val="007206C7"/>
    <w:pPr>
      <w:spacing w:before="100" w:beforeAutospacing="1" w:after="100" w:afterAutospacing="1"/>
    </w:pPr>
    <w:rPr>
      <w:rFonts w:ascii="Times New Roman" w:hAnsi="Times New Roman"/>
      <w:sz w:val="24"/>
    </w:rPr>
  </w:style>
  <w:style w:type="paragraph" w:customStyle="1" w:styleId="bottomstackedvalue">
    <w:name w:val="bottom_stacked_value"/>
    <w:basedOn w:val="Normal"/>
    <w:uiPriority w:val="99"/>
    <w:semiHidden/>
    <w:rsid w:val="007206C7"/>
    <w:pPr>
      <w:spacing w:before="100" w:beforeAutospacing="1" w:after="100" w:afterAutospacing="1"/>
    </w:pPr>
    <w:rPr>
      <w:rFonts w:ascii="Times New Roman" w:hAnsi="Times New Roman"/>
      <w:sz w:val="24"/>
    </w:rPr>
  </w:style>
  <w:style w:type="paragraph" w:customStyle="1" w:styleId="titleandnotecontainer">
    <w:name w:val="titleandnotecontainer"/>
    <w:basedOn w:val="Normal"/>
    <w:uiPriority w:val="99"/>
    <w:semiHidden/>
    <w:rsid w:val="007206C7"/>
    <w:pPr>
      <w:pBdr>
        <w:top w:val="single" w:sz="2" w:space="0" w:color="000000"/>
        <w:left w:val="single" w:sz="2" w:space="0" w:color="000000"/>
        <w:bottom w:val="single" w:sz="2" w:space="0" w:color="000000"/>
        <w:right w:val="single" w:sz="2" w:space="0" w:color="000000"/>
      </w:pBdr>
      <w:shd w:val="clear" w:color="auto" w:fill="FAFBFE"/>
      <w:spacing w:before="100" w:beforeAutospacing="1" w:after="100" w:afterAutospacing="1"/>
    </w:pPr>
    <w:rPr>
      <w:rFonts w:cs="Arial"/>
      <w:color w:val="000000"/>
      <w:szCs w:val="20"/>
    </w:rPr>
  </w:style>
  <w:style w:type="paragraph" w:customStyle="1" w:styleId="titlesandfooters">
    <w:name w:val="titlesandfooters"/>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usertext">
    <w:name w:val="usertext"/>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warnbanner">
    <w:name w:val="warnbanner"/>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warncontent">
    <w:name w:val="warncontent"/>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warncontentfixed">
    <w:name w:val="warncontentfixed"/>
    <w:basedOn w:val="Normal"/>
    <w:uiPriority w:val="99"/>
    <w:semiHidden/>
    <w:rsid w:val="007206C7"/>
    <w:pPr>
      <w:shd w:val="clear" w:color="auto" w:fill="FAFBFE"/>
      <w:spacing w:before="100" w:beforeAutospacing="1" w:after="100" w:afterAutospacing="1"/>
    </w:pPr>
    <w:rPr>
      <w:rFonts w:ascii="Courier New" w:hAnsi="Courier New" w:cs="Courier New"/>
      <w:color w:val="112277"/>
      <w:szCs w:val="20"/>
    </w:rPr>
  </w:style>
  <w:style w:type="paragraph" w:customStyle="1" w:styleId="l">
    <w:name w:val="l"/>
    <w:basedOn w:val="Normal"/>
    <w:uiPriority w:val="99"/>
    <w:semiHidden/>
    <w:rsid w:val="007206C7"/>
    <w:pPr>
      <w:spacing w:before="100" w:beforeAutospacing="1" w:after="100" w:afterAutospacing="1"/>
    </w:pPr>
    <w:rPr>
      <w:rFonts w:ascii="Times New Roman" w:hAnsi="Times New Roman"/>
      <w:sz w:val="24"/>
    </w:rPr>
  </w:style>
  <w:style w:type="paragraph" w:customStyle="1" w:styleId="c">
    <w:name w:val="c"/>
    <w:basedOn w:val="Normal"/>
    <w:uiPriority w:val="99"/>
    <w:semiHidden/>
    <w:rsid w:val="007206C7"/>
    <w:pPr>
      <w:spacing w:before="100" w:beforeAutospacing="1" w:after="100" w:afterAutospacing="1"/>
      <w:jc w:val="center"/>
    </w:pPr>
    <w:rPr>
      <w:rFonts w:ascii="Times New Roman" w:hAnsi="Times New Roman"/>
      <w:sz w:val="24"/>
    </w:rPr>
  </w:style>
  <w:style w:type="paragraph" w:customStyle="1" w:styleId="r">
    <w:name w:val="r"/>
    <w:basedOn w:val="Normal"/>
    <w:uiPriority w:val="99"/>
    <w:semiHidden/>
    <w:rsid w:val="007206C7"/>
    <w:pPr>
      <w:spacing w:before="100" w:beforeAutospacing="1" w:after="100" w:afterAutospacing="1"/>
      <w:jc w:val="right"/>
    </w:pPr>
    <w:rPr>
      <w:rFonts w:ascii="Times New Roman" w:hAnsi="Times New Roman"/>
      <w:sz w:val="24"/>
    </w:rPr>
  </w:style>
  <w:style w:type="paragraph" w:customStyle="1" w:styleId="d">
    <w:name w:val="d"/>
    <w:basedOn w:val="Normal"/>
    <w:uiPriority w:val="99"/>
    <w:semiHidden/>
    <w:rsid w:val="007206C7"/>
    <w:pPr>
      <w:spacing w:before="100" w:beforeAutospacing="1" w:after="100" w:afterAutospacing="1"/>
      <w:jc w:val="right"/>
    </w:pPr>
    <w:rPr>
      <w:rFonts w:ascii="Times New Roman" w:hAnsi="Times New Roman"/>
      <w:sz w:val="24"/>
    </w:rPr>
  </w:style>
  <w:style w:type="paragraph" w:customStyle="1" w:styleId="j">
    <w:name w:val="j"/>
    <w:basedOn w:val="Normal"/>
    <w:uiPriority w:val="99"/>
    <w:semiHidden/>
    <w:rsid w:val="007206C7"/>
    <w:pPr>
      <w:spacing w:before="100" w:beforeAutospacing="1" w:after="100" w:afterAutospacing="1"/>
    </w:pPr>
    <w:rPr>
      <w:rFonts w:ascii="Times New Roman" w:hAnsi="Times New Roman"/>
      <w:sz w:val="24"/>
    </w:rPr>
  </w:style>
  <w:style w:type="paragraph" w:customStyle="1" w:styleId="t">
    <w:name w:val="t"/>
    <w:basedOn w:val="Normal"/>
    <w:uiPriority w:val="99"/>
    <w:semiHidden/>
    <w:rsid w:val="007206C7"/>
    <w:pPr>
      <w:spacing w:before="100" w:beforeAutospacing="1" w:after="100" w:afterAutospacing="1"/>
    </w:pPr>
    <w:rPr>
      <w:rFonts w:ascii="Times New Roman" w:hAnsi="Times New Roman"/>
      <w:sz w:val="24"/>
    </w:rPr>
  </w:style>
  <w:style w:type="paragraph" w:customStyle="1" w:styleId="m">
    <w:name w:val="m"/>
    <w:basedOn w:val="Normal"/>
    <w:uiPriority w:val="99"/>
    <w:semiHidden/>
    <w:rsid w:val="007206C7"/>
    <w:pPr>
      <w:spacing w:before="100" w:beforeAutospacing="1" w:after="100" w:afterAutospacing="1"/>
    </w:pPr>
    <w:rPr>
      <w:rFonts w:ascii="Times New Roman" w:hAnsi="Times New Roman"/>
      <w:sz w:val="24"/>
    </w:rPr>
  </w:style>
  <w:style w:type="paragraph" w:customStyle="1" w:styleId="b">
    <w:name w:val="b"/>
    <w:basedOn w:val="Normal"/>
    <w:uiPriority w:val="99"/>
    <w:semiHidden/>
    <w:rsid w:val="007206C7"/>
    <w:pPr>
      <w:spacing w:before="100" w:beforeAutospacing="1" w:after="100" w:afterAutospacing="1"/>
    </w:pPr>
    <w:rPr>
      <w:rFonts w:ascii="Times New Roman" w:hAnsi="Times New Roman"/>
      <w:sz w:val="24"/>
    </w:rPr>
  </w:style>
  <w:style w:type="paragraph" w:customStyle="1" w:styleId="stackedcell">
    <w:name w:val="stacked_cell"/>
    <w:basedOn w:val="Normal"/>
    <w:uiPriority w:val="99"/>
    <w:semiHidden/>
    <w:rsid w:val="007206C7"/>
    <w:pPr>
      <w:spacing w:before="100" w:beforeAutospacing="1" w:after="100" w:afterAutospacing="1"/>
    </w:pPr>
    <w:rPr>
      <w:rFonts w:ascii="Times New Roman" w:hAnsi="Times New Roman"/>
      <w:sz w:val="24"/>
    </w:rPr>
  </w:style>
  <w:style w:type="paragraph" w:customStyle="1" w:styleId="Caption2">
    <w:name w:val="Caption2"/>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Footer2">
    <w:name w:val="Footer2"/>
    <w:basedOn w:val="Normal"/>
    <w:uiPriority w:val="99"/>
    <w:semiHidden/>
    <w:rsid w:val="007206C7"/>
    <w:pPr>
      <w:shd w:val="clear" w:color="auto" w:fill="EDF2F9"/>
      <w:spacing w:before="100" w:beforeAutospacing="1" w:after="100" w:afterAutospacing="1"/>
    </w:pPr>
    <w:rPr>
      <w:rFonts w:cs="Arial"/>
      <w:b/>
      <w:bCs/>
      <w:color w:val="000000"/>
      <w:szCs w:val="20"/>
    </w:rPr>
  </w:style>
  <w:style w:type="paragraph" w:customStyle="1" w:styleId="Header2">
    <w:name w:val="Header2"/>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cs="Arial"/>
      <w:b/>
      <w:bCs/>
      <w:color w:val="112277"/>
      <w:szCs w:val="20"/>
    </w:rPr>
  </w:style>
  <w:style w:type="paragraph" w:customStyle="1" w:styleId="List21">
    <w:name w:val="List2"/>
    <w:basedOn w:val="Normal"/>
    <w:uiPriority w:val="99"/>
    <w:semiHidden/>
    <w:rsid w:val="007206C7"/>
    <w:pPr>
      <w:shd w:val="clear" w:color="auto" w:fill="FAFBFE"/>
      <w:spacing w:before="100" w:beforeAutospacing="1" w:after="100" w:afterAutospacing="1"/>
    </w:pPr>
    <w:rPr>
      <w:rFonts w:cs="Arial"/>
      <w:color w:val="000000"/>
      <w:szCs w:val="20"/>
    </w:rPr>
  </w:style>
  <w:style w:type="table" w:styleId="TableSimple1">
    <w:name w:val="Table Simple 1"/>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206C7"/>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206C7"/>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206C7"/>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206C7"/>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206C7"/>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206C7"/>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206C7"/>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206C7"/>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206C7"/>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2">
    <w:name w:val="Table Grid 2"/>
    <w:basedOn w:val="TableNormal"/>
    <w:semiHidden/>
    <w:unhideWhenUsed/>
    <w:rsid w:val="007206C7"/>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206C7"/>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unhideWhenUsed/>
    <w:rsid w:val="007206C7"/>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206C7"/>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206C7"/>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206C7"/>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206C7"/>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206C7"/>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7206C7"/>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206C7"/>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206C7"/>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7206C7"/>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206C7"/>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206C7"/>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206C7"/>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7206C7"/>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206C7"/>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206C7"/>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
    <w:name w:val="AIHW Table"/>
    <w:basedOn w:val="TableNormal"/>
    <w:rsid w:val="007206C7"/>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BoxHeading2">
    <w:name w:val="Box: Heading 2"/>
    <w:basedOn w:val="BoxText"/>
    <w:next w:val="BoxText"/>
    <w:uiPriority w:val="3"/>
    <w:semiHidden/>
    <w:qFormat/>
    <w:rsid w:val="007206C7"/>
  </w:style>
  <w:style w:type="paragraph" w:customStyle="1" w:styleId="TableFigNotesnumbered">
    <w:name w:val="Table/Fig: Notes numbered"/>
    <w:basedOn w:val="TableSourcefootnotes"/>
    <w:uiPriority w:val="6"/>
    <w:semiHidden/>
    <w:rsid w:val="007206C7"/>
  </w:style>
  <w:style w:type="paragraph" w:customStyle="1" w:styleId="TableFigNotesnotnumbered">
    <w:name w:val="Table/Fig: Notes not numbered"/>
    <w:basedOn w:val="TableFigNotesnumbered"/>
    <w:uiPriority w:val="6"/>
    <w:semiHidden/>
    <w:rsid w:val="007206C7"/>
  </w:style>
  <w:style w:type="paragraph" w:customStyle="1" w:styleId="FigureCaption">
    <w:name w:val="Figure: Caption"/>
    <w:basedOn w:val="Normal"/>
    <w:uiPriority w:val="99"/>
    <w:rsid w:val="007206C7"/>
    <w:pPr>
      <w:spacing w:before="60" w:line="260" w:lineRule="atLeast"/>
    </w:pPr>
    <w:rPr>
      <w:rFonts w:ascii="Book Antiqua" w:hAnsi="Book Antiqua"/>
      <w:sz w:val="22"/>
      <w:szCs w:val="22"/>
    </w:rPr>
  </w:style>
  <w:style w:type="paragraph" w:customStyle="1" w:styleId="FigureSourcefootnotes">
    <w:name w:val="Figure: Source &amp; footnotes"/>
    <w:basedOn w:val="TableSourcefootnotes"/>
    <w:next w:val="FigureCaption"/>
    <w:uiPriority w:val="5"/>
    <w:semiHidden/>
    <w:rsid w:val="007206C7"/>
  </w:style>
  <w:style w:type="numbering" w:styleId="111111">
    <w:name w:val="Outline List 2"/>
    <w:basedOn w:val="NoList"/>
    <w:semiHidden/>
    <w:unhideWhenUsed/>
    <w:rsid w:val="007206C7"/>
    <w:pPr>
      <w:numPr>
        <w:numId w:val="21"/>
      </w:numPr>
    </w:pPr>
  </w:style>
  <w:style w:type="table" w:customStyle="1" w:styleId="TableGrid12">
    <w:name w:val="Table Grid 12"/>
    <w:basedOn w:val="TableNormal"/>
    <w:next w:val="TableGrid1"/>
    <w:semiHidden/>
    <w:unhideWhenUsed/>
    <w:rsid w:val="001E687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
    <w:name w:val="Light Shading2"/>
    <w:basedOn w:val="TableNormal"/>
    <w:next w:val="LightShading"/>
    <w:uiPriority w:val="60"/>
    <w:unhideWhenUsed/>
    <w:rsid w:val="001E687B"/>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
    <w:name w:val="Light Shading - Accent 41"/>
    <w:basedOn w:val="TableNormal"/>
    <w:next w:val="LightShading-Accent4"/>
    <w:uiPriority w:val="60"/>
    <w:unhideWhenUsed/>
    <w:rsid w:val="001E687B"/>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
    <w:name w:val="Light List - Accent 42"/>
    <w:basedOn w:val="TableNormal"/>
    <w:next w:val="LightList-Accent4"/>
    <w:uiPriority w:val="61"/>
    <w:semiHidden/>
    <w:unhideWhenUsed/>
    <w:rsid w:val="001E687B"/>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
    <w:name w:val="Medium Shading 1 - Accent 42"/>
    <w:basedOn w:val="TableNormal"/>
    <w:next w:val="MediumShading1-Accent4"/>
    <w:uiPriority w:val="63"/>
    <w:semiHidden/>
    <w:unhideWhenUsed/>
    <w:rsid w:val="001E687B"/>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
    <w:name w:val="Table for Reports2"/>
    <w:basedOn w:val="TableNormal"/>
    <w:uiPriority w:val="99"/>
    <w:rsid w:val="001E687B"/>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
    <w:name w:val="Light Shading - Accent 112"/>
    <w:basedOn w:val="TableNormal"/>
    <w:uiPriority w:val="60"/>
    <w:rsid w:val="001E687B"/>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
    <w:name w:val="Table Grid 111"/>
    <w:basedOn w:val="TableNormal"/>
    <w:rsid w:val="001E687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
    <w:name w:val="Table for Reports11"/>
    <w:basedOn w:val="TableNormal"/>
    <w:uiPriority w:val="99"/>
    <w:rsid w:val="001E687B"/>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
    <w:name w:val="Light Shading - Accent 1111"/>
    <w:basedOn w:val="TableNormal"/>
    <w:uiPriority w:val="60"/>
    <w:rsid w:val="001E687B"/>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
    <w:name w:val="Medium Shading 1 - Accent 411"/>
    <w:basedOn w:val="TableNormal"/>
    <w:uiPriority w:val="63"/>
    <w:rsid w:val="001E687B"/>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
    <w:name w:val="Light List - Accent 411"/>
    <w:basedOn w:val="TableNormal"/>
    <w:uiPriority w:val="61"/>
    <w:rsid w:val="001E687B"/>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
    <w:name w:val="Light Shading11"/>
    <w:basedOn w:val="TableNormal"/>
    <w:uiPriority w:val="60"/>
    <w:rsid w:val="001E687B"/>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
    <w:name w:val="AIHW Table1"/>
    <w:basedOn w:val="TableNormal"/>
    <w:rsid w:val="001E687B"/>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StyleBulletedSymbolsymbolLeft063cmHanging063cm11">
    <w:name w:val="Style Bulleted Symbol (symbol) Left:  0.63 cm Hanging:  0.63 cm11"/>
    <w:rsid w:val="001E687B"/>
    <w:pPr>
      <w:numPr>
        <w:numId w:val="12"/>
      </w:numPr>
    </w:pPr>
  </w:style>
  <w:style w:type="numbering" w:customStyle="1" w:styleId="StyleBulletedSymbolsymbolLeft063cmHanging063cm2">
    <w:name w:val="Style Bulleted Symbol (symbol) Left:  0.63 cm Hanging:  0.63 cm2"/>
    <w:rsid w:val="001E687B"/>
    <w:pPr>
      <w:numPr>
        <w:numId w:val="39"/>
      </w:numPr>
    </w:pPr>
  </w:style>
  <w:style w:type="numbering" w:customStyle="1" w:styleId="Style1211">
    <w:name w:val="Style1211"/>
    <w:uiPriority w:val="99"/>
    <w:rsid w:val="001E687B"/>
    <w:pPr>
      <w:numPr>
        <w:numId w:val="40"/>
      </w:numPr>
    </w:pPr>
  </w:style>
  <w:style w:type="numbering" w:customStyle="1" w:styleId="StyleBulletedSymbolsymbolLeft0cmHanging063cm11">
    <w:name w:val="Style Bulleted Symbol (symbol) Left:  0 cm Hanging:  0.63 cm11"/>
    <w:rsid w:val="001E687B"/>
    <w:pPr>
      <w:numPr>
        <w:numId w:val="41"/>
      </w:numPr>
    </w:pPr>
  </w:style>
  <w:style w:type="numbering" w:customStyle="1" w:styleId="Style1111">
    <w:name w:val="Style1111"/>
    <w:uiPriority w:val="99"/>
    <w:rsid w:val="001E687B"/>
    <w:pPr>
      <w:numPr>
        <w:numId w:val="42"/>
      </w:numPr>
    </w:pPr>
  </w:style>
  <w:style w:type="numbering" w:customStyle="1" w:styleId="StyleBulletedSymbolsymbolLeft0cmHanging063cm2">
    <w:name w:val="Style Bulleted Symbol (symbol) Left:  0 cm Hanging:  0.63 cm2"/>
    <w:rsid w:val="00C23AE6"/>
    <w:pPr>
      <w:numPr>
        <w:numId w:val="50"/>
      </w:numPr>
    </w:pPr>
  </w:style>
  <w:style w:type="character" w:customStyle="1" w:styleId="apple-converted-space">
    <w:name w:val="apple-converted-space"/>
    <w:basedOn w:val="DefaultParagraphFont"/>
    <w:rsid w:val="001E687B"/>
  </w:style>
  <w:style w:type="character" w:customStyle="1" w:styleId="jrnl">
    <w:name w:val="jrnl"/>
    <w:basedOn w:val="DefaultParagraphFont"/>
    <w:rsid w:val="001E687B"/>
  </w:style>
  <w:style w:type="paragraph" w:customStyle="1" w:styleId="Pa3">
    <w:name w:val="Pa3"/>
    <w:basedOn w:val="Default"/>
    <w:next w:val="Default"/>
    <w:uiPriority w:val="99"/>
    <w:rsid w:val="001E687B"/>
    <w:pPr>
      <w:spacing w:line="241" w:lineRule="atLeast"/>
    </w:pPr>
    <w:rPr>
      <w:rFonts w:ascii="Arial" w:hAnsi="Arial" w:cs="Arial"/>
      <w:color w:val="auto"/>
      <w:lang w:eastAsia="en-US"/>
    </w:rPr>
  </w:style>
  <w:style w:type="character" w:customStyle="1" w:styleId="A5">
    <w:name w:val="A5"/>
    <w:uiPriority w:val="99"/>
    <w:rsid w:val="001E687B"/>
    <w:rPr>
      <w:b/>
      <w:bCs/>
      <w:color w:val="000000"/>
      <w:sz w:val="20"/>
      <w:szCs w:val="20"/>
    </w:rPr>
  </w:style>
  <w:style w:type="table" w:customStyle="1" w:styleId="TableGrid20">
    <w:name w:val="Table Grid2"/>
    <w:basedOn w:val="TableNormal"/>
    <w:next w:val="TableGrid"/>
    <w:rsid w:val="00DF74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DF74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9C174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9">
    <w:name w:val="xl69"/>
    <w:basedOn w:val="Normal"/>
    <w:rsid w:val="00F70BAD"/>
    <w:pPr>
      <w:spacing w:before="100" w:beforeAutospacing="1" w:after="100" w:afterAutospacing="1"/>
      <w:textAlignment w:val="center"/>
    </w:pPr>
    <w:rPr>
      <w:rFonts w:ascii="Times New Roman" w:hAnsi="Times New Roman"/>
      <w:color w:val="102C62"/>
      <w:sz w:val="24"/>
    </w:rPr>
  </w:style>
  <w:style w:type="paragraph" w:customStyle="1" w:styleId="xl70">
    <w:name w:val="xl70"/>
    <w:basedOn w:val="Normal"/>
    <w:rsid w:val="00F70BAD"/>
    <w:pPr>
      <w:spacing w:before="100" w:beforeAutospacing="1" w:after="100" w:afterAutospacing="1"/>
      <w:textAlignment w:val="center"/>
    </w:pPr>
    <w:rPr>
      <w:rFonts w:ascii="Times New Roman" w:hAnsi="Times New Roman"/>
      <w:color w:val="0000FF"/>
      <w:sz w:val="24"/>
      <w:u w:val="single"/>
    </w:rPr>
  </w:style>
  <w:style w:type="paragraph" w:customStyle="1" w:styleId="xl71">
    <w:name w:val="xl71"/>
    <w:basedOn w:val="Normal"/>
    <w:rsid w:val="00F70BAD"/>
    <w:pPr>
      <w:spacing w:before="100" w:beforeAutospacing="1" w:after="100" w:afterAutospacing="1"/>
    </w:pPr>
    <w:rPr>
      <w:rFonts w:ascii="Times New Roman" w:hAnsi="Times New Roman"/>
      <w:color w:val="0000FF"/>
      <w:sz w:val="24"/>
      <w:u w:val="single"/>
    </w:rPr>
  </w:style>
  <w:style w:type="table" w:customStyle="1" w:styleId="TableGrid50">
    <w:name w:val="Table Grid5"/>
    <w:basedOn w:val="TableNormal"/>
    <w:next w:val="TableGrid"/>
    <w:uiPriority w:val="39"/>
    <w:rsid w:val="00EB5A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EB5A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doi">
    <w:name w:val="slug-doi"/>
    <w:rsid w:val="00F64A9A"/>
  </w:style>
  <w:style w:type="table" w:customStyle="1" w:styleId="TableSimple11">
    <w:name w:val="Table Simple 11"/>
    <w:basedOn w:val="TableNormal"/>
    <w:next w:val="TableSimple1"/>
    <w:semiHidden/>
    <w:unhideWhenUsed/>
    <w:rsid w:val="00E728EE"/>
    <w:pPr>
      <w:spacing w:before="60" w:after="40" w:line="260" w:lineRule="atLeast"/>
    </w:pPr>
    <w:rPr>
      <w:rFonts w:ascii="Book Antiqua" w:eastAsia="Times New Roman" w:hAnsi="Book Antiqua"/>
      <w:sz w:val="22"/>
      <w:szCs w:val="22"/>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E728EE"/>
    <w:pPr>
      <w:spacing w:before="60" w:after="40" w:line="260" w:lineRule="atLeast"/>
    </w:pPr>
    <w:rPr>
      <w:rFonts w:ascii="Book Antiqua" w:eastAsia="Times New Roman" w:hAnsi="Book Antiqua"/>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E728EE"/>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E728EE"/>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E728EE"/>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E728EE"/>
    <w:pPr>
      <w:spacing w:before="60" w:after="40" w:line="260" w:lineRule="atLeast"/>
    </w:pPr>
    <w:rPr>
      <w:rFonts w:ascii="Book Antiqua" w:eastAsia="Times New Roman" w:hAnsi="Book Antiqua"/>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E728EE"/>
    <w:pPr>
      <w:spacing w:before="60" w:after="40" w:line="260" w:lineRule="atLeast"/>
    </w:pPr>
    <w:rPr>
      <w:rFonts w:ascii="Book Antiqua" w:eastAsia="Times New Roman" w:hAnsi="Book Antiqua"/>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unhideWhenUsed/>
    <w:rsid w:val="00E728EE"/>
    <w:pPr>
      <w:spacing w:before="60" w:after="40" w:line="260" w:lineRule="atLeast"/>
    </w:pPr>
    <w:rPr>
      <w:rFonts w:ascii="Book Antiqua" w:eastAsia="Times New Roman" w:hAnsi="Book Antiqua"/>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E728EE"/>
    <w:pPr>
      <w:spacing w:before="60" w:after="40" w:line="260" w:lineRule="atLeast"/>
    </w:pPr>
    <w:rPr>
      <w:rFonts w:ascii="Book Antiqua" w:eastAsia="Times New Roman" w:hAnsi="Book Antiqua"/>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E728EE"/>
    <w:pPr>
      <w:spacing w:before="60" w:after="40" w:line="260" w:lineRule="atLeast"/>
    </w:pPr>
    <w:rPr>
      <w:rFonts w:ascii="Book Antiqua" w:eastAsia="Times New Roman" w:hAnsi="Book Antiqua"/>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E728EE"/>
    <w:pPr>
      <w:spacing w:before="60" w:after="40" w:line="260" w:lineRule="atLeast"/>
    </w:pPr>
    <w:rPr>
      <w:rFonts w:ascii="Book Antiqua" w:eastAsia="Times New Roman" w:hAnsi="Book Antiqua"/>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E728EE"/>
    <w:pPr>
      <w:spacing w:before="60" w:after="40" w:line="260" w:lineRule="atLeast"/>
    </w:pPr>
    <w:rPr>
      <w:rFonts w:ascii="Book Antiqua" w:eastAsia="Times New Roman" w:hAnsi="Book Antiqua"/>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E728EE"/>
    <w:pPr>
      <w:spacing w:before="60" w:after="40" w:line="260" w:lineRule="atLeast"/>
    </w:pPr>
    <w:rPr>
      <w:rFonts w:ascii="Book Antiqua" w:eastAsia="Times New Roman" w:hAnsi="Book Antiqua"/>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E728EE"/>
    <w:pPr>
      <w:spacing w:before="60" w:after="40" w:line="260" w:lineRule="atLeast"/>
    </w:pPr>
    <w:rPr>
      <w:rFonts w:ascii="Book Antiqua" w:eastAsia="Times New Roman" w:hAnsi="Book Antiqua"/>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E728EE"/>
    <w:pPr>
      <w:spacing w:before="60" w:after="40" w:line="260" w:lineRule="atLeast"/>
    </w:pPr>
    <w:rPr>
      <w:rFonts w:ascii="Book Antiqua" w:eastAsia="Times New Roman" w:hAnsi="Book Antiqua"/>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3">
    <w:name w:val="Table Grid 13"/>
    <w:basedOn w:val="TableNormal"/>
    <w:next w:val="TableGrid1"/>
    <w:semiHidden/>
    <w:unhideWhenUsed/>
    <w:rsid w:val="00E728EE"/>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E728EE"/>
    <w:pPr>
      <w:spacing w:before="60" w:after="40" w:line="260" w:lineRule="atLeast"/>
    </w:pPr>
    <w:rPr>
      <w:rFonts w:ascii="Book Antiqua" w:eastAsia="Times New Roman" w:hAnsi="Book Antiqua"/>
      <w:sz w:val="22"/>
      <w:szCs w:val="22"/>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E728EE"/>
    <w:pPr>
      <w:spacing w:before="60" w:after="40" w:line="260" w:lineRule="atLeast"/>
    </w:pPr>
    <w:rPr>
      <w:rFonts w:ascii="Book Antiqua" w:eastAsia="Times New Roman" w:hAnsi="Book Antiqua"/>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E728EE"/>
    <w:pPr>
      <w:spacing w:before="60" w:after="40" w:line="260" w:lineRule="atLeast"/>
    </w:pPr>
    <w:rPr>
      <w:rFonts w:ascii="Book Antiqua" w:eastAsia="Times New Roman" w:hAnsi="Book Antiqua"/>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E728EE"/>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E728EE"/>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TableNormal"/>
    <w:next w:val="TableGrid70"/>
    <w:semiHidden/>
    <w:unhideWhenUsed/>
    <w:rsid w:val="00E728EE"/>
    <w:pPr>
      <w:spacing w:before="60" w:after="40" w:line="260" w:lineRule="atLeast"/>
    </w:pPr>
    <w:rPr>
      <w:rFonts w:ascii="Book Antiqua" w:eastAsia="Times New Roman" w:hAnsi="Book Antiqua"/>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E728EE"/>
    <w:pPr>
      <w:spacing w:before="60" w:after="40" w:line="260" w:lineRule="atLeast"/>
    </w:pPr>
    <w:rPr>
      <w:rFonts w:ascii="Book Antiqua" w:eastAsia="Times New Roman" w:hAnsi="Book Antiqua"/>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E728EE"/>
    <w:pPr>
      <w:spacing w:before="60" w:after="40" w:line="260" w:lineRule="atLeast"/>
    </w:pPr>
    <w:rPr>
      <w:rFonts w:ascii="Book Antiqua" w:eastAsia="Times New Roman" w:hAnsi="Book Antiqua"/>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E728EE"/>
    <w:pPr>
      <w:spacing w:before="60" w:after="40" w:line="260" w:lineRule="atLeast"/>
    </w:pPr>
    <w:rPr>
      <w:rFonts w:ascii="Book Antiqua" w:eastAsia="Times New Roman" w:hAnsi="Book Antiqua"/>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E728EE"/>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E728EE"/>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E728EE"/>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unhideWhenUsed/>
    <w:rsid w:val="00E728EE"/>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unhideWhenUsed/>
    <w:rsid w:val="00E728EE"/>
    <w:pPr>
      <w:spacing w:before="60" w:after="40" w:line="260" w:lineRule="atLeast"/>
    </w:pPr>
    <w:rPr>
      <w:rFonts w:ascii="Book Antiqua" w:eastAsia="Times New Roman" w:hAnsi="Book Antiqua"/>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E728EE"/>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E728EE"/>
    <w:pPr>
      <w:spacing w:before="60" w:after="40" w:line="260" w:lineRule="atLeast"/>
    </w:pPr>
    <w:rPr>
      <w:rFonts w:ascii="Book Antiqua" w:eastAsia="Times New Roman" w:hAnsi="Book Antiqua"/>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unhideWhenUsed/>
    <w:rsid w:val="00E728EE"/>
    <w:pPr>
      <w:spacing w:before="60" w:after="40" w:line="260" w:lineRule="atLeast"/>
    </w:pPr>
    <w:rPr>
      <w:rFonts w:ascii="Book Antiqua" w:eastAsia="Times New Roman" w:hAnsi="Book Antiqua"/>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E728EE"/>
    <w:pPr>
      <w:spacing w:before="60" w:after="40" w:line="260" w:lineRule="atLeast"/>
    </w:pPr>
    <w:rPr>
      <w:rFonts w:ascii="Book Antiqua" w:eastAsia="Times New Roman" w:hAnsi="Book Antiqua"/>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E728EE"/>
    <w:pPr>
      <w:spacing w:before="60" w:after="40" w:line="260" w:lineRule="atLeast"/>
    </w:pPr>
    <w:rPr>
      <w:rFonts w:ascii="Book Antiqua" w:eastAsia="Times New Roman" w:hAnsi="Book Antiqua"/>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E728EE"/>
    <w:pPr>
      <w:spacing w:before="60" w:after="40" w:line="260" w:lineRule="atLeast"/>
    </w:pPr>
    <w:rPr>
      <w:rFonts w:ascii="Book Antiqua" w:eastAsia="Times New Roman" w:hAnsi="Book Antiqua"/>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E728EE"/>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unhideWhenUsed/>
    <w:rsid w:val="00E728EE"/>
    <w:pPr>
      <w:spacing w:before="60" w:after="40" w:line="260" w:lineRule="atLeast"/>
    </w:pPr>
    <w:rPr>
      <w:rFonts w:ascii="Book Antiqua" w:eastAsia="Times New Roman" w:hAnsi="Book Antiqua"/>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unhideWhenUsed/>
    <w:rsid w:val="00E728EE"/>
    <w:pPr>
      <w:spacing w:before="60" w:after="40" w:line="260" w:lineRule="atLeast"/>
    </w:pPr>
    <w:rPr>
      <w:rFonts w:ascii="Book Antiqua" w:eastAsia="Times New Roman" w:hAnsi="Book Antiqua"/>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
    <w:name w:val="Table Web 11"/>
    <w:basedOn w:val="TableNormal"/>
    <w:next w:val="TableWeb1"/>
    <w:semiHidden/>
    <w:unhideWhenUsed/>
    <w:rsid w:val="00E728EE"/>
    <w:pPr>
      <w:spacing w:before="60" w:after="40" w:line="260" w:lineRule="atLeast"/>
    </w:pPr>
    <w:rPr>
      <w:rFonts w:ascii="Book Antiqua" w:eastAsia="Times New Roman" w:hAnsi="Book Antiqua"/>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E728EE"/>
    <w:pPr>
      <w:spacing w:before="60" w:after="40" w:line="260" w:lineRule="atLeast"/>
    </w:pPr>
    <w:rPr>
      <w:rFonts w:ascii="Book Antiqua" w:eastAsia="Times New Roman" w:hAnsi="Book Antiqua"/>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E728EE"/>
    <w:pPr>
      <w:spacing w:before="60" w:after="40" w:line="260" w:lineRule="atLeast"/>
    </w:pPr>
    <w:rPr>
      <w:rFonts w:ascii="Book Antiqua" w:eastAsia="Times New Roman" w:hAnsi="Book Antiqua"/>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80">
    <w:name w:val="Table Grid8"/>
    <w:basedOn w:val="TableNormal"/>
    <w:next w:val="TableGrid"/>
    <w:uiPriority w:val="59"/>
    <w:rsid w:val="00E728E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semiHidden/>
    <w:unhideWhenUsed/>
    <w:rsid w:val="00E728EE"/>
    <w:pPr>
      <w:spacing w:before="60" w:after="40" w:line="260" w:lineRule="atLeast"/>
    </w:pPr>
    <w:rPr>
      <w:rFonts w:ascii="Book Antiqua" w:eastAsia="Times New Roman" w:hAnsi="Book Antiqu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semiHidden/>
    <w:unhideWhenUsed/>
    <w:rsid w:val="00E728EE"/>
    <w:rPr>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2">
    <w:name w:val="Light Shading - Accent 42"/>
    <w:basedOn w:val="TableNormal"/>
    <w:next w:val="LightShading-Accent4"/>
    <w:uiPriority w:val="60"/>
    <w:semiHidden/>
    <w:unhideWhenUsed/>
    <w:rsid w:val="00E728EE"/>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3">
    <w:name w:val="Light List - Accent 43"/>
    <w:basedOn w:val="TableNormal"/>
    <w:next w:val="LightList-Accent4"/>
    <w:uiPriority w:val="61"/>
    <w:semiHidden/>
    <w:unhideWhenUsed/>
    <w:rsid w:val="00E728EE"/>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3">
    <w:name w:val="Medium Shading 1 - Accent 43"/>
    <w:basedOn w:val="TableNormal"/>
    <w:next w:val="MediumShading1-Accent4"/>
    <w:uiPriority w:val="63"/>
    <w:semiHidden/>
    <w:unhideWhenUsed/>
    <w:rsid w:val="00E728EE"/>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Style14">
    <w:name w:val="Style14"/>
    <w:basedOn w:val="TableNormal"/>
    <w:uiPriority w:val="99"/>
    <w:qFormat/>
    <w:rsid w:val="00E728EE"/>
    <w:rPr>
      <w:lang w:eastAsia="en-US"/>
    </w:rPr>
    <w:tblPr/>
  </w:style>
  <w:style w:type="table" w:customStyle="1" w:styleId="TR31Table2">
    <w:name w:val="TR31_Table2"/>
    <w:basedOn w:val="TableNormal"/>
    <w:uiPriority w:val="99"/>
    <w:rsid w:val="00E728EE"/>
    <w:rPr>
      <w:rFonts w:ascii="Arial" w:hAnsi="Arial"/>
      <w:lang w:eastAsia="en-US"/>
    </w:rPr>
    <w:tblPr>
      <w:tblBorders>
        <w:top w:val="single" w:sz="4" w:space="0" w:color="auto"/>
        <w:bottom w:val="single" w:sz="4" w:space="0" w:color="auto"/>
      </w:tblBorders>
    </w:tblPr>
  </w:style>
  <w:style w:type="table" w:customStyle="1" w:styleId="TableforReports3">
    <w:name w:val="Table for Reports3"/>
    <w:basedOn w:val="TableNormal"/>
    <w:uiPriority w:val="99"/>
    <w:rsid w:val="00E728EE"/>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3">
    <w:name w:val="Light Shading - Accent 113"/>
    <w:basedOn w:val="TableNormal"/>
    <w:uiPriority w:val="60"/>
    <w:rsid w:val="00E728EE"/>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72">
    <w:name w:val="Table Grid72"/>
    <w:basedOn w:val="TableNormal"/>
    <w:uiPriority w:val="59"/>
    <w:rsid w:val="00E728E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10">
    <w:name w:val="Style131"/>
    <w:basedOn w:val="TableNormal"/>
    <w:uiPriority w:val="99"/>
    <w:qFormat/>
    <w:rsid w:val="00E728EE"/>
    <w:rPr>
      <w:lang w:eastAsia="en-US"/>
    </w:rPr>
    <w:tblPr/>
  </w:style>
  <w:style w:type="table" w:customStyle="1" w:styleId="TableGrid110">
    <w:name w:val="Table Grid11"/>
    <w:basedOn w:val="TableNormal"/>
    <w:uiPriority w:val="59"/>
    <w:rsid w:val="00E728E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1">
    <w:name w:val="TR31_Table11"/>
    <w:basedOn w:val="TableNormal"/>
    <w:uiPriority w:val="99"/>
    <w:rsid w:val="00E728EE"/>
    <w:rPr>
      <w:rFonts w:ascii="Arial" w:hAnsi="Arial"/>
      <w:lang w:eastAsia="en-US"/>
    </w:rPr>
    <w:tblPr>
      <w:tblBorders>
        <w:top w:val="single" w:sz="4" w:space="0" w:color="auto"/>
        <w:bottom w:val="single" w:sz="4" w:space="0" w:color="auto"/>
      </w:tblBorders>
    </w:tblPr>
  </w:style>
  <w:style w:type="table" w:customStyle="1" w:styleId="TableGrid112">
    <w:name w:val="Table Grid 112"/>
    <w:basedOn w:val="TableNormal"/>
    <w:rsid w:val="00E728EE"/>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2">
    <w:name w:val="Table for Reports12"/>
    <w:basedOn w:val="TableNormal"/>
    <w:uiPriority w:val="99"/>
    <w:rsid w:val="00E728EE"/>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2">
    <w:name w:val="Light Shading - Accent 1112"/>
    <w:basedOn w:val="TableNormal"/>
    <w:uiPriority w:val="60"/>
    <w:rsid w:val="00E728E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1">
    <w:name w:val="Table Grid711"/>
    <w:basedOn w:val="TableNormal"/>
    <w:uiPriority w:val="59"/>
    <w:rsid w:val="00E728E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2">
    <w:name w:val="Medium Shading 1 - Accent 412"/>
    <w:basedOn w:val="TableNormal"/>
    <w:uiPriority w:val="63"/>
    <w:rsid w:val="00E728EE"/>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2">
    <w:name w:val="Light List - Accent 412"/>
    <w:basedOn w:val="TableNormal"/>
    <w:uiPriority w:val="61"/>
    <w:rsid w:val="00E728EE"/>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2">
    <w:name w:val="Light Shading12"/>
    <w:basedOn w:val="TableNormal"/>
    <w:uiPriority w:val="60"/>
    <w:rsid w:val="00E728EE"/>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2">
    <w:name w:val="AIHW Table2"/>
    <w:basedOn w:val="TableNormal"/>
    <w:rsid w:val="00E728EE"/>
    <w:pPr>
      <w:tabs>
        <w:tab w:val="left" w:pos="198"/>
      </w:tabs>
      <w:spacing w:before="60" w:after="60" w:line="200" w:lineRule="atLeast"/>
      <w:jc w:val="right"/>
    </w:pPr>
    <w:rPr>
      <w:rFonts w:ascii="Arial" w:eastAsia="Times New Roman" w:hAnsi="Arial"/>
      <w:color w:val="000000"/>
      <w:sz w:val="16"/>
      <w:szCs w:val="22"/>
      <w:lang w:eastAsia="en-US"/>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510">
    <w:name w:val="Table Grid51"/>
    <w:basedOn w:val="TableNormal"/>
    <w:uiPriority w:val="39"/>
    <w:rsid w:val="00E728E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
    <w:name w:val="Article / Section2"/>
    <w:basedOn w:val="NoList"/>
    <w:unhideWhenUsed/>
    <w:rsid w:val="00E728EE"/>
    <w:pPr>
      <w:numPr>
        <w:numId w:val="45"/>
      </w:numPr>
    </w:pPr>
  </w:style>
  <w:style w:type="numbering" w:customStyle="1" w:styleId="1111112">
    <w:name w:val="1 / 1.1 / 1.1.12"/>
    <w:basedOn w:val="NoList"/>
    <w:next w:val="111111"/>
    <w:unhideWhenUsed/>
    <w:rsid w:val="00E728EE"/>
    <w:pPr>
      <w:numPr>
        <w:numId w:val="44"/>
      </w:numPr>
    </w:pPr>
  </w:style>
  <w:style w:type="numbering" w:customStyle="1" w:styleId="StyleBulletedSymbolsymbolLeft063cmHanging063cm12">
    <w:name w:val="Style Bulleted Symbol (symbol) Left:  0.63 cm Hanging:  0.63 cm12"/>
    <w:rsid w:val="00E728EE"/>
    <w:pPr>
      <w:numPr>
        <w:numId w:val="43"/>
      </w:numPr>
    </w:pPr>
  </w:style>
  <w:style w:type="numbering" w:customStyle="1" w:styleId="Style212">
    <w:name w:val="Style212"/>
    <w:uiPriority w:val="99"/>
    <w:rsid w:val="00E728EE"/>
    <w:pPr>
      <w:numPr>
        <w:numId w:val="32"/>
      </w:numPr>
    </w:pPr>
  </w:style>
  <w:style w:type="numbering" w:customStyle="1" w:styleId="StyleBulletedSymbolsymbolLeft063cmHanging063cm3">
    <w:name w:val="Style Bulleted Symbol (symbol) Left:  0.63 cm Hanging:  0.63 cm3"/>
    <w:rsid w:val="00E728EE"/>
    <w:pPr>
      <w:numPr>
        <w:numId w:val="33"/>
      </w:numPr>
    </w:pPr>
  </w:style>
  <w:style w:type="numbering" w:customStyle="1" w:styleId="Style1212">
    <w:name w:val="Style1212"/>
    <w:uiPriority w:val="99"/>
    <w:rsid w:val="00E728EE"/>
    <w:pPr>
      <w:numPr>
        <w:numId w:val="34"/>
      </w:numPr>
    </w:pPr>
  </w:style>
  <w:style w:type="numbering" w:customStyle="1" w:styleId="StyleBulletedSymbolsymbolLeft0cmHanging063cm12">
    <w:name w:val="Style Bulleted Symbol (symbol) Left:  0 cm Hanging:  0.63 cm12"/>
    <w:rsid w:val="00E728EE"/>
    <w:pPr>
      <w:numPr>
        <w:numId w:val="35"/>
      </w:numPr>
    </w:pPr>
  </w:style>
  <w:style w:type="numbering" w:customStyle="1" w:styleId="Style1112">
    <w:name w:val="Style1112"/>
    <w:uiPriority w:val="99"/>
    <w:rsid w:val="00E728EE"/>
    <w:pPr>
      <w:numPr>
        <w:numId w:val="36"/>
      </w:numPr>
    </w:pPr>
  </w:style>
  <w:style w:type="numbering" w:customStyle="1" w:styleId="StyleBulletedSymbolsymbolLeft0cmHanging063cm3">
    <w:name w:val="Style Bulleted Symbol (symbol) Left:  0 cm Hanging:  0.63 cm3"/>
    <w:rsid w:val="00E728EE"/>
    <w:pPr>
      <w:numPr>
        <w:numId w:val="37"/>
      </w:numPr>
    </w:pPr>
  </w:style>
  <w:style w:type="numbering" w:customStyle="1" w:styleId="1ai2">
    <w:name w:val="1 / a / i2"/>
    <w:basedOn w:val="NoList"/>
    <w:unhideWhenUsed/>
    <w:rsid w:val="00E728EE"/>
    <w:pPr>
      <w:numPr>
        <w:numId w:val="38"/>
      </w:numPr>
    </w:pPr>
  </w:style>
  <w:style w:type="table" w:customStyle="1" w:styleId="Style15">
    <w:name w:val="Style15"/>
    <w:basedOn w:val="TableNormal"/>
    <w:uiPriority w:val="99"/>
    <w:qFormat/>
    <w:rsid w:val="00276FBC"/>
    <w:tblPr/>
  </w:style>
  <w:style w:type="table" w:customStyle="1" w:styleId="TableGrid9">
    <w:name w:val="Table Grid9"/>
    <w:basedOn w:val="TableNormal"/>
    <w:next w:val="TableGrid"/>
    <w:uiPriority w:val="59"/>
    <w:rsid w:val="00276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3">
    <w:name w:val="TR31_Table3"/>
    <w:basedOn w:val="TableNormal"/>
    <w:uiPriority w:val="99"/>
    <w:rsid w:val="00276FBC"/>
    <w:rPr>
      <w:rFonts w:ascii="Arial" w:hAnsi="Arial"/>
    </w:rPr>
    <w:tblPr>
      <w:tblBorders>
        <w:top w:val="single" w:sz="4" w:space="0" w:color="auto"/>
        <w:bottom w:val="single" w:sz="4" w:space="0" w:color="auto"/>
      </w:tblBorders>
    </w:tblPr>
  </w:style>
  <w:style w:type="table" w:customStyle="1" w:styleId="TableGrid14">
    <w:name w:val="Table Grid 14"/>
    <w:basedOn w:val="TableNormal"/>
    <w:next w:val="TableGrid1"/>
    <w:rsid w:val="00276F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4">
    <w:name w:val="Table for Reports4"/>
    <w:basedOn w:val="TableNormal"/>
    <w:uiPriority w:val="99"/>
    <w:rsid w:val="00276FBC"/>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4">
    <w:name w:val="Light Shading - Accent 114"/>
    <w:basedOn w:val="TableNormal"/>
    <w:uiPriority w:val="60"/>
    <w:rsid w:val="00276FB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3">
    <w:name w:val="Table Grid73"/>
    <w:basedOn w:val="TableNormal"/>
    <w:next w:val="TableGrid"/>
    <w:uiPriority w:val="59"/>
    <w:rsid w:val="00276F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4">
    <w:name w:val="Medium Shading 1 - Accent 44"/>
    <w:basedOn w:val="TableNormal"/>
    <w:next w:val="MediumShading1-Accent4"/>
    <w:uiPriority w:val="63"/>
    <w:rsid w:val="00276FBC"/>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4">
    <w:name w:val="Light List - Accent 44"/>
    <w:basedOn w:val="TableNormal"/>
    <w:next w:val="LightList-Accent4"/>
    <w:uiPriority w:val="61"/>
    <w:rsid w:val="00276FBC"/>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Style132">
    <w:name w:val="Style132"/>
    <w:basedOn w:val="TableNormal"/>
    <w:uiPriority w:val="99"/>
    <w:qFormat/>
    <w:rsid w:val="00276FBC"/>
    <w:tblPr/>
  </w:style>
  <w:style w:type="table" w:customStyle="1" w:styleId="TableGrid120">
    <w:name w:val="Table Grid12"/>
    <w:basedOn w:val="TableNormal"/>
    <w:next w:val="TableGrid"/>
    <w:uiPriority w:val="59"/>
    <w:rsid w:val="00276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2">
    <w:name w:val="TR31_Table12"/>
    <w:basedOn w:val="TableNormal"/>
    <w:uiPriority w:val="99"/>
    <w:rsid w:val="00276FBC"/>
    <w:rPr>
      <w:rFonts w:ascii="Arial" w:hAnsi="Arial"/>
    </w:rPr>
    <w:tblPr>
      <w:tblBorders>
        <w:top w:val="single" w:sz="4" w:space="0" w:color="auto"/>
        <w:bottom w:val="single" w:sz="4" w:space="0" w:color="auto"/>
      </w:tblBorders>
    </w:tblPr>
  </w:style>
  <w:style w:type="table" w:customStyle="1" w:styleId="TableGrid113">
    <w:name w:val="Table Grid 113"/>
    <w:basedOn w:val="TableNormal"/>
    <w:next w:val="TableGrid1"/>
    <w:rsid w:val="00276F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3">
    <w:name w:val="Table for Reports13"/>
    <w:basedOn w:val="TableNormal"/>
    <w:uiPriority w:val="99"/>
    <w:rsid w:val="00276FBC"/>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3">
    <w:name w:val="Light Shading - Accent 1113"/>
    <w:basedOn w:val="TableNormal"/>
    <w:uiPriority w:val="60"/>
    <w:rsid w:val="00276FBC"/>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2">
    <w:name w:val="Table Grid712"/>
    <w:basedOn w:val="TableNormal"/>
    <w:next w:val="TableGrid"/>
    <w:uiPriority w:val="59"/>
    <w:rsid w:val="00276FB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3">
    <w:name w:val="Medium Shading 1 - Accent 413"/>
    <w:basedOn w:val="TableNormal"/>
    <w:next w:val="MediumShading1-Accent4"/>
    <w:uiPriority w:val="63"/>
    <w:rsid w:val="00276FBC"/>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3">
    <w:name w:val="Light List - Accent 413"/>
    <w:basedOn w:val="TableNormal"/>
    <w:next w:val="LightList-Accent4"/>
    <w:uiPriority w:val="61"/>
    <w:rsid w:val="00276FBC"/>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3">
    <w:name w:val="Light Shading13"/>
    <w:basedOn w:val="TableNormal"/>
    <w:next w:val="LightShading"/>
    <w:uiPriority w:val="60"/>
    <w:rsid w:val="00276FBC"/>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next w:val="LightShading"/>
    <w:uiPriority w:val="60"/>
    <w:rsid w:val="00276FB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3">
    <w:name w:val="Light Shading - Accent 43"/>
    <w:basedOn w:val="TableNormal"/>
    <w:next w:val="LightShading-Accent4"/>
    <w:uiPriority w:val="60"/>
    <w:rsid w:val="00276FBC"/>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2">
    <w:name w:val="Table Simple 12"/>
    <w:basedOn w:val="TableNormal"/>
    <w:next w:val="TableSimple1"/>
    <w:semiHidden/>
    <w:unhideWhenUsed/>
    <w:rsid w:val="00276FBC"/>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unhideWhenUsed/>
    <w:rsid w:val="00276FBC"/>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unhideWhenUsed/>
    <w:rsid w:val="00276FBC"/>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2">
    <w:name w:val="Table Classic 12"/>
    <w:basedOn w:val="TableNormal"/>
    <w:next w:val="TableClassic1"/>
    <w:semiHidden/>
    <w:unhideWhenUsed/>
    <w:rsid w:val="00276FBC"/>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unhideWhenUsed/>
    <w:rsid w:val="00276FBC"/>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unhideWhenUsed/>
    <w:rsid w:val="00276FBC"/>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unhideWhenUsed/>
    <w:rsid w:val="00276FBC"/>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unhideWhenUsed/>
    <w:rsid w:val="00276FBC"/>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unhideWhenUsed/>
    <w:rsid w:val="00276FBC"/>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unhideWhenUsed/>
    <w:rsid w:val="00276FBC"/>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unhideWhenUsed/>
    <w:rsid w:val="00276FBC"/>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unhideWhenUsed/>
    <w:rsid w:val="00276FBC"/>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unhideWhenUsed/>
    <w:rsid w:val="00276FBC"/>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unhideWhenUsed/>
    <w:rsid w:val="00276FBC"/>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unhideWhenUsed/>
    <w:rsid w:val="00276FBC"/>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2">
    <w:name w:val="Table Grid 22"/>
    <w:basedOn w:val="TableNormal"/>
    <w:next w:val="TableGrid2"/>
    <w:semiHidden/>
    <w:unhideWhenUsed/>
    <w:rsid w:val="00276FBC"/>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unhideWhenUsed/>
    <w:rsid w:val="00276FBC"/>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unhideWhenUsed/>
    <w:rsid w:val="00276FBC"/>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unhideWhenUsed/>
    <w:rsid w:val="00276FBC"/>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unhideWhenUsed/>
    <w:rsid w:val="00276FBC"/>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0">
    <w:name w:val="Table Grid 72"/>
    <w:basedOn w:val="TableNormal"/>
    <w:next w:val="TableGrid70"/>
    <w:semiHidden/>
    <w:unhideWhenUsed/>
    <w:rsid w:val="00276FBC"/>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unhideWhenUsed/>
    <w:rsid w:val="00276FBC"/>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unhideWhenUsed/>
    <w:rsid w:val="00276FBC"/>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unhideWhenUsed/>
    <w:rsid w:val="00276FBC"/>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unhideWhenUsed/>
    <w:rsid w:val="00276FBC"/>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unhideWhenUsed/>
    <w:rsid w:val="00276FBC"/>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unhideWhenUsed/>
    <w:rsid w:val="00276FBC"/>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unhideWhenUsed/>
    <w:rsid w:val="00276FBC"/>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unhideWhenUsed/>
    <w:rsid w:val="00276FBC"/>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unhideWhenUsed/>
    <w:rsid w:val="00276FBC"/>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2">
    <w:name w:val="Table 3D effects 12"/>
    <w:basedOn w:val="TableNormal"/>
    <w:next w:val="Table3Deffects1"/>
    <w:semiHidden/>
    <w:unhideWhenUsed/>
    <w:rsid w:val="00276FBC"/>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unhideWhenUsed/>
    <w:rsid w:val="00276FBC"/>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unhideWhenUsed/>
    <w:rsid w:val="00276FBC"/>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semiHidden/>
    <w:unhideWhenUsed/>
    <w:rsid w:val="00276FBC"/>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unhideWhenUsed/>
    <w:rsid w:val="00276FBC"/>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semiHidden/>
    <w:unhideWhenUsed/>
    <w:rsid w:val="00276FBC"/>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unhideWhenUsed/>
    <w:rsid w:val="00276FBC"/>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unhideWhenUsed/>
    <w:rsid w:val="00276FBC"/>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
    <w:name w:val="Table Web 12"/>
    <w:basedOn w:val="TableNormal"/>
    <w:next w:val="TableWeb1"/>
    <w:semiHidden/>
    <w:unhideWhenUsed/>
    <w:rsid w:val="00276FBC"/>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unhideWhenUsed/>
    <w:rsid w:val="00276FBC"/>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unhideWhenUsed/>
    <w:rsid w:val="00276FBC"/>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unhideWhenUsed/>
    <w:rsid w:val="00276FBC"/>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3">
    <w:name w:val="AIHW Table3"/>
    <w:basedOn w:val="TableNormal"/>
    <w:rsid w:val="00276FBC"/>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121">
    <w:name w:val="Table Grid 121"/>
    <w:basedOn w:val="TableNormal"/>
    <w:next w:val="TableGrid1"/>
    <w:semiHidden/>
    <w:unhideWhenUsed/>
    <w:rsid w:val="00276F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1">
    <w:name w:val="Light Shading21"/>
    <w:basedOn w:val="TableNormal"/>
    <w:next w:val="LightShading"/>
    <w:uiPriority w:val="60"/>
    <w:semiHidden/>
    <w:unhideWhenUsed/>
    <w:rsid w:val="00276FBC"/>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1">
    <w:name w:val="Light Shading - Accent 411"/>
    <w:basedOn w:val="TableNormal"/>
    <w:next w:val="LightShading-Accent4"/>
    <w:uiPriority w:val="60"/>
    <w:semiHidden/>
    <w:unhideWhenUsed/>
    <w:rsid w:val="00276FBC"/>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1">
    <w:name w:val="Light List - Accent 421"/>
    <w:basedOn w:val="TableNormal"/>
    <w:next w:val="LightList-Accent4"/>
    <w:uiPriority w:val="61"/>
    <w:semiHidden/>
    <w:unhideWhenUsed/>
    <w:rsid w:val="00276FBC"/>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1">
    <w:name w:val="Medium Shading 1 - Accent 421"/>
    <w:basedOn w:val="TableNormal"/>
    <w:next w:val="MediumShading1-Accent4"/>
    <w:uiPriority w:val="63"/>
    <w:semiHidden/>
    <w:unhideWhenUsed/>
    <w:rsid w:val="00276FBC"/>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1">
    <w:name w:val="Table for Reports21"/>
    <w:basedOn w:val="TableNormal"/>
    <w:uiPriority w:val="99"/>
    <w:rsid w:val="00276FBC"/>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1">
    <w:name w:val="Light Shading - Accent 1121"/>
    <w:basedOn w:val="TableNormal"/>
    <w:uiPriority w:val="60"/>
    <w:rsid w:val="00276FBC"/>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1">
    <w:name w:val="Table Grid 1111"/>
    <w:basedOn w:val="TableNormal"/>
    <w:rsid w:val="00276F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1">
    <w:name w:val="Table for Reports111"/>
    <w:basedOn w:val="TableNormal"/>
    <w:uiPriority w:val="99"/>
    <w:rsid w:val="00276FBC"/>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1">
    <w:name w:val="Light Shading - Accent 11111"/>
    <w:basedOn w:val="TableNormal"/>
    <w:uiPriority w:val="60"/>
    <w:rsid w:val="00276FBC"/>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1">
    <w:name w:val="Medium Shading 1 - Accent 4111"/>
    <w:basedOn w:val="TableNormal"/>
    <w:uiPriority w:val="63"/>
    <w:rsid w:val="00276FBC"/>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1">
    <w:name w:val="Light List - Accent 4111"/>
    <w:basedOn w:val="TableNormal"/>
    <w:uiPriority w:val="61"/>
    <w:rsid w:val="00276FBC"/>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1">
    <w:name w:val="Light Shading111"/>
    <w:basedOn w:val="TableNormal"/>
    <w:uiPriority w:val="60"/>
    <w:rsid w:val="00276FBC"/>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1">
    <w:name w:val="AIHW Table11"/>
    <w:basedOn w:val="TableNormal"/>
    <w:rsid w:val="00276FBC"/>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210">
    <w:name w:val="Table Grid21"/>
    <w:basedOn w:val="TableNormal"/>
    <w:next w:val="TableGrid"/>
    <w:rsid w:val="00276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next w:val="TableGrid"/>
    <w:rsid w:val="00276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next w:val="TableGrid"/>
    <w:uiPriority w:val="59"/>
    <w:rsid w:val="00276FBC"/>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39"/>
    <w:rsid w:val="00276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
    <w:basedOn w:val="TableNormal"/>
    <w:next w:val="TableGrid"/>
    <w:uiPriority w:val="39"/>
    <w:rsid w:val="00276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276FBC"/>
    <w:pPr>
      <w:keepNext/>
      <w:adjustRightInd w:val="0"/>
      <w:spacing w:before="60" w:after="60" w:line="259" w:lineRule="auto"/>
    </w:pPr>
    <w:rPr>
      <w:rFonts w:asciiTheme="minorHAnsi" w:eastAsiaTheme="minorHAnsi" w:hAnsiTheme="minorHAnsi" w:cstheme="minorBidi"/>
      <w:b/>
      <w:bCs/>
      <w:color w:val="000000"/>
      <w:sz w:val="22"/>
      <w:szCs w:val="22"/>
      <w:lang w:eastAsia="en-US"/>
    </w:rPr>
  </w:style>
  <w:style w:type="paragraph" w:customStyle="1" w:styleId="Captiontext">
    <w:name w:val="Caption text"/>
    <w:basedOn w:val="Normal"/>
    <w:link w:val="CaptiontextChar"/>
    <w:autoRedefine/>
    <w:qFormat/>
    <w:rsid w:val="0000266C"/>
    <w:pPr>
      <w:keepNext/>
      <w:spacing w:before="100" w:beforeAutospacing="1"/>
      <w:outlineLvl w:val="3"/>
    </w:pPr>
    <w:rPr>
      <w:b/>
      <w:bCs/>
    </w:rPr>
  </w:style>
  <w:style w:type="character" w:customStyle="1" w:styleId="TabletextChar0">
    <w:name w:val="Table text Char"/>
    <w:basedOn w:val="DefaultParagraphFont"/>
    <w:link w:val="Tabletext0"/>
    <w:rsid w:val="00276FBC"/>
    <w:rPr>
      <w:rFonts w:asciiTheme="minorHAnsi" w:eastAsiaTheme="minorHAnsi" w:hAnsiTheme="minorHAnsi" w:cstheme="minorBidi"/>
      <w:b/>
      <w:bCs/>
      <w:color w:val="000000"/>
      <w:sz w:val="22"/>
      <w:szCs w:val="22"/>
      <w:lang w:eastAsia="en-US"/>
    </w:rPr>
  </w:style>
  <w:style w:type="character" w:customStyle="1" w:styleId="CaptiontextChar">
    <w:name w:val="Caption text Char"/>
    <w:basedOn w:val="DefaultParagraphFont"/>
    <w:link w:val="Captiontext"/>
    <w:rsid w:val="0000266C"/>
    <w:rPr>
      <w:rFonts w:ascii="Arial" w:eastAsia="Times New Roman" w:hAnsi="Arial"/>
      <w:b/>
      <w:bCs/>
      <w:szCs w:val="24"/>
    </w:rPr>
  </w:style>
  <w:style w:type="character" w:customStyle="1" w:styleId="nlmstring-name">
    <w:name w:val="nlm_string-name"/>
    <w:basedOn w:val="DefaultParagraphFont"/>
    <w:rsid w:val="00B8749B"/>
  </w:style>
  <w:style w:type="character" w:customStyle="1" w:styleId="nlmyear">
    <w:name w:val="nlm_year"/>
    <w:basedOn w:val="DefaultParagraphFont"/>
    <w:rsid w:val="00B8749B"/>
  </w:style>
  <w:style w:type="character" w:customStyle="1" w:styleId="nlmarticle-title">
    <w:name w:val="nlm_article-title"/>
    <w:basedOn w:val="DefaultParagraphFont"/>
    <w:rsid w:val="00B8749B"/>
  </w:style>
  <w:style w:type="character" w:customStyle="1" w:styleId="nlmfpage">
    <w:name w:val="nlm_fpage"/>
    <w:basedOn w:val="DefaultParagraphFont"/>
    <w:rsid w:val="00B8749B"/>
  </w:style>
  <w:style w:type="character" w:customStyle="1" w:styleId="nlmlpage">
    <w:name w:val="nlm_lpage"/>
    <w:basedOn w:val="DefaultParagraphFont"/>
    <w:rsid w:val="00B8749B"/>
  </w:style>
  <w:style w:type="table" w:customStyle="1" w:styleId="ListTable4-Accent31">
    <w:name w:val="List Table 4 - Accent 31"/>
    <w:basedOn w:val="TableNormal"/>
    <w:uiPriority w:val="49"/>
    <w:rsid w:val="009F36DC"/>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eading11">
    <w:name w:val="Heading 11"/>
    <w:basedOn w:val="Normal"/>
    <w:next w:val="Normal"/>
    <w:uiPriority w:val="9"/>
    <w:qFormat/>
    <w:rsid w:val="00E91353"/>
    <w:pPr>
      <w:keepNext/>
      <w:keepLines/>
      <w:pBdr>
        <w:top w:val="single" w:sz="4" w:space="1" w:color="auto"/>
        <w:left w:val="single" w:sz="4" w:space="4" w:color="auto"/>
        <w:bottom w:val="single" w:sz="4" w:space="1" w:color="auto"/>
        <w:right w:val="single" w:sz="4" w:space="4" w:color="auto"/>
      </w:pBdr>
      <w:spacing w:before="400" w:after="0"/>
      <w:ind w:left="432" w:hanging="432"/>
      <w:outlineLvl w:val="0"/>
    </w:pPr>
    <w:rPr>
      <w:rFonts w:eastAsia="MS Gothic"/>
      <w:b/>
      <w:bCs/>
      <w:sz w:val="28"/>
      <w:szCs w:val="28"/>
    </w:rPr>
  </w:style>
  <w:style w:type="paragraph" w:customStyle="1" w:styleId="Heading31">
    <w:name w:val="Heading 31"/>
    <w:basedOn w:val="Normal"/>
    <w:next w:val="Normal"/>
    <w:uiPriority w:val="9"/>
    <w:qFormat/>
    <w:rsid w:val="00E91353"/>
    <w:pPr>
      <w:keepNext/>
      <w:keepLines/>
      <w:spacing w:before="200" w:after="200"/>
      <w:ind w:left="567" w:hanging="567"/>
      <w:outlineLvl w:val="2"/>
    </w:pPr>
    <w:rPr>
      <w:rFonts w:eastAsia="MS Gothic"/>
      <w:b/>
      <w:bCs/>
      <w:sz w:val="22"/>
      <w:lang w:eastAsia="en-US"/>
    </w:rPr>
  </w:style>
  <w:style w:type="paragraph" w:customStyle="1" w:styleId="TOC31">
    <w:name w:val="TOC 31"/>
    <w:basedOn w:val="Normal"/>
    <w:next w:val="Normal"/>
    <w:autoRedefine/>
    <w:uiPriority w:val="39"/>
    <w:qFormat/>
    <w:rsid w:val="00E91353"/>
    <w:pPr>
      <w:tabs>
        <w:tab w:val="left" w:pos="720"/>
        <w:tab w:val="left" w:pos="1440"/>
        <w:tab w:val="right" w:leader="dot" w:pos="8302"/>
      </w:tabs>
      <w:spacing w:before="40" w:after="40"/>
      <w:ind w:left="1741" w:right="720" w:hanging="1021"/>
      <w:jc w:val="center"/>
    </w:pPr>
    <w:rPr>
      <w:rFonts w:eastAsia="MS Gothic"/>
      <w:b/>
      <w:bCs/>
      <w:noProof/>
      <w:szCs w:val="20"/>
    </w:rPr>
  </w:style>
  <w:style w:type="character" w:customStyle="1" w:styleId="Heading2Char2">
    <w:name w:val="Heading 2 Char2"/>
    <w:basedOn w:val="DefaultParagraphFont"/>
    <w:uiPriority w:val="9"/>
    <w:semiHidden/>
    <w:rsid w:val="00E91353"/>
    <w:rPr>
      <w:rFonts w:asciiTheme="majorHAnsi" w:eastAsiaTheme="majorEastAsia" w:hAnsiTheme="majorHAnsi" w:cstheme="majorBidi"/>
      <w:color w:val="365F91" w:themeColor="accent1" w:themeShade="BF"/>
      <w:sz w:val="26"/>
      <w:szCs w:val="26"/>
    </w:rPr>
  </w:style>
  <w:style w:type="character" w:customStyle="1" w:styleId="Heading3Char2">
    <w:name w:val="Heading 3 Char2"/>
    <w:basedOn w:val="DefaultParagraphFont"/>
    <w:uiPriority w:val="9"/>
    <w:semiHidden/>
    <w:rsid w:val="00E91353"/>
    <w:rPr>
      <w:rFonts w:asciiTheme="majorHAnsi" w:eastAsiaTheme="majorEastAsia" w:hAnsiTheme="majorHAnsi" w:cstheme="majorBidi"/>
      <w:color w:val="243F60" w:themeColor="accent1" w:themeShade="7F"/>
      <w:sz w:val="24"/>
      <w:szCs w:val="24"/>
    </w:rPr>
  </w:style>
  <w:style w:type="paragraph" w:customStyle="1" w:styleId="desc">
    <w:name w:val="desc"/>
    <w:basedOn w:val="Normal"/>
    <w:rsid w:val="00E91353"/>
    <w:pPr>
      <w:spacing w:before="100" w:beforeAutospacing="1" w:after="100" w:afterAutospacing="1"/>
    </w:pPr>
    <w:rPr>
      <w:rFonts w:ascii="Times New Roman" w:hAnsi="Times New Roman"/>
      <w:sz w:val="24"/>
      <w:lang w:val="en-US" w:eastAsia="en-US"/>
    </w:rPr>
  </w:style>
  <w:style w:type="character" w:styleId="SubtleReference">
    <w:name w:val="Subtle Reference"/>
    <w:uiPriority w:val="31"/>
    <w:qFormat/>
    <w:rsid w:val="00E91353"/>
    <w:rPr>
      <w:color w:val="auto"/>
      <w:u w:val="single" w:color="9BBB59" w:themeColor="accent3"/>
    </w:rPr>
  </w:style>
  <w:style w:type="character" w:customStyle="1" w:styleId="NormalWebChar">
    <w:name w:val="Normal (Web) Char"/>
    <w:basedOn w:val="DefaultParagraphFont"/>
    <w:link w:val="NormalWeb"/>
    <w:uiPriority w:val="99"/>
    <w:rsid w:val="00E91353"/>
    <w:rPr>
      <w:rFonts w:ascii="Arial" w:eastAsia="Times New Roman" w:hAnsi="Arial"/>
      <w:color w:val="333333"/>
      <w:szCs w:val="24"/>
      <w:lang w:eastAsia="en-US"/>
    </w:rPr>
  </w:style>
  <w:style w:type="character" w:customStyle="1" w:styleId="normaltextrun">
    <w:name w:val="normaltextrun"/>
    <w:basedOn w:val="DefaultParagraphFont"/>
    <w:rsid w:val="00E91353"/>
  </w:style>
  <w:style w:type="character" w:customStyle="1" w:styleId="eop">
    <w:name w:val="eop"/>
    <w:basedOn w:val="DefaultParagraphFont"/>
    <w:rsid w:val="00E91353"/>
  </w:style>
  <w:style w:type="table" w:customStyle="1" w:styleId="ListTable4-Accent313">
    <w:name w:val="List Table 4 - Accent 313"/>
    <w:basedOn w:val="TableNormal"/>
    <w:uiPriority w:val="49"/>
    <w:rsid w:val="004D442A"/>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rticle-headermeta-info-data">
    <w:name w:val="article-header__meta-info-data"/>
    <w:rsid w:val="00285715"/>
  </w:style>
  <w:style w:type="paragraph" w:customStyle="1" w:styleId="text">
    <w:name w:val="text"/>
    <w:basedOn w:val="Normal"/>
    <w:rsid w:val="00D82AAD"/>
    <w:pPr>
      <w:numPr>
        <w:numId w:val="48"/>
      </w:numPr>
      <w:tabs>
        <w:tab w:val="clear" w:pos="720"/>
        <w:tab w:val="num" w:pos="718"/>
      </w:tabs>
      <w:spacing w:before="0" w:after="100"/>
      <w:ind w:left="718"/>
    </w:pPr>
    <w:rPr>
      <w:rFonts w:ascii="Times New Roman" w:hAnsi="Times New Roman"/>
      <w:lang w:val="en-US" w:eastAsia="en-US"/>
    </w:rPr>
  </w:style>
  <w:style w:type="character" w:customStyle="1" w:styleId="il">
    <w:name w:val="il"/>
    <w:basedOn w:val="DefaultParagraphFont"/>
    <w:rsid w:val="00062723"/>
  </w:style>
  <w:style w:type="character" w:customStyle="1" w:styleId="ListParagraphChar">
    <w:name w:val="List Paragraph Char"/>
    <w:link w:val="ListParagraph"/>
    <w:uiPriority w:val="34"/>
    <w:locked/>
    <w:rsid w:val="00933841"/>
    <w:rPr>
      <w:rFonts w:ascii="Arial" w:eastAsia="Times New Roman" w:hAnsi="Arial"/>
      <w:szCs w:val="24"/>
    </w:rPr>
  </w:style>
  <w:style w:type="character" w:customStyle="1" w:styleId="highlight">
    <w:name w:val="highlight"/>
    <w:basedOn w:val="DefaultParagraphFont"/>
    <w:rsid w:val="00382CF4"/>
  </w:style>
  <w:style w:type="character" w:customStyle="1" w:styleId="reference-text">
    <w:name w:val="reference-text"/>
    <w:basedOn w:val="DefaultParagraphFont"/>
    <w:rsid w:val="00F27373"/>
  </w:style>
  <w:style w:type="table" w:customStyle="1" w:styleId="Style16">
    <w:name w:val="Style16"/>
    <w:basedOn w:val="TableNormal"/>
    <w:uiPriority w:val="99"/>
    <w:qFormat/>
    <w:rsid w:val="007023F8"/>
    <w:tblPr/>
  </w:style>
  <w:style w:type="table" w:customStyle="1" w:styleId="TableGrid100">
    <w:name w:val="Table Grid10"/>
    <w:basedOn w:val="TableNormal"/>
    <w:next w:val="TableGrid"/>
    <w:uiPriority w:val="59"/>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4">
    <w:name w:val="TR31_Table4"/>
    <w:basedOn w:val="TableNormal"/>
    <w:uiPriority w:val="99"/>
    <w:rsid w:val="007023F8"/>
    <w:rPr>
      <w:rFonts w:ascii="Arial" w:hAnsi="Arial"/>
    </w:rPr>
    <w:tblPr>
      <w:tblBorders>
        <w:top w:val="single" w:sz="4" w:space="0" w:color="auto"/>
        <w:bottom w:val="single" w:sz="4" w:space="0" w:color="auto"/>
      </w:tblBorders>
    </w:tblPr>
  </w:style>
  <w:style w:type="table" w:customStyle="1" w:styleId="TableGrid15">
    <w:name w:val="Table Grid 15"/>
    <w:basedOn w:val="TableNormal"/>
    <w:next w:val="TableGrid1"/>
    <w:rsid w:val="007023F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5">
    <w:name w:val="Table for Reports5"/>
    <w:basedOn w:val="TableNormal"/>
    <w:uiPriority w:val="99"/>
    <w:rsid w:val="007023F8"/>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5">
    <w:name w:val="Light Shading - Accent 115"/>
    <w:basedOn w:val="TableNormal"/>
    <w:uiPriority w:val="60"/>
    <w:rsid w:val="007023F8"/>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4">
    <w:name w:val="Table Grid74"/>
    <w:basedOn w:val="TableNormal"/>
    <w:next w:val="TableGrid"/>
    <w:uiPriority w:val="59"/>
    <w:rsid w:val="007023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5">
    <w:name w:val="Medium Shading 1 - Accent 45"/>
    <w:basedOn w:val="TableNormal"/>
    <w:next w:val="MediumShading1-Accent4"/>
    <w:uiPriority w:val="63"/>
    <w:rsid w:val="007023F8"/>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5">
    <w:name w:val="Light List - Accent 45"/>
    <w:basedOn w:val="TableNormal"/>
    <w:next w:val="LightList-Accent4"/>
    <w:uiPriority w:val="61"/>
    <w:rsid w:val="007023F8"/>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Style133">
    <w:name w:val="Style133"/>
    <w:basedOn w:val="TableNormal"/>
    <w:uiPriority w:val="99"/>
    <w:qFormat/>
    <w:rsid w:val="007023F8"/>
    <w:tblPr/>
  </w:style>
  <w:style w:type="table" w:customStyle="1" w:styleId="TableGrid130">
    <w:name w:val="Table Grid13"/>
    <w:basedOn w:val="TableNormal"/>
    <w:next w:val="TableGrid"/>
    <w:uiPriority w:val="59"/>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3">
    <w:name w:val="TR31_Table13"/>
    <w:basedOn w:val="TableNormal"/>
    <w:uiPriority w:val="99"/>
    <w:rsid w:val="007023F8"/>
    <w:rPr>
      <w:rFonts w:ascii="Arial" w:hAnsi="Arial"/>
    </w:rPr>
    <w:tblPr>
      <w:tblBorders>
        <w:top w:val="single" w:sz="4" w:space="0" w:color="auto"/>
        <w:bottom w:val="single" w:sz="4" w:space="0" w:color="auto"/>
      </w:tblBorders>
    </w:tblPr>
  </w:style>
  <w:style w:type="table" w:customStyle="1" w:styleId="TableGrid114">
    <w:name w:val="Table Grid 114"/>
    <w:basedOn w:val="TableNormal"/>
    <w:next w:val="TableGrid1"/>
    <w:rsid w:val="007023F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4">
    <w:name w:val="Table for Reports14"/>
    <w:basedOn w:val="TableNormal"/>
    <w:uiPriority w:val="99"/>
    <w:rsid w:val="007023F8"/>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4">
    <w:name w:val="Light Shading - Accent 1114"/>
    <w:basedOn w:val="TableNormal"/>
    <w:uiPriority w:val="60"/>
    <w:rsid w:val="007023F8"/>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3">
    <w:name w:val="Table Grid713"/>
    <w:basedOn w:val="TableNormal"/>
    <w:next w:val="TableGrid"/>
    <w:uiPriority w:val="59"/>
    <w:rsid w:val="007023F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4">
    <w:name w:val="Medium Shading 1 - Accent 414"/>
    <w:basedOn w:val="TableNormal"/>
    <w:next w:val="MediumShading1-Accent4"/>
    <w:uiPriority w:val="63"/>
    <w:rsid w:val="007023F8"/>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4">
    <w:name w:val="Light List - Accent 414"/>
    <w:basedOn w:val="TableNormal"/>
    <w:next w:val="LightList-Accent4"/>
    <w:uiPriority w:val="61"/>
    <w:rsid w:val="007023F8"/>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4">
    <w:name w:val="Light Shading14"/>
    <w:basedOn w:val="TableNormal"/>
    <w:next w:val="LightShading"/>
    <w:uiPriority w:val="60"/>
    <w:rsid w:val="007023F8"/>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
    <w:name w:val="Light Shading5"/>
    <w:basedOn w:val="TableNormal"/>
    <w:next w:val="LightShading"/>
    <w:uiPriority w:val="60"/>
    <w:rsid w:val="007023F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4">
    <w:name w:val="Light Shading - Accent 44"/>
    <w:basedOn w:val="TableNormal"/>
    <w:next w:val="LightShading-Accent4"/>
    <w:uiPriority w:val="60"/>
    <w:rsid w:val="007023F8"/>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3">
    <w:name w:val="Table Simple 13"/>
    <w:basedOn w:val="TableNormal"/>
    <w:next w:val="TableSimple1"/>
    <w:semiHidden/>
    <w:unhideWhenUsed/>
    <w:rsid w:val="007023F8"/>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semiHidden/>
    <w:unhideWhenUsed/>
    <w:rsid w:val="007023F8"/>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3">
    <w:name w:val="Table Classic 13"/>
    <w:basedOn w:val="TableNormal"/>
    <w:next w:val="TableClassic1"/>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unhideWhenUsed/>
    <w:rsid w:val="007023F8"/>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unhideWhenUsed/>
    <w:rsid w:val="007023F8"/>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unhideWhenUsed/>
    <w:rsid w:val="007023F8"/>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unhideWhenUsed/>
    <w:rsid w:val="007023F8"/>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unhideWhenUsed/>
    <w:rsid w:val="007023F8"/>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unhideWhenUsed/>
    <w:rsid w:val="007023F8"/>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unhideWhenUsed/>
    <w:rsid w:val="007023F8"/>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unhideWhenUsed/>
    <w:rsid w:val="007023F8"/>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unhideWhenUsed/>
    <w:rsid w:val="007023F8"/>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3">
    <w:name w:val="Table Grid 23"/>
    <w:basedOn w:val="TableNormal"/>
    <w:next w:val="TableGrid2"/>
    <w:semiHidden/>
    <w:unhideWhenUsed/>
    <w:rsid w:val="007023F8"/>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semiHidden/>
    <w:unhideWhenUsed/>
    <w:rsid w:val="007023F8"/>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unhideWhenUsed/>
    <w:rsid w:val="007023F8"/>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0">
    <w:name w:val="Table Grid 73"/>
    <w:basedOn w:val="TableNormal"/>
    <w:next w:val="TableGrid70"/>
    <w:semiHidden/>
    <w:unhideWhenUsed/>
    <w:rsid w:val="007023F8"/>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unhideWhenUsed/>
    <w:rsid w:val="007023F8"/>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unhideWhenUsed/>
    <w:rsid w:val="007023F8"/>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unhideWhenUsed/>
    <w:rsid w:val="007023F8"/>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semiHidden/>
    <w:unhideWhenUsed/>
    <w:rsid w:val="007023F8"/>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unhideWhenUsed/>
    <w:rsid w:val="007023F8"/>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unhideWhenUsed/>
    <w:rsid w:val="007023F8"/>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unhideWhenUsed/>
    <w:rsid w:val="007023F8"/>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3">
    <w:name w:val="Table 3D effects 13"/>
    <w:basedOn w:val="TableNormal"/>
    <w:next w:val="Table3Deffects1"/>
    <w:semiHidden/>
    <w:unhideWhenUsed/>
    <w:rsid w:val="007023F8"/>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semiHidden/>
    <w:unhideWhenUsed/>
    <w:rsid w:val="007023F8"/>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semiHidden/>
    <w:unhideWhenUsed/>
    <w:rsid w:val="007023F8"/>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
    <w:name w:val="Table Contemporary3"/>
    <w:basedOn w:val="TableNormal"/>
    <w:next w:val="TableContemporary"/>
    <w:semiHidden/>
    <w:unhideWhenUsed/>
    <w:rsid w:val="007023F8"/>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unhideWhenUsed/>
    <w:rsid w:val="007023F8"/>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3">
    <w:name w:val="Table Professional3"/>
    <w:basedOn w:val="TableNormal"/>
    <w:next w:val="TableProfessional"/>
    <w:semiHidden/>
    <w:unhideWhenUsed/>
    <w:rsid w:val="007023F8"/>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semiHidden/>
    <w:unhideWhenUsed/>
    <w:rsid w:val="007023F8"/>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semiHidden/>
    <w:unhideWhenUsed/>
    <w:rsid w:val="007023F8"/>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3">
    <w:name w:val="Table Web 13"/>
    <w:basedOn w:val="TableNormal"/>
    <w:next w:val="TableWeb1"/>
    <w:semiHidden/>
    <w:unhideWhenUsed/>
    <w:rsid w:val="007023F8"/>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unhideWhenUsed/>
    <w:rsid w:val="007023F8"/>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unhideWhenUsed/>
    <w:rsid w:val="007023F8"/>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semiHidden/>
    <w:unhideWhenUsed/>
    <w:rsid w:val="007023F8"/>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4">
    <w:name w:val="AIHW Table4"/>
    <w:basedOn w:val="TableNormal"/>
    <w:rsid w:val="007023F8"/>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122">
    <w:name w:val="Table Grid 122"/>
    <w:basedOn w:val="TableNormal"/>
    <w:next w:val="TableGrid1"/>
    <w:semiHidden/>
    <w:unhideWhenUsed/>
    <w:rsid w:val="007023F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2">
    <w:name w:val="Light Shading22"/>
    <w:basedOn w:val="TableNormal"/>
    <w:next w:val="LightShading"/>
    <w:uiPriority w:val="60"/>
    <w:unhideWhenUsed/>
    <w:rsid w:val="007023F8"/>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2">
    <w:name w:val="Light Shading - Accent 412"/>
    <w:basedOn w:val="TableNormal"/>
    <w:next w:val="LightShading-Accent4"/>
    <w:uiPriority w:val="60"/>
    <w:unhideWhenUsed/>
    <w:rsid w:val="007023F8"/>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2">
    <w:name w:val="Light List - Accent 422"/>
    <w:basedOn w:val="TableNormal"/>
    <w:next w:val="LightList-Accent4"/>
    <w:uiPriority w:val="61"/>
    <w:semiHidden/>
    <w:unhideWhenUsed/>
    <w:rsid w:val="007023F8"/>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2">
    <w:name w:val="Medium Shading 1 - Accent 422"/>
    <w:basedOn w:val="TableNormal"/>
    <w:next w:val="MediumShading1-Accent4"/>
    <w:uiPriority w:val="63"/>
    <w:semiHidden/>
    <w:unhideWhenUsed/>
    <w:rsid w:val="007023F8"/>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2">
    <w:name w:val="Table for Reports22"/>
    <w:basedOn w:val="TableNormal"/>
    <w:uiPriority w:val="99"/>
    <w:rsid w:val="007023F8"/>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2">
    <w:name w:val="Light Shading - Accent 1122"/>
    <w:basedOn w:val="TableNormal"/>
    <w:uiPriority w:val="60"/>
    <w:rsid w:val="007023F8"/>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2">
    <w:name w:val="Table Grid 1112"/>
    <w:basedOn w:val="TableNormal"/>
    <w:rsid w:val="007023F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2">
    <w:name w:val="Table for Reports112"/>
    <w:basedOn w:val="TableNormal"/>
    <w:uiPriority w:val="99"/>
    <w:rsid w:val="007023F8"/>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2">
    <w:name w:val="Light Shading - Accent 11112"/>
    <w:basedOn w:val="TableNormal"/>
    <w:uiPriority w:val="60"/>
    <w:rsid w:val="007023F8"/>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2">
    <w:name w:val="Medium Shading 1 - Accent 4112"/>
    <w:basedOn w:val="TableNormal"/>
    <w:uiPriority w:val="63"/>
    <w:rsid w:val="007023F8"/>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2">
    <w:name w:val="Light List - Accent 4112"/>
    <w:basedOn w:val="TableNormal"/>
    <w:uiPriority w:val="61"/>
    <w:rsid w:val="007023F8"/>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2">
    <w:name w:val="Light Shading112"/>
    <w:basedOn w:val="TableNormal"/>
    <w:uiPriority w:val="60"/>
    <w:rsid w:val="007023F8"/>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2">
    <w:name w:val="AIHW Table12"/>
    <w:basedOn w:val="TableNormal"/>
    <w:rsid w:val="007023F8"/>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220">
    <w:name w:val="Table Grid22"/>
    <w:basedOn w:val="TableNormal"/>
    <w:next w:val="TableGrid"/>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uiPriority w:val="59"/>
    <w:rsid w:val="007023F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39"/>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0">
    <w:name w:val="Table Grid62"/>
    <w:basedOn w:val="TableNormal"/>
    <w:next w:val="TableGrid"/>
    <w:uiPriority w:val="39"/>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semiHidden/>
    <w:unhideWhenUsed/>
    <w:rsid w:val="007023F8"/>
    <w:pPr>
      <w:spacing w:before="60" w:after="40" w:line="260" w:lineRule="atLeast"/>
    </w:pPr>
    <w:rPr>
      <w:rFonts w:ascii="Book Antiqua" w:eastAsia="Times New Roman" w:hAnsi="Book Antiqua"/>
      <w:sz w:val="22"/>
      <w:szCs w:val="22"/>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semiHidden/>
    <w:unhideWhenUsed/>
    <w:rsid w:val="007023F8"/>
    <w:pPr>
      <w:spacing w:before="60" w:after="40" w:line="260" w:lineRule="atLeast"/>
    </w:pPr>
    <w:rPr>
      <w:rFonts w:ascii="Book Antiqua" w:eastAsia="Times New Roman" w:hAnsi="Book Antiqua"/>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unhideWhenUsed/>
    <w:rsid w:val="007023F8"/>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
    <w:name w:val="Table Classic 111"/>
    <w:basedOn w:val="TableNormal"/>
    <w:next w:val="TableClassic1"/>
    <w:semiHidden/>
    <w:unhideWhenUsed/>
    <w:rsid w:val="007023F8"/>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unhideWhenUsed/>
    <w:rsid w:val="007023F8"/>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unhideWhenUsed/>
    <w:rsid w:val="007023F8"/>
    <w:pPr>
      <w:spacing w:before="60" w:after="40" w:line="260" w:lineRule="atLeast"/>
    </w:pPr>
    <w:rPr>
      <w:rFonts w:ascii="Book Antiqua" w:eastAsia="Times New Roman" w:hAnsi="Book Antiqua"/>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unhideWhenUsed/>
    <w:rsid w:val="007023F8"/>
    <w:pPr>
      <w:spacing w:before="60" w:after="40" w:line="260" w:lineRule="atLeast"/>
    </w:pPr>
    <w:rPr>
      <w:rFonts w:ascii="Book Antiqua" w:eastAsia="Times New Roman" w:hAnsi="Book Antiqua"/>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semiHidden/>
    <w:unhideWhenUsed/>
    <w:rsid w:val="007023F8"/>
    <w:pPr>
      <w:spacing w:before="60" w:after="40" w:line="260" w:lineRule="atLeast"/>
    </w:pPr>
    <w:rPr>
      <w:rFonts w:ascii="Book Antiqua" w:eastAsia="Times New Roman" w:hAnsi="Book Antiqua"/>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unhideWhenUsed/>
    <w:rsid w:val="007023F8"/>
    <w:pPr>
      <w:spacing w:before="60" w:after="40" w:line="260" w:lineRule="atLeast"/>
    </w:pPr>
    <w:rPr>
      <w:rFonts w:ascii="Book Antiqua" w:eastAsia="Times New Roman" w:hAnsi="Book Antiqua"/>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unhideWhenUsed/>
    <w:rsid w:val="007023F8"/>
    <w:pPr>
      <w:spacing w:before="60" w:after="40" w:line="260" w:lineRule="atLeast"/>
    </w:pPr>
    <w:rPr>
      <w:rFonts w:ascii="Book Antiqua" w:eastAsia="Times New Roman" w:hAnsi="Book Antiqua"/>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unhideWhenUsed/>
    <w:rsid w:val="007023F8"/>
    <w:pPr>
      <w:spacing w:before="60" w:after="40" w:line="260" w:lineRule="atLeast"/>
    </w:pPr>
    <w:rPr>
      <w:rFonts w:ascii="Book Antiqua" w:eastAsia="Times New Roman" w:hAnsi="Book Antiqua"/>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unhideWhenUsed/>
    <w:rsid w:val="007023F8"/>
    <w:pPr>
      <w:spacing w:before="60" w:after="40" w:line="260" w:lineRule="atLeast"/>
    </w:pPr>
    <w:rPr>
      <w:rFonts w:ascii="Book Antiqua" w:eastAsia="Times New Roman" w:hAnsi="Book Antiqua"/>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unhideWhenUsed/>
    <w:rsid w:val="007023F8"/>
    <w:pPr>
      <w:spacing w:before="60" w:after="40" w:line="260" w:lineRule="atLeast"/>
    </w:pPr>
    <w:rPr>
      <w:rFonts w:ascii="Book Antiqua" w:eastAsia="Times New Roman" w:hAnsi="Book Antiqua"/>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unhideWhenUsed/>
    <w:rsid w:val="007023F8"/>
    <w:pPr>
      <w:spacing w:before="60" w:after="40" w:line="260" w:lineRule="atLeast"/>
    </w:pPr>
    <w:rPr>
      <w:rFonts w:ascii="Book Antiqua" w:eastAsia="Times New Roman" w:hAnsi="Book Antiqua"/>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unhideWhenUsed/>
    <w:rsid w:val="007023F8"/>
    <w:pPr>
      <w:spacing w:before="60" w:after="40" w:line="260" w:lineRule="atLeast"/>
    </w:pPr>
    <w:rPr>
      <w:rFonts w:ascii="Book Antiqua" w:eastAsia="Times New Roman" w:hAnsi="Book Antiqua"/>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31">
    <w:name w:val="Table Grid 131"/>
    <w:basedOn w:val="TableNormal"/>
    <w:next w:val="TableGrid1"/>
    <w:semiHidden/>
    <w:unhideWhenUsed/>
    <w:rsid w:val="007023F8"/>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semiHidden/>
    <w:unhideWhenUsed/>
    <w:rsid w:val="007023F8"/>
    <w:pPr>
      <w:spacing w:before="60" w:after="40" w:line="260" w:lineRule="atLeast"/>
    </w:pPr>
    <w:rPr>
      <w:rFonts w:ascii="Book Antiqua" w:eastAsia="Times New Roman" w:hAnsi="Book Antiqua"/>
      <w:sz w:val="22"/>
      <w:szCs w:val="22"/>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semiHidden/>
    <w:unhideWhenUsed/>
    <w:rsid w:val="007023F8"/>
    <w:pPr>
      <w:spacing w:before="60" w:after="40" w:line="260" w:lineRule="atLeast"/>
    </w:pPr>
    <w:rPr>
      <w:rFonts w:ascii="Book Antiqua" w:eastAsia="Times New Roman" w:hAnsi="Book Antiqua"/>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semiHidden/>
    <w:unhideWhenUsed/>
    <w:rsid w:val="007023F8"/>
    <w:pPr>
      <w:spacing w:before="60" w:after="40" w:line="260" w:lineRule="atLeast"/>
    </w:pPr>
    <w:rPr>
      <w:rFonts w:ascii="Book Antiqua" w:eastAsia="Times New Roman" w:hAnsi="Book Antiqua"/>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semiHidden/>
    <w:unhideWhenUsed/>
    <w:rsid w:val="007023F8"/>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semiHidden/>
    <w:unhideWhenUsed/>
    <w:rsid w:val="007023F8"/>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0">
    <w:name w:val="Table Grid 711"/>
    <w:basedOn w:val="TableNormal"/>
    <w:next w:val="TableGrid70"/>
    <w:semiHidden/>
    <w:unhideWhenUsed/>
    <w:rsid w:val="007023F8"/>
    <w:pPr>
      <w:spacing w:before="60" w:after="40" w:line="260" w:lineRule="atLeast"/>
    </w:pPr>
    <w:rPr>
      <w:rFonts w:ascii="Book Antiqua" w:eastAsia="Times New Roman" w:hAnsi="Book Antiqua"/>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unhideWhenUsed/>
    <w:rsid w:val="007023F8"/>
    <w:pPr>
      <w:spacing w:before="60" w:after="40" w:line="260" w:lineRule="atLeast"/>
    </w:pPr>
    <w:rPr>
      <w:rFonts w:ascii="Book Antiqua" w:eastAsia="Times New Roman" w:hAnsi="Book Antiqua"/>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unhideWhenUsed/>
    <w:rsid w:val="007023F8"/>
    <w:pPr>
      <w:spacing w:before="60" w:after="40" w:line="260" w:lineRule="atLeast"/>
    </w:pPr>
    <w:rPr>
      <w:rFonts w:ascii="Book Antiqua" w:eastAsia="Times New Roman" w:hAnsi="Book Antiqua"/>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unhideWhenUsed/>
    <w:rsid w:val="007023F8"/>
    <w:pPr>
      <w:spacing w:before="60" w:after="40" w:line="260" w:lineRule="atLeast"/>
    </w:pPr>
    <w:rPr>
      <w:rFonts w:ascii="Book Antiqua" w:eastAsia="Times New Roman" w:hAnsi="Book Antiqua"/>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unhideWhenUsed/>
    <w:rsid w:val="007023F8"/>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unhideWhenUsed/>
    <w:rsid w:val="007023F8"/>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semiHidden/>
    <w:unhideWhenUsed/>
    <w:rsid w:val="007023F8"/>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semiHidden/>
    <w:unhideWhenUsed/>
    <w:rsid w:val="007023F8"/>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semiHidden/>
    <w:unhideWhenUsed/>
    <w:rsid w:val="007023F8"/>
    <w:pPr>
      <w:spacing w:before="60" w:after="40" w:line="260" w:lineRule="atLeast"/>
    </w:pPr>
    <w:rPr>
      <w:rFonts w:ascii="Book Antiqua" w:eastAsia="Times New Roman" w:hAnsi="Book Antiqua"/>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unhideWhenUsed/>
    <w:rsid w:val="007023F8"/>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
    <w:name w:val="Table 3D effects 111"/>
    <w:basedOn w:val="TableNormal"/>
    <w:next w:val="Table3Deffects1"/>
    <w:semiHidden/>
    <w:unhideWhenUsed/>
    <w:rsid w:val="007023F8"/>
    <w:pPr>
      <w:spacing w:before="60" w:after="40" w:line="260" w:lineRule="atLeast"/>
    </w:pPr>
    <w:rPr>
      <w:rFonts w:ascii="Book Antiqua" w:eastAsia="Times New Roman" w:hAnsi="Book Antiqua"/>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semiHidden/>
    <w:unhideWhenUsed/>
    <w:rsid w:val="007023F8"/>
    <w:pPr>
      <w:spacing w:before="60" w:after="40" w:line="260" w:lineRule="atLeast"/>
    </w:pPr>
    <w:rPr>
      <w:rFonts w:ascii="Book Antiqua" w:eastAsia="Times New Roman" w:hAnsi="Book Antiqua"/>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semiHidden/>
    <w:unhideWhenUsed/>
    <w:rsid w:val="007023F8"/>
    <w:pPr>
      <w:spacing w:before="60" w:after="40" w:line="260" w:lineRule="atLeast"/>
    </w:pPr>
    <w:rPr>
      <w:rFonts w:ascii="Book Antiqua" w:eastAsia="Times New Roman" w:hAnsi="Book Antiqua"/>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semiHidden/>
    <w:unhideWhenUsed/>
    <w:rsid w:val="007023F8"/>
    <w:pPr>
      <w:spacing w:before="60" w:after="40" w:line="260" w:lineRule="atLeast"/>
    </w:pPr>
    <w:rPr>
      <w:rFonts w:ascii="Book Antiqua" w:eastAsia="Times New Roman" w:hAnsi="Book Antiqua"/>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unhideWhenUsed/>
    <w:rsid w:val="007023F8"/>
    <w:pPr>
      <w:spacing w:before="60" w:after="40" w:line="260" w:lineRule="atLeast"/>
    </w:pPr>
    <w:rPr>
      <w:rFonts w:ascii="Book Antiqua" w:eastAsia="Times New Roman" w:hAnsi="Book Antiqua"/>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semiHidden/>
    <w:unhideWhenUsed/>
    <w:rsid w:val="007023F8"/>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semiHidden/>
    <w:unhideWhenUsed/>
    <w:rsid w:val="007023F8"/>
    <w:pPr>
      <w:spacing w:before="60" w:after="40" w:line="260" w:lineRule="atLeast"/>
    </w:pPr>
    <w:rPr>
      <w:rFonts w:ascii="Book Antiqua" w:eastAsia="Times New Roman" w:hAnsi="Book Antiqua"/>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semiHidden/>
    <w:unhideWhenUsed/>
    <w:rsid w:val="007023F8"/>
    <w:pPr>
      <w:spacing w:before="60" w:after="40" w:line="260" w:lineRule="atLeast"/>
    </w:pPr>
    <w:rPr>
      <w:rFonts w:ascii="Book Antiqua" w:eastAsia="Times New Roman" w:hAnsi="Book Antiqua"/>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1">
    <w:name w:val="Table Web 111"/>
    <w:basedOn w:val="TableNormal"/>
    <w:next w:val="TableWeb1"/>
    <w:semiHidden/>
    <w:unhideWhenUsed/>
    <w:rsid w:val="007023F8"/>
    <w:pPr>
      <w:spacing w:before="60" w:after="40" w:line="260" w:lineRule="atLeast"/>
    </w:pPr>
    <w:rPr>
      <w:rFonts w:ascii="Book Antiqua" w:eastAsia="Times New Roman" w:hAnsi="Book Antiqua"/>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unhideWhenUsed/>
    <w:rsid w:val="007023F8"/>
    <w:pPr>
      <w:spacing w:before="60" w:after="40" w:line="260" w:lineRule="atLeast"/>
    </w:pPr>
    <w:rPr>
      <w:rFonts w:ascii="Book Antiqua" w:eastAsia="Times New Roman" w:hAnsi="Book Antiqua"/>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unhideWhenUsed/>
    <w:rsid w:val="007023F8"/>
    <w:pPr>
      <w:spacing w:before="60" w:after="40" w:line="260" w:lineRule="atLeast"/>
    </w:pPr>
    <w:rPr>
      <w:rFonts w:ascii="Book Antiqua" w:eastAsia="Times New Roman" w:hAnsi="Book Antiqua"/>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810">
    <w:name w:val="Table Grid81"/>
    <w:basedOn w:val="TableNormal"/>
    <w:next w:val="TableGrid"/>
    <w:uiPriority w:val="59"/>
    <w:rsid w:val="007023F8"/>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semiHidden/>
    <w:unhideWhenUsed/>
    <w:rsid w:val="007023F8"/>
    <w:pPr>
      <w:spacing w:before="60" w:after="40" w:line="260" w:lineRule="atLeast"/>
    </w:pPr>
    <w:rPr>
      <w:rFonts w:ascii="Book Antiqua" w:eastAsia="Times New Roman" w:hAnsi="Book Antiqu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1">
    <w:name w:val="Light Shading31"/>
    <w:basedOn w:val="TableNormal"/>
    <w:next w:val="LightShading"/>
    <w:uiPriority w:val="60"/>
    <w:semiHidden/>
    <w:unhideWhenUsed/>
    <w:rsid w:val="007023F8"/>
    <w:rPr>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21">
    <w:name w:val="Light Shading - Accent 421"/>
    <w:basedOn w:val="TableNormal"/>
    <w:next w:val="LightShading-Accent4"/>
    <w:uiPriority w:val="60"/>
    <w:semiHidden/>
    <w:unhideWhenUsed/>
    <w:rsid w:val="007023F8"/>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31">
    <w:name w:val="Light List - Accent 431"/>
    <w:basedOn w:val="TableNormal"/>
    <w:next w:val="LightList-Accent4"/>
    <w:uiPriority w:val="61"/>
    <w:semiHidden/>
    <w:unhideWhenUsed/>
    <w:rsid w:val="007023F8"/>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31">
    <w:name w:val="Medium Shading 1 - Accent 431"/>
    <w:basedOn w:val="TableNormal"/>
    <w:next w:val="MediumShading1-Accent4"/>
    <w:uiPriority w:val="63"/>
    <w:semiHidden/>
    <w:unhideWhenUsed/>
    <w:rsid w:val="007023F8"/>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Style141">
    <w:name w:val="Style141"/>
    <w:basedOn w:val="TableNormal"/>
    <w:uiPriority w:val="99"/>
    <w:qFormat/>
    <w:rsid w:val="007023F8"/>
    <w:rPr>
      <w:lang w:eastAsia="en-US"/>
    </w:rPr>
    <w:tblPr/>
  </w:style>
  <w:style w:type="table" w:customStyle="1" w:styleId="TR31Table21">
    <w:name w:val="TR31_Table21"/>
    <w:basedOn w:val="TableNormal"/>
    <w:uiPriority w:val="99"/>
    <w:rsid w:val="007023F8"/>
    <w:rPr>
      <w:rFonts w:ascii="Arial" w:hAnsi="Arial"/>
      <w:lang w:eastAsia="en-US"/>
    </w:rPr>
    <w:tblPr>
      <w:tblBorders>
        <w:top w:val="single" w:sz="4" w:space="0" w:color="auto"/>
        <w:bottom w:val="single" w:sz="4" w:space="0" w:color="auto"/>
      </w:tblBorders>
    </w:tblPr>
  </w:style>
  <w:style w:type="table" w:customStyle="1" w:styleId="TableforReports31">
    <w:name w:val="Table for Reports31"/>
    <w:basedOn w:val="TableNormal"/>
    <w:uiPriority w:val="99"/>
    <w:rsid w:val="007023F8"/>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31">
    <w:name w:val="Light Shading - Accent 1131"/>
    <w:basedOn w:val="TableNormal"/>
    <w:uiPriority w:val="60"/>
    <w:rsid w:val="007023F8"/>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721">
    <w:name w:val="Table Grid721"/>
    <w:basedOn w:val="TableNormal"/>
    <w:uiPriority w:val="59"/>
    <w:rsid w:val="007023F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11">
    <w:name w:val="Style1311"/>
    <w:basedOn w:val="TableNormal"/>
    <w:uiPriority w:val="99"/>
    <w:qFormat/>
    <w:rsid w:val="007023F8"/>
    <w:rPr>
      <w:lang w:eastAsia="en-US"/>
    </w:rPr>
    <w:tblPr/>
  </w:style>
  <w:style w:type="table" w:customStyle="1" w:styleId="TableGrid1110">
    <w:name w:val="Table Grid111"/>
    <w:basedOn w:val="TableNormal"/>
    <w:uiPriority w:val="59"/>
    <w:rsid w:val="007023F8"/>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11">
    <w:name w:val="TR31_Table111"/>
    <w:basedOn w:val="TableNormal"/>
    <w:uiPriority w:val="99"/>
    <w:rsid w:val="007023F8"/>
    <w:rPr>
      <w:rFonts w:ascii="Arial" w:hAnsi="Arial"/>
      <w:lang w:eastAsia="en-US"/>
    </w:rPr>
    <w:tblPr>
      <w:tblBorders>
        <w:top w:val="single" w:sz="4" w:space="0" w:color="auto"/>
        <w:bottom w:val="single" w:sz="4" w:space="0" w:color="auto"/>
      </w:tblBorders>
    </w:tblPr>
  </w:style>
  <w:style w:type="table" w:customStyle="1" w:styleId="TableGrid1121">
    <w:name w:val="Table Grid 1121"/>
    <w:basedOn w:val="TableNormal"/>
    <w:rsid w:val="007023F8"/>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21">
    <w:name w:val="Table for Reports121"/>
    <w:basedOn w:val="TableNormal"/>
    <w:uiPriority w:val="99"/>
    <w:rsid w:val="007023F8"/>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21">
    <w:name w:val="Light Shading - Accent 11121"/>
    <w:basedOn w:val="TableNormal"/>
    <w:uiPriority w:val="60"/>
    <w:rsid w:val="007023F8"/>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11">
    <w:name w:val="Table Grid7111"/>
    <w:basedOn w:val="TableNormal"/>
    <w:uiPriority w:val="59"/>
    <w:rsid w:val="007023F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21">
    <w:name w:val="Medium Shading 1 - Accent 4121"/>
    <w:basedOn w:val="TableNormal"/>
    <w:uiPriority w:val="63"/>
    <w:rsid w:val="007023F8"/>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21">
    <w:name w:val="Light List - Accent 4121"/>
    <w:basedOn w:val="TableNormal"/>
    <w:uiPriority w:val="61"/>
    <w:rsid w:val="007023F8"/>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21">
    <w:name w:val="Light Shading121"/>
    <w:basedOn w:val="TableNormal"/>
    <w:uiPriority w:val="60"/>
    <w:rsid w:val="007023F8"/>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21">
    <w:name w:val="AIHW Table21"/>
    <w:basedOn w:val="TableNormal"/>
    <w:rsid w:val="007023F8"/>
    <w:pPr>
      <w:tabs>
        <w:tab w:val="left" w:pos="198"/>
      </w:tabs>
      <w:spacing w:before="60" w:after="60" w:line="200" w:lineRule="atLeast"/>
      <w:jc w:val="right"/>
    </w:pPr>
    <w:rPr>
      <w:rFonts w:ascii="Arial" w:eastAsia="Times New Roman" w:hAnsi="Arial"/>
      <w:color w:val="000000"/>
      <w:sz w:val="16"/>
      <w:szCs w:val="22"/>
      <w:lang w:eastAsia="en-US"/>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5110">
    <w:name w:val="Table Grid511"/>
    <w:basedOn w:val="TableNormal"/>
    <w:uiPriority w:val="39"/>
    <w:rsid w:val="007023F8"/>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51">
    <w:name w:val="Style151"/>
    <w:basedOn w:val="TableNormal"/>
    <w:uiPriority w:val="99"/>
    <w:qFormat/>
    <w:rsid w:val="007023F8"/>
    <w:tblPr/>
  </w:style>
  <w:style w:type="table" w:customStyle="1" w:styleId="TableGrid91">
    <w:name w:val="Table Grid91"/>
    <w:basedOn w:val="TableNormal"/>
    <w:next w:val="TableGrid"/>
    <w:uiPriority w:val="59"/>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31">
    <w:name w:val="TR31_Table31"/>
    <w:basedOn w:val="TableNormal"/>
    <w:uiPriority w:val="99"/>
    <w:rsid w:val="007023F8"/>
    <w:rPr>
      <w:rFonts w:ascii="Arial" w:hAnsi="Arial"/>
    </w:rPr>
    <w:tblPr>
      <w:tblBorders>
        <w:top w:val="single" w:sz="4" w:space="0" w:color="auto"/>
        <w:bottom w:val="single" w:sz="4" w:space="0" w:color="auto"/>
      </w:tblBorders>
    </w:tblPr>
  </w:style>
  <w:style w:type="table" w:customStyle="1" w:styleId="TableGrid141">
    <w:name w:val="Table Grid 141"/>
    <w:basedOn w:val="TableNormal"/>
    <w:next w:val="TableGrid1"/>
    <w:rsid w:val="007023F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41">
    <w:name w:val="Table for Reports41"/>
    <w:basedOn w:val="TableNormal"/>
    <w:uiPriority w:val="99"/>
    <w:rsid w:val="007023F8"/>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41">
    <w:name w:val="Light Shading - Accent 1141"/>
    <w:basedOn w:val="TableNormal"/>
    <w:uiPriority w:val="60"/>
    <w:rsid w:val="007023F8"/>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31">
    <w:name w:val="Table Grid731"/>
    <w:basedOn w:val="TableNormal"/>
    <w:next w:val="TableGrid"/>
    <w:uiPriority w:val="59"/>
    <w:rsid w:val="007023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41">
    <w:name w:val="Medium Shading 1 - Accent 441"/>
    <w:basedOn w:val="TableNormal"/>
    <w:next w:val="MediumShading1-Accent4"/>
    <w:uiPriority w:val="63"/>
    <w:rsid w:val="007023F8"/>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41">
    <w:name w:val="Light List - Accent 441"/>
    <w:basedOn w:val="TableNormal"/>
    <w:next w:val="LightList-Accent4"/>
    <w:uiPriority w:val="61"/>
    <w:rsid w:val="007023F8"/>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Style1321">
    <w:name w:val="Style1321"/>
    <w:basedOn w:val="TableNormal"/>
    <w:uiPriority w:val="99"/>
    <w:qFormat/>
    <w:rsid w:val="007023F8"/>
    <w:tblPr/>
  </w:style>
  <w:style w:type="table" w:customStyle="1" w:styleId="TableGrid1210">
    <w:name w:val="Table Grid121"/>
    <w:basedOn w:val="TableNormal"/>
    <w:next w:val="TableGrid"/>
    <w:uiPriority w:val="59"/>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21">
    <w:name w:val="TR31_Table121"/>
    <w:basedOn w:val="TableNormal"/>
    <w:uiPriority w:val="99"/>
    <w:rsid w:val="007023F8"/>
    <w:rPr>
      <w:rFonts w:ascii="Arial" w:hAnsi="Arial"/>
    </w:rPr>
    <w:tblPr>
      <w:tblBorders>
        <w:top w:val="single" w:sz="4" w:space="0" w:color="auto"/>
        <w:bottom w:val="single" w:sz="4" w:space="0" w:color="auto"/>
      </w:tblBorders>
    </w:tblPr>
  </w:style>
  <w:style w:type="table" w:customStyle="1" w:styleId="TableGrid1131">
    <w:name w:val="Table Grid 1131"/>
    <w:basedOn w:val="TableNormal"/>
    <w:next w:val="TableGrid1"/>
    <w:rsid w:val="007023F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31">
    <w:name w:val="Table for Reports131"/>
    <w:basedOn w:val="TableNormal"/>
    <w:uiPriority w:val="99"/>
    <w:rsid w:val="007023F8"/>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31">
    <w:name w:val="Light Shading - Accent 11131"/>
    <w:basedOn w:val="TableNormal"/>
    <w:uiPriority w:val="60"/>
    <w:rsid w:val="007023F8"/>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21">
    <w:name w:val="Table Grid7121"/>
    <w:basedOn w:val="TableNormal"/>
    <w:next w:val="TableGrid"/>
    <w:uiPriority w:val="59"/>
    <w:rsid w:val="007023F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31">
    <w:name w:val="Medium Shading 1 - Accent 4131"/>
    <w:basedOn w:val="TableNormal"/>
    <w:next w:val="MediumShading1-Accent4"/>
    <w:uiPriority w:val="63"/>
    <w:rsid w:val="007023F8"/>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31">
    <w:name w:val="Light List - Accent 4131"/>
    <w:basedOn w:val="TableNormal"/>
    <w:next w:val="LightList-Accent4"/>
    <w:uiPriority w:val="61"/>
    <w:rsid w:val="007023F8"/>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31">
    <w:name w:val="Light Shading131"/>
    <w:basedOn w:val="TableNormal"/>
    <w:next w:val="LightShading"/>
    <w:uiPriority w:val="60"/>
    <w:rsid w:val="007023F8"/>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1">
    <w:name w:val="Light Shading41"/>
    <w:basedOn w:val="TableNormal"/>
    <w:next w:val="LightShading"/>
    <w:uiPriority w:val="60"/>
    <w:rsid w:val="007023F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31">
    <w:name w:val="Light Shading - Accent 431"/>
    <w:basedOn w:val="TableNormal"/>
    <w:next w:val="LightShading-Accent4"/>
    <w:uiPriority w:val="60"/>
    <w:rsid w:val="007023F8"/>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21">
    <w:name w:val="Table Simple 121"/>
    <w:basedOn w:val="TableNormal"/>
    <w:next w:val="TableSimple1"/>
    <w:semiHidden/>
    <w:unhideWhenUsed/>
    <w:rsid w:val="007023F8"/>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semiHidden/>
    <w:unhideWhenUsed/>
    <w:rsid w:val="007023F8"/>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21">
    <w:name w:val="Table Classic 121"/>
    <w:basedOn w:val="TableNormal"/>
    <w:next w:val="TableClassic1"/>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semiHidden/>
    <w:unhideWhenUsed/>
    <w:rsid w:val="007023F8"/>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semiHidden/>
    <w:unhideWhenUsed/>
    <w:rsid w:val="007023F8"/>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semiHidden/>
    <w:unhideWhenUsed/>
    <w:rsid w:val="007023F8"/>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semiHidden/>
    <w:unhideWhenUsed/>
    <w:rsid w:val="007023F8"/>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semiHidden/>
    <w:unhideWhenUsed/>
    <w:rsid w:val="007023F8"/>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semiHidden/>
    <w:unhideWhenUsed/>
    <w:rsid w:val="007023F8"/>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semiHidden/>
    <w:unhideWhenUsed/>
    <w:rsid w:val="007023F8"/>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semiHidden/>
    <w:unhideWhenUsed/>
    <w:rsid w:val="007023F8"/>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semiHidden/>
    <w:unhideWhenUsed/>
    <w:rsid w:val="007023F8"/>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21">
    <w:name w:val="Table Grid 221"/>
    <w:basedOn w:val="TableNormal"/>
    <w:next w:val="TableGrid2"/>
    <w:semiHidden/>
    <w:unhideWhenUsed/>
    <w:rsid w:val="007023F8"/>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
    <w:semiHidden/>
    <w:unhideWhenUsed/>
    <w:rsid w:val="007023F8"/>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
    <w:semiHidden/>
    <w:unhideWhenUsed/>
    <w:rsid w:val="007023F8"/>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0">
    <w:name w:val="Table Grid 721"/>
    <w:basedOn w:val="TableNormal"/>
    <w:next w:val="TableGrid70"/>
    <w:semiHidden/>
    <w:unhideWhenUsed/>
    <w:rsid w:val="007023F8"/>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semiHidden/>
    <w:unhideWhenUsed/>
    <w:rsid w:val="007023F8"/>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semiHidden/>
    <w:unhideWhenUsed/>
    <w:rsid w:val="007023F8"/>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semiHidden/>
    <w:unhideWhenUsed/>
    <w:rsid w:val="007023F8"/>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semiHidden/>
    <w:unhideWhenUsed/>
    <w:rsid w:val="007023F8"/>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semiHidden/>
    <w:unhideWhenUsed/>
    <w:rsid w:val="007023F8"/>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semiHidden/>
    <w:unhideWhenUsed/>
    <w:rsid w:val="007023F8"/>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semiHidden/>
    <w:unhideWhenUsed/>
    <w:rsid w:val="007023F8"/>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21">
    <w:name w:val="Table 3D effects 121"/>
    <w:basedOn w:val="TableNormal"/>
    <w:next w:val="Table3Deffects1"/>
    <w:semiHidden/>
    <w:unhideWhenUsed/>
    <w:rsid w:val="007023F8"/>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semiHidden/>
    <w:unhideWhenUsed/>
    <w:rsid w:val="007023F8"/>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semiHidden/>
    <w:unhideWhenUsed/>
    <w:rsid w:val="007023F8"/>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1">
    <w:name w:val="Table Contemporary21"/>
    <w:basedOn w:val="TableNormal"/>
    <w:next w:val="TableContemporary"/>
    <w:semiHidden/>
    <w:unhideWhenUsed/>
    <w:rsid w:val="007023F8"/>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semiHidden/>
    <w:unhideWhenUsed/>
    <w:rsid w:val="007023F8"/>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semiHidden/>
    <w:unhideWhenUsed/>
    <w:rsid w:val="007023F8"/>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semiHidden/>
    <w:unhideWhenUsed/>
    <w:rsid w:val="007023F8"/>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semiHidden/>
    <w:unhideWhenUsed/>
    <w:rsid w:val="007023F8"/>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1">
    <w:name w:val="Table Web 121"/>
    <w:basedOn w:val="TableNormal"/>
    <w:next w:val="TableWeb1"/>
    <w:semiHidden/>
    <w:unhideWhenUsed/>
    <w:rsid w:val="007023F8"/>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semiHidden/>
    <w:unhideWhenUsed/>
    <w:rsid w:val="007023F8"/>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semiHidden/>
    <w:unhideWhenUsed/>
    <w:rsid w:val="007023F8"/>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21">
    <w:name w:val="Table Theme21"/>
    <w:basedOn w:val="TableNormal"/>
    <w:next w:val="TableTheme"/>
    <w:semiHidden/>
    <w:unhideWhenUsed/>
    <w:rsid w:val="007023F8"/>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31">
    <w:name w:val="AIHW Table31"/>
    <w:basedOn w:val="TableNormal"/>
    <w:rsid w:val="007023F8"/>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1211">
    <w:name w:val="Table Grid 1211"/>
    <w:basedOn w:val="TableNormal"/>
    <w:next w:val="TableGrid1"/>
    <w:semiHidden/>
    <w:unhideWhenUsed/>
    <w:rsid w:val="007023F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11">
    <w:name w:val="Light Shading211"/>
    <w:basedOn w:val="TableNormal"/>
    <w:next w:val="LightShading"/>
    <w:uiPriority w:val="60"/>
    <w:semiHidden/>
    <w:unhideWhenUsed/>
    <w:rsid w:val="007023F8"/>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11">
    <w:name w:val="Light Shading - Accent 4111"/>
    <w:basedOn w:val="TableNormal"/>
    <w:next w:val="LightShading-Accent4"/>
    <w:uiPriority w:val="60"/>
    <w:semiHidden/>
    <w:unhideWhenUsed/>
    <w:rsid w:val="007023F8"/>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11">
    <w:name w:val="Light List - Accent 4211"/>
    <w:basedOn w:val="TableNormal"/>
    <w:next w:val="LightList-Accent4"/>
    <w:uiPriority w:val="61"/>
    <w:semiHidden/>
    <w:unhideWhenUsed/>
    <w:rsid w:val="007023F8"/>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11">
    <w:name w:val="Medium Shading 1 - Accent 4211"/>
    <w:basedOn w:val="TableNormal"/>
    <w:next w:val="MediumShading1-Accent4"/>
    <w:uiPriority w:val="63"/>
    <w:semiHidden/>
    <w:unhideWhenUsed/>
    <w:rsid w:val="007023F8"/>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11">
    <w:name w:val="Table for Reports211"/>
    <w:basedOn w:val="TableNormal"/>
    <w:uiPriority w:val="99"/>
    <w:rsid w:val="007023F8"/>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11">
    <w:name w:val="Light Shading - Accent 11211"/>
    <w:basedOn w:val="TableNormal"/>
    <w:uiPriority w:val="60"/>
    <w:rsid w:val="007023F8"/>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11">
    <w:name w:val="Table Grid 11111"/>
    <w:basedOn w:val="TableNormal"/>
    <w:rsid w:val="007023F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11">
    <w:name w:val="Table for Reports1111"/>
    <w:basedOn w:val="TableNormal"/>
    <w:uiPriority w:val="99"/>
    <w:rsid w:val="007023F8"/>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11">
    <w:name w:val="Light Shading - Accent 111111"/>
    <w:basedOn w:val="TableNormal"/>
    <w:uiPriority w:val="60"/>
    <w:rsid w:val="007023F8"/>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11">
    <w:name w:val="Medium Shading 1 - Accent 41111"/>
    <w:basedOn w:val="TableNormal"/>
    <w:uiPriority w:val="63"/>
    <w:rsid w:val="007023F8"/>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11">
    <w:name w:val="Light List - Accent 41111"/>
    <w:basedOn w:val="TableNormal"/>
    <w:uiPriority w:val="61"/>
    <w:rsid w:val="007023F8"/>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11">
    <w:name w:val="Light Shading1111"/>
    <w:basedOn w:val="TableNormal"/>
    <w:uiPriority w:val="60"/>
    <w:rsid w:val="007023F8"/>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11">
    <w:name w:val="AIHW Table111"/>
    <w:basedOn w:val="TableNormal"/>
    <w:rsid w:val="007023F8"/>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2110">
    <w:name w:val="Table Grid211"/>
    <w:basedOn w:val="TableNormal"/>
    <w:next w:val="TableGrid"/>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
    <w:basedOn w:val="TableNormal"/>
    <w:next w:val="TableGrid"/>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uiPriority w:val="59"/>
    <w:rsid w:val="007023F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0">
    <w:name w:val="Table Grid521"/>
    <w:basedOn w:val="TableNormal"/>
    <w:next w:val="TableGrid"/>
    <w:uiPriority w:val="39"/>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
    <w:name w:val="Table Grid611"/>
    <w:basedOn w:val="TableNormal"/>
    <w:next w:val="TableGrid"/>
    <w:uiPriority w:val="39"/>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1">
    <w:name w:val="List Table 4 - Accent 311"/>
    <w:basedOn w:val="TableNormal"/>
    <w:uiPriority w:val="49"/>
    <w:rsid w:val="007023F8"/>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Style17">
    <w:name w:val="Style17"/>
    <w:basedOn w:val="TableNormal"/>
    <w:uiPriority w:val="99"/>
    <w:qFormat/>
    <w:rsid w:val="00A72F4E"/>
    <w:tblPr/>
  </w:style>
  <w:style w:type="table" w:customStyle="1" w:styleId="TableGrid140">
    <w:name w:val="Table Grid14"/>
    <w:basedOn w:val="TableNormal"/>
    <w:next w:val="TableGrid"/>
    <w:uiPriority w:val="59"/>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5">
    <w:name w:val="TR31_Table5"/>
    <w:basedOn w:val="TableNormal"/>
    <w:uiPriority w:val="99"/>
    <w:rsid w:val="00A72F4E"/>
    <w:rPr>
      <w:rFonts w:ascii="Arial" w:hAnsi="Arial"/>
    </w:rPr>
    <w:tblPr>
      <w:tblBorders>
        <w:top w:val="single" w:sz="4" w:space="0" w:color="auto"/>
        <w:bottom w:val="single" w:sz="4" w:space="0" w:color="auto"/>
      </w:tblBorders>
    </w:tblPr>
  </w:style>
  <w:style w:type="table" w:customStyle="1" w:styleId="TableGrid16">
    <w:name w:val="Table Grid 16"/>
    <w:basedOn w:val="TableNormal"/>
    <w:next w:val="TableGrid1"/>
    <w:rsid w:val="00A72F4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6">
    <w:name w:val="Table for Reports6"/>
    <w:basedOn w:val="TableNormal"/>
    <w:uiPriority w:val="99"/>
    <w:rsid w:val="00A72F4E"/>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6">
    <w:name w:val="Light Shading - Accent 116"/>
    <w:basedOn w:val="TableNormal"/>
    <w:uiPriority w:val="60"/>
    <w:rsid w:val="00A72F4E"/>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5">
    <w:name w:val="Table Grid75"/>
    <w:basedOn w:val="TableNormal"/>
    <w:next w:val="TableGrid"/>
    <w:uiPriority w:val="59"/>
    <w:rsid w:val="00A72F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6">
    <w:name w:val="Medium Shading 1 - Accent 46"/>
    <w:basedOn w:val="TableNormal"/>
    <w:next w:val="MediumShading1-Accent4"/>
    <w:uiPriority w:val="63"/>
    <w:rsid w:val="00A72F4E"/>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6">
    <w:name w:val="Light List - Accent 46"/>
    <w:basedOn w:val="TableNormal"/>
    <w:next w:val="LightList-Accent4"/>
    <w:uiPriority w:val="61"/>
    <w:rsid w:val="00A72F4E"/>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Style134">
    <w:name w:val="Style134"/>
    <w:basedOn w:val="TableNormal"/>
    <w:uiPriority w:val="99"/>
    <w:qFormat/>
    <w:rsid w:val="00A72F4E"/>
    <w:tblPr/>
  </w:style>
  <w:style w:type="table" w:customStyle="1" w:styleId="TableGrid150">
    <w:name w:val="Table Grid15"/>
    <w:basedOn w:val="TableNormal"/>
    <w:next w:val="TableGrid"/>
    <w:uiPriority w:val="59"/>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4">
    <w:name w:val="TR31_Table14"/>
    <w:basedOn w:val="TableNormal"/>
    <w:uiPriority w:val="99"/>
    <w:rsid w:val="00A72F4E"/>
    <w:rPr>
      <w:rFonts w:ascii="Arial" w:hAnsi="Arial"/>
    </w:rPr>
    <w:tblPr>
      <w:tblBorders>
        <w:top w:val="single" w:sz="4" w:space="0" w:color="auto"/>
        <w:bottom w:val="single" w:sz="4" w:space="0" w:color="auto"/>
      </w:tblBorders>
    </w:tblPr>
  </w:style>
  <w:style w:type="table" w:customStyle="1" w:styleId="TableGrid115">
    <w:name w:val="Table Grid 115"/>
    <w:basedOn w:val="TableNormal"/>
    <w:next w:val="TableGrid1"/>
    <w:rsid w:val="00A72F4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5">
    <w:name w:val="Table for Reports15"/>
    <w:basedOn w:val="TableNormal"/>
    <w:uiPriority w:val="99"/>
    <w:rsid w:val="00A72F4E"/>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5">
    <w:name w:val="Light Shading - Accent 1115"/>
    <w:basedOn w:val="TableNormal"/>
    <w:uiPriority w:val="60"/>
    <w:rsid w:val="00A72F4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4">
    <w:name w:val="Table Grid714"/>
    <w:basedOn w:val="TableNormal"/>
    <w:next w:val="TableGrid"/>
    <w:uiPriority w:val="59"/>
    <w:rsid w:val="00A72F4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5">
    <w:name w:val="Medium Shading 1 - Accent 415"/>
    <w:basedOn w:val="TableNormal"/>
    <w:next w:val="MediumShading1-Accent4"/>
    <w:uiPriority w:val="63"/>
    <w:rsid w:val="00A72F4E"/>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5">
    <w:name w:val="Light List - Accent 415"/>
    <w:basedOn w:val="TableNormal"/>
    <w:next w:val="LightList-Accent4"/>
    <w:uiPriority w:val="61"/>
    <w:rsid w:val="00A72F4E"/>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5">
    <w:name w:val="Light Shading15"/>
    <w:basedOn w:val="TableNormal"/>
    <w:next w:val="LightShading"/>
    <w:uiPriority w:val="60"/>
    <w:rsid w:val="00A72F4E"/>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
    <w:name w:val="Light Shading6"/>
    <w:basedOn w:val="TableNormal"/>
    <w:next w:val="LightShading"/>
    <w:uiPriority w:val="60"/>
    <w:rsid w:val="00A72F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5">
    <w:name w:val="Light Shading - Accent 45"/>
    <w:basedOn w:val="TableNormal"/>
    <w:next w:val="LightShading-Accent4"/>
    <w:uiPriority w:val="60"/>
    <w:rsid w:val="00A72F4E"/>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4">
    <w:name w:val="Table Simple 14"/>
    <w:basedOn w:val="TableNormal"/>
    <w:next w:val="TableSimple1"/>
    <w:semiHidden/>
    <w:unhideWhenUsed/>
    <w:rsid w:val="00A72F4E"/>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semiHidden/>
    <w:unhideWhenUsed/>
    <w:rsid w:val="00A72F4E"/>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4">
    <w:name w:val="Table Classic 14"/>
    <w:basedOn w:val="TableNormal"/>
    <w:next w:val="TableClassic1"/>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semiHidden/>
    <w:unhideWhenUsed/>
    <w:rsid w:val="00A72F4E"/>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semiHidden/>
    <w:unhideWhenUsed/>
    <w:rsid w:val="00A72F4E"/>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semiHidden/>
    <w:unhideWhenUsed/>
    <w:rsid w:val="00A72F4E"/>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semiHidden/>
    <w:unhideWhenUsed/>
    <w:rsid w:val="00A72F4E"/>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semiHidden/>
    <w:unhideWhenUsed/>
    <w:rsid w:val="00A72F4E"/>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semiHidden/>
    <w:unhideWhenUsed/>
    <w:rsid w:val="00A72F4E"/>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semiHidden/>
    <w:unhideWhenUsed/>
    <w:rsid w:val="00A72F4E"/>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semiHidden/>
    <w:unhideWhenUsed/>
    <w:rsid w:val="00A72F4E"/>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semiHidden/>
    <w:unhideWhenUsed/>
    <w:rsid w:val="00A72F4E"/>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4">
    <w:name w:val="Table Grid 24"/>
    <w:basedOn w:val="TableNormal"/>
    <w:next w:val="TableGrid2"/>
    <w:semiHidden/>
    <w:unhideWhenUsed/>
    <w:rsid w:val="00A72F4E"/>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semiHidden/>
    <w:unhideWhenUsed/>
    <w:rsid w:val="00A72F4E"/>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semiHidden/>
    <w:unhideWhenUsed/>
    <w:rsid w:val="00A72F4E"/>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0">
    <w:name w:val="Table Grid 74"/>
    <w:basedOn w:val="TableNormal"/>
    <w:next w:val="TableGrid70"/>
    <w:semiHidden/>
    <w:unhideWhenUsed/>
    <w:rsid w:val="00A72F4E"/>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semiHidden/>
    <w:unhideWhenUsed/>
    <w:rsid w:val="00A72F4E"/>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semiHidden/>
    <w:unhideWhenUsed/>
    <w:rsid w:val="00A72F4E"/>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semiHidden/>
    <w:unhideWhenUsed/>
    <w:rsid w:val="00A72F4E"/>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semiHidden/>
    <w:unhideWhenUsed/>
    <w:rsid w:val="00A72F4E"/>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semiHidden/>
    <w:unhideWhenUsed/>
    <w:rsid w:val="00A72F4E"/>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semiHidden/>
    <w:unhideWhenUsed/>
    <w:rsid w:val="00A72F4E"/>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semiHidden/>
    <w:unhideWhenUsed/>
    <w:rsid w:val="00A72F4E"/>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4">
    <w:name w:val="Table 3D effects 14"/>
    <w:basedOn w:val="TableNormal"/>
    <w:next w:val="Table3Deffects1"/>
    <w:semiHidden/>
    <w:unhideWhenUsed/>
    <w:rsid w:val="00A72F4E"/>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semiHidden/>
    <w:unhideWhenUsed/>
    <w:rsid w:val="00A72F4E"/>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semiHidden/>
    <w:unhideWhenUsed/>
    <w:rsid w:val="00A72F4E"/>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semiHidden/>
    <w:unhideWhenUsed/>
    <w:rsid w:val="00A72F4E"/>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semiHidden/>
    <w:unhideWhenUsed/>
    <w:rsid w:val="00A72F4E"/>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4">
    <w:name w:val="Table Professional4"/>
    <w:basedOn w:val="TableNormal"/>
    <w:next w:val="TableProfessional"/>
    <w:semiHidden/>
    <w:unhideWhenUsed/>
    <w:rsid w:val="00A72F4E"/>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semiHidden/>
    <w:unhideWhenUsed/>
    <w:rsid w:val="00A72F4E"/>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semiHidden/>
    <w:unhideWhenUsed/>
    <w:rsid w:val="00A72F4E"/>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4">
    <w:name w:val="Table Web 14"/>
    <w:basedOn w:val="TableNormal"/>
    <w:next w:val="TableWeb1"/>
    <w:semiHidden/>
    <w:unhideWhenUsed/>
    <w:rsid w:val="00A72F4E"/>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semiHidden/>
    <w:unhideWhenUsed/>
    <w:rsid w:val="00A72F4E"/>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semiHidden/>
    <w:unhideWhenUsed/>
    <w:rsid w:val="00A72F4E"/>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semiHidden/>
    <w:unhideWhenUsed/>
    <w:rsid w:val="00A72F4E"/>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5">
    <w:name w:val="AIHW Table5"/>
    <w:basedOn w:val="TableNormal"/>
    <w:rsid w:val="00A72F4E"/>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123">
    <w:name w:val="Table Grid 123"/>
    <w:basedOn w:val="TableNormal"/>
    <w:next w:val="TableGrid1"/>
    <w:semiHidden/>
    <w:unhideWhenUsed/>
    <w:rsid w:val="00A72F4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3">
    <w:name w:val="Light Shading23"/>
    <w:basedOn w:val="TableNormal"/>
    <w:next w:val="LightShading"/>
    <w:uiPriority w:val="60"/>
    <w:unhideWhenUsed/>
    <w:rsid w:val="00A72F4E"/>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3">
    <w:name w:val="Light Shading - Accent 413"/>
    <w:basedOn w:val="TableNormal"/>
    <w:next w:val="LightShading-Accent4"/>
    <w:uiPriority w:val="60"/>
    <w:unhideWhenUsed/>
    <w:rsid w:val="00A72F4E"/>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3">
    <w:name w:val="Light List - Accent 423"/>
    <w:basedOn w:val="TableNormal"/>
    <w:next w:val="LightList-Accent4"/>
    <w:uiPriority w:val="61"/>
    <w:semiHidden/>
    <w:unhideWhenUsed/>
    <w:rsid w:val="00A72F4E"/>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3">
    <w:name w:val="Medium Shading 1 - Accent 423"/>
    <w:basedOn w:val="TableNormal"/>
    <w:next w:val="MediumShading1-Accent4"/>
    <w:uiPriority w:val="63"/>
    <w:semiHidden/>
    <w:unhideWhenUsed/>
    <w:rsid w:val="00A72F4E"/>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3">
    <w:name w:val="Table for Reports23"/>
    <w:basedOn w:val="TableNormal"/>
    <w:uiPriority w:val="99"/>
    <w:rsid w:val="00A72F4E"/>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3">
    <w:name w:val="Light Shading - Accent 1123"/>
    <w:basedOn w:val="TableNormal"/>
    <w:uiPriority w:val="60"/>
    <w:rsid w:val="00A72F4E"/>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3">
    <w:name w:val="Table Grid 1113"/>
    <w:basedOn w:val="TableNormal"/>
    <w:rsid w:val="00A72F4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3">
    <w:name w:val="Table for Reports113"/>
    <w:basedOn w:val="TableNormal"/>
    <w:uiPriority w:val="99"/>
    <w:rsid w:val="00A72F4E"/>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3">
    <w:name w:val="Light Shading - Accent 11113"/>
    <w:basedOn w:val="TableNormal"/>
    <w:uiPriority w:val="60"/>
    <w:rsid w:val="00A72F4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3">
    <w:name w:val="Medium Shading 1 - Accent 4113"/>
    <w:basedOn w:val="TableNormal"/>
    <w:uiPriority w:val="63"/>
    <w:rsid w:val="00A72F4E"/>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3">
    <w:name w:val="Light List - Accent 4113"/>
    <w:basedOn w:val="TableNormal"/>
    <w:uiPriority w:val="61"/>
    <w:rsid w:val="00A72F4E"/>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3">
    <w:name w:val="Light Shading113"/>
    <w:basedOn w:val="TableNormal"/>
    <w:uiPriority w:val="60"/>
    <w:rsid w:val="00A72F4E"/>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3">
    <w:name w:val="AIHW Table13"/>
    <w:basedOn w:val="TableNormal"/>
    <w:rsid w:val="00A72F4E"/>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StyleBulletedSymbolsymbolLeft0cmHanging063cm22">
    <w:name w:val="Style Bulleted Symbol (symbol) Left:  0 cm Hanging:  0.63 cm22"/>
    <w:rsid w:val="00A72F4E"/>
    <w:pPr>
      <w:numPr>
        <w:numId w:val="49"/>
      </w:numPr>
    </w:pPr>
  </w:style>
  <w:style w:type="numbering" w:customStyle="1" w:styleId="1ai12">
    <w:name w:val="1 / a / i12"/>
    <w:basedOn w:val="NoList"/>
    <w:unhideWhenUsed/>
    <w:rsid w:val="00A72F4E"/>
    <w:pPr>
      <w:numPr>
        <w:numId w:val="1"/>
      </w:numPr>
    </w:pPr>
  </w:style>
  <w:style w:type="table" w:customStyle="1" w:styleId="TableGrid230">
    <w:name w:val="Table Grid23"/>
    <w:basedOn w:val="TableNormal"/>
    <w:next w:val="TableGrid"/>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uiPriority w:val="59"/>
    <w:rsid w:val="00A72F4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0">
    <w:name w:val="Table Grid54"/>
    <w:basedOn w:val="TableNormal"/>
    <w:next w:val="TableGrid"/>
    <w:uiPriority w:val="39"/>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0">
    <w:name w:val="Table Grid63"/>
    <w:basedOn w:val="TableNormal"/>
    <w:next w:val="TableGrid"/>
    <w:uiPriority w:val="39"/>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semiHidden/>
    <w:unhideWhenUsed/>
    <w:rsid w:val="00A72F4E"/>
    <w:pPr>
      <w:spacing w:before="60" w:after="40" w:line="260" w:lineRule="atLeast"/>
    </w:pPr>
    <w:rPr>
      <w:rFonts w:ascii="Book Antiqua" w:eastAsia="Times New Roman" w:hAnsi="Book Antiqua"/>
      <w:sz w:val="22"/>
      <w:szCs w:val="22"/>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semiHidden/>
    <w:unhideWhenUsed/>
    <w:rsid w:val="00A72F4E"/>
    <w:pPr>
      <w:spacing w:before="60" w:after="40" w:line="260" w:lineRule="atLeast"/>
    </w:pPr>
    <w:rPr>
      <w:rFonts w:ascii="Book Antiqua" w:eastAsia="Times New Roman" w:hAnsi="Book Antiqua"/>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semiHidden/>
    <w:unhideWhenUsed/>
    <w:rsid w:val="00A72F4E"/>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2">
    <w:name w:val="Table Classic 112"/>
    <w:basedOn w:val="TableNormal"/>
    <w:next w:val="TableClassic1"/>
    <w:semiHidden/>
    <w:unhideWhenUsed/>
    <w:rsid w:val="00A72F4E"/>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semiHidden/>
    <w:unhideWhenUsed/>
    <w:rsid w:val="00A72F4E"/>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semiHidden/>
    <w:unhideWhenUsed/>
    <w:rsid w:val="00A72F4E"/>
    <w:pPr>
      <w:spacing w:before="60" w:after="40" w:line="260" w:lineRule="atLeast"/>
    </w:pPr>
    <w:rPr>
      <w:rFonts w:ascii="Book Antiqua" w:eastAsia="Times New Roman" w:hAnsi="Book Antiqua"/>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semiHidden/>
    <w:unhideWhenUsed/>
    <w:rsid w:val="00A72F4E"/>
    <w:pPr>
      <w:spacing w:before="60" w:after="40" w:line="260" w:lineRule="atLeast"/>
    </w:pPr>
    <w:rPr>
      <w:rFonts w:ascii="Book Antiqua" w:eastAsia="Times New Roman" w:hAnsi="Book Antiqua"/>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semiHidden/>
    <w:unhideWhenUsed/>
    <w:rsid w:val="00A72F4E"/>
    <w:pPr>
      <w:spacing w:before="60" w:after="40" w:line="260" w:lineRule="atLeast"/>
    </w:pPr>
    <w:rPr>
      <w:rFonts w:ascii="Book Antiqua" w:eastAsia="Times New Roman" w:hAnsi="Book Antiqua"/>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semiHidden/>
    <w:unhideWhenUsed/>
    <w:rsid w:val="00A72F4E"/>
    <w:pPr>
      <w:spacing w:before="60" w:after="40" w:line="260" w:lineRule="atLeast"/>
    </w:pPr>
    <w:rPr>
      <w:rFonts w:ascii="Book Antiqua" w:eastAsia="Times New Roman" w:hAnsi="Book Antiqua"/>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semiHidden/>
    <w:unhideWhenUsed/>
    <w:rsid w:val="00A72F4E"/>
    <w:pPr>
      <w:spacing w:before="60" w:after="40" w:line="260" w:lineRule="atLeast"/>
    </w:pPr>
    <w:rPr>
      <w:rFonts w:ascii="Book Antiqua" w:eastAsia="Times New Roman" w:hAnsi="Book Antiqua"/>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semiHidden/>
    <w:unhideWhenUsed/>
    <w:rsid w:val="00A72F4E"/>
    <w:pPr>
      <w:spacing w:before="60" w:after="40" w:line="260" w:lineRule="atLeast"/>
    </w:pPr>
    <w:rPr>
      <w:rFonts w:ascii="Book Antiqua" w:eastAsia="Times New Roman" w:hAnsi="Book Antiqua"/>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semiHidden/>
    <w:unhideWhenUsed/>
    <w:rsid w:val="00A72F4E"/>
    <w:pPr>
      <w:spacing w:before="60" w:after="40" w:line="260" w:lineRule="atLeast"/>
    </w:pPr>
    <w:rPr>
      <w:rFonts w:ascii="Book Antiqua" w:eastAsia="Times New Roman" w:hAnsi="Book Antiqua"/>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semiHidden/>
    <w:unhideWhenUsed/>
    <w:rsid w:val="00A72F4E"/>
    <w:pPr>
      <w:spacing w:before="60" w:after="40" w:line="260" w:lineRule="atLeast"/>
    </w:pPr>
    <w:rPr>
      <w:rFonts w:ascii="Book Antiqua" w:eastAsia="Times New Roman" w:hAnsi="Book Antiqua"/>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semiHidden/>
    <w:unhideWhenUsed/>
    <w:rsid w:val="00A72F4E"/>
    <w:pPr>
      <w:spacing w:before="60" w:after="40" w:line="260" w:lineRule="atLeast"/>
    </w:pPr>
    <w:rPr>
      <w:rFonts w:ascii="Book Antiqua" w:eastAsia="Times New Roman" w:hAnsi="Book Antiqua"/>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semiHidden/>
    <w:unhideWhenUsed/>
    <w:rsid w:val="00A72F4E"/>
    <w:pPr>
      <w:spacing w:before="60" w:after="40" w:line="260" w:lineRule="atLeast"/>
    </w:pPr>
    <w:rPr>
      <w:rFonts w:ascii="Book Antiqua" w:eastAsia="Times New Roman" w:hAnsi="Book Antiqua"/>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32">
    <w:name w:val="Table Grid 132"/>
    <w:basedOn w:val="TableNormal"/>
    <w:next w:val="TableGrid1"/>
    <w:semiHidden/>
    <w:unhideWhenUsed/>
    <w:rsid w:val="00A72F4E"/>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
    <w:name w:val="Table Grid 212"/>
    <w:basedOn w:val="TableNormal"/>
    <w:next w:val="TableGrid2"/>
    <w:semiHidden/>
    <w:unhideWhenUsed/>
    <w:rsid w:val="00A72F4E"/>
    <w:pPr>
      <w:spacing w:before="60" w:after="40" w:line="260" w:lineRule="atLeast"/>
    </w:pPr>
    <w:rPr>
      <w:rFonts w:ascii="Book Antiqua" w:eastAsia="Times New Roman" w:hAnsi="Book Antiqua"/>
      <w:sz w:val="22"/>
      <w:szCs w:val="22"/>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
    <w:semiHidden/>
    <w:unhideWhenUsed/>
    <w:rsid w:val="00A72F4E"/>
    <w:pPr>
      <w:spacing w:before="60" w:after="40" w:line="260" w:lineRule="atLeast"/>
    </w:pPr>
    <w:rPr>
      <w:rFonts w:ascii="Book Antiqua" w:eastAsia="Times New Roman" w:hAnsi="Book Antiqua"/>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
    <w:semiHidden/>
    <w:unhideWhenUsed/>
    <w:rsid w:val="00A72F4E"/>
    <w:pPr>
      <w:spacing w:before="60" w:after="40" w:line="260" w:lineRule="atLeast"/>
    </w:pPr>
    <w:rPr>
      <w:rFonts w:ascii="Book Antiqua" w:eastAsia="Times New Roman" w:hAnsi="Book Antiqua"/>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
    <w:semiHidden/>
    <w:unhideWhenUsed/>
    <w:rsid w:val="00A72F4E"/>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
    <w:semiHidden/>
    <w:unhideWhenUsed/>
    <w:rsid w:val="00A72F4E"/>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0">
    <w:name w:val="Table Grid 712"/>
    <w:basedOn w:val="TableNormal"/>
    <w:next w:val="TableGrid70"/>
    <w:semiHidden/>
    <w:unhideWhenUsed/>
    <w:rsid w:val="00A72F4E"/>
    <w:pPr>
      <w:spacing w:before="60" w:after="40" w:line="260" w:lineRule="atLeast"/>
    </w:pPr>
    <w:rPr>
      <w:rFonts w:ascii="Book Antiqua" w:eastAsia="Times New Roman" w:hAnsi="Book Antiqua"/>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semiHidden/>
    <w:unhideWhenUsed/>
    <w:rsid w:val="00A72F4E"/>
    <w:pPr>
      <w:spacing w:before="60" w:after="40" w:line="260" w:lineRule="atLeast"/>
    </w:pPr>
    <w:rPr>
      <w:rFonts w:ascii="Book Antiqua" w:eastAsia="Times New Roman" w:hAnsi="Book Antiqua"/>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semiHidden/>
    <w:unhideWhenUsed/>
    <w:rsid w:val="00A72F4E"/>
    <w:pPr>
      <w:spacing w:before="60" w:after="40" w:line="260" w:lineRule="atLeast"/>
    </w:pPr>
    <w:rPr>
      <w:rFonts w:ascii="Book Antiqua" w:eastAsia="Times New Roman" w:hAnsi="Book Antiqua"/>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semiHidden/>
    <w:unhideWhenUsed/>
    <w:rsid w:val="00A72F4E"/>
    <w:pPr>
      <w:spacing w:before="60" w:after="40" w:line="260" w:lineRule="atLeast"/>
    </w:pPr>
    <w:rPr>
      <w:rFonts w:ascii="Book Antiqua" w:eastAsia="Times New Roman" w:hAnsi="Book Antiqua"/>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semiHidden/>
    <w:unhideWhenUsed/>
    <w:rsid w:val="00A72F4E"/>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semiHidden/>
    <w:unhideWhenUsed/>
    <w:rsid w:val="00A72F4E"/>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semiHidden/>
    <w:unhideWhenUsed/>
    <w:rsid w:val="00A72F4E"/>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semiHidden/>
    <w:unhideWhenUsed/>
    <w:rsid w:val="00A72F4E"/>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semiHidden/>
    <w:unhideWhenUsed/>
    <w:rsid w:val="00A72F4E"/>
    <w:pPr>
      <w:spacing w:before="60" w:after="40" w:line="260" w:lineRule="atLeast"/>
    </w:pPr>
    <w:rPr>
      <w:rFonts w:ascii="Book Antiqua" w:eastAsia="Times New Roman" w:hAnsi="Book Antiqua"/>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semiHidden/>
    <w:unhideWhenUsed/>
    <w:rsid w:val="00A72F4E"/>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2">
    <w:name w:val="Table 3D effects 112"/>
    <w:basedOn w:val="TableNormal"/>
    <w:next w:val="Table3Deffects1"/>
    <w:semiHidden/>
    <w:unhideWhenUsed/>
    <w:rsid w:val="00A72F4E"/>
    <w:pPr>
      <w:spacing w:before="60" w:after="40" w:line="260" w:lineRule="atLeast"/>
    </w:pPr>
    <w:rPr>
      <w:rFonts w:ascii="Book Antiqua" w:eastAsia="Times New Roman" w:hAnsi="Book Antiqua"/>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semiHidden/>
    <w:unhideWhenUsed/>
    <w:rsid w:val="00A72F4E"/>
    <w:pPr>
      <w:spacing w:before="60" w:after="40" w:line="260" w:lineRule="atLeast"/>
    </w:pPr>
    <w:rPr>
      <w:rFonts w:ascii="Book Antiqua" w:eastAsia="Times New Roman" w:hAnsi="Book Antiqua"/>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semiHidden/>
    <w:unhideWhenUsed/>
    <w:rsid w:val="00A72F4E"/>
    <w:pPr>
      <w:spacing w:before="60" w:after="40" w:line="260" w:lineRule="atLeast"/>
    </w:pPr>
    <w:rPr>
      <w:rFonts w:ascii="Book Antiqua" w:eastAsia="Times New Roman" w:hAnsi="Book Antiqua"/>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2">
    <w:name w:val="Table Contemporary12"/>
    <w:basedOn w:val="TableNormal"/>
    <w:next w:val="TableContemporary"/>
    <w:semiHidden/>
    <w:unhideWhenUsed/>
    <w:rsid w:val="00A72F4E"/>
    <w:pPr>
      <w:spacing w:before="60" w:after="40" w:line="260" w:lineRule="atLeast"/>
    </w:pPr>
    <w:rPr>
      <w:rFonts w:ascii="Book Antiqua" w:eastAsia="Times New Roman" w:hAnsi="Book Antiqua"/>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semiHidden/>
    <w:unhideWhenUsed/>
    <w:rsid w:val="00A72F4E"/>
    <w:pPr>
      <w:spacing w:before="60" w:after="40" w:line="260" w:lineRule="atLeast"/>
    </w:pPr>
    <w:rPr>
      <w:rFonts w:ascii="Book Antiqua" w:eastAsia="Times New Roman" w:hAnsi="Book Antiqua"/>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semiHidden/>
    <w:unhideWhenUsed/>
    <w:rsid w:val="00A72F4E"/>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semiHidden/>
    <w:unhideWhenUsed/>
    <w:rsid w:val="00A72F4E"/>
    <w:pPr>
      <w:spacing w:before="60" w:after="40" w:line="260" w:lineRule="atLeast"/>
    </w:pPr>
    <w:rPr>
      <w:rFonts w:ascii="Book Antiqua" w:eastAsia="Times New Roman" w:hAnsi="Book Antiqua"/>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semiHidden/>
    <w:unhideWhenUsed/>
    <w:rsid w:val="00A72F4E"/>
    <w:pPr>
      <w:spacing w:before="60" w:after="40" w:line="260" w:lineRule="atLeast"/>
    </w:pPr>
    <w:rPr>
      <w:rFonts w:ascii="Book Antiqua" w:eastAsia="Times New Roman" w:hAnsi="Book Antiqua"/>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2">
    <w:name w:val="Table Web 112"/>
    <w:basedOn w:val="TableNormal"/>
    <w:next w:val="TableWeb1"/>
    <w:semiHidden/>
    <w:unhideWhenUsed/>
    <w:rsid w:val="00A72F4E"/>
    <w:pPr>
      <w:spacing w:before="60" w:after="40" w:line="260" w:lineRule="atLeast"/>
    </w:pPr>
    <w:rPr>
      <w:rFonts w:ascii="Book Antiqua" w:eastAsia="Times New Roman" w:hAnsi="Book Antiqua"/>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semiHidden/>
    <w:unhideWhenUsed/>
    <w:rsid w:val="00A72F4E"/>
    <w:pPr>
      <w:spacing w:before="60" w:after="40" w:line="260" w:lineRule="atLeast"/>
    </w:pPr>
    <w:rPr>
      <w:rFonts w:ascii="Book Antiqua" w:eastAsia="Times New Roman" w:hAnsi="Book Antiqua"/>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semiHidden/>
    <w:unhideWhenUsed/>
    <w:rsid w:val="00A72F4E"/>
    <w:pPr>
      <w:spacing w:before="60" w:after="40" w:line="260" w:lineRule="atLeast"/>
    </w:pPr>
    <w:rPr>
      <w:rFonts w:ascii="Book Antiqua" w:eastAsia="Times New Roman" w:hAnsi="Book Antiqua"/>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820">
    <w:name w:val="Table Grid82"/>
    <w:basedOn w:val="TableNormal"/>
    <w:next w:val="TableGrid"/>
    <w:uiPriority w:val="59"/>
    <w:rsid w:val="00A72F4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semiHidden/>
    <w:unhideWhenUsed/>
    <w:rsid w:val="00A72F4E"/>
    <w:pPr>
      <w:spacing w:before="60" w:after="40" w:line="260" w:lineRule="atLeast"/>
    </w:pPr>
    <w:rPr>
      <w:rFonts w:ascii="Book Antiqua" w:eastAsia="Times New Roman" w:hAnsi="Book Antiqu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2">
    <w:name w:val="Light Shading32"/>
    <w:basedOn w:val="TableNormal"/>
    <w:next w:val="LightShading"/>
    <w:uiPriority w:val="60"/>
    <w:semiHidden/>
    <w:unhideWhenUsed/>
    <w:rsid w:val="00A72F4E"/>
    <w:rPr>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22">
    <w:name w:val="Light Shading - Accent 422"/>
    <w:basedOn w:val="TableNormal"/>
    <w:next w:val="LightShading-Accent4"/>
    <w:uiPriority w:val="60"/>
    <w:semiHidden/>
    <w:unhideWhenUsed/>
    <w:rsid w:val="00A72F4E"/>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32">
    <w:name w:val="Light List - Accent 432"/>
    <w:basedOn w:val="TableNormal"/>
    <w:next w:val="LightList-Accent4"/>
    <w:uiPriority w:val="61"/>
    <w:semiHidden/>
    <w:unhideWhenUsed/>
    <w:rsid w:val="00A72F4E"/>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32">
    <w:name w:val="Medium Shading 1 - Accent 432"/>
    <w:basedOn w:val="TableNormal"/>
    <w:next w:val="MediumShading1-Accent4"/>
    <w:uiPriority w:val="63"/>
    <w:semiHidden/>
    <w:unhideWhenUsed/>
    <w:rsid w:val="00A72F4E"/>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Style142">
    <w:name w:val="Style142"/>
    <w:basedOn w:val="TableNormal"/>
    <w:uiPriority w:val="99"/>
    <w:qFormat/>
    <w:rsid w:val="00A72F4E"/>
    <w:rPr>
      <w:lang w:eastAsia="en-US"/>
    </w:rPr>
    <w:tblPr/>
  </w:style>
  <w:style w:type="table" w:customStyle="1" w:styleId="TR31Table22">
    <w:name w:val="TR31_Table22"/>
    <w:basedOn w:val="TableNormal"/>
    <w:uiPriority w:val="99"/>
    <w:rsid w:val="00A72F4E"/>
    <w:rPr>
      <w:rFonts w:ascii="Arial" w:hAnsi="Arial"/>
      <w:lang w:eastAsia="en-US"/>
    </w:rPr>
    <w:tblPr>
      <w:tblBorders>
        <w:top w:val="single" w:sz="4" w:space="0" w:color="auto"/>
        <w:bottom w:val="single" w:sz="4" w:space="0" w:color="auto"/>
      </w:tblBorders>
    </w:tblPr>
  </w:style>
  <w:style w:type="table" w:customStyle="1" w:styleId="TableforReports32">
    <w:name w:val="Table for Reports32"/>
    <w:basedOn w:val="TableNormal"/>
    <w:uiPriority w:val="99"/>
    <w:rsid w:val="00A72F4E"/>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32">
    <w:name w:val="Light Shading - Accent 1132"/>
    <w:basedOn w:val="TableNormal"/>
    <w:uiPriority w:val="60"/>
    <w:rsid w:val="00A72F4E"/>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722">
    <w:name w:val="Table Grid722"/>
    <w:basedOn w:val="TableNormal"/>
    <w:uiPriority w:val="59"/>
    <w:rsid w:val="00A72F4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12">
    <w:name w:val="Style1312"/>
    <w:basedOn w:val="TableNormal"/>
    <w:uiPriority w:val="99"/>
    <w:qFormat/>
    <w:rsid w:val="00A72F4E"/>
    <w:rPr>
      <w:lang w:eastAsia="en-US"/>
    </w:rPr>
    <w:tblPr/>
  </w:style>
  <w:style w:type="table" w:customStyle="1" w:styleId="TableGrid1120">
    <w:name w:val="Table Grid112"/>
    <w:basedOn w:val="TableNormal"/>
    <w:uiPriority w:val="59"/>
    <w:rsid w:val="00A72F4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12">
    <w:name w:val="TR31_Table112"/>
    <w:basedOn w:val="TableNormal"/>
    <w:uiPriority w:val="99"/>
    <w:rsid w:val="00A72F4E"/>
    <w:rPr>
      <w:rFonts w:ascii="Arial" w:hAnsi="Arial"/>
      <w:lang w:eastAsia="en-US"/>
    </w:rPr>
    <w:tblPr>
      <w:tblBorders>
        <w:top w:val="single" w:sz="4" w:space="0" w:color="auto"/>
        <w:bottom w:val="single" w:sz="4" w:space="0" w:color="auto"/>
      </w:tblBorders>
    </w:tblPr>
  </w:style>
  <w:style w:type="table" w:customStyle="1" w:styleId="TableGrid1122">
    <w:name w:val="Table Grid 1122"/>
    <w:basedOn w:val="TableNormal"/>
    <w:rsid w:val="00A72F4E"/>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22">
    <w:name w:val="Table for Reports122"/>
    <w:basedOn w:val="TableNormal"/>
    <w:uiPriority w:val="99"/>
    <w:rsid w:val="00A72F4E"/>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22">
    <w:name w:val="Light Shading - Accent 11122"/>
    <w:basedOn w:val="TableNormal"/>
    <w:uiPriority w:val="60"/>
    <w:rsid w:val="00A72F4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12">
    <w:name w:val="Table Grid7112"/>
    <w:basedOn w:val="TableNormal"/>
    <w:uiPriority w:val="59"/>
    <w:rsid w:val="00A72F4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22">
    <w:name w:val="Medium Shading 1 - Accent 4122"/>
    <w:basedOn w:val="TableNormal"/>
    <w:uiPriority w:val="63"/>
    <w:rsid w:val="00A72F4E"/>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22">
    <w:name w:val="Light List - Accent 4122"/>
    <w:basedOn w:val="TableNormal"/>
    <w:uiPriority w:val="61"/>
    <w:rsid w:val="00A72F4E"/>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22">
    <w:name w:val="Light Shading122"/>
    <w:basedOn w:val="TableNormal"/>
    <w:uiPriority w:val="60"/>
    <w:rsid w:val="00A72F4E"/>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22">
    <w:name w:val="AIHW Table22"/>
    <w:basedOn w:val="TableNormal"/>
    <w:rsid w:val="00A72F4E"/>
    <w:pPr>
      <w:tabs>
        <w:tab w:val="left" w:pos="198"/>
      </w:tabs>
      <w:spacing w:before="60" w:after="60" w:line="200" w:lineRule="atLeast"/>
      <w:jc w:val="right"/>
    </w:pPr>
    <w:rPr>
      <w:rFonts w:ascii="Arial" w:eastAsia="Times New Roman" w:hAnsi="Arial"/>
      <w:color w:val="000000"/>
      <w:sz w:val="16"/>
      <w:szCs w:val="22"/>
      <w:lang w:eastAsia="en-US"/>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5120">
    <w:name w:val="Table Grid512"/>
    <w:basedOn w:val="TableNormal"/>
    <w:uiPriority w:val="39"/>
    <w:rsid w:val="00A72F4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52">
    <w:name w:val="Style152"/>
    <w:basedOn w:val="TableNormal"/>
    <w:uiPriority w:val="99"/>
    <w:qFormat/>
    <w:rsid w:val="00A72F4E"/>
    <w:tblPr/>
  </w:style>
  <w:style w:type="table" w:customStyle="1" w:styleId="TableGrid92">
    <w:name w:val="Table Grid92"/>
    <w:basedOn w:val="TableNormal"/>
    <w:next w:val="TableGrid"/>
    <w:uiPriority w:val="59"/>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32">
    <w:name w:val="TR31_Table32"/>
    <w:basedOn w:val="TableNormal"/>
    <w:uiPriority w:val="99"/>
    <w:rsid w:val="00A72F4E"/>
    <w:rPr>
      <w:rFonts w:ascii="Arial" w:hAnsi="Arial"/>
    </w:rPr>
    <w:tblPr>
      <w:tblBorders>
        <w:top w:val="single" w:sz="4" w:space="0" w:color="auto"/>
        <w:bottom w:val="single" w:sz="4" w:space="0" w:color="auto"/>
      </w:tblBorders>
    </w:tblPr>
  </w:style>
  <w:style w:type="table" w:customStyle="1" w:styleId="TableGrid142">
    <w:name w:val="Table Grid 142"/>
    <w:basedOn w:val="TableNormal"/>
    <w:next w:val="TableGrid1"/>
    <w:rsid w:val="00A72F4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42">
    <w:name w:val="Table for Reports42"/>
    <w:basedOn w:val="TableNormal"/>
    <w:uiPriority w:val="99"/>
    <w:rsid w:val="00A72F4E"/>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42">
    <w:name w:val="Light Shading - Accent 1142"/>
    <w:basedOn w:val="TableNormal"/>
    <w:uiPriority w:val="60"/>
    <w:rsid w:val="00A72F4E"/>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32">
    <w:name w:val="Table Grid732"/>
    <w:basedOn w:val="TableNormal"/>
    <w:next w:val="TableGrid"/>
    <w:uiPriority w:val="59"/>
    <w:rsid w:val="00A72F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42">
    <w:name w:val="Medium Shading 1 - Accent 442"/>
    <w:basedOn w:val="TableNormal"/>
    <w:next w:val="MediumShading1-Accent4"/>
    <w:uiPriority w:val="63"/>
    <w:rsid w:val="00A72F4E"/>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42">
    <w:name w:val="Light List - Accent 442"/>
    <w:basedOn w:val="TableNormal"/>
    <w:next w:val="LightList-Accent4"/>
    <w:uiPriority w:val="61"/>
    <w:rsid w:val="00A72F4E"/>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Style1322">
    <w:name w:val="Style1322"/>
    <w:basedOn w:val="TableNormal"/>
    <w:uiPriority w:val="99"/>
    <w:qFormat/>
    <w:rsid w:val="00A72F4E"/>
    <w:tblPr/>
  </w:style>
  <w:style w:type="table" w:customStyle="1" w:styleId="TableGrid1220">
    <w:name w:val="Table Grid122"/>
    <w:basedOn w:val="TableNormal"/>
    <w:next w:val="TableGrid"/>
    <w:uiPriority w:val="59"/>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22">
    <w:name w:val="TR31_Table122"/>
    <w:basedOn w:val="TableNormal"/>
    <w:uiPriority w:val="99"/>
    <w:rsid w:val="00A72F4E"/>
    <w:rPr>
      <w:rFonts w:ascii="Arial" w:hAnsi="Arial"/>
    </w:rPr>
    <w:tblPr>
      <w:tblBorders>
        <w:top w:val="single" w:sz="4" w:space="0" w:color="auto"/>
        <w:bottom w:val="single" w:sz="4" w:space="0" w:color="auto"/>
      </w:tblBorders>
    </w:tblPr>
  </w:style>
  <w:style w:type="table" w:customStyle="1" w:styleId="TableGrid1132">
    <w:name w:val="Table Grid 1132"/>
    <w:basedOn w:val="TableNormal"/>
    <w:next w:val="TableGrid1"/>
    <w:rsid w:val="00A72F4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32">
    <w:name w:val="Table for Reports132"/>
    <w:basedOn w:val="TableNormal"/>
    <w:uiPriority w:val="99"/>
    <w:rsid w:val="00A72F4E"/>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32">
    <w:name w:val="Light Shading - Accent 11132"/>
    <w:basedOn w:val="TableNormal"/>
    <w:uiPriority w:val="60"/>
    <w:rsid w:val="00A72F4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22">
    <w:name w:val="Table Grid7122"/>
    <w:basedOn w:val="TableNormal"/>
    <w:next w:val="TableGrid"/>
    <w:uiPriority w:val="59"/>
    <w:rsid w:val="00A72F4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32">
    <w:name w:val="Medium Shading 1 - Accent 4132"/>
    <w:basedOn w:val="TableNormal"/>
    <w:next w:val="MediumShading1-Accent4"/>
    <w:uiPriority w:val="63"/>
    <w:rsid w:val="00A72F4E"/>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32">
    <w:name w:val="Light List - Accent 4132"/>
    <w:basedOn w:val="TableNormal"/>
    <w:next w:val="LightList-Accent4"/>
    <w:uiPriority w:val="61"/>
    <w:rsid w:val="00A72F4E"/>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32">
    <w:name w:val="Light Shading132"/>
    <w:basedOn w:val="TableNormal"/>
    <w:next w:val="LightShading"/>
    <w:uiPriority w:val="60"/>
    <w:rsid w:val="00A72F4E"/>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2">
    <w:name w:val="Light Shading42"/>
    <w:basedOn w:val="TableNormal"/>
    <w:next w:val="LightShading"/>
    <w:uiPriority w:val="60"/>
    <w:rsid w:val="00A72F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32">
    <w:name w:val="Light Shading - Accent 432"/>
    <w:basedOn w:val="TableNormal"/>
    <w:next w:val="LightShading-Accent4"/>
    <w:uiPriority w:val="60"/>
    <w:rsid w:val="00A72F4E"/>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22">
    <w:name w:val="Table Simple 122"/>
    <w:basedOn w:val="TableNormal"/>
    <w:next w:val="TableSimple1"/>
    <w:semiHidden/>
    <w:unhideWhenUsed/>
    <w:rsid w:val="00A72F4E"/>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semiHidden/>
    <w:unhideWhenUsed/>
    <w:rsid w:val="00A72F4E"/>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22">
    <w:name w:val="Table Classic 122"/>
    <w:basedOn w:val="TableNormal"/>
    <w:next w:val="TableClassic1"/>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semiHidden/>
    <w:unhideWhenUsed/>
    <w:rsid w:val="00A72F4E"/>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semiHidden/>
    <w:unhideWhenUsed/>
    <w:rsid w:val="00A72F4E"/>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semiHidden/>
    <w:unhideWhenUsed/>
    <w:rsid w:val="00A72F4E"/>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semiHidden/>
    <w:unhideWhenUsed/>
    <w:rsid w:val="00A72F4E"/>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semiHidden/>
    <w:unhideWhenUsed/>
    <w:rsid w:val="00A72F4E"/>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semiHidden/>
    <w:unhideWhenUsed/>
    <w:rsid w:val="00A72F4E"/>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semiHidden/>
    <w:unhideWhenUsed/>
    <w:rsid w:val="00A72F4E"/>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semiHidden/>
    <w:unhideWhenUsed/>
    <w:rsid w:val="00A72F4E"/>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semiHidden/>
    <w:unhideWhenUsed/>
    <w:rsid w:val="00A72F4E"/>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22">
    <w:name w:val="Table Grid 222"/>
    <w:basedOn w:val="TableNormal"/>
    <w:next w:val="TableGrid2"/>
    <w:semiHidden/>
    <w:unhideWhenUsed/>
    <w:rsid w:val="00A72F4E"/>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
    <w:semiHidden/>
    <w:unhideWhenUsed/>
    <w:rsid w:val="00A72F4E"/>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
    <w:semiHidden/>
    <w:unhideWhenUsed/>
    <w:rsid w:val="00A72F4E"/>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0">
    <w:name w:val="Table Grid 722"/>
    <w:basedOn w:val="TableNormal"/>
    <w:next w:val="TableGrid70"/>
    <w:semiHidden/>
    <w:unhideWhenUsed/>
    <w:rsid w:val="00A72F4E"/>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semiHidden/>
    <w:unhideWhenUsed/>
    <w:rsid w:val="00A72F4E"/>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semiHidden/>
    <w:unhideWhenUsed/>
    <w:rsid w:val="00A72F4E"/>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semiHidden/>
    <w:unhideWhenUsed/>
    <w:rsid w:val="00A72F4E"/>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semiHidden/>
    <w:unhideWhenUsed/>
    <w:rsid w:val="00A72F4E"/>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semiHidden/>
    <w:unhideWhenUsed/>
    <w:rsid w:val="00A72F4E"/>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semiHidden/>
    <w:unhideWhenUsed/>
    <w:rsid w:val="00A72F4E"/>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semiHidden/>
    <w:unhideWhenUsed/>
    <w:rsid w:val="00A72F4E"/>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22">
    <w:name w:val="Table 3D effects 122"/>
    <w:basedOn w:val="TableNormal"/>
    <w:next w:val="Table3Deffects1"/>
    <w:semiHidden/>
    <w:unhideWhenUsed/>
    <w:rsid w:val="00A72F4E"/>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semiHidden/>
    <w:unhideWhenUsed/>
    <w:rsid w:val="00A72F4E"/>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semiHidden/>
    <w:unhideWhenUsed/>
    <w:rsid w:val="00A72F4E"/>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2">
    <w:name w:val="Table Contemporary22"/>
    <w:basedOn w:val="TableNormal"/>
    <w:next w:val="TableContemporary"/>
    <w:semiHidden/>
    <w:unhideWhenUsed/>
    <w:rsid w:val="00A72F4E"/>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semiHidden/>
    <w:unhideWhenUsed/>
    <w:rsid w:val="00A72F4E"/>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semiHidden/>
    <w:unhideWhenUsed/>
    <w:rsid w:val="00A72F4E"/>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semiHidden/>
    <w:unhideWhenUsed/>
    <w:rsid w:val="00A72F4E"/>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semiHidden/>
    <w:unhideWhenUsed/>
    <w:rsid w:val="00A72F4E"/>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2">
    <w:name w:val="Table Web 122"/>
    <w:basedOn w:val="TableNormal"/>
    <w:next w:val="TableWeb1"/>
    <w:semiHidden/>
    <w:unhideWhenUsed/>
    <w:rsid w:val="00A72F4E"/>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semiHidden/>
    <w:unhideWhenUsed/>
    <w:rsid w:val="00A72F4E"/>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semiHidden/>
    <w:unhideWhenUsed/>
    <w:rsid w:val="00A72F4E"/>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22">
    <w:name w:val="Table Theme22"/>
    <w:basedOn w:val="TableNormal"/>
    <w:next w:val="TableTheme"/>
    <w:semiHidden/>
    <w:unhideWhenUsed/>
    <w:rsid w:val="00A72F4E"/>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32">
    <w:name w:val="AIHW Table32"/>
    <w:basedOn w:val="TableNormal"/>
    <w:rsid w:val="00A72F4E"/>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1212">
    <w:name w:val="Table Grid 1212"/>
    <w:basedOn w:val="TableNormal"/>
    <w:next w:val="TableGrid1"/>
    <w:semiHidden/>
    <w:unhideWhenUsed/>
    <w:rsid w:val="00A72F4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12">
    <w:name w:val="Light Shading212"/>
    <w:basedOn w:val="TableNormal"/>
    <w:next w:val="LightShading"/>
    <w:uiPriority w:val="60"/>
    <w:semiHidden/>
    <w:unhideWhenUsed/>
    <w:rsid w:val="00A72F4E"/>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12">
    <w:name w:val="Light Shading - Accent 4112"/>
    <w:basedOn w:val="TableNormal"/>
    <w:next w:val="LightShading-Accent4"/>
    <w:uiPriority w:val="60"/>
    <w:semiHidden/>
    <w:unhideWhenUsed/>
    <w:rsid w:val="00A72F4E"/>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12">
    <w:name w:val="Light List - Accent 4212"/>
    <w:basedOn w:val="TableNormal"/>
    <w:next w:val="LightList-Accent4"/>
    <w:uiPriority w:val="61"/>
    <w:semiHidden/>
    <w:unhideWhenUsed/>
    <w:rsid w:val="00A72F4E"/>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12">
    <w:name w:val="Medium Shading 1 - Accent 4212"/>
    <w:basedOn w:val="TableNormal"/>
    <w:next w:val="MediumShading1-Accent4"/>
    <w:uiPriority w:val="63"/>
    <w:semiHidden/>
    <w:unhideWhenUsed/>
    <w:rsid w:val="00A72F4E"/>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12">
    <w:name w:val="Table for Reports212"/>
    <w:basedOn w:val="TableNormal"/>
    <w:uiPriority w:val="99"/>
    <w:rsid w:val="00A72F4E"/>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12">
    <w:name w:val="Light Shading - Accent 11212"/>
    <w:basedOn w:val="TableNormal"/>
    <w:uiPriority w:val="60"/>
    <w:rsid w:val="00A72F4E"/>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12">
    <w:name w:val="Table Grid 11112"/>
    <w:basedOn w:val="TableNormal"/>
    <w:rsid w:val="00A72F4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12">
    <w:name w:val="Table for Reports1112"/>
    <w:basedOn w:val="TableNormal"/>
    <w:uiPriority w:val="99"/>
    <w:rsid w:val="00A72F4E"/>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12">
    <w:name w:val="Light Shading - Accent 111112"/>
    <w:basedOn w:val="TableNormal"/>
    <w:uiPriority w:val="60"/>
    <w:rsid w:val="00A72F4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12">
    <w:name w:val="Medium Shading 1 - Accent 41112"/>
    <w:basedOn w:val="TableNormal"/>
    <w:uiPriority w:val="63"/>
    <w:rsid w:val="00A72F4E"/>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12">
    <w:name w:val="Light List - Accent 41112"/>
    <w:basedOn w:val="TableNormal"/>
    <w:uiPriority w:val="61"/>
    <w:rsid w:val="00A72F4E"/>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12">
    <w:name w:val="Light Shading1112"/>
    <w:basedOn w:val="TableNormal"/>
    <w:uiPriority w:val="60"/>
    <w:rsid w:val="00A72F4E"/>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12">
    <w:name w:val="AIHW Table112"/>
    <w:basedOn w:val="TableNormal"/>
    <w:rsid w:val="00A72F4E"/>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2120">
    <w:name w:val="Table Grid212"/>
    <w:basedOn w:val="TableNormal"/>
    <w:next w:val="TableGrid"/>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
    <w:basedOn w:val="TableNormal"/>
    <w:next w:val="TableGrid"/>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uiPriority w:val="59"/>
    <w:rsid w:val="00A72F4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0">
    <w:name w:val="Table Grid522"/>
    <w:basedOn w:val="TableNormal"/>
    <w:next w:val="TableGrid"/>
    <w:uiPriority w:val="39"/>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0">
    <w:name w:val="Table Grid612"/>
    <w:basedOn w:val="TableNormal"/>
    <w:next w:val="TableGrid"/>
    <w:uiPriority w:val="39"/>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2">
    <w:name w:val="List Table 4 - Accent 312"/>
    <w:basedOn w:val="TableNormal"/>
    <w:uiPriority w:val="49"/>
    <w:rsid w:val="00A72F4E"/>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msonormal0">
    <w:name w:val="msonormal"/>
    <w:basedOn w:val="Normal"/>
    <w:rsid w:val="00382EAE"/>
    <w:pPr>
      <w:spacing w:before="100" w:beforeAutospacing="1" w:after="100" w:afterAutospacing="1"/>
    </w:pPr>
    <w:rPr>
      <w:color w:val="333333"/>
      <w:lang w:eastAsia="en-US"/>
    </w:rPr>
  </w:style>
  <w:style w:type="character" w:customStyle="1" w:styleId="normaltextrun1">
    <w:name w:val="normaltextrun1"/>
    <w:basedOn w:val="DefaultParagraphFont"/>
    <w:rsid w:val="00B63C55"/>
  </w:style>
  <w:style w:type="table" w:customStyle="1" w:styleId="TableGrid160">
    <w:name w:val="Table Grid16"/>
    <w:basedOn w:val="TableNormal"/>
    <w:next w:val="TableGrid"/>
    <w:uiPriority w:val="39"/>
    <w:rsid w:val="007155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iographic-informationvalue">
    <w:name w:val="bibliographic-information__value"/>
    <w:basedOn w:val="DefaultParagraphFont"/>
    <w:rsid w:val="00C55236"/>
  </w:style>
  <w:style w:type="table" w:customStyle="1" w:styleId="Style18">
    <w:name w:val="Style18"/>
    <w:basedOn w:val="TableNormal"/>
    <w:uiPriority w:val="99"/>
    <w:qFormat/>
    <w:rsid w:val="00C55236"/>
    <w:tblPr/>
  </w:style>
  <w:style w:type="table" w:customStyle="1" w:styleId="TableGrid17">
    <w:name w:val="Table Grid17"/>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6">
    <w:name w:val="TR31_Table6"/>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70">
    <w:name w:val="Table Grid 17"/>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7">
    <w:name w:val="Table for Reports7"/>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7">
    <w:name w:val="Light Shading - Accent 117"/>
    <w:basedOn w:val="TableNormal"/>
    <w:uiPriority w:val="60"/>
    <w:rsid w:val="00C55236"/>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6">
    <w:name w:val="Table Grid76"/>
    <w:basedOn w:val="TableNormal"/>
    <w:next w:val="TableGrid"/>
    <w:uiPriority w:val="59"/>
    <w:rsid w:val="00C55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7">
    <w:name w:val="Medium Shading 1 - Accent 47"/>
    <w:basedOn w:val="TableNormal"/>
    <w:next w:val="MediumShading1-Accent4"/>
    <w:uiPriority w:val="63"/>
    <w:rsid w:val="00C55236"/>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7">
    <w:name w:val="Light List - Accent 47"/>
    <w:basedOn w:val="TableNormal"/>
    <w:next w:val="LightList-Accent4"/>
    <w:uiPriority w:val="61"/>
    <w:rsid w:val="00C55236"/>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Style135">
    <w:name w:val="Style135"/>
    <w:basedOn w:val="TableNormal"/>
    <w:uiPriority w:val="99"/>
    <w:qFormat/>
    <w:rsid w:val="00C55236"/>
    <w:tblPr/>
  </w:style>
  <w:style w:type="table" w:customStyle="1" w:styleId="TableGrid18">
    <w:name w:val="Table Grid18"/>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5">
    <w:name w:val="TR31_Table15"/>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16">
    <w:name w:val="Table Grid 116"/>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6">
    <w:name w:val="Table for Reports16"/>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6">
    <w:name w:val="Light Shading - Accent 1116"/>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5">
    <w:name w:val="Table Grid715"/>
    <w:basedOn w:val="TableNormal"/>
    <w:next w:val="TableGrid"/>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6">
    <w:name w:val="Medium Shading 1 - Accent 416"/>
    <w:basedOn w:val="TableNormal"/>
    <w:next w:val="MediumShading1-Accent4"/>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6">
    <w:name w:val="Light List - Accent 416"/>
    <w:basedOn w:val="TableNormal"/>
    <w:next w:val="LightList-Accent4"/>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6">
    <w:name w:val="Light Shading16"/>
    <w:basedOn w:val="TableNormal"/>
    <w:next w:val="LightShading"/>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7">
    <w:name w:val="Light Shading7"/>
    <w:basedOn w:val="TableNormal"/>
    <w:next w:val="LightShading"/>
    <w:uiPriority w:val="60"/>
    <w:rsid w:val="00C552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6">
    <w:name w:val="Light Shading - Accent 46"/>
    <w:basedOn w:val="TableNormal"/>
    <w:next w:val="LightShading-Accent4"/>
    <w:uiPriority w:val="60"/>
    <w:rsid w:val="00C55236"/>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5">
    <w:name w:val="Table Simple 15"/>
    <w:basedOn w:val="TableNormal"/>
    <w:next w:val="TableSimple1"/>
    <w:semiHidden/>
    <w:unhideWhenUsed/>
    <w:rsid w:val="00C55236"/>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semiHidden/>
    <w:unhideWhenUsed/>
    <w:rsid w:val="00C55236"/>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5">
    <w:name w:val="Table Classic 15"/>
    <w:basedOn w:val="TableNormal"/>
    <w:next w:val="TableClassic1"/>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semiHidden/>
    <w:unhideWhenUsed/>
    <w:rsid w:val="00C55236"/>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semiHidden/>
    <w:unhideWhenUsed/>
    <w:rsid w:val="00C55236"/>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semiHidden/>
    <w:unhideWhenUsed/>
    <w:rsid w:val="00C55236"/>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semiHidden/>
    <w:unhideWhenUsed/>
    <w:rsid w:val="00C55236"/>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semiHidden/>
    <w:unhideWhenUsed/>
    <w:rsid w:val="00C55236"/>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semiHidden/>
    <w:unhideWhenUsed/>
    <w:rsid w:val="00C55236"/>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semiHidden/>
    <w:unhideWhenUsed/>
    <w:rsid w:val="00C55236"/>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5">
    <w:name w:val="Table Grid 25"/>
    <w:basedOn w:val="TableNormal"/>
    <w:next w:val="TableGrid2"/>
    <w:semiHidden/>
    <w:unhideWhenUsed/>
    <w:rsid w:val="00C55236"/>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semiHidden/>
    <w:unhideWhenUsed/>
    <w:rsid w:val="00C55236"/>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0">
    <w:name w:val="Table Grid 75"/>
    <w:basedOn w:val="TableNormal"/>
    <w:next w:val="TableGrid70"/>
    <w:semiHidden/>
    <w:unhideWhenUsed/>
    <w:rsid w:val="00C55236"/>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semiHidden/>
    <w:unhideWhenUsed/>
    <w:rsid w:val="00C55236"/>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semiHidden/>
    <w:unhideWhenUsed/>
    <w:rsid w:val="00C55236"/>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5">
    <w:name w:val="Table 3D effects 15"/>
    <w:basedOn w:val="TableNormal"/>
    <w:next w:val="Table3Deffects1"/>
    <w:semiHidden/>
    <w:unhideWhenUsed/>
    <w:rsid w:val="00C55236"/>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semiHidden/>
    <w:unhideWhenUsed/>
    <w:rsid w:val="00C55236"/>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semiHidden/>
    <w:unhideWhenUsed/>
    <w:rsid w:val="00C55236"/>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5">
    <w:name w:val="Table Contemporary5"/>
    <w:basedOn w:val="TableNormal"/>
    <w:next w:val="TableContemporary"/>
    <w:semiHidden/>
    <w:unhideWhenUsed/>
    <w:rsid w:val="00C55236"/>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semiHidden/>
    <w:unhideWhenUsed/>
    <w:rsid w:val="00C55236"/>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5">
    <w:name w:val="Table Professional5"/>
    <w:basedOn w:val="TableNormal"/>
    <w:next w:val="TableProfessional"/>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semiHidden/>
    <w:unhideWhenUsed/>
    <w:rsid w:val="00C55236"/>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semiHidden/>
    <w:unhideWhenUsed/>
    <w:rsid w:val="00C55236"/>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5">
    <w:name w:val="Table Web 15"/>
    <w:basedOn w:val="TableNormal"/>
    <w:next w:val="TableWeb1"/>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semiHidden/>
    <w:unhideWhenUsed/>
    <w:rsid w:val="00C55236"/>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semiHidden/>
    <w:unhideWhenUsed/>
    <w:rsid w:val="00C55236"/>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6">
    <w:name w:val="AIHW Table6"/>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124">
    <w:name w:val="Table Grid 124"/>
    <w:basedOn w:val="TableNormal"/>
    <w:next w:val="TableGrid1"/>
    <w:semiHidden/>
    <w:unhideWhenUsed/>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4">
    <w:name w:val="Light Shading24"/>
    <w:basedOn w:val="TableNormal"/>
    <w:next w:val="LightShading"/>
    <w:uiPriority w:val="60"/>
    <w:unhideWhenUsed/>
    <w:rsid w:val="00C55236"/>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4">
    <w:name w:val="Light Shading - Accent 414"/>
    <w:basedOn w:val="TableNormal"/>
    <w:next w:val="LightShading-Accent4"/>
    <w:uiPriority w:val="60"/>
    <w:unhideWhenUsed/>
    <w:rsid w:val="00C55236"/>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4">
    <w:name w:val="Light List - Accent 424"/>
    <w:basedOn w:val="TableNormal"/>
    <w:next w:val="LightList-Accent4"/>
    <w:uiPriority w:val="61"/>
    <w:semiHidden/>
    <w:unhideWhenUsed/>
    <w:rsid w:val="00C55236"/>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4">
    <w:name w:val="Medium Shading 1 - Accent 424"/>
    <w:basedOn w:val="TableNormal"/>
    <w:next w:val="MediumShading1-Accent4"/>
    <w:uiPriority w:val="63"/>
    <w:semiHidden/>
    <w:unhideWhenUsed/>
    <w:rsid w:val="00C55236"/>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4">
    <w:name w:val="Table for Reports24"/>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4">
    <w:name w:val="Light Shading - Accent 1124"/>
    <w:basedOn w:val="TableNormal"/>
    <w:uiPriority w:val="60"/>
    <w:rsid w:val="00C55236"/>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4">
    <w:name w:val="Table Grid 1114"/>
    <w:basedOn w:val="TableNormal"/>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4">
    <w:name w:val="Table for Reports114"/>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4">
    <w:name w:val="Light Shading - Accent 11114"/>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4">
    <w:name w:val="Medium Shading 1 - Accent 4114"/>
    <w:basedOn w:val="TableNormal"/>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4">
    <w:name w:val="Light List - Accent 4114"/>
    <w:basedOn w:val="TableNormal"/>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4">
    <w:name w:val="Light Shading114"/>
    <w:basedOn w:val="TableNormal"/>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4">
    <w:name w:val="AIHW Table14"/>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240">
    <w:name w:val="Table Grid24"/>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0">
    <w:name w:val="Table Grid34"/>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0">
    <w:name w:val="Table Grid44"/>
    <w:basedOn w:val="TableNormal"/>
    <w:next w:val="TableGrid"/>
    <w:uiPriority w:val="59"/>
    <w:rsid w:val="00C5523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0">
    <w:name w:val="Table Grid55"/>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0">
    <w:name w:val="Table Grid64"/>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3">
    <w:name w:val="Table Simple 213"/>
    <w:basedOn w:val="TableNormal"/>
    <w:next w:val="TableSimple2"/>
    <w:semiHidden/>
    <w:unhideWhenUsed/>
    <w:rsid w:val="00C55236"/>
    <w:pPr>
      <w:spacing w:before="60" w:after="40" w:line="260" w:lineRule="atLeast"/>
    </w:pPr>
    <w:rPr>
      <w:rFonts w:ascii="Book Antiqua" w:eastAsia="Times New Roman" w:hAnsi="Book Antiqua"/>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3">
    <w:name w:val="Table Simple 313"/>
    <w:basedOn w:val="TableNormal"/>
    <w:next w:val="TableSimple3"/>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3">
    <w:name w:val="Table Classic 113"/>
    <w:basedOn w:val="TableNormal"/>
    <w:next w:val="TableClassic1"/>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3">
    <w:name w:val="Table Classic 213"/>
    <w:basedOn w:val="TableNormal"/>
    <w:next w:val="TableClassic2"/>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3">
    <w:name w:val="Table Classic 313"/>
    <w:basedOn w:val="TableNormal"/>
    <w:next w:val="TableClassic3"/>
    <w:semiHidden/>
    <w:unhideWhenUsed/>
    <w:rsid w:val="00C55236"/>
    <w:pPr>
      <w:spacing w:before="60" w:after="40" w:line="260" w:lineRule="atLeast"/>
    </w:pPr>
    <w:rPr>
      <w:rFonts w:ascii="Book Antiqua" w:eastAsia="Times New Roman" w:hAnsi="Book Antiqua"/>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3">
    <w:name w:val="Table Classic 413"/>
    <w:basedOn w:val="TableNormal"/>
    <w:next w:val="TableClassic4"/>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3">
    <w:name w:val="Table Colorful 113"/>
    <w:basedOn w:val="TableNormal"/>
    <w:next w:val="TableColorful1"/>
    <w:semiHidden/>
    <w:unhideWhenUsed/>
    <w:rsid w:val="00C55236"/>
    <w:pPr>
      <w:spacing w:before="60" w:after="40" w:line="260" w:lineRule="atLeast"/>
    </w:pPr>
    <w:rPr>
      <w:rFonts w:ascii="Book Antiqua" w:eastAsia="Times New Roman" w:hAnsi="Book Antiqua"/>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3">
    <w:name w:val="Table Colorful 213"/>
    <w:basedOn w:val="TableNormal"/>
    <w:next w:val="TableColorful2"/>
    <w:semiHidden/>
    <w:unhideWhenUsed/>
    <w:rsid w:val="00C55236"/>
    <w:pPr>
      <w:spacing w:before="60" w:after="40" w:line="260" w:lineRule="atLeast"/>
    </w:pPr>
    <w:rPr>
      <w:rFonts w:ascii="Book Antiqua" w:eastAsia="Times New Roman" w:hAnsi="Book Antiqua"/>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3">
    <w:name w:val="Table Colorful 313"/>
    <w:basedOn w:val="TableNormal"/>
    <w:next w:val="TableColorful3"/>
    <w:semiHidden/>
    <w:unhideWhenUsed/>
    <w:rsid w:val="00C55236"/>
    <w:pPr>
      <w:spacing w:before="60" w:after="40" w:line="260" w:lineRule="atLeast"/>
    </w:pPr>
    <w:rPr>
      <w:rFonts w:ascii="Book Antiqua" w:eastAsia="Times New Roman" w:hAnsi="Book Antiqua"/>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3">
    <w:name w:val="Table Columns 113"/>
    <w:basedOn w:val="TableNormal"/>
    <w:next w:val="TableColumns1"/>
    <w:semiHidden/>
    <w:unhideWhenUsed/>
    <w:rsid w:val="00C55236"/>
    <w:pPr>
      <w:spacing w:before="60" w:after="40" w:line="260" w:lineRule="atLeast"/>
    </w:pPr>
    <w:rPr>
      <w:rFonts w:ascii="Book Antiqua" w:eastAsia="Times New Roman" w:hAnsi="Book Antiqua"/>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3">
    <w:name w:val="Table Columns 213"/>
    <w:basedOn w:val="TableNormal"/>
    <w:next w:val="TableColumns2"/>
    <w:semiHidden/>
    <w:unhideWhenUsed/>
    <w:rsid w:val="00C55236"/>
    <w:pPr>
      <w:spacing w:before="60" w:after="40" w:line="260" w:lineRule="atLeast"/>
    </w:pPr>
    <w:rPr>
      <w:rFonts w:ascii="Book Antiqua" w:eastAsia="Times New Roman" w:hAnsi="Book Antiqua"/>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3">
    <w:name w:val="Table Columns 313"/>
    <w:basedOn w:val="TableNormal"/>
    <w:next w:val="TableColumns3"/>
    <w:semiHidden/>
    <w:unhideWhenUsed/>
    <w:rsid w:val="00C55236"/>
    <w:pPr>
      <w:spacing w:before="60" w:after="40" w:line="260" w:lineRule="atLeast"/>
    </w:pPr>
    <w:rPr>
      <w:rFonts w:ascii="Book Antiqua" w:eastAsia="Times New Roman" w:hAnsi="Book Antiqua"/>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3">
    <w:name w:val="Table Columns 413"/>
    <w:basedOn w:val="TableNormal"/>
    <w:next w:val="TableColumns4"/>
    <w:semiHidden/>
    <w:unhideWhenUsed/>
    <w:rsid w:val="00C55236"/>
    <w:pPr>
      <w:spacing w:before="60" w:after="40" w:line="260" w:lineRule="atLeast"/>
    </w:pPr>
    <w:rPr>
      <w:rFonts w:ascii="Book Antiqua" w:eastAsia="Times New Roman" w:hAnsi="Book Antiqua"/>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3">
    <w:name w:val="Table Columns 513"/>
    <w:basedOn w:val="TableNormal"/>
    <w:next w:val="TableColumns5"/>
    <w:semiHidden/>
    <w:unhideWhenUsed/>
    <w:rsid w:val="00C55236"/>
    <w:pPr>
      <w:spacing w:before="60" w:after="40" w:line="260" w:lineRule="atLeast"/>
    </w:pPr>
    <w:rPr>
      <w:rFonts w:ascii="Book Antiqua" w:eastAsia="Times New Roman" w:hAnsi="Book Antiqua"/>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33">
    <w:name w:val="Table Grid 133"/>
    <w:basedOn w:val="TableNormal"/>
    <w:next w:val="TableGrid1"/>
    <w:semiHidden/>
    <w:unhideWhenUsed/>
    <w:rsid w:val="00C55236"/>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3">
    <w:name w:val="Table Grid 213"/>
    <w:basedOn w:val="TableNormal"/>
    <w:next w:val="TableGrid2"/>
    <w:semiHidden/>
    <w:unhideWhenUsed/>
    <w:rsid w:val="00C55236"/>
    <w:pPr>
      <w:spacing w:before="60" w:after="40" w:line="260" w:lineRule="atLeast"/>
    </w:pPr>
    <w:rPr>
      <w:rFonts w:ascii="Book Antiqua" w:eastAsia="Times New Roman" w:hAnsi="Book Antiqua"/>
      <w:sz w:val="22"/>
      <w:szCs w:val="22"/>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3">
    <w:name w:val="Table Grid 313"/>
    <w:basedOn w:val="TableNormal"/>
    <w:next w:val="TableGrid3"/>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3">
    <w:name w:val="Table Grid 413"/>
    <w:basedOn w:val="TableNormal"/>
    <w:next w:val="TableGrid4"/>
    <w:semiHidden/>
    <w:unhideWhenUsed/>
    <w:rsid w:val="00C55236"/>
    <w:pPr>
      <w:spacing w:before="60" w:after="40" w:line="260" w:lineRule="atLeast"/>
    </w:pPr>
    <w:rPr>
      <w:rFonts w:ascii="Book Antiqua" w:eastAsia="Times New Roman" w:hAnsi="Book Antiqua"/>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3">
    <w:name w:val="Table Grid 513"/>
    <w:basedOn w:val="TableNormal"/>
    <w:next w:val="TableGrid5"/>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3">
    <w:name w:val="Table Grid 613"/>
    <w:basedOn w:val="TableNormal"/>
    <w:next w:val="TableGrid6"/>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30">
    <w:name w:val="Table Grid 713"/>
    <w:basedOn w:val="TableNormal"/>
    <w:next w:val="TableGrid70"/>
    <w:semiHidden/>
    <w:unhideWhenUsed/>
    <w:rsid w:val="00C55236"/>
    <w:pPr>
      <w:spacing w:before="60" w:after="40" w:line="260" w:lineRule="atLeast"/>
    </w:pPr>
    <w:rPr>
      <w:rFonts w:ascii="Book Antiqua" w:eastAsia="Times New Roman" w:hAnsi="Book Antiqua"/>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3">
    <w:name w:val="Table Grid 813"/>
    <w:basedOn w:val="TableNormal"/>
    <w:next w:val="TableGrid8"/>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3">
    <w:name w:val="Table List 113"/>
    <w:basedOn w:val="TableNormal"/>
    <w:next w:val="TableList1"/>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3">
    <w:name w:val="Table List 213"/>
    <w:basedOn w:val="TableNormal"/>
    <w:next w:val="TableList2"/>
    <w:semiHidden/>
    <w:unhideWhenUsed/>
    <w:rsid w:val="00C55236"/>
    <w:pPr>
      <w:spacing w:before="60" w:after="40" w:line="260" w:lineRule="atLeast"/>
    </w:pPr>
    <w:rPr>
      <w:rFonts w:ascii="Book Antiqua" w:eastAsia="Times New Roman" w:hAnsi="Book Antiqua"/>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
    <w:name w:val="Table List 313"/>
    <w:basedOn w:val="TableNormal"/>
    <w:next w:val="TableList3"/>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3">
    <w:name w:val="Table List 413"/>
    <w:basedOn w:val="TableNormal"/>
    <w:next w:val="TableList4"/>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3">
    <w:name w:val="Table List 513"/>
    <w:basedOn w:val="TableNormal"/>
    <w:next w:val="TableList5"/>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3">
    <w:name w:val="Table List 613"/>
    <w:basedOn w:val="TableNormal"/>
    <w:next w:val="TableList6"/>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3">
    <w:name w:val="Table List 713"/>
    <w:basedOn w:val="TableNormal"/>
    <w:next w:val="TableList7"/>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3">
    <w:name w:val="Table List 813"/>
    <w:basedOn w:val="TableNormal"/>
    <w:next w:val="TableList8"/>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3">
    <w:name w:val="Table 3D effects 113"/>
    <w:basedOn w:val="TableNormal"/>
    <w:next w:val="Table3Deffects1"/>
    <w:semiHidden/>
    <w:unhideWhenUsed/>
    <w:rsid w:val="00C55236"/>
    <w:pPr>
      <w:spacing w:before="60" w:after="40" w:line="260" w:lineRule="atLeast"/>
    </w:pPr>
    <w:rPr>
      <w:rFonts w:ascii="Book Antiqua" w:eastAsia="Times New Roman" w:hAnsi="Book Antiqua"/>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3">
    <w:name w:val="Table 3D effects 213"/>
    <w:basedOn w:val="TableNormal"/>
    <w:next w:val="Table3Deffects2"/>
    <w:semiHidden/>
    <w:unhideWhenUsed/>
    <w:rsid w:val="00C55236"/>
    <w:pPr>
      <w:spacing w:before="60" w:after="40" w:line="260" w:lineRule="atLeast"/>
    </w:pPr>
    <w:rPr>
      <w:rFonts w:ascii="Book Antiqua" w:eastAsia="Times New Roman" w:hAnsi="Book Antiqua"/>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3">
    <w:name w:val="Table 3D effects 313"/>
    <w:basedOn w:val="TableNormal"/>
    <w:next w:val="Table3Deffects3"/>
    <w:semiHidden/>
    <w:unhideWhenUsed/>
    <w:rsid w:val="00C55236"/>
    <w:pPr>
      <w:spacing w:before="60" w:after="40" w:line="260" w:lineRule="atLeast"/>
    </w:pPr>
    <w:rPr>
      <w:rFonts w:ascii="Book Antiqua" w:eastAsia="Times New Roman" w:hAnsi="Book Antiqua"/>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3">
    <w:name w:val="Table Contemporary13"/>
    <w:basedOn w:val="TableNormal"/>
    <w:next w:val="TableContemporary"/>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3">
    <w:name w:val="Table Elegant13"/>
    <w:basedOn w:val="TableNormal"/>
    <w:next w:val="TableElegant"/>
    <w:semiHidden/>
    <w:unhideWhenUsed/>
    <w:rsid w:val="00C55236"/>
    <w:pPr>
      <w:spacing w:before="60" w:after="40" w:line="260" w:lineRule="atLeast"/>
    </w:pPr>
    <w:rPr>
      <w:rFonts w:ascii="Book Antiqua" w:eastAsia="Times New Roman" w:hAnsi="Book Antiqua"/>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13">
    <w:name w:val="Table Subtle 113"/>
    <w:basedOn w:val="TableNormal"/>
    <w:next w:val="TableSubtle1"/>
    <w:semiHidden/>
    <w:unhideWhenUsed/>
    <w:rsid w:val="00C55236"/>
    <w:pPr>
      <w:spacing w:before="60" w:after="40" w:line="260" w:lineRule="atLeast"/>
    </w:pPr>
    <w:rPr>
      <w:rFonts w:ascii="Book Antiqua" w:eastAsia="Times New Roman" w:hAnsi="Book Antiqua"/>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TableNormal"/>
    <w:next w:val="TableSubtle2"/>
    <w:semiHidden/>
    <w:unhideWhenUsed/>
    <w:rsid w:val="00C55236"/>
    <w:pPr>
      <w:spacing w:before="60" w:after="40" w:line="260" w:lineRule="atLeast"/>
    </w:pPr>
    <w:rPr>
      <w:rFonts w:ascii="Book Antiqua" w:eastAsia="Times New Roman" w:hAnsi="Book Antiqua"/>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3">
    <w:name w:val="Table Web 113"/>
    <w:basedOn w:val="TableNormal"/>
    <w:next w:val="TableWeb1"/>
    <w:semiHidden/>
    <w:unhideWhenUsed/>
    <w:rsid w:val="00C55236"/>
    <w:pPr>
      <w:spacing w:before="60" w:after="40" w:line="260" w:lineRule="atLeast"/>
    </w:pPr>
    <w:rPr>
      <w:rFonts w:ascii="Book Antiqua" w:eastAsia="Times New Roman" w:hAnsi="Book Antiqua"/>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3">
    <w:name w:val="Table Web 213"/>
    <w:basedOn w:val="TableNormal"/>
    <w:next w:val="TableWeb2"/>
    <w:semiHidden/>
    <w:unhideWhenUsed/>
    <w:rsid w:val="00C55236"/>
    <w:pPr>
      <w:spacing w:before="60" w:after="40" w:line="260" w:lineRule="atLeast"/>
    </w:pPr>
    <w:rPr>
      <w:rFonts w:ascii="Book Antiqua" w:eastAsia="Times New Roman" w:hAnsi="Book Antiqua"/>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3">
    <w:name w:val="Table Web 313"/>
    <w:basedOn w:val="TableNormal"/>
    <w:next w:val="TableWeb3"/>
    <w:semiHidden/>
    <w:unhideWhenUsed/>
    <w:rsid w:val="00C55236"/>
    <w:pPr>
      <w:spacing w:before="60" w:after="40" w:line="260" w:lineRule="atLeast"/>
    </w:pPr>
    <w:rPr>
      <w:rFonts w:ascii="Book Antiqua" w:eastAsia="Times New Roman" w:hAnsi="Book Antiqua"/>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830">
    <w:name w:val="Table Grid83"/>
    <w:basedOn w:val="TableNormal"/>
    <w:next w:val="TableGrid"/>
    <w:uiPriority w:val="59"/>
    <w:rsid w:val="00C5523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semiHidden/>
    <w:unhideWhenUsed/>
    <w:rsid w:val="00C55236"/>
    <w:pPr>
      <w:spacing w:before="60" w:after="40" w:line="260" w:lineRule="atLeast"/>
    </w:pPr>
    <w:rPr>
      <w:rFonts w:ascii="Book Antiqua" w:eastAsia="Times New Roman" w:hAnsi="Book Antiqu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3">
    <w:name w:val="Light Shading33"/>
    <w:basedOn w:val="TableNormal"/>
    <w:next w:val="LightShading"/>
    <w:uiPriority w:val="60"/>
    <w:semiHidden/>
    <w:unhideWhenUsed/>
    <w:rsid w:val="00C55236"/>
    <w:rPr>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23">
    <w:name w:val="Light Shading - Accent 423"/>
    <w:basedOn w:val="TableNormal"/>
    <w:next w:val="LightShading-Accent4"/>
    <w:uiPriority w:val="60"/>
    <w:semiHidden/>
    <w:unhideWhenUsed/>
    <w:rsid w:val="00C55236"/>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33">
    <w:name w:val="Light List - Accent 433"/>
    <w:basedOn w:val="TableNormal"/>
    <w:next w:val="LightList-Accent4"/>
    <w:uiPriority w:val="61"/>
    <w:semiHidden/>
    <w:unhideWhenUsed/>
    <w:rsid w:val="00C55236"/>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33">
    <w:name w:val="Medium Shading 1 - Accent 433"/>
    <w:basedOn w:val="TableNormal"/>
    <w:next w:val="MediumShading1-Accent4"/>
    <w:uiPriority w:val="63"/>
    <w:semiHidden/>
    <w:unhideWhenUsed/>
    <w:rsid w:val="00C55236"/>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Style143">
    <w:name w:val="Style143"/>
    <w:basedOn w:val="TableNormal"/>
    <w:uiPriority w:val="99"/>
    <w:qFormat/>
    <w:rsid w:val="00C55236"/>
    <w:rPr>
      <w:lang w:eastAsia="en-US"/>
    </w:rPr>
    <w:tblPr/>
  </w:style>
  <w:style w:type="table" w:customStyle="1" w:styleId="TR31Table23">
    <w:name w:val="TR31_Table23"/>
    <w:basedOn w:val="TableNormal"/>
    <w:uiPriority w:val="99"/>
    <w:rsid w:val="00C55236"/>
    <w:rPr>
      <w:rFonts w:ascii="Arial" w:hAnsi="Arial"/>
      <w:lang w:eastAsia="en-US"/>
    </w:rPr>
    <w:tblPr>
      <w:tblBorders>
        <w:top w:val="single" w:sz="4" w:space="0" w:color="auto"/>
        <w:bottom w:val="single" w:sz="4" w:space="0" w:color="auto"/>
      </w:tblBorders>
    </w:tblPr>
  </w:style>
  <w:style w:type="table" w:customStyle="1" w:styleId="TableforReports33">
    <w:name w:val="Table for Reports33"/>
    <w:basedOn w:val="TableNormal"/>
    <w:uiPriority w:val="99"/>
    <w:rsid w:val="00C55236"/>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33">
    <w:name w:val="Light Shading - Accent 1133"/>
    <w:basedOn w:val="TableNormal"/>
    <w:uiPriority w:val="60"/>
    <w:rsid w:val="00C55236"/>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723">
    <w:name w:val="Table Grid723"/>
    <w:basedOn w:val="TableNormal"/>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13">
    <w:name w:val="Style1313"/>
    <w:basedOn w:val="TableNormal"/>
    <w:uiPriority w:val="99"/>
    <w:qFormat/>
    <w:rsid w:val="00C55236"/>
    <w:rPr>
      <w:lang w:eastAsia="en-US"/>
    </w:rPr>
    <w:tblPr/>
  </w:style>
  <w:style w:type="table" w:customStyle="1" w:styleId="TableGrid1130">
    <w:name w:val="Table Grid113"/>
    <w:basedOn w:val="TableNormal"/>
    <w:uiPriority w:val="59"/>
    <w:rsid w:val="00C5523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13">
    <w:name w:val="TR31_Table113"/>
    <w:basedOn w:val="TableNormal"/>
    <w:uiPriority w:val="99"/>
    <w:rsid w:val="00C55236"/>
    <w:rPr>
      <w:rFonts w:ascii="Arial" w:hAnsi="Arial"/>
      <w:lang w:eastAsia="en-US"/>
    </w:rPr>
    <w:tblPr>
      <w:tblBorders>
        <w:top w:val="single" w:sz="4" w:space="0" w:color="auto"/>
        <w:bottom w:val="single" w:sz="4" w:space="0" w:color="auto"/>
      </w:tblBorders>
    </w:tblPr>
  </w:style>
  <w:style w:type="table" w:customStyle="1" w:styleId="TableGrid1123">
    <w:name w:val="Table Grid 1123"/>
    <w:basedOn w:val="TableNormal"/>
    <w:rsid w:val="00C55236"/>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23">
    <w:name w:val="Table for Reports123"/>
    <w:basedOn w:val="TableNormal"/>
    <w:uiPriority w:val="99"/>
    <w:rsid w:val="00C55236"/>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23">
    <w:name w:val="Light Shading - Accent 11123"/>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13">
    <w:name w:val="Table Grid7113"/>
    <w:basedOn w:val="TableNormal"/>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23">
    <w:name w:val="Medium Shading 1 - Accent 4123"/>
    <w:basedOn w:val="TableNormal"/>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23">
    <w:name w:val="Light List - Accent 4123"/>
    <w:basedOn w:val="TableNormal"/>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23">
    <w:name w:val="Light Shading123"/>
    <w:basedOn w:val="TableNormal"/>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23">
    <w:name w:val="AIHW Table23"/>
    <w:basedOn w:val="TableNormal"/>
    <w:rsid w:val="00C55236"/>
    <w:pPr>
      <w:tabs>
        <w:tab w:val="left" w:pos="198"/>
      </w:tabs>
      <w:spacing w:before="60" w:after="60" w:line="200" w:lineRule="atLeast"/>
      <w:jc w:val="right"/>
    </w:pPr>
    <w:rPr>
      <w:rFonts w:ascii="Arial" w:eastAsia="Times New Roman" w:hAnsi="Arial"/>
      <w:color w:val="000000"/>
      <w:sz w:val="16"/>
      <w:szCs w:val="22"/>
      <w:lang w:eastAsia="en-US"/>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5130">
    <w:name w:val="Table Grid513"/>
    <w:basedOn w:val="TableNormal"/>
    <w:uiPriority w:val="39"/>
    <w:rsid w:val="00C5523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53">
    <w:name w:val="Style153"/>
    <w:basedOn w:val="TableNormal"/>
    <w:uiPriority w:val="99"/>
    <w:qFormat/>
    <w:rsid w:val="00C55236"/>
    <w:tblPr/>
  </w:style>
  <w:style w:type="table" w:customStyle="1" w:styleId="TableGrid93">
    <w:name w:val="Table Grid93"/>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33">
    <w:name w:val="TR31_Table33"/>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43">
    <w:name w:val="Table Grid 143"/>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43">
    <w:name w:val="Table for Reports43"/>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43">
    <w:name w:val="Light Shading - Accent 1143"/>
    <w:basedOn w:val="TableNormal"/>
    <w:uiPriority w:val="60"/>
    <w:rsid w:val="00C55236"/>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33">
    <w:name w:val="Table Grid733"/>
    <w:basedOn w:val="TableNormal"/>
    <w:next w:val="TableGrid"/>
    <w:uiPriority w:val="59"/>
    <w:rsid w:val="00C55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43">
    <w:name w:val="Medium Shading 1 - Accent 443"/>
    <w:basedOn w:val="TableNormal"/>
    <w:next w:val="MediumShading1-Accent4"/>
    <w:uiPriority w:val="63"/>
    <w:rsid w:val="00C55236"/>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43">
    <w:name w:val="Light List - Accent 443"/>
    <w:basedOn w:val="TableNormal"/>
    <w:next w:val="LightList-Accent4"/>
    <w:uiPriority w:val="61"/>
    <w:rsid w:val="00C55236"/>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Style1323">
    <w:name w:val="Style1323"/>
    <w:basedOn w:val="TableNormal"/>
    <w:uiPriority w:val="99"/>
    <w:qFormat/>
    <w:rsid w:val="00C55236"/>
    <w:tblPr/>
  </w:style>
  <w:style w:type="table" w:customStyle="1" w:styleId="TableGrid1230">
    <w:name w:val="Table Grid123"/>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23">
    <w:name w:val="TR31_Table123"/>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133">
    <w:name w:val="Table Grid 1133"/>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33">
    <w:name w:val="Table for Reports133"/>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33">
    <w:name w:val="Light Shading - Accent 11133"/>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23">
    <w:name w:val="Table Grid7123"/>
    <w:basedOn w:val="TableNormal"/>
    <w:next w:val="TableGrid"/>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33">
    <w:name w:val="Medium Shading 1 - Accent 4133"/>
    <w:basedOn w:val="TableNormal"/>
    <w:next w:val="MediumShading1-Accent4"/>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33">
    <w:name w:val="Light List - Accent 4133"/>
    <w:basedOn w:val="TableNormal"/>
    <w:next w:val="LightList-Accent4"/>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33">
    <w:name w:val="Light Shading133"/>
    <w:basedOn w:val="TableNormal"/>
    <w:next w:val="LightShading"/>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3">
    <w:name w:val="Light Shading43"/>
    <w:basedOn w:val="TableNormal"/>
    <w:next w:val="LightShading"/>
    <w:uiPriority w:val="60"/>
    <w:rsid w:val="00C552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33">
    <w:name w:val="Light Shading - Accent 433"/>
    <w:basedOn w:val="TableNormal"/>
    <w:next w:val="LightShading-Accent4"/>
    <w:uiPriority w:val="60"/>
    <w:rsid w:val="00C55236"/>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23">
    <w:name w:val="Table Simple 123"/>
    <w:basedOn w:val="TableNormal"/>
    <w:next w:val="TableSimple1"/>
    <w:semiHidden/>
    <w:unhideWhenUsed/>
    <w:rsid w:val="00C55236"/>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3">
    <w:name w:val="Table Simple 223"/>
    <w:basedOn w:val="TableNormal"/>
    <w:next w:val="TableSimple2"/>
    <w:semiHidden/>
    <w:unhideWhenUsed/>
    <w:rsid w:val="00C55236"/>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3">
    <w:name w:val="Table Simple 323"/>
    <w:basedOn w:val="TableNormal"/>
    <w:next w:val="TableSimple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23">
    <w:name w:val="Table Classic 123"/>
    <w:basedOn w:val="TableNormal"/>
    <w:next w:val="TableClassic1"/>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3">
    <w:name w:val="Table Classic 223"/>
    <w:basedOn w:val="TableNormal"/>
    <w:next w:val="TableClassic2"/>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3">
    <w:name w:val="Table Classic 323"/>
    <w:basedOn w:val="TableNormal"/>
    <w:next w:val="TableClassic3"/>
    <w:semiHidden/>
    <w:unhideWhenUsed/>
    <w:rsid w:val="00C55236"/>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3">
    <w:name w:val="Table Classic 423"/>
    <w:basedOn w:val="TableNormal"/>
    <w:next w:val="TableClassic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3">
    <w:name w:val="Table Colorful 123"/>
    <w:basedOn w:val="TableNormal"/>
    <w:next w:val="TableColorful1"/>
    <w:semiHidden/>
    <w:unhideWhenUsed/>
    <w:rsid w:val="00C55236"/>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3">
    <w:name w:val="Table Colorful 223"/>
    <w:basedOn w:val="TableNormal"/>
    <w:next w:val="TableColorful2"/>
    <w:semiHidden/>
    <w:unhideWhenUsed/>
    <w:rsid w:val="00C55236"/>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3">
    <w:name w:val="Table Colorful 323"/>
    <w:basedOn w:val="TableNormal"/>
    <w:next w:val="TableColorful3"/>
    <w:semiHidden/>
    <w:unhideWhenUsed/>
    <w:rsid w:val="00C55236"/>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3">
    <w:name w:val="Table Columns 123"/>
    <w:basedOn w:val="TableNormal"/>
    <w:next w:val="TableColumns1"/>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3">
    <w:name w:val="Table Columns 223"/>
    <w:basedOn w:val="TableNormal"/>
    <w:next w:val="TableColumns2"/>
    <w:semiHidden/>
    <w:unhideWhenUsed/>
    <w:rsid w:val="00C55236"/>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3">
    <w:name w:val="Table Columns 323"/>
    <w:basedOn w:val="TableNormal"/>
    <w:next w:val="TableColumns3"/>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3">
    <w:name w:val="Table Columns 423"/>
    <w:basedOn w:val="TableNormal"/>
    <w:next w:val="TableColumns4"/>
    <w:semiHidden/>
    <w:unhideWhenUsed/>
    <w:rsid w:val="00C55236"/>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3">
    <w:name w:val="Table Columns 523"/>
    <w:basedOn w:val="TableNormal"/>
    <w:next w:val="TableColumns5"/>
    <w:semiHidden/>
    <w:unhideWhenUsed/>
    <w:rsid w:val="00C55236"/>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23">
    <w:name w:val="Table Grid 223"/>
    <w:basedOn w:val="TableNormal"/>
    <w:next w:val="TableGrid2"/>
    <w:semiHidden/>
    <w:unhideWhenUsed/>
    <w:rsid w:val="00C55236"/>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3">
    <w:name w:val="Table Grid 323"/>
    <w:basedOn w:val="TableNormal"/>
    <w:next w:val="TableGrid3"/>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3">
    <w:name w:val="Table Grid 423"/>
    <w:basedOn w:val="TableNormal"/>
    <w:next w:val="TableGrid4"/>
    <w:semiHidden/>
    <w:unhideWhenUsed/>
    <w:rsid w:val="00C55236"/>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3">
    <w:name w:val="Table Grid 523"/>
    <w:basedOn w:val="TableNormal"/>
    <w:next w:val="TableGrid5"/>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3">
    <w:name w:val="Table Grid 623"/>
    <w:basedOn w:val="TableNormal"/>
    <w:next w:val="TableGrid6"/>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30">
    <w:name w:val="Table Grid 723"/>
    <w:basedOn w:val="TableNormal"/>
    <w:next w:val="TableGrid70"/>
    <w:semiHidden/>
    <w:unhideWhenUsed/>
    <w:rsid w:val="00C55236"/>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3">
    <w:name w:val="Table Grid 823"/>
    <w:basedOn w:val="TableNormal"/>
    <w:next w:val="TableGrid8"/>
    <w:semiHidden/>
    <w:unhideWhenUsed/>
    <w:rsid w:val="00C55236"/>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3">
    <w:name w:val="Table List 123"/>
    <w:basedOn w:val="TableNormal"/>
    <w:next w:val="TableList1"/>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3">
    <w:name w:val="Table List 223"/>
    <w:basedOn w:val="TableNormal"/>
    <w:next w:val="TableList2"/>
    <w:semiHidden/>
    <w:unhideWhenUsed/>
    <w:rsid w:val="00C55236"/>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3">
    <w:name w:val="Table List 323"/>
    <w:basedOn w:val="TableNormal"/>
    <w:next w:val="TableList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3">
    <w:name w:val="Table List 423"/>
    <w:basedOn w:val="TableNormal"/>
    <w:next w:val="TableList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3">
    <w:name w:val="Table List 523"/>
    <w:basedOn w:val="TableNormal"/>
    <w:next w:val="TableList5"/>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3">
    <w:name w:val="Table List 623"/>
    <w:basedOn w:val="TableNormal"/>
    <w:next w:val="TableList6"/>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3">
    <w:name w:val="Table List 723"/>
    <w:basedOn w:val="TableNormal"/>
    <w:next w:val="TableList7"/>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3">
    <w:name w:val="Table List 823"/>
    <w:basedOn w:val="TableNormal"/>
    <w:next w:val="TableList8"/>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23">
    <w:name w:val="Table 3D effects 123"/>
    <w:basedOn w:val="TableNormal"/>
    <w:next w:val="Table3Deffects1"/>
    <w:semiHidden/>
    <w:unhideWhenUsed/>
    <w:rsid w:val="00C55236"/>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3">
    <w:name w:val="Table 3D effects 223"/>
    <w:basedOn w:val="TableNormal"/>
    <w:next w:val="Table3Deffects2"/>
    <w:semiHidden/>
    <w:unhideWhenUsed/>
    <w:rsid w:val="00C55236"/>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3">
    <w:name w:val="Table 3D effects 323"/>
    <w:basedOn w:val="TableNormal"/>
    <w:next w:val="Table3Deffects3"/>
    <w:semiHidden/>
    <w:unhideWhenUsed/>
    <w:rsid w:val="00C55236"/>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3">
    <w:name w:val="Table Contemporary23"/>
    <w:basedOn w:val="TableNormal"/>
    <w:next w:val="TableContemporary"/>
    <w:semiHidden/>
    <w:unhideWhenUsed/>
    <w:rsid w:val="00C55236"/>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3">
    <w:name w:val="Table Elegant23"/>
    <w:basedOn w:val="TableNormal"/>
    <w:next w:val="TableElegant"/>
    <w:semiHidden/>
    <w:unhideWhenUsed/>
    <w:rsid w:val="00C55236"/>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23">
    <w:name w:val="Table Subtle 123"/>
    <w:basedOn w:val="TableNormal"/>
    <w:next w:val="TableSubtle1"/>
    <w:semiHidden/>
    <w:unhideWhenUsed/>
    <w:rsid w:val="00C55236"/>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TableNormal"/>
    <w:next w:val="TableSubtle2"/>
    <w:semiHidden/>
    <w:unhideWhenUsed/>
    <w:rsid w:val="00C55236"/>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3">
    <w:name w:val="Table Web 123"/>
    <w:basedOn w:val="TableNormal"/>
    <w:next w:val="TableWeb1"/>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3">
    <w:name w:val="Table Web 223"/>
    <w:basedOn w:val="TableNormal"/>
    <w:next w:val="TableWeb2"/>
    <w:semiHidden/>
    <w:unhideWhenUsed/>
    <w:rsid w:val="00C55236"/>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3">
    <w:name w:val="Table Web 323"/>
    <w:basedOn w:val="TableNormal"/>
    <w:next w:val="TableWeb3"/>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23">
    <w:name w:val="Table Theme23"/>
    <w:basedOn w:val="TableNormal"/>
    <w:next w:val="TableTheme"/>
    <w:semiHidden/>
    <w:unhideWhenUsed/>
    <w:rsid w:val="00C55236"/>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33">
    <w:name w:val="AIHW Table33"/>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1213">
    <w:name w:val="Table Grid 1213"/>
    <w:basedOn w:val="TableNormal"/>
    <w:next w:val="TableGrid1"/>
    <w:semiHidden/>
    <w:unhideWhenUsed/>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13">
    <w:name w:val="Light Shading213"/>
    <w:basedOn w:val="TableNormal"/>
    <w:next w:val="LightShading"/>
    <w:uiPriority w:val="60"/>
    <w:semiHidden/>
    <w:unhideWhenUsed/>
    <w:rsid w:val="00C55236"/>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13">
    <w:name w:val="Light Shading - Accent 4113"/>
    <w:basedOn w:val="TableNormal"/>
    <w:next w:val="LightShading-Accent4"/>
    <w:uiPriority w:val="60"/>
    <w:semiHidden/>
    <w:unhideWhenUsed/>
    <w:rsid w:val="00C55236"/>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13">
    <w:name w:val="Light List - Accent 4213"/>
    <w:basedOn w:val="TableNormal"/>
    <w:next w:val="LightList-Accent4"/>
    <w:uiPriority w:val="61"/>
    <w:semiHidden/>
    <w:unhideWhenUsed/>
    <w:rsid w:val="00C55236"/>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13">
    <w:name w:val="Medium Shading 1 - Accent 4213"/>
    <w:basedOn w:val="TableNormal"/>
    <w:next w:val="MediumShading1-Accent4"/>
    <w:uiPriority w:val="63"/>
    <w:semiHidden/>
    <w:unhideWhenUsed/>
    <w:rsid w:val="00C55236"/>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13">
    <w:name w:val="Table for Reports213"/>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13">
    <w:name w:val="Light Shading - Accent 11213"/>
    <w:basedOn w:val="TableNormal"/>
    <w:uiPriority w:val="60"/>
    <w:rsid w:val="00C55236"/>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13">
    <w:name w:val="Table Grid 11113"/>
    <w:basedOn w:val="TableNormal"/>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13">
    <w:name w:val="Table for Reports1113"/>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13">
    <w:name w:val="Light Shading - Accent 111113"/>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13">
    <w:name w:val="Medium Shading 1 - Accent 41113"/>
    <w:basedOn w:val="TableNormal"/>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13">
    <w:name w:val="Light List - Accent 41113"/>
    <w:basedOn w:val="TableNormal"/>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13">
    <w:name w:val="Light Shading1113"/>
    <w:basedOn w:val="TableNormal"/>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13">
    <w:name w:val="AIHW Table113"/>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2130">
    <w:name w:val="Table Grid213"/>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0">
    <w:name w:val="Table Grid313"/>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TableNormal"/>
    <w:next w:val="TableGrid"/>
    <w:uiPriority w:val="59"/>
    <w:rsid w:val="00C5523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0">
    <w:name w:val="Table Grid523"/>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0">
    <w:name w:val="Table Grid613"/>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4">
    <w:name w:val="List Table 4 - Accent 314"/>
    <w:basedOn w:val="TableNormal"/>
    <w:uiPriority w:val="49"/>
    <w:rsid w:val="00C5523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3131">
    <w:name w:val="List Table 4 - Accent 3131"/>
    <w:basedOn w:val="TableNormal"/>
    <w:uiPriority w:val="49"/>
    <w:rsid w:val="00C5523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Style161">
    <w:name w:val="Style161"/>
    <w:basedOn w:val="TableNormal"/>
    <w:uiPriority w:val="99"/>
    <w:qFormat/>
    <w:rsid w:val="00C55236"/>
    <w:tblPr/>
  </w:style>
  <w:style w:type="table" w:customStyle="1" w:styleId="TableGrid101">
    <w:name w:val="Table Grid101"/>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41">
    <w:name w:val="TR31_Table41"/>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51">
    <w:name w:val="Table Grid 151"/>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51">
    <w:name w:val="Table for Reports51"/>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51">
    <w:name w:val="Light Shading - Accent 1151"/>
    <w:basedOn w:val="TableNormal"/>
    <w:uiPriority w:val="60"/>
    <w:rsid w:val="00C55236"/>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41">
    <w:name w:val="Table Grid741"/>
    <w:basedOn w:val="TableNormal"/>
    <w:next w:val="TableGrid"/>
    <w:uiPriority w:val="59"/>
    <w:rsid w:val="00C55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51">
    <w:name w:val="Medium Shading 1 - Accent 451"/>
    <w:basedOn w:val="TableNormal"/>
    <w:next w:val="MediumShading1-Accent4"/>
    <w:uiPriority w:val="63"/>
    <w:rsid w:val="00C55236"/>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51">
    <w:name w:val="Light List - Accent 451"/>
    <w:basedOn w:val="TableNormal"/>
    <w:next w:val="LightList-Accent4"/>
    <w:uiPriority w:val="61"/>
    <w:rsid w:val="00C55236"/>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Style1331">
    <w:name w:val="Style1331"/>
    <w:basedOn w:val="TableNormal"/>
    <w:uiPriority w:val="99"/>
    <w:qFormat/>
    <w:rsid w:val="00C55236"/>
    <w:tblPr/>
  </w:style>
  <w:style w:type="table" w:customStyle="1" w:styleId="TableGrid1310">
    <w:name w:val="Table Grid131"/>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31">
    <w:name w:val="TR31_Table131"/>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141">
    <w:name w:val="Table Grid 1141"/>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41">
    <w:name w:val="Table for Reports141"/>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41">
    <w:name w:val="Light Shading - Accent 1114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31">
    <w:name w:val="Table Grid7131"/>
    <w:basedOn w:val="TableNormal"/>
    <w:next w:val="TableGrid"/>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41">
    <w:name w:val="Medium Shading 1 - Accent 4141"/>
    <w:basedOn w:val="TableNormal"/>
    <w:next w:val="MediumShading1-Accent4"/>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41">
    <w:name w:val="Light List - Accent 4141"/>
    <w:basedOn w:val="TableNormal"/>
    <w:next w:val="LightList-Accent4"/>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41">
    <w:name w:val="Light Shading141"/>
    <w:basedOn w:val="TableNormal"/>
    <w:next w:val="LightShading"/>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1">
    <w:name w:val="Light Shading51"/>
    <w:basedOn w:val="TableNormal"/>
    <w:next w:val="LightShading"/>
    <w:uiPriority w:val="60"/>
    <w:rsid w:val="00C552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41">
    <w:name w:val="Light Shading - Accent 441"/>
    <w:basedOn w:val="TableNormal"/>
    <w:next w:val="LightShading-Accent4"/>
    <w:uiPriority w:val="60"/>
    <w:rsid w:val="00C55236"/>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31">
    <w:name w:val="Table Simple 131"/>
    <w:basedOn w:val="TableNormal"/>
    <w:next w:val="TableSimple1"/>
    <w:semiHidden/>
    <w:unhideWhenUsed/>
    <w:rsid w:val="00C55236"/>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1">
    <w:name w:val="Table Simple 231"/>
    <w:basedOn w:val="TableNormal"/>
    <w:next w:val="TableSimple2"/>
    <w:semiHidden/>
    <w:unhideWhenUsed/>
    <w:rsid w:val="00C55236"/>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1">
    <w:name w:val="Table Simple 331"/>
    <w:basedOn w:val="TableNormal"/>
    <w:next w:val="TableSimple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31">
    <w:name w:val="Table Classic 131"/>
    <w:basedOn w:val="TableNormal"/>
    <w:next w:val="TableClassic1"/>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1">
    <w:name w:val="Table Classic 231"/>
    <w:basedOn w:val="TableNormal"/>
    <w:next w:val="TableClassic2"/>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1">
    <w:name w:val="Table Classic 331"/>
    <w:basedOn w:val="TableNormal"/>
    <w:next w:val="TableClassic3"/>
    <w:semiHidden/>
    <w:unhideWhenUsed/>
    <w:rsid w:val="00C55236"/>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1">
    <w:name w:val="Table Classic 431"/>
    <w:basedOn w:val="TableNormal"/>
    <w:next w:val="TableClassic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1">
    <w:name w:val="Table Colorful 131"/>
    <w:basedOn w:val="TableNormal"/>
    <w:next w:val="TableColorful1"/>
    <w:semiHidden/>
    <w:unhideWhenUsed/>
    <w:rsid w:val="00C55236"/>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1">
    <w:name w:val="Table Colorful 231"/>
    <w:basedOn w:val="TableNormal"/>
    <w:next w:val="TableColorful2"/>
    <w:semiHidden/>
    <w:unhideWhenUsed/>
    <w:rsid w:val="00C55236"/>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1">
    <w:name w:val="Table Colorful 331"/>
    <w:basedOn w:val="TableNormal"/>
    <w:next w:val="TableColorful3"/>
    <w:semiHidden/>
    <w:unhideWhenUsed/>
    <w:rsid w:val="00C55236"/>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1">
    <w:name w:val="Table Columns 131"/>
    <w:basedOn w:val="TableNormal"/>
    <w:next w:val="TableColumns1"/>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1">
    <w:name w:val="Table Columns 231"/>
    <w:basedOn w:val="TableNormal"/>
    <w:next w:val="TableColumns2"/>
    <w:semiHidden/>
    <w:unhideWhenUsed/>
    <w:rsid w:val="00C55236"/>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1">
    <w:name w:val="Table Columns 331"/>
    <w:basedOn w:val="TableNormal"/>
    <w:next w:val="TableColumns3"/>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1">
    <w:name w:val="Table Columns 431"/>
    <w:basedOn w:val="TableNormal"/>
    <w:next w:val="TableColumns4"/>
    <w:semiHidden/>
    <w:unhideWhenUsed/>
    <w:rsid w:val="00C55236"/>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1">
    <w:name w:val="Table Columns 531"/>
    <w:basedOn w:val="TableNormal"/>
    <w:next w:val="TableColumns5"/>
    <w:semiHidden/>
    <w:unhideWhenUsed/>
    <w:rsid w:val="00C55236"/>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31">
    <w:name w:val="Table Grid 231"/>
    <w:basedOn w:val="TableNormal"/>
    <w:next w:val="TableGrid2"/>
    <w:semiHidden/>
    <w:unhideWhenUsed/>
    <w:rsid w:val="00C55236"/>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1">
    <w:name w:val="Table Grid 331"/>
    <w:basedOn w:val="TableNormal"/>
    <w:next w:val="TableGrid3"/>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1">
    <w:name w:val="Table Grid 431"/>
    <w:basedOn w:val="TableNormal"/>
    <w:next w:val="TableGrid4"/>
    <w:semiHidden/>
    <w:unhideWhenUsed/>
    <w:rsid w:val="00C55236"/>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1">
    <w:name w:val="Table Grid 531"/>
    <w:basedOn w:val="TableNormal"/>
    <w:next w:val="TableGrid5"/>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1">
    <w:name w:val="Table Grid 631"/>
    <w:basedOn w:val="TableNormal"/>
    <w:next w:val="TableGrid6"/>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10">
    <w:name w:val="Table Grid 731"/>
    <w:basedOn w:val="TableNormal"/>
    <w:next w:val="TableGrid70"/>
    <w:semiHidden/>
    <w:unhideWhenUsed/>
    <w:rsid w:val="00C55236"/>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1">
    <w:name w:val="Table Grid 831"/>
    <w:basedOn w:val="TableNormal"/>
    <w:next w:val="TableGrid8"/>
    <w:semiHidden/>
    <w:unhideWhenUsed/>
    <w:rsid w:val="00C55236"/>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1">
    <w:name w:val="Table List 131"/>
    <w:basedOn w:val="TableNormal"/>
    <w:next w:val="TableList1"/>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1">
    <w:name w:val="Table List 231"/>
    <w:basedOn w:val="TableNormal"/>
    <w:next w:val="TableList2"/>
    <w:semiHidden/>
    <w:unhideWhenUsed/>
    <w:rsid w:val="00C55236"/>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1">
    <w:name w:val="Table List 331"/>
    <w:basedOn w:val="TableNormal"/>
    <w:next w:val="TableList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1">
    <w:name w:val="Table List 431"/>
    <w:basedOn w:val="TableNormal"/>
    <w:next w:val="TableList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1">
    <w:name w:val="Table List 531"/>
    <w:basedOn w:val="TableNormal"/>
    <w:next w:val="TableList5"/>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1">
    <w:name w:val="Table List 631"/>
    <w:basedOn w:val="TableNormal"/>
    <w:next w:val="TableList6"/>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1">
    <w:name w:val="Table List 731"/>
    <w:basedOn w:val="TableNormal"/>
    <w:next w:val="TableList7"/>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1">
    <w:name w:val="Table List 831"/>
    <w:basedOn w:val="TableNormal"/>
    <w:next w:val="TableList8"/>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31">
    <w:name w:val="Table 3D effects 131"/>
    <w:basedOn w:val="TableNormal"/>
    <w:next w:val="Table3Deffects1"/>
    <w:semiHidden/>
    <w:unhideWhenUsed/>
    <w:rsid w:val="00C55236"/>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1">
    <w:name w:val="Table 3D effects 231"/>
    <w:basedOn w:val="TableNormal"/>
    <w:next w:val="Table3Deffects2"/>
    <w:semiHidden/>
    <w:unhideWhenUsed/>
    <w:rsid w:val="00C55236"/>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1">
    <w:name w:val="Table 3D effects 331"/>
    <w:basedOn w:val="TableNormal"/>
    <w:next w:val="Table3Deffects3"/>
    <w:semiHidden/>
    <w:unhideWhenUsed/>
    <w:rsid w:val="00C55236"/>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1">
    <w:name w:val="Table Contemporary31"/>
    <w:basedOn w:val="TableNormal"/>
    <w:next w:val="TableContemporary"/>
    <w:semiHidden/>
    <w:unhideWhenUsed/>
    <w:rsid w:val="00C55236"/>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1">
    <w:name w:val="Table Elegant31"/>
    <w:basedOn w:val="TableNormal"/>
    <w:next w:val="TableElegant"/>
    <w:semiHidden/>
    <w:unhideWhenUsed/>
    <w:rsid w:val="00C55236"/>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31">
    <w:name w:val="Table Subtle 131"/>
    <w:basedOn w:val="TableNormal"/>
    <w:next w:val="TableSubtle1"/>
    <w:semiHidden/>
    <w:unhideWhenUsed/>
    <w:rsid w:val="00C55236"/>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semiHidden/>
    <w:unhideWhenUsed/>
    <w:rsid w:val="00C55236"/>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31">
    <w:name w:val="Table Web 131"/>
    <w:basedOn w:val="TableNormal"/>
    <w:next w:val="TableWeb1"/>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1">
    <w:name w:val="Table Web 231"/>
    <w:basedOn w:val="TableNormal"/>
    <w:next w:val="TableWeb2"/>
    <w:semiHidden/>
    <w:unhideWhenUsed/>
    <w:rsid w:val="00C55236"/>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1">
    <w:name w:val="Table Web 331"/>
    <w:basedOn w:val="TableNormal"/>
    <w:next w:val="TableWeb3"/>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31">
    <w:name w:val="Table Theme31"/>
    <w:basedOn w:val="TableNormal"/>
    <w:next w:val="TableTheme"/>
    <w:semiHidden/>
    <w:unhideWhenUsed/>
    <w:rsid w:val="00C55236"/>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41">
    <w:name w:val="AIHW Table41"/>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1221">
    <w:name w:val="Table Grid 1221"/>
    <w:basedOn w:val="TableNormal"/>
    <w:next w:val="TableGrid1"/>
    <w:semiHidden/>
    <w:unhideWhenUsed/>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21">
    <w:name w:val="Light Shading221"/>
    <w:basedOn w:val="TableNormal"/>
    <w:next w:val="LightShading"/>
    <w:uiPriority w:val="60"/>
    <w:unhideWhenUsed/>
    <w:rsid w:val="00C55236"/>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21">
    <w:name w:val="Light Shading - Accent 4121"/>
    <w:basedOn w:val="TableNormal"/>
    <w:next w:val="LightShading-Accent4"/>
    <w:uiPriority w:val="60"/>
    <w:unhideWhenUsed/>
    <w:rsid w:val="00C55236"/>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21">
    <w:name w:val="Light List - Accent 4221"/>
    <w:basedOn w:val="TableNormal"/>
    <w:next w:val="LightList-Accent4"/>
    <w:uiPriority w:val="61"/>
    <w:semiHidden/>
    <w:unhideWhenUsed/>
    <w:rsid w:val="00C55236"/>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21">
    <w:name w:val="Medium Shading 1 - Accent 4221"/>
    <w:basedOn w:val="TableNormal"/>
    <w:next w:val="MediumShading1-Accent4"/>
    <w:uiPriority w:val="63"/>
    <w:semiHidden/>
    <w:unhideWhenUsed/>
    <w:rsid w:val="00C55236"/>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21">
    <w:name w:val="Table for Reports221"/>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21">
    <w:name w:val="Light Shading - Accent 11221"/>
    <w:basedOn w:val="TableNormal"/>
    <w:uiPriority w:val="60"/>
    <w:rsid w:val="00C55236"/>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21">
    <w:name w:val="Table Grid 11121"/>
    <w:basedOn w:val="TableNormal"/>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21">
    <w:name w:val="Table for Reports1121"/>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21">
    <w:name w:val="Light Shading - Accent 11112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21">
    <w:name w:val="Medium Shading 1 - Accent 41121"/>
    <w:basedOn w:val="TableNormal"/>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21">
    <w:name w:val="Light List - Accent 41121"/>
    <w:basedOn w:val="TableNormal"/>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21">
    <w:name w:val="Light Shading1121"/>
    <w:basedOn w:val="TableNormal"/>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21">
    <w:name w:val="AIHW Table121"/>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2210">
    <w:name w:val="Table Grid221"/>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
    <w:basedOn w:val="TableNormal"/>
    <w:next w:val="TableGrid"/>
    <w:uiPriority w:val="59"/>
    <w:rsid w:val="00C5523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0">
    <w:name w:val="Table Grid531"/>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0">
    <w:name w:val="Table Grid621"/>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1">
    <w:name w:val="Table Simple 2111"/>
    <w:basedOn w:val="TableNormal"/>
    <w:next w:val="TableSimple2"/>
    <w:semiHidden/>
    <w:unhideWhenUsed/>
    <w:rsid w:val="00C55236"/>
    <w:pPr>
      <w:spacing w:before="60" w:after="40" w:line="260" w:lineRule="atLeast"/>
    </w:pPr>
    <w:rPr>
      <w:rFonts w:ascii="Book Antiqua" w:eastAsia="Times New Roman" w:hAnsi="Book Antiqua"/>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1">
    <w:name w:val="Table Simple 3111"/>
    <w:basedOn w:val="TableNormal"/>
    <w:next w:val="TableSimple3"/>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1">
    <w:name w:val="Table Classic 1111"/>
    <w:basedOn w:val="TableNormal"/>
    <w:next w:val="TableClassic1"/>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1">
    <w:name w:val="Table Classic 2111"/>
    <w:basedOn w:val="TableNormal"/>
    <w:next w:val="TableClassic2"/>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1">
    <w:name w:val="Table Classic 3111"/>
    <w:basedOn w:val="TableNormal"/>
    <w:next w:val="TableClassic3"/>
    <w:semiHidden/>
    <w:unhideWhenUsed/>
    <w:rsid w:val="00C55236"/>
    <w:pPr>
      <w:spacing w:before="60" w:after="40" w:line="260" w:lineRule="atLeast"/>
    </w:pPr>
    <w:rPr>
      <w:rFonts w:ascii="Book Antiqua" w:eastAsia="Times New Roman" w:hAnsi="Book Antiqua"/>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1">
    <w:name w:val="Table Classic 4111"/>
    <w:basedOn w:val="TableNormal"/>
    <w:next w:val="TableClassic4"/>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1">
    <w:name w:val="Table Colorful 1111"/>
    <w:basedOn w:val="TableNormal"/>
    <w:next w:val="TableColorful1"/>
    <w:semiHidden/>
    <w:unhideWhenUsed/>
    <w:rsid w:val="00C55236"/>
    <w:pPr>
      <w:spacing w:before="60" w:after="40" w:line="260" w:lineRule="atLeast"/>
    </w:pPr>
    <w:rPr>
      <w:rFonts w:ascii="Book Antiqua" w:eastAsia="Times New Roman" w:hAnsi="Book Antiqua"/>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1">
    <w:name w:val="Table Colorful 2111"/>
    <w:basedOn w:val="TableNormal"/>
    <w:next w:val="TableColorful2"/>
    <w:semiHidden/>
    <w:unhideWhenUsed/>
    <w:rsid w:val="00C55236"/>
    <w:pPr>
      <w:spacing w:before="60" w:after="40" w:line="260" w:lineRule="atLeast"/>
    </w:pPr>
    <w:rPr>
      <w:rFonts w:ascii="Book Antiqua" w:eastAsia="Times New Roman" w:hAnsi="Book Antiqua"/>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1">
    <w:name w:val="Table Colorful 3111"/>
    <w:basedOn w:val="TableNormal"/>
    <w:next w:val="TableColorful3"/>
    <w:semiHidden/>
    <w:unhideWhenUsed/>
    <w:rsid w:val="00C55236"/>
    <w:pPr>
      <w:spacing w:before="60" w:after="40" w:line="260" w:lineRule="atLeast"/>
    </w:pPr>
    <w:rPr>
      <w:rFonts w:ascii="Book Antiqua" w:eastAsia="Times New Roman" w:hAnsi="Book Antiqua"/>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1">
    <w:name w:val="Table Columns 1111"/>
    <w:basedOn w:val="TableNormal"/>
    <w:next w:val="TableColumns1"/>
    <w:semiHidden/>
    <w:unhideWhenUsed/>
    <w:rsid w:val="00C55236"/>
    <w:pPr>
      <w:spacing w:before="60" w:after="40" w:line="260" w:lineRule="atLeast"/>
    </w:pPr>
    <w:rPr>
      <w:rFonts w:ascii="Book Antiqua" w:eastAsia="Times New Roman" w:hAnsi="Book Antiqua"/>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1">
    <w:name w:val="Table Columns 2111"/>
    <w:basedOn w:val="TableNormal"/>
    <w:next w:val="TableColumns2"/>
    <w:semiHidden/>
    <w:unhideWhenUsed/>
    <w:rsid w:val="00C55236"/>
    <w:pPr>
      <w:spacing w:before="60" w:after="40" w:line="260" w:lineRule="atLeast"/>
    </w:pPr>
    <w:rPr>
      <w:rFonts w:ascii="Book Antiqua" w:eastAsia="Times New Roman" w:hAnsi="Book Antiqua"/>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1">
    <w:name w:val="Table Columns 3111"/>
    <w:basedOn w:val="TableNormal"/>
    <w:next w:val="TableColumns3"/>
    <w:semiHidden/>
    <w:unhideWhenUsed/>
    <w:rsid w:val="00C55236"/>
    <w:pPr>
      <w:spacing w:before="60" w:after="40" w:line="260" w:lineRule="atLeast"/>
    </w:pPr>
    <w:rPr>
      <w:rFonts w:ascii="Book Antiqua" w:eastAsia="Times New Roman" w:hAnsi="Book Antiqua"/>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1">
    <w:name w:val="Table Columns 4111"/>
    <w:basedOn w:val="TableNormal"/>
    <w:next w:val="TableColumns4"/>
    <w:semiHidden/>
    <w:unhideWhenUsed/>
    <w:rsid w:val="00C55236"/>
    <w:pPr>
      <w:spacing w:before="60" w:after="40" w:line="260" w:lineRule="atLeast"/>
    </w:pPr>
    <w:rPr>
      <w:rFonts w:ascii="Book Antiqua" w:eastAsia="Times New Roman" w:hAnsi="Book Antiqua"/>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1">
    <w:name w:val="Table Columns 5111"/>
    <w:basedOn w:val="TableNormal"/>
    <w:next w:val="TableColumns5"/>
    <w:semiHidden/>
    <w:unhideWhenUsed/>
    <w:rsid w:val="00C55236"/>
    <w:pPr>
      <w:spacing w:before="60" w:after="40" w:line="260" w:lineRule="atLeast"/>
    </w:pPr>
    <w:rPr>
      <w:rFonts w:ascii="Book Antiqua" w:eastAsia="Times New Roman" w:hAnsi="Book Antiqua"/>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311">
    <w:name w:val="Table Grid 1311"/>
    <w:basedOn w:val="TableNormal"/>
    <w:next w:val="TableGrid1"/>
    <w:semiHidden/>
    <w:unhideWhenUsed/>
    <w:rsid w:val="00C55236"/>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1">
    <w:name w:val="Table Grid 2111"/>
    <w:basedOn w:val="TableNormal"/>
    <w:next w:val="TableGrid2"/>
    <w:semiHidden/>
    <w:unhideWhenUsed/>
    <w:rsid w:val="00C55236"/>
    <w:pPr>
      <w:spacing w:before="60" w:after="40" w:line="260" w:lineRule="atLeast"/>
    </w:pPr>
    <w:rPr>
      <w:rFonts w:ascii="Book Antiqua" w:eastAsia="Times New Roman" w:hAnsi="Book Antiqua"/>
      <w:sz w:val="22"/>
      <w:szCs w:val="22"/>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1">
    <w:name w:val="Table Grid 3111"/>
    <w:basedOn w:val="TableNormal"/>
    <w:next w:val="TableGrid3"/>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1">
    <w:name w:val="Table Grid 4111"/>
    <w:basedOn w:val="TableNormal"/>
    <w:next w:val="TableGrid4"/>
    <w:semiHidden/>
    <w:unhideWhenUsed/>
    <w:rsid w:val="00C55236"/>
    <w:pPr>
      <w:spacing w:before="60" w:after="40" w:line="260" w:lineRule="atLeast"/>
    </w:pPr>
    <w:rPr>
      <w:rFonts w:ascii="Book Antiqua" w:eastAsia="Times New Roman" w:hAnsi="Book Antiqua"/>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1">
    <w:name w:val="Table Grid 5111"/>
    <w:basedOn w:val="TableNormal"/>
    <w:next w:val="TableGrid5"/>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1">
    <w:name w:val="Table Grid 6111"/>
    <w:basedOn w:val="TableNormal"/>
    <w:next w:val="TableGrid6"/>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10">
    <w:name w:val="Table Grid 7111"/>
    <w:basedOn w:val="TableNormal"/>
    <w:next w:val="TableGrid70"/>
    <w:semiHidden/>
    <w:unhideWhenUsed/>
    <w:rsid w:val="00C55236"/>
    <w:pPr>
      <w:spacing w:before="60" w:after="40" w:line="260" w:lineRule="atLeast"/>
    </w:pPr>
    <w:rPr>
      <w:rFonts w:ascii="Book Antiqua" w:eastAsia="Times New Roman" w:hAnsi="Book Antiqua"/>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1">
    <w:name w:val="Table Grid 8111"/>
    <w:basedOn w:val="TableNormal"/>
    <w:next w:val="TableGrid8"/>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1">
    <w:name w:val="Table List 1111"/>
    <w:basedOn w:val="TableNormal"/>
    <w:next w:val="TableList1"/>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1">
    <w:name w:val="Table List 2111"/>
    <w:basedOn w:val="TableNormal"/>
    <w:next w:val="TableList2"/>
    <w:semiHidden/>
    <w:unhideWhenUsed/>
    <w:rsid w:val="00C55236"/>
    <w:pPr>
      <w:spacing w:before="60" w:after="40" w:line="260" w:lineRule="atLeast"/>
    </w:pPr>
    <w:rPr>
      <w:rFonts w:ascii="Book Antiqua" w:eastAsia="Times New Roman" w:hAnsi="Book Antiqua"/>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1">
    <w:name w:val="Table List 3111"/>
    <w:basedOn w:val="TableNormal"/>
    <w:next w:val="TableList3"/>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1">
    <w:name w:val="Table List 4111"/>
    <w:basedOn w:val="TableNormal"/>
    <w:next w:val="TableList4"/>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1">
    <w:name w:val="Table List 5111"/>
    <w:basedOn w:val="TableNormal"/>
    <w:next w:val="TableList5"/>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1">
    <w:name w:val="Table List 6111"/>
    <w:basedOn w:val="TableNormal"/>
    <w:next w:val="TableList6"/>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1">
    <w:name w:val="Table List 7111"/>
    <w:basedOn w:val="TableNormal"/>
    <w:next w:val="TableList7"/>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1">
    <w:name w:val="Table List 8111"/>
    <w:basedOn w:val="TableNormal"/>
    <w:next w:val="TableList8"/>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1">
    <w:name w:val="Table 3D effects 1111"/>
    <w:basedOn w:val="TableNormal"/>
    <w:next w:val="Table3Deffects1"/>
    <w:semiHidden/>
    <w:unhideWhenUsed/>
    <w:rsid w:val="00C55236"/>
    <w:pPr>
      <w:spacing w:before="60" w:after="40" w:line="260" w:lineRule="atLeast"/>
    </w:pPr>
    <w:rPr>
      <w:rFonts w:ascii="Book Antiqua" w:eastAsia="Times New Roman" w:hAnsi="Book Antiqua"/>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1">
    <w:name w:val="Table 3D effects 2111"/>
    <w:basedOn w:val="TableNormal"/>
    <w:next w:val="Table3Deffects2"/>
    <w:semiHidden/>
    <w:unhideWhenUsed/>
    <w:rsid w:val="00C55236"/>
    <w:pPr>
      <w:spacing w:before="60" w:after="40" w:line="260" w:lineRule="atLeast"/>
    </w:pPr>
    <w:rPr>
      <w:rFonts w:ascii="Book Antiqua" w:eastAsia="Times New Roman" w:hAnsi="Book Antiqua"/>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1">
    <w:name w:val="Table 3D effects 3111"/>
    <w:basedOn w:val="TableNormal"/>
    <w:next w:val="Table3Deffects3"/>
    <w:semiHidden/>
    <w:unhideWhenUsed/>
    <w:rsid w:val="00C55236"/>
    <w:pPr>
      <w:spacing w:before="60" w:after="40" w:line="260" w:lineRule="atLeast"/>
    </w:pPr>
    <w:rPr>
      <w:rFonts w:ascii="Book Antiqua" w:eastAsia="Times New Roman" w:hAnsi="Book Antiqua"/>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1">
    <w:name w:val="Table Contemporary111"/>
    <w:basedOn w:val="TableNormal"/>
    <w:next w:val="TableContemporary"/>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1">
    <w:name w:val="Table Elegant111"/>
    <w:basedOn w:val="TableNormal"/>
    <w:next w:val="TableElegant"/>
    <w:semiHidden/>
    <w:unhideWhenUsed/>
    <w:rsid w:val="00C55236"/>
    <w:pPr>
      <w:spacing w:before="60" w:after="40" w:line="260" w:lineRule="atLeast"/>
    </w:pPr>
    <w:rPr>
      <w:rFonts w:ascii="Book Antiqua" w:eastAsia="Times New Roman" w:hAnsi="Book Antiqua"/>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111">
    <w:name w:val="Table Subtle 1111"/>
    <w:basedOn w:val="TableNormal"/>
    <w:next w:val="TableSubtle1"/>
    <w:semiHidden/>
    <w:unhideWhenUsed/>
    <w:rsid w:val="00C55236"/>
    <w:pPr>
      <w:spacing w:before="60" w:after="40" w:line="260" w:lineRule="atLeast"/>
    </w:pPr>
    <w:rPr>
      <w:rFonts w:ascii="Book Antiqua" w:eastAsia="Times New Roman" w:hAnsi="Book Antiqua"/>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TableNormal"/>
    <w:next w:val="TableSubtle2"/>
    <w:semiHidden/>
    <w:unhideWhenUsed/>
    <w:rsid w:val="00C55236"/>
    <w:pPr>
      <w:spacing w:before="60" w:after="40" w:line="260" w:lineRule="atLeast"/>
    </w:pPr>
    <w:rPr>
      <w:rFonts w:ascii="Book Antiqua" w:eastAsia="Times New Roman" w:hAnsi="Book Antiqua"/>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11">
    <w:name w:val="Table Web 1111"/>
    <w:basedOn w:val="TableNormal"/>
    <w:next w:val="TableWeb1"/>
    <w:semiHidden/>
    <w:unhideWhenUsed/>
    <w:rsid w:val="00C55236"/>
    <w:pPr>
      <w:spacing w:before="60" w:after="40" w:line="260" w:lineRule="atLeast"/>
    </w:pPr>
    <w:rPr>
      <w:rFonts w:ascii="Book Antiqua" w:eastAsia="Times New Roman" w:hAnsi="Book Antiqua"/>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1">
    <w:name w:val="Table Web 2111"/>
    <w:basedOn w:val="TableNormal"/>
    <w:next w:val="TableWeb2"/>
    <w:semiHidden/>
    <w:unhideWhenUsed/>
    <w:rsid w:val="00C55236"/>
    <w:pPr>
      <w:spacing w:before="60" w:after="40" w:line="260" w:lineRule="atLeast"/>
    </w:pPr>
    <w:rPr>
      <w:rFonts w:ascii="Book Antiqua" w:eastAsia="Times New Roman" w:hAnsi="Book Antiqua"/>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1">
    <w:name w:val="Table Web 3111"/>
    <w:basedOn w:val="TableNormal"/>
    <w:next w:val="TableWeb3"/>
    <w:semiHidden/>
    <w:unhideWhenUsed/>
    <w:rsid w:val="00C55236"/>
    <w:pPr>
      <w:spacing w:before="60" w:after="40" w:line="260" w:lineRule="atLeast"/>
    </w:pPr>
    <w:rPr>
      <w:rFonts w:ascii="Book Antiqua" w:eastAsia="Times New Roman" w:hAnsi="Book Antiqua"/>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8110">
    <w:name w:val="Table Grid811"/>
    <w:basedOn w:val="TableNormal"/>
    <w:next w:val="TableGrid"/>
    <w:uiPriority w:val="59"/>
    <w:rsid w:val="00C5523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1">
    <w:name w:val="Table Theme111"/>
    <w:basedOn w:val="TableNormal"/>
    <w:next w:val="TableTheme"/>
    <w:semiHidden/>
    <w:unhideWhenUsed/>
    <w:rsid w:val="00C55236"/>
    <w:pPr>
      <w:spacing w:before="60" w:after="40" w:line="260" w:lineRule="atLeast"/>
    </w:pPr>
    <w:rPr>
      <w:rFonts w:ascii="Book Antiqua" w:eastAsia="Times New Roman" w:hAnsi="Book Antiqu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11">
    <w:name w:val="Light Shading311"/>
    <w:basedOn w:val="TableNormal"/>
    <w:next w:val="LightShading"/>
    <w:uiPriority w:val="60"/>
    <w:semiHidden/>
    <w:unhideWhenUsed/>
    <w:rsid w:val="00C55236"/>
    <w:rPr>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211">
    <w:name w:val="Light Shading - Accent 4211"/>
    <w:basedOn w:val="TableNormal"/>
    <w:next w:val="LightShading-Accent4"/>
    <w:uiPriority w:val="60"/>
    <w:semiHidden/>
    <w:unhideWhenUsed/>
    <w:rsid w:val="00C55236"/>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311">
    <w:name w:val="Light List - Accent 4311"/>
    <w:basedOn w:val="TableNormal"/>
    <w:next w:val="LightList-Accent4"/>
    <w:uiPriority w:val="61"/>
    <w:semiHidden/>
    <w:unhideWhenUsed/>
    <w:rsid w:val="00C55236"/>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311">
    <w:name w:val="Medium Shading 1 - Accent 4311"/>
    <w:basedOn w:val="TableNormal"/>
    <w:next w:val="MediumShading1-Accent4"/>
    <w:uiPriority w:val="63"/>
    <w:semiHidden/>
    <w:unhideWhenUsed/>
    <w:rsid w:val="00C55236"/>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Style1411">
    <w:name w:val="Style1411"/>
    <w:basedOn w:val="TableNormal"/>
    <w:uiPriority w:val="99"/>
    <w:qFormat/>
    <w:rsid w:val="00C55236"/>
    <w:rPr>
      <w:lang w:eastAsia="en-US"/>
    </w:rPr>
    <w:tblPr/>
  </w:style>
  <w:style w:type="table" w:customStyle="1" w:styleId="TR31Table211">
    <w:name w:val="TR31_Table211"/>
    <w:basedOn w:val="TableNormal"/>
    <w:uiPriority w:val="99"/>
    <w:rsid w:val="00C55236"/>
    <w:rPr>
      <w:rFonts w:ascii="Arial" w:hAnsi="Arial"/>
      <w:lang w:eastAsia="en-US"/>
    </w:rPr>
    <w:tblPr>
      <w:tblBorders>
        <w:top w:val="single" w:sz="4" w:space="0" w:color="auto"/>
        <w:bottom w:val="single" w:sz="4" w:space="0" w:color="auto"/>
      </w:tblBorders>
    </w:tblPr>
  </w:style>
  <w:style w:type="table" w:customStyle="1" w:styleId="TableforReports311">
    <w:name w:val="Table for Reports311"/>
    <w:basedOn w:val="TableNormal"/>
    <w:uiPriority w:val="99"/>
    <w:rsid w:val="00C55236"/>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311">
    <w:name w:val="Light Shading - Accent 11311"/>
    <w:basedOn w:val="TableNormal"/>
    <w:uiPriority w:val="60"/>
    <w:rsid w:val="00C55236"/>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7211">
    <w:name w:val="Table Grid7211"/>
    <w:basedOn w:val="TableNormal"/>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111">
    <w:name w:val="Style13111"/>
    <w:basedOn w:val="TableNormal"/>
    <w:uiPriority w:val="99"/>
    <w:qFormat/>
    <w:rsid w:val="00C55236"/>
    <w:rPr>
      <w:lang w:eastAsia="en-US"/>
    </w:rPr>
    <w:tblPr/>
  </w:style>
  <w:style w:type="table" w:customStyle="1" w:styleId="TableGrid11110">
    <w:name w:val="Table Grid1111"/>
    <w:basedOn w:val="TableNormal"/>
    <w:uiPriority w:val="59"/>
    <w:rsid w:val="00C5523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111">
    <w:name w:val="TR31_Table1111"/>
    <w:basedOn w:val="TableNormal"/>
    <w:uiPriority w:val="99"/>
    <w:rsid w:val="00C55236"/>
    <w:rPr>
      <w:rFonts w:ascii="Arial" w:hAnsi="Arial"/>
      <w:lang w:eastAsia="en-US"/>
    </w:rPr>
    <w:tblPr>
      <w:tblBorders>
        <w:top w:val="single" w:sz="4" w:space="0" w:color="auto"/>
        <w:bottom w:val="single" w:sz="4" w:space="0" w:color="auto"/>
      </w:tblBorders>
    </w:tblPr>
  </w:style>
  <w:style w:type="table" w:customStyle="1" w:styleId="TableGrid11211">
    <w:name w:val="Table Grid 11211"/>
    <w:basedOn w:val="TableNormal"/>
    <w:rsid w:val="00C55236"/>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211">
    <w:name w:val="Table for Reports1211"/>
    <w:basedOn w:val="TableNormal"/>
    <w:uiPriority w:val="99"/>
    <w:rsid w:val="00C55236"/>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211">
    <w:name w:val="Light Shading - Accent 11121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111">
    <w:name w:val="Table Grid71111"/>
    <w:basedOn w:val="TableNormal"/>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211">
    <w:name w:val="Medium Shading 1 - Accent 41211"/>
    <w:basedOn w:val="TableNormal"/>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211">
    <w:name w:val="Light List - Accent 41211"/>
    <w:basedOn w:val="TableNormal"/>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211">
    <w:name w:val="Light Shading1211"/>
    <w:basedOn w:val="TableNormal"/>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211">
    <w:name w:val="AIHW Table211"/>
    <w:basedOn w:val="TableNormal"/>
    <w:rsid w:val="00C55236"/>
    <w:pPr>
      <w:tabs>
        <w:tab w:val="left" w:pos="198"/>
      </w:tabs>
      <w:spacing w:before="60" w:after="60" w:line="200" w:lineRule="atLeast"/>
      <w:jc w:val="right"/>
    </w:pPr>
    <w:rPr>
      <w:rFonts w:ascii="Arial" w:eastAsia="Times New Roman" w:hAnsi="Arial"/>
      <w:color w:val="000000"/>
      <w:sz w:val="16"/>
      <w:szCs w:val="22"/>
      <w:lang w:eastAsia="en-US"/>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51110">
    <w:name w:val="Table Grid5111"/>
    <w:basedOn w:val="TableNormal"/>
    <w:uiPriority w:val="39"/>
    <w:rsid w:val="00C5523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511">
    <w:name w:val="Style1511"/>
    <w:basedOn w:val="TableNormal"/>
    <w:uiPriority w:val="99"/>
    <w:qFormat/>
    <w:rsid w:val="00C55236"/>
    <w:tblPr/>
  </w:style>
  <w:style w:type="table" w:customStyle="1" w:styleId="TableGrid911">
    <w:name w:val="Table Grid911"/>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311">
    <w:name w:val="TR31_Table311"/>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411">
    <w:name w:val="Table Grid 1411"/>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411">
    <w:name w:val="Table for Reports411"/>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411">
    <w:name w:val="Light Shading - Accent 11411"/>
    <w:basedOn w:val="TableNormal"/>
    <w:uiPriority w:val="60"/>
    <w:rsid w:val="00C55236"/>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311">
    <w:name w:val="Table Grid7311"/>
    <w:basedOn w:val="TableNormal"/>
    <w:next w:val="TableGrid"/>
    <w:uiPriority w:val="59"/>
    <w:rsid w:val="00C55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411">
    <w:name w:val="Medium Shading 1 - Accent 4411"/>
    <w:basedOn w:val="TableNormal"/>
    <w:next w:val="MediumShading1-Accent4"/>
    <w:uiPriority w:val="63"/>
    <w:rsid w:val="00C55236"/>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411">
    <w:name w:val="Light List - Accent 4411"/>
    <w:basedOn w:val="TableNormal"/>
    <w:next w:val="LightList-Accent4"/>
    <w:uiPriority w:val="61"/>
    <w:rsid w:val="00C55236"/>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Style13211">
    <w:name w:val="Style13211"/>
    <w:basedOn w:val="TableNormal"/>
    <w:uiPriority w:val="99"/>
    <w:qFormat/>
    <w:rsid w:val="00C55236"/>
    <w:tblPr/>
  </w:style>
  <w:style w:type="table" w:customStyle="1" w:styleId="TableGrid12110">
    <w:name w:val="Table Grid1211"/>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211">
    <w:name w:val="TR31_Table1211"/>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1311">
    <w:name w:val="Table Grid 11311"/>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311">
    <w:name w:val="Table for Reports1311"/>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311">
    <w:name w:val="Light Shading - Accent 11131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211">
    <w:name w:val="Table Grid71211"/>
    <w:basedOn w:val="TableNormal"/>
    <w:next w:val="TableGrid"/>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311">
    <w:name w:val="Medium Shading 1 - Accent 41311"/>
    <w:basedOn w:val="TableNormal"/>
    <w:next w:val="MediumShading1-Accent4"/>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311">
    <w:name w:val="Light List - Accent 41311"/>
    <w:basedOn w:val="TableNormal"/>
    <w:next w:val="LightList-Accent4"/>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311">
    <w:name w:val="Light Shading1311"/>
    <w:basedOn w:val="TableNormal"/>
    <w:next w:val="LightShading"/>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11">
    <w:name w:val="Light Shading411"/>
    <w:basedOn w:val="TableNormal"/>
    <w:next w:val="LightShading"/>
    <w:uiPriority w:val="60"/>
    <w:rsid w:val="00C552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311">
    <w:name w:val="Light Shading - Accent 4311"/>
    <w:basedOn w:val="TableNormal"/>
    <w:next w:val="LightShading-Accent4"/>
    <w:uiPriority w:val="60"/>
    <w:rsid w:val="00C55236"/>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211">
    <w:name w:val="Table Simple 1211"/>
    <w:basedOn w:val="TableNormal"/>
    <w:next w:val="TableSimple1"/>
    <w:semiHidden/>
    <w:unhideWhenUsed/>
    <w:rsid w:val="00C55236"/>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1">
    <w:name w:val="Table Simple 2211"/>
    <w:basedOn w:val="TableNormal"/>
    <w:next w:val="TableSimple2"/>
    <w:semiHidden/>
    <w:unhideWhenUsed/>
    <w:rsid w:val="00C55236"/>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1">
    <w:name w:val="Table Simple 3211"/>
    <w:basedOn w:val="TableNormal"/>
    <w:next w:val="TableSimple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211">
    <w:name w:val="Table Classic 1211"/>
    <w:basedOn w:val="TableNormal"/>
    <w:next w:val="TableClassic1"/>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1">
    <w:name w:val="Table Classic 2211"/>
    <w:basedOn w:val="TableNormal"/>
    <w:next w:val="TableClassic2"/>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1">
    <w:name w:val="Table Classic 3211"/>
    <w:basedOn w:val="TableNormal"/>
    <w:next w:val="TableClassic3"/>
    <w:semiHidden/>
    <w:unhideWhenUsed/>
    <w:rsid w:val="00C55236"/>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1">
    <w:name w:val="Table Classic 4211"/>
    <w:basedOn w:val="TableNormal"/>
    <w:next w:val="TableClassic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1">
    <w:name w:val="Table Colorful 1211"/>
    <w:basedOn w:val="TableNormal"/>
    <w:next w:val="TableColorful1"/>
    <w:semiHidden/>
    <w:unhideWhenUsed/>
    <w:rsid w:val="00C55236"/>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1">
    <w:name w:val="Table Colorful 2211"/>
    <w:basedOn w:val="TableNormal"/>
    <w:next w:val="TableColorful2"/>
    <w:semiHidden/>
    <w:unhideWhenUsed/>
    <w:rsid w:val="00C55236"/>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1">
    <w:name w:val="Table Colorful 3211"/>
    <w:basedOn w:val="TableNormal"/>
    <w:next w:val="TableColorful3"/>
    <w:semiHidden/>
    <w:unhideWhenUsed/>
    <w:rsid w:val="00C55236"/>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1">
    <w:name w:val="Table Columns 1211"/>
    <w:basedOn w:val="TableNormal"/>
    <w:next w:val="TableColumns1"/>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1">
    <w:name w:val="Table Columns 2211"/>
    <w:basedOn w:val="TableNormal"/>
    <w:next w:val="TableColumns2"/>
    <w:semiHidden/>
    <w:unhideWhenUsed/>
    <w:rsid w:val="00C55236"/>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1">
    <w:name w:val="Table Columns 3211"/>
    <w:basedOn w:val="TableNormal"/>
    <w:next w:val="TableColumns3"/>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1">
    <w:name w:val="Table Columns 4211"/>
    <w:basedOn w:val="TableNormal"/>
    <w:next w:val="TableColumns4"/>
    <w:semiHidden/>
    <w:unhideWhenUsed/>
    <w:rsid w:val="00C55236"/>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1">
    <w:name w:val="Table Columns 5211"/>
    <w:basedOn w:val="TableNormal"/>
    <w:next w:val="TableColumns5"/>
    <w:semiHidden/>
    <w:unhideWhenUsed/>
    <w:rsid w:val="00C55236"/>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211">
    <w:name w:val="Table Grid 2211"/>
    <w:basedOn w:val="TableNormal"/>
    <w:next w:val="TableGrid2"/>
    <w:semiHidden/>
    <w:unhideWhenUsed/>
    <w:rsid w:val="00C55236"/>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1">
    <w:name w:val="Table Grid 3211"/>
    <w:basedOn w:val="TableNormal"/>
    <w:next w:val="TableGrid3"/>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1">
    <w:name w:val="Table Grid 4211"/>
    <w:basedOn w:val="TableNormal"/>
    <w:next w:val="TableGrid4"/>
    <w:semiHidden/>
    <w:unhideWhenUsed/>
    <w:rsid w:val="00C55236"/>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1">
    <w:name w:val="Table Grid 5211"/>
    <w:basedOn w:val="TableNormal"/>
    <w:next w:val="TableGrid5"/>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1">
    <w:name w:val="Table Grid 6211"/>
    <w:basedOn w:val="TableNormal"/>
    <w:next w:val="TableGrid6"/>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10">
    <w:name w:val="Table Grid 7211"/>
    <w:basedOn w:val="TableNormal"/>
    <w:next w:val="TableGrid70"/>
    <w:semiHidden/>
    <w:unhideWhenUsed/>
    <w:rsid w:val="00C55236"/>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1">
    <w:name w:val="Table Grid 8211"/>
    <w:basedOn w:val="TableNormal"/>
    <w:next w:val="TableGrid8"/>
    <w:semiHidden/>
    <w:unhideWhenUsed/>
    <w:rsid w:val="00C55236"/>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1">
    <w:name w:val="Table List 1211"/>
    <w:basedOn w:val="TableNormal"/>
    <w:next w:val="TableList1"/>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1">
    <w:name w:val="Table List 2211"/>
    <w:basedOn w:val="TableNormal"/>
    <w:next w:val="TableList2"/>
    <w:semiHidden/>
    <w:unhideWhenUsed/>
    <w:rsid w:val="00C55236"/>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1">
    <w:name w:val="Table List 3211"/>
    <w:basedOn w:val="TableNormal"/>
    <w:next w:val="TableList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1">
    <w:name w:val="Table List 4211"/>
    <w:basedOn w:val="TableNormal"/>
    <w:next w:val="TableList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1">
    <w:name w:val="Table List 5211"/>
    <w:basedOn w:val="TableNormal"/>
    <w:next w:val="TableList5"/>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1">
    <w:name w:val="Table List 6211"/>
    <w:basedOn w:val="TableNormal"/>
    <w:next w:val="TableList6"/>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1">
    <w:name w:val="Table List 7211"/>
    <w:basedOn w:val="TableNormal"/>
    <w:next w:val="TableList7"/>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1">
    <w:name w:val="Table List 8211"/>
    <w:basedOn w:val="TableNormal"/>
    <w:next w:val="TableList8"/>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211">
    <w:name w:val="Table 3D effects 1211"/>
    <w:basedOn w:val="TableNormal"/>
    <w:next w:val="Table3Deffects1"/>
    <w:semiHidden/>
    <w:unhideWhenUsed/>
    <w:rsid w:val="00C55236"/>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1">
    <w:name w:val="Table 3D effects 2211"/>
    <w:basedOn w:val="TableNormal"/>
    <w:next w:val="Table3Deffects2"/>
    <w:semiHidden/>
    <w:unhideWhenUsed/>
    <w:rsid w:val="00C55236"/>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1">
    <w:name w:val="Table 3D effects 3211"/>
    <w:basedOn w:val="TableNormal"/>
    <w:next w:val="Table3Deffects3"/>
    <w:semiHidden/>
    <w:unhideWhenUsed/>
    <w:rsid w:val="00C55236"/>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11">
    <w:name w:val="Table Contemporary211"/>
    <w:basedOn w:val="TableNormal"/>
    <w:next w:val="TableContemporary"/>
    <w:semiHidden/>
    <w:unhideWhenUsed/>
    <w:rsid w:val="00C55236"/>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1">
    <w:name w:val="Table Elegant211"/>
    <w:basedOn w:val="TableNormal"/>
    <w:next w:val="TableElegant"/>
    <w:semiHidden/>
    <w:unhideWhenUsed/>
    <w:rsid w:val="00C55236"/>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211">
    <w:name w:val="Table Subtle 1211"/>
    <w:basedOn w:val="TableNormal"/>
    <w:next w:val="TableSubtle1"/>
    <w:semiHidden/>
    <w:unhideWhenUsed/>
    <w:rsid w:val="00C55236"/>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TableNormal"/>
    <w:next w:val="TableSubtle2"/>
    <w:semiHidden/>
    <w:unhideWhenUsed/>
    <w:rsid w:val="00C55236"/>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11">
    <w:name w:val="Table Web 1211"/>
    <w:basedOn w:val="TableNormal"/>
    <w:next w:val="TableWeb1"/>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1">
    <w:name w:val="Table Web 2211"/>
    <w:basedOn w:val="TableNormal"/>
    <w:next w:val="TableWeb2"/>
    <w:semiHidden/>
    <w:unhideWhenUsed/>
    <w:rsid w:val="00C55236"/>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1">
    <w:name w:val="Table Web 3211"/>
    <w:basedOn w:val="TableNormal"/>
    <w:next w:val="TableWeb3"/>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211">
    <w:name w:val="Table Theme211"/>
    <w:basedOn w:val="TableNormal"/>
    <w:next w:val="TableTheme"/>
    <w:semiHidden/>
    <w:unhideWhenUsed/>
    <w:rsid w:val="00C55236"/>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311">
    <w:name w:val="AIHW Table311"/>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12111">
    <w:name w:val="Table Grid 12111"/>
    <w:basedOn w:val="TableNormal"/>
    <w:next w:val="TableGrid1"/>
    <w:semiHidden/>
    <w:unhideWhenUsed/>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111">
    <w:name w:val="Light Shading2111"/>
    <w:basedOn w:val="TableNormal"/>
    <w:next w:val="LightShading"/>
    <w:uiPriority w:val="60"/>
    <w:semiHidden/>
    <w:unhideWhenUsed/>
    <w:rsid w:val="00C55236"/>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111">
    <w:name w:val="Light Shading - Accent 41111"/>
    <w:basedOn w:val="TableNormal"/>
    <w:next w:val="LightShading-Accent4"/>
    <w:uiPriority w:val="60"/>
    <w:semiHidden/>
    <w:unhideWhenUsed/>
    <w:rsid w:val="00C55236"/>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111">
    <w:name w:val="Light List - Accent 42111"/>
    <w:basedOn w:val="TableNormal"/>
    <w:next w:val="LightList-Accent4"/>
    <w:uiPriority w:val="61"/>
    <w:semiHidden/>
    <w:unhideWhenUsed/>
    <w:rsid w:val="00C55236"/>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111">
    <w:name w:val="Medium Shading 1 - Accent 42111"/>
    <w:basedOn w:val="TableNormal"/>
    <w:next w:val="MediumShading1-Accent4"/>
    <w:uiPriority w:val="63"/>
    <w:semiHidden/>
    <w:unhideWhenUsed/>
    <w:rsid w:val="00C55236"/>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111">
    <w:name w:val="Table for Reports2111"/>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111">
    <w:name w:val="Light Shading - Accent 112111"/>
    <w:basedOn w:val="TableNormal"/>
    <w:uiPriority w:val="60"/>
    <w:rsid w:val="00C55236"/>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111">
    <w:name w:val="Table Grid 111111"/>
    <w:basedOn w:val="TableNormal"/>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111">
    <w:name w:val="Table for Reports11111"/>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111">
    <w:name w:val="Light Shading - Accent 111111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111">
    <w:name w:val="Medium Shading 1 - Accent 411111"/>
    <w:basedOn w:val="TableNormal"/>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111">
    <w:name w:val="Light List - Accent 411111"/>
    <w:basedOn w:val="TableNormal"/>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111">
    <w:name w:val="Light Shading11111"/>
    <w:basedOn w:val="TableNormal"/>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111">
    <w:name w:val="AIHW Table1111"/>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21110">
    <w:name w:val="Table Grid2111"/>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
    <w:basedOn w:val="TableNormal"/>
    <w:next w:val="TableGrid"/>
    <w:uiPriority w:val="59"/>
    <w:rsid w:val="00C5523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0">
    <w:name w:val="Table Grid5211"/>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0">
    <w:name w:val="Table Grid6111"/>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11">
    <w:name w:val="List Table 4 - Accent 3111"/>
    <w:basedOn w:val="TableNormal"/>
    <w:uiPriority w:val="49"/>
    <w:rsid w:val="00C5523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Style1710">
    <w:name w:val="Style171"/>
    <w:basedOn w:val="TableNormal"/>
    <w:uiPriority w:val="99"/>
    <w:qFormat/>
    <w:rsid w:val="00C55236"/>
    <w:tblPr/>
  </w:style>
  <w:style w:type="table" w:customStyle="1" w:styleId="TableGrid1410">
    <w:name w:val="Table Grid141"/>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51">
    <w:name w:val="TR31_Table51"/>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61">
    <w:name w:val="Table Grid 161"/>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61">
    <w:name w:val="Table for Reports61"/>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61">
    <w:name w:val="Light Shading - Accent 1161"/>
    <w:basedOn w:val="TableNormal"/>
    <w:uiPriority w:val="60"/>
    <w:rsid w:val="00C55236"/>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51">
    <w:name w:val="Table Grid751"/>
    <w:basedOn w:val="TableNormal"/>
    <w:next w:val="TableGrid"/>
    <w:uiPriority w:val="59"/>
    <w:rsid w:val="00C55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61">
    <w:name w:val="Medium Shading 1 - Accent 461"/>
    <w:basedOn w:val="TableNormal"/>
    <w:next w:val="MediumShading1-Accent4"/>
    <w:uiPriority w:val="63"/>
    <w:rsid w:val="00C55236"/>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61">
    <w:name w:val="Light List - Accent 461"/>
    <w:basedOn w:val="TableNormal"/>
    <w:next w:val="LightList-Accent4"/>
    <w:uiPriority w:val="61"/>
    <w:rsid w:val="00C55236"/>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Style1341">
    <w:name w:val="Style1341"/>
    <w:basedOn w:val="TableNormal"/>
    <w:uiPriority w:val="99"/>
    <w:qFormat/>
    <w:rsid w:val="00C55236"/>
    <w:tblPr/>
  </w:style>
  <w:style w:type="table" w:customStyle="1" w:styleId="TableGrid1510">
    <w:name w:val="Table Grid151"/>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41">
    <w:name w:val="TR31_Table141"/>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151">
    <w:name w:val="Table Grid 1151"/>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51">
    <w:name w:val="Table for Reports151"/>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51">
    <w:name w:val="Light Shading - Accent 1115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41">
    <w:name w:val="Table Grid7141"/>
    <w:basedOn w:val="TableNormal"/>
    <w:next w:val="TableGrid"/>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51">
    <w:name w:val="Medium Shading 1 - Accent 4151"/>
    <w:basedOn w:val="TableNormal"/>
    <w:next w:val="MediumShading1-Accent4"/>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51">
    <w:name w:val="Light List - Accent 4151"/>
    <w:basedOn w:val="TableNormal"/>
    <w:next w:val="LightList-Accent4"/>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51">
    <w:name w:val="Light Shading151"/>
    <w:basedOn w:val="TableNormal"/>
    <w:next w:val="LightShading"/>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1">
    <w:name w:val="Light Shading61"/>
    <w:basedOn w:val="TableNormal"/>
    <w:next w:val="LightShading"/>
    <w:uiPriority w:val="60"/>
    <w:rsid w:val="00C552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51">
    <w:name w:val="Light Shading - Accent 451"/>
    <w:basedOn w:val="TableNormal"/>
    <w:next w:val="LightShading-Accent4"/>
    <w:uiPriority w:val="60"/>
    <w:rsid w:val="00C55236"/>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41">
    <w:name w:val="Table Simple 141"/>
    <w:basedOn w:val="TableNormal"/>
    <w:next w:val="TableSimple1"/>
    <w:semiHidden/>
    <w:unhideWhenUsed/>
    <w:rsid w:val="00C55236"/>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1">
    <w:name w:val="Table Simple 241"/>
    <w:basedOn w:val="TableNormal"/>
    <w:next w:val="TableSimple2"/>
    <w:semiHidden/>
    <w:unhideWhenUsed/>
    <w:rsid w:val="00C55236"/>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1">
    <w:name w:val="Table Simple 341"/>
    <w:basedOn w:val="TableNormal"/>
    <w:next w:val="TableSimple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41">
    <w:name w:val="Table Classic 141"/>
    <w:basedOn w:val="TableNormal"/>
    <w:next w:val="TableClassic1"/>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1">
    <w:name w:val="Table Classic 241"/>
    <w:basedOn w:val="TableNormal"/>
    <w:next w:val="TableClassic2"/>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1">
    <w:name w:val="Table Classic 341"/>
    <w:basedOn w:val="TableNormal"/>
    <w:next w:val="TableClassic3"/>
    <w:semiHidden/>
    <w:unhideWhenUsed/>
    <w:rsid w:val="00C55236"/>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1">
    <w:name w:val="Table Classic 441"/>
    <w:basedOn w:val="TableNormal"/>
    <w:next w:val="TableClassic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1">
    <w:name w:val="Table Colorful 141"/>
    <w:basedOn w:val="TableNormal"/>
    <w:next w:val="TableColorful1"/>
    <w:semiHidden/>
    <w:unhideWhenUsed/>
    <w:rsid w:val="00C55236"/>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1">
    <w:name w:val="Table Colorful 241"/>
    <w:basedOn w:val="TableNormal"/>
    <w:next w:val="TableColorful2"/>
    <w:semiHidden/>
    <w:unhideWhenUsed/>
    <w:rsid w:val="00C55236"/>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1">
    <w:name w:val="Table Colorful 341"/>
    <w:basedOn w:val="TableNormal"/>
    <w:next w:val="TableColorful3"/>
    <w:semiHidden/>
    <w:unhideWhenUsed/>
    <w:rsid w:val="00C55236"/>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1">
    <w:name w:val="Table Columns 141"/>
    <w:basedOn w:val="TableNormal"/>
    <w:next w:val="TableColumns1"/>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1">
    <w:name w:val="Table Columns 241"/>
    <w:basedOn w:val="TableNormal"/>
    <w:next w:val="TableColumns2"/>
    <w:semiHidden/>
    <w:unhideWhenUsed/>
    <w:rsid w:val="00C55236"/>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1">
    <w:name w:val="Table Columns 341"/>
    <w:basedOn w:val="TableNormal"/>
    <w:next w:val="TableColumns3"/>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1">
    <w:name w:val="Table Columns 441"/>
    <w:basedOn w:val="TableNormal"/>
    <w:next w:val="TableColumns4"/>
    <w:semiHidden/>
    <w:unhideWhenUsed/>
    <w:rsid w:val="00C55236"/>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1">
    <w:name w:val="Table Columns 541"/>
    <w:basedOn w:val="TableNormal"/>
    <w:next w:val="TableColumns5"/>
    <w:semiHidden/>
    <w:unhideWhenUsed/>
    <w:rsid w:val="00C55236"/>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41">
    <w:name w:val="Table Grid 241"/>
    <w:basedOn w:val="TableNormal"/>
    <w:next w:val="TableGrid2"/>
    <w:semiHidden/>
    <w:unhideWhenUsed/>
    <w:rsid w:val="00C55236"/>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1">
    <w:name w:val="Table Grid 341"/>
    <w:basedOn w:val="TableNormal"/>
    <w:next w:val="TableGrid3"/>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1">
    <w:name w:val="Table Grid 441"/>
    <w:basedOn w:val="TableNormal"/>
    <w:next w:val="TableGrid4"/>
    <w:semiHidden/>
    <w:unhideWhenUsed/>
    <w:rsid w:val="00C55236"/>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1">
    <w:name w:val="Table Grid 541"/>
    <w:basedOn w:val="TableNormal"/>
    <w:next w:val="TableGrid5"/>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1">
    <w:name w:val="Table Grid 641"/>
    <w:basedOn w:val="TableNormal"/>
    <w:next w:val="TableGrid6"/>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10">
    <w:name w:val="Table Grid 741"/>
    <w:basedOn w:val="TableNormal"/>
    <w:next w:val="TableGrid70"/>
    <w:semiHidden/>
    <w:unhideWhenUsed/>
    <w:rsid w:val="00C55236"/>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1">
    <w:name w:val="Table Grid 841"/>
    <w:basedOn w:val="TableNormal"/>
    <w:next w:val="TableGrid8"/>
    <w:semiHidden/>
    <w:unhideWhenUsed/>
    <w:rsid w:val="00C55236"/>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1">
    <w:name w:val="Table List 141"/>
    <w:basedOn w:val="TableNormal"/>
    <w:next w:val="TableList1"/>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1">
    <w:name w:val="Table List 241"/>
    <w:basedOn w:val="TableNormal"/>
    <w:next w:val="TableList2"/>
    <w:semiHidden/>
    <w:unhideWhenUsed/>
    <w:rsid w:val="00C55236"/>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1">
    <w:name w:val="Table List 341"/>
    <w:basedOn w:val="TableNormal"/>
    <w:next w:val="TableList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1">
    <w:name w:val="Table List 441"/>
    <w:basedOn w:val="TableNormal"/>
    <w:next w:val="TableList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1">
    <w:name w:val="Table List 541"/>
    <w:basedOn w:val="TableNormal"/>
    <w:next w:val="TableList5"/>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1">
    <w:name w:val="Table List 641"/>
    <w:basedOn w:val="TableNormal"/>
    <w:next w:val="TableList6"/>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1">
    <w:name w:val="Table List 741"/>
    <w:basedOn w:val="TableNormal"/>
    <w:next w:val="TableList7"/>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1">
    <w:name w:val="Table List 841"/>
    <w:basedOn w:val="TableNormal"/>
    <w:next w:val="TableList8"/>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41">
    <w:name w:val="Table 3D effects 141"/>
    <w:basedOn w:val="TableNormal"/>
    <w:next w:val="Table3Deffects1"/>
    <w:semiHidden/>
    <w:unhideWhenUsed/>
    <w:rsid w:val="00C55236"/>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1">
    <w:name w:val="Table 3D effects 241"/>
    <w:basedOn w:val="TableNormal"/>
    <w:next w:val="Table3Deffects2"/>
    <w:semiHidden/>
    <w:unhideWhenUsed/>
    <w:rsid w:val="00C55236"/>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1">
    <w:name w:val="Table 3D effects 341"/>
    <w:basedOn w:val="TableNormal"/>
    <w:next w:val="Table3Deffects3"/>
    <w:semiHidden/>
    <w:unhideWhenUsed/>
    <w:rsid w:val="00C55236"/>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41">
    <w:name w:val="Table Contemporary41"/>
    <w:basedOn w:val="TableNormal"/>
    <w:next w:val="TableContemporary"/>
    <w:semiHidden/>
    <w:unhideWhenUsed/>
    <w:rsid w:val="00C55236"/>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1">
    <w:name w:val="Table Elegant41"/>
    <w:basedOn w:val="TableNormal"/>
    <w:next w:val="TableElegant"/>
    <w:semiHidden/>
    <w:unhideWhenUsed/>
    <w:rsid w:val="00C55236"/>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41">
    <w:name w:val="Table Subtle 141"/>
    <w:basedOn w:val="TableNormal"/>
    <w:next w:val="TableSubtle1"/>
    <w:semiHidden/>
    <w:unhideWhenUsed/>
    <w:rsid w:val="00C55236"/>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1">
    <w:name w:val="Table Subtle 241"/>
    <w:basedOn w:val="TableNormal"/>
    <w:next w:val="TableSubtle2"/>
    <w:semiHidden/>
    <w:unhideWhenUsed/>
    <w:rsid w:val="00C55236"/>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41">
    <w:name w:val="Table Web 141"/>
    <w:basedOn w:val="TableNormal"/>
    <w:next w:val="TableWeb1"/>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1">
    <w:name w:val="Table Web 241"/>
    <w:basedOn w:val="TableNormal"/>
    <w:next w:val="TableWeb2"/>
    <w:semiHidden/>
    <w:unhideWhenUsed/>
    <w:rsid w:val="00C55236"/>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1">
    <w:name w:val="Table Web 341"/>
    <w:basedOn w:val="TableNormal"/>
    <w:next w:val="TableWeb3"/>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41">
    <w:name w:val="Table Theme41"/>
    <w:basedOn w:val="TableNormal"/>
    <w:next w:val="TableTheme"/>
    <w:semiHidden/>
    <w:unhideWhenUsed/>
    <w:rsid w:val="00C55236"/>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51">
    <w:name w:val="AIHW Table51"/>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1231">
    <w:name w:val="Table Grid 1231"/>
    <w:basedOn w:val="TableNormal"/>
    <w:next w:val="TableGrid1"/>
    <w:semiHidden/>
    <w:unhideWhenUsed/>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31">
    <w:name w:val="Light Shading231"/>
    <w:basedOn w:val="TableNormal"/>
    <w:next w:val="LightShading"/>
    <w:uiPriority w:val="60"/>
    <w:unhideWhenUsed/>
    <w:rsid w:val="00C55236"/>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31">
    <w:name w:val="Light Shading - Accent 4131"/>
    <w:basedOn w:val="TableNormal"/>
    <w:next w:val="LightShading-Accent4"/>
    <w:uiPriority w:val="60"/>
    <w:unhideWhenUsed/>
    <w:rsid w:val="00C55236"/>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31">
    <w:name w:val="Light List - Accent 4231"/>
    <w:basedOn w:val="TableNormal"/>
    <w:next w:val="LightList-Accent4"/>
    <w:uiPriority w:val="61"/>
    <w:semiHidden/>
    <w:unhideWhenUsed/>
    <w:rsid w:val="00C55236"/>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31">
    <w:name w:val="Medium Shading 1 - Accent 4231"/>
    <w:basedOn w:val="TableNormal"/>
    <w:next w:val="MediumShading1-Accent4"/>
    <w:uiPriority w:val="63"/>
    <w:semiHidden/>
    <w:unhideWhenUsed/>
    <w:rsid w:val="00C55236"/>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31">
    <w:name w:val="Table for Reports231"/>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31">
    <w:name w:val="Light Shading - Accent 11231"/>
    <w:basedOn w:val="TableNormal"/>
    <w:uiPriority w:val="60"/>
    <w:rsid w:val="00C55236"/>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31">
    <w:name w:val="Table Grid 11131"/>
    <w:basedOn w:val="TableNormal"/>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31">
    <w:name w:val="Table for Reports1131"/>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31">
    <w:name w:val="Light Shading - Accent 11113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31">
    <w:name w:val="Medium Shading 1 - Accent 41131"/>
    <w:basedOn w:val="TableNormal"/>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31">
    <w:name w:val="Light List - Accent 41131"/>
    <w:basedOn w:val="TableNormal"/>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31">
    <w:name w:val="Light Shading1131"/>
    <w:basedOn w:val="TableNormal"/>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31">
    <w:name w:val="AIHW Table131"/>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2310">
    <w:name w:val="Table Grid231"/>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0">
    <w:name w:val="Table Grid431"/>
    <w:basedOn w:val="TableNormal"/>
    <w:next w:val="TableGrid"/>
    <w:uiPriority w:val="59"/>
    <w:rsid w:val="00C5523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0">
    <w:name w:val="Table Grid541"/>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0">
    <w:name w:val="Table Grid631"/>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1">
    <w:name w:val="Table Simple 1121"/>
    <w:basedOn w:val="TableNormal"/>
    <w:next w:val="TableSimple1"/>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1">
    <w:name w:val="Table Simple 2121"/>
    <w:basedOn w:val="TableNormal"/>
    <w:next w:val="TableSimple2"/>
    <w:semiHidden/>
    <w:unhideWhenUsed/>
    <w:rsid w:val="00C55236"/>
    <w:pPr>
      <w:spacing w:before="60" w:after="40" w:line="260" w:lineRule="atLeast"/>
    </w:pPr>
    <w:rPr>
      <w:rFonts w:ascii="Book Antiqua" w:eastAsia="Times New Roman" w:hAnsi="Book Antiqua"/>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1">
    <w:name w:val="Table Simple 3121"/>
    <w:basedOn w:val="TableNormal"/>
    <w:next w:val="TableSimple3"/>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21">
    <w:name w:val="Table Classic 1121"/>
    <w:basedOn w:val="TableNormal"/>
    <w:next w:val="TableClassic1"/>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1">
    <w:name w:val="Table Classic 2121"/>
    <w:basedOn w:val="TableNormal"/>
    <w:next w:val="TableClassic2"/>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1">
    <w:name w:val="Table Classic 3121"/>
    <w:basedOn w:val="TableNormal"/>
    <w:next w:val="TableClassic3"/>
    <w:semiHidden/>
    <w:unhideWhenUsed/>
    <w:rsid w:val="00C55236"/>
    <w:pPr>
      <w:spacing w:before="60" w:after="40" w:line="260" w:lineRule="atLeast"/>
    </w:pPr>
    <w:rPr>
      <w:rFonts w:ascii="Book Antiqua" w:eastAsia="Times New Roman" w:hAnsi="Book Antiqua"/>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1">
    <w:name w:val="Table Classic 4121"/>
    <w:basedOn w:val="TableNormal"/>
    <w:next w:val="TableClassic4"/>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1">
    <w:name w:val="Table Colorful 1121"/>
    <w:basedOn w:val="TableNormal"/>
    <w:next w:val="TableColorful1"/>
    <w:semiHidden/>
    <w:unhideWhenUsed/>
    <w:rsid w:val="00C55236"/>
    <w:pPr>
      <w:spacing w:before="60" w:after="40" w:line="260" w:lineRule="atLeast"/>
    </w:pPr>
    <w:rPr>
      <w:rFonts w:ascii="Book Antiqua" w:eastAsia="Times New Roman" w:hAnsi="Book Antiqua"/>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1">
    <w:name w:val="Table Colorful 2121"/>
    <w:basedOn w:val="TableNormal"/>
    <w:next w:val="TableColorful2"/>
    <w:semiHidden/>
    <w:unhideWhenUsed/>
    <w:rsid w:val="00C55236"/>
    <w:pPr>
      <w:spacing w:before="60" w:after="40" w:line="260" w:lineRule="atLeast"/>
    </w:pPr>
    <w:rPr>
      <w:rFonts w:ascii="Book Antiqua" w:eastAsia="Times New Roman" w:hAnsi="Book Antiqua"/>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1">
    <w:name w:val="Table Colorful 3121"/>
    <w:basedOn w:val="TableNormal"/>
    <w:next w:val="TableColorful3"/>
    <w:semiHidden/>
    <w:unhideWhenUsed/>
    <w:rsid w:val="00C55236"/>
    <w:pPr>
      <w:spacing w:before="60" w:after="40" w:line="260" w:lineRule="atLeast"/>
    </w:pPr>
    <w:rPr>
      <w:rFonts w:ascii="Book Antiqua" w:eastAsia="Times New Roman" w:hAnsi="Book Antiqua"/>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1">
    <w:name w:val="Table Columns 1121"/>
    <w:basedOn w:val="TableNormal"/>
    <w:next w:val="TableColumns1"/>
    <w:semiHidden/>
    <w:unhideWhenUsed/>
    <w:rsid w:val="00C55236"/>
    <w:pPr>
      <w:spacing w:before="60" w:after="40" w:line="260" w:lineRule="atLeast"/>
    </w:pPr>
    <w:rPr>
      <w:rFonts w:ascii="Book Antiqua" w:eastAsia="Times New Roman" w:hAnsi="Book Antiqua"/>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1">
    <w:name w:val="Table Columns 2121"/>
    <w:basedOn w:val="TableNormal"/>
    <w:next w:val="TableColumns2"/>
    <w:semiHidden/>
    <w:unhideWhenUsed/>
    <w:rsid w:val="00C55236"/>
    <w:pPr>
      <w:spacing w:before="60" w:after="40" w:line="260" w:lineRule="atLeast"/>
    </w:pPr>
    <w:rPr>
      <w:rFonts w:ascii="Book Antiqua" w:eastAsia="Times New Roman" w:hAnsi="Book Antiqua"/>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1">
    <w:name w:val="Table Columns 3121"/>
    <w:basedOn w:val="TableNormal"/>
    <w:next w:val="TableColumns3"/>
    <w:semiHidden/>
    <w:unhideWhenUsed/>
    <w:rsid w:val="00C55236"/>
    <w:pPr>
      <w:spacing w:before="60" w:after="40" w:line="260" w:lineRule="atLeast"/>
    </w:pPr>
    <w:rPr>
      <w:rFonts w:ascii="Book Antiqua" w:eastAsia="Times New Roman" w:hAnsi="Book Antiqua"/>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1">
    <w:name w:val="Table Columns 4121"/>
    <w:basedOn w:val="TableNormal"/>
    <w:next w:val="TableColumns4"/>
    <w:semiHidden/>
    <w:unhideWhenUsed/>
    <w:rsid w:val="00C55236"/>
    <w:pPr>
      <w:spacing w:before="60" w:after="40" w:line="260" w:lineRule="atLeast"/>
    </w:pPr>
    <w:rPr>
      <w:rFonts w:ascii="Book Antiqua" w:eastAsia="Times New Roman" w:hAnsi="Book Antiqua"/>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1">
    <w:name w:val="Table Columns 5121"/>
    <w:basedOn w:val="TableNormal"/>
    <w:next w:val="TableColumns5"/>
    <w:semiHidden/>
    <w:unhideWhenUsed/>
    <w:rsid w:val="00C55236"/>
    <w:pPr>
      <w:spacing w:before="60" w:after="40" w:line="260" w:lineRule="atLeast"/>
    </w:pPr>
    <w:rPr>
      <w:rFonts w:ascii="Book Antiqua" w:eastAsia="Times New Roman" w:hAnsi="Book Antiqua"/>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321">
    <w:name w:val="Table Grid 1321"/>
    <w:basedOn w:val="TableNormal"/>
    <w:next w:val="TableGrid1"/>
    <w:semiHidden/>
    <w:unhideWhenUsed/>
    <w:rsid w:val="00C55236"/>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1">
    <w:name w:val="Table Grid 2121"/>
    <w:basedOn w:val="TableNormal"/>
    <w:next w:val="TableGrid2"/>
    <w:semiHidden/>
    <w:unhideWhenUsed/>
    <w:rsid w:val="00C55236"/>
    <w:pPr>
      <w:spacing w:before="60" w:after="40" w:line="260" w:lineRule="atLeast"/>
    </w:pPr>
    <w:rPr>
      <w:rFonts w:ascii="Book Antiqua" w:eastAsia="Times New Roman" w:hAnsi="Book Antiqua"/>
      <w:sz w:val="22"/>
      <w:szCs w:val="22"/>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1">
    <w:name w:val="Table Grid 3121"/>
    <w:basedOn w:val="TableNormal"/>
    <w:next w:val="TableGrid3"/>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1">
    <w:name w:val="Table Grid 4121"/>
    <w:basedOn w:val="TableNormal"/>
    <w:next w:val="TableGrid4"/>
    <w:semiHidden/>
    <w:unhideWhenUsed/>
    <w:rsid w:val="00C55236"/>
    <w:pPr>
      <w:spacing w:before="60" w:after="40" w:line="260" w:lineRule="atLeast"/>
    </w:pPr>
    <w:rPr>
      <w:rFonts w:ascii="Book Antiqua" w:eastAsia="Times New Roman" w:hAnsi="Book Antiqua"/>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1">
    <w:name w:val="Table Grid 5121"/>
    <w:basedOn w:val="TableNormal"/>
    <w:next w:val="TableGrid5"/>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1">
    <w:name w:val="Table Grid 6121"/>
    <w:basedOn w:val="TableNormal"/>
    <w:next w:val="TableGrid6"/>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10">
    <w:name w:val="Table Grid 7121"/>
    <w:basedOn w:val="TableNormal"/>
    <w:next w:val="TableGrid70"/>
    <w:semiHidden/>
    <w:unhideWhenUsed/>
    <w:rsid w:val="00C55236"/>
    <w:pPr>
      <w:spacing w:before="60" w:after="40" w:line="260" w:lineRule="atLeast"/>
    </w:pPr>
    <w:rPr>
      <w:rFonts w:ascii="Book Antiqua" w:eastAsia="Times New Roman" w:hAnsi="Book Antiqua"/>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1">
    <w:name w:val="Table Grid 8121"/>
    <w:basedOn w:val="TableNormal"/>
    <w:next w:val="TableGrid8"/>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1">
    <w:name w:val="Table List 1121"/>
    <w:basedOn w:val="TableNormal"/>
    <w:next w:val="TableList1"/>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1">
    <w:name w:val="Table List 2121"/>
    <w:basedOn w:val="TableNormal"/>
    <w:next w:val="TableList2"/>
    <w:semiHidden/>
    <w:unhideWhenUsed/>
    <w:rsid w:val="00C55236"/>
    <w:pPr>
      <w:spacing w:before="60" w:after="40" w:line="260" w:lineRule="atLeast"/>
    </w:pPr>
    <w:rPr>
      <w:rFonts w:ascii="Book Antiqua" w:eastAsia="Times New Roman" w:hAnsi="Book Antiqua"/>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1">
    <w:name w:val="Table List 3121"/>
    <w:basedOn w:val="TableNormal"/>
    <w:next w:val="TableList3"/>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1">
    <w:name w:val="Table List 4121"/>
    <w:basedOn w:val="TableNormal"/>
    <w:next w:val="TableList4"/>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1">
    <w:name w:val="Table List 5121"/>
    <w:basedOn w:val="TableNormal"/>
    <w:next w:val="TableList5"/>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1">
    <w:name w:val="Table List 6121"/>
    <w:basedOn w:val="TableNormal"/>
    <w:next w:val="TableList6"/>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1">
    <w:name w:val="Table List 7121"/>
    <w:basedOn w:val="TableNormal"/>
    <w:next w:val="TableList7"/>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1">
    <w:name w:val="Table List 8121"/>
    <w:basedOn w:val="TableNormal"/>
    <w:next w:val="TableList8"/>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21">
    <w:name w:val="Table 3D effects 1121"/>
    <w:basedOn w:val="TableNormal"/>
    <w:next w:val="Table3Deffects1"/>
    <w:semiHidden/>
    <w:unhideWhenUsed/>
    <w:rsid w:val="00C55236"/>
    <w:pPr>
      <w:spacing w:before="60" w:after="40" w:line="260" w:lineRule="atLeast"/>
    </w:pPr>
    <w:rPr>
      <w:rFonts w:ascii="Book Antiqua" w:eastAsia="Times New Roman" w:hAnsi="Book Antiqua"/>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1">
    <w:name w:val="Table 3D effects 2121"/>
    <w:basedOn w:val="TableNormal"/>
    <w:next w:val="Table3Deffects2"/>
    <w:semiHidden/>
    <w:unhideWhenUsed/>
    <w:rsid w:val="00C55236"/>
    <w:pPr>
      <w:spacing w:before="60" w:after="40" w:line="260" w:lineRule="atLeast"/>
    </w:pPr>
    <w:rPr>
      <w:rFonts w:ascii="Book Antiqua" w:eastAsia="Times New Roman" w:hAnsi="Book Antiqua"/>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1">
    <w:name w:val="Table 3D effects 3121"/>
    <w:basedOn w:val="TableNormal"/>
    <w:next w:val="Table3Deffects3"/>
    <w:semiHidden/>
    <w:unhideWhenUsed/>
    <w:rsid w:val="00C55236"/>
    <w:pPr>
      <w:spacing w:before="60" w:after="40" w:line="260" w:lineRule="atLeast"/>
    </w:pPr>
    <w:rPr>
      <w:rFonts w:ascii="Book Antiqua" w:eastAsia="Times New Roman" w:hAnsi="Book Antiqua"/>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21">
    <w:name w:val="Table Contemporary121"/>
    <w:basedOn w:val="TableNormal"/>
    <w:next w:val="TableContemporary"/>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1">
    <w:name w:val="Table Elegant121"/>
    <w:basedOn w:val="TableNormal"/>
    <w:next w:val="TableElegant"/>
    <w:semiHidden/>
    <w:unhideWhenUsed/>
    <w:rsid w:val="00C55236"/>
    <w:pPr>
      <w:spacing w:before="60" w:after="40" w:line="260" w:lineRule="atLeast"/>
    </w:pPr>
    <w:rPr>
      <w:rFonts w:ascii="Book Antiqua" w:eastAsia="Times New Roman" w:hAnsi="Book Antiqua"/>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21">
    <w:name w:val="Table Professional121"/>
    <w:basedOn w:val="TableNormal"/>
    <w:next w:val="TableProfessional"/>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121">
    <w:name w:val="Table Subtle 1121"/>
    <w:basedOn w:val="TableNormal"/>
    <w:next w:val="TableSubtle1"/>
    <w:semiHidden/>
    <w:unhideWhenUsed/>
    <w:rsid w:val="00C55236"/>
    <w:pPr>
      <w:spacing w:before="60" w:after="40" w:line="260" w:lineRule="atLeast"/>
    </w:pPr>
    <w:rPr>
      <w:rFonts w:ascii="Book Antiqua" w:eastAsia="Times New Roman" w:hAnsi="Book Antiqua"/>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TableNormal"/>
    <w:next w:val="TableSubtle2"/>
    <w:semiHidden/>
    <w:unhideWhenUsed/>
    <w:rsid w:val="00C55236"/>
    <w:pPr>
      <w:spacing w:before="60" w:after="40" w:line="260" w:lineRule="atLeast"/>
    </w:pPr>
    <w:rPr>
      <w:rFonts w:ascii="Book Antiqua" w:eastAsia="Times New Roman" w:hAnsi="Book Antiqua"/>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21">
    <w:name w:val="Table Web 1121"/>
    <w:basedOn w:val="TableNormal"/>
    <w:next w:val="TableWeb1"/>
    <w:semiHidden/>
    <w:unhideWhenUsed/>
    <w:rsid w:val="00C55236"/>
    <w:pPr>
      <w:spacing w:before="60" w:after="40" w:line="260" w:lineRule="atLeast"/>
    </w:pPr>
    <w:rPr>
      <w:rFonts w:ascii="Book Antiqua" w:eastAsia="Times New Roman" w:hAnsi="Book Antiqua"/>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1">
    <w:name w:val="Table Web 2121"/>
    <w:basedOn w:val="TableNormal"/>
    <w:next w:val="TableWeb2"/>
    <w:semiHidden/>
    <w:unhideWhenUsed/>
    <w:rsid w:val="00C55236"/>
    <w:pPr>
      <w:spacing w:before="60" w:after="40" w:line="260" w:lineRule="atLeast"/>
    </w:pPr>
    <w:rPr>
      <w:rFonts w:ascii="Book Antiqua" w:eastAsia="Times New Roman" w:hAnsi="Book Antiqua"/>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1">
    <w:name w:val="Table Web 3121"/>
    <w:basedOn w:val="TableNormal"/>
    <w:next w:val="TableWeb3"/>
    <w:semiHidden/>
    <w:unhideWhenUsed/>
    <w:rsid w:val="00C55236"/>
    <w:pPr>
      <w:spacing w:before="60" w:after="40" w:line="260" w:lineRule="atLeast"/>
    </w:pPr>
    <w:rPr>
      <w:rFonts w:ascii="Book Antiqua" w:eastAsia="Times New Roman" w:hAnsi="Book Antiqua"/>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8210">
    <w:name w:val="Table Grid821"/>
    <w:basedOn w:val="TableNormal"/>
    <w:next w:val="TableGrid"/>
    <w:uiPriority w:val="59"/>
    <w:rsid w:val="00C5523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1">
    <w:name w:val="Table Theme121"/>
    <w:basedOn w:val="TableNormal"/>
    <w:next w:val="TableTheme"/>
    <w:semiHidden/>
    <w:unhideWhenUsed/>
    <w:rsid w:val="00C55236"/>
    <w:pPr>
      <w:spacing w:before="60" w:after="40" w:line="260" w:lineRule="atLeast"/>
    </w:pPr>
    <w:rPr>
      <w:rFonts w:ascii="Book Antiqua" w:eastAsia="Times New Roman" w:hAnsi="Book Antiqu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21">
    <w:name w:val="Light Shading321"/>
    <w:basedOn w:val="TableNormal"/>
    <w:next w:val="LightShading"/>
    <w:uiPriority w:val="60"/>
    <w:semiHidden/>
    <w:unhideWhenUsed/>
    <w:rsid w:val="00C55236"/>
    <w:rPr>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221">
    <w:name w:val="Light Shading - Accent 4221"/>
    <w:basedOn w:val="TableNormal"/>
    <w:next w:val="LightShading-Accent4"/>
    <w:uiPriority w:val="60"/>
    <w:semiHidden/>
    <w:unhideWhenUsed/>
    <w:rsid w:val="00C55236"/>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321">
    <w:name w:val="Light List - Accent 4321"/>
    <w:basedOn w:val="TableNormal"/>
    <w:next w:val="LightList-Accent4"/>
    <w:uiPriority w:val="61"/>
    <w:semiHidden/>
    <w:unhideWhenUsed/>
    <w:rsid w:val="00C55236"/>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321">
    <w:name w:val="Medium Shading 1 - Accent 4321"/>
    <w:basedOn w:val="TableNormal"/>
    <w:next w:val="MediumShading1-Accent4"/>
    <w:uiPriority w:val="63"/>
    <w:semiHidden/>
    <w:unhideWhenUsed/>
    <w:rsid w:val="00C55236"/>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Style1421">
    <w:name w:val="Style1421"/>
    <w:basedOn w:val="TableNormal"/>
    <w:uiPriority w:val="99"/>
    <w:qFormat/>
    <w:rsid w:val="00C55236"/>
    <w:rPr>
      <w:lang w:eastAsia="en-US"/>
    </w:rPr>
    <w:tblPr/>
  </w:style>
  <w:style w:type="table" w:customStyle="1" w:styleId="TR31Table221">
    <w:name w:val="TR31_Table221"/>
    <w:basedOn w:val="TableNormal"/>
    <w:uiPriority w:val="99"/>
    <w:rsid w:val="00C55236"/>
    <w:rPr>
      <w:rFonts w:ascii="Arial" w:hAnsi="Arial"/>
      <w:lang w:eastAsia="en-US"/>
    </w:rPr>
    <w:tblPr>
      <w:tblBorders>
        <w:top w:val="single" w:sz="4" w:space="0" w:color="auto"/>
        <w:bottom w:val="single" w:sz="4" w:space="0" w:color="auto"/>
      </w:tblBorders>
    </w:tblPr>
  </w:style>
  <w:style w:type="table" w:customStyle="1" w:styleId="TableforReports321">
    <w:name w:val="Table for Reports321"/>
    <w:basedOn w:val="TableNormal"/>
    <w:uiPriority w:val="99"/>
    <w:rsid w:val="00C55236"/>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321">
    <w:name w:val="Light Shading - Accent 11321"/>
    <w:basedOn w:val="TableNormal"/>
    <w:uiPriority w:val="60"/>
    <w:rsid w:val="00C55236"/>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7221">
    <w:name w:val="Table Grid7221"/>
    <w:basedOn w:val="TableNormal"/>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121">
    <w:name w:val="Style13121"/>
    <w:basedOn w:val="TableNormal"/>
    <w:uiPriority w:val="99"/>
    <w:qFormat/>
    <w:rsid w:val="00C55236"/>
    <w:rPr>
      <w:lang w:eastAsia="en-US"/>
    </w:rPr>
    <w:tblPr/>
  </w:style>
  <w:style w:type="table" w:customStyle="1" w:styleId="TableGrid11210">
    <w:name w:val="Table Grid1121"/>
    <w:basedOn w:val="TableNormal"/>
    <w:uiPriority w:val="59"/>
    <w:rsid w:val="00C5523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121">
    <w:name w:val="TR31_Table1121"/>
    <w:basedOn w:val="TableNormal"/>
    <w:uiPriority w:val="99"/>
    <w:rsid w:val="00C55236"/>
    <w:rPr>
      <w:rFonts w:ascii="Arial" w:hAnsi="Arial"/>
      <w:lang w:eastAsia="en-US"/>
    </w:rPr>
    <w:tblPr>
      <w:tblBorders>
        <w:top w:val="single" w:sz="4" w:space="0" w:color="auto"/>
        <w:bottom w:val="single" w:sz="4" w:space="0" w:color="auto"/>
      </w:tblBorders>
    </w:tblPr>
  </w:style>
  <w:style w:type="table" w:customStyle="1" w:styleId="TableGrid11221">
    <w:name w:val="Table Grid 11221"/>
    <w:basedOn w:val="TableNormal"/>
    <w:rsid w:val="00C55236"/>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221">
    <w:name w:val="Table for Reports1221"/>
    <w:basedOn w:val="TableNormal"/>
    <w:uiPriority w:val="99"/>
    <w:rsid w:val="00C55236"/>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221">
    <w:name w:val="Light Shading - Accent 11122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121">
    <w:name w:val="Table Grid71121"/>
    <w:basedOn w:val="TableNormal"/>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221">
    <w:name w:val="Medium Shading 1 - Accent 41221"/>
    <w:basedOn w:val="TableNormal"/>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221">
    <w:name w:val="Light List - Accent 41221"/>
    <w:basedOn w:val="TableNormal"/>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221">
    <w:name w:val="Light Shading1221"/>
    <w:basedOn w:val="TableNormal"/>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221">
    <w:name w:val="AIHW Table221"/>
    <w:basedOn w:val="TableNormal"/>
    <w:rsid w:val="00C55236"/>
    <w:pPr>
      <w:tabs>
        <w:tab w:val="left" w:pos="198"/>
      </w:tabs>
      <w:spacing w:before="60" w:after="60" w:line="200" w:lineRule="atLeast"/>
      <w:jc w:val="right"/>
    </w:pPr>
    <w:rPr>
      <w:rFonts w:ascii="Arial" w:eastAsia="Times New Roman" w:hAnsi="Arial"/>
      <w:color w:val="000000"/>
      <w:sz w:val="16"/>
      <w:szCs w:val="22"/>
      <w:lang w:eastAsia="en-US"/>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51210">
    <w:name w:val="Table Grid5121"/>
    <w:basedOn w:val="TableNormal"/>
    <w:uiPriority w:val="39"/>
    <w:rsid w:val="00C5523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521">
    <w:name w:val="Style1521"/>
    <w:basedOn w:val="TableNormal"/>
    <w:uiPriority w:val="99"/>
    <w:qFormat/>
    <w:rsid w:val="00C55236"/>
    <w:tblPr/>
  </w:style>
  <w:style w:type="table" w:customStyle="1" w:styleId="TableGrid921">
    <w:name w:val="Table Grid921"/>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321">
    <w:name w:val="TR31_Table321"/>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421">
    <w:name w:val="Table Grid 1421"/>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421">
    <w:name w:val="Table for Reports421"/>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421">
    <w:name w:val="Light Shading - Accent 11421"/>
    <w:basedOn w:val="TableNormal"/>
    <w:uiPriority w:val="60"/>
    <w:rsid w:val="00C55236"/>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321">
    <w:name w:val="Table Grid7321"/>
    <w:basedOn w:val="TableNormal"/>
    <w:next w:val="TableGrid"/>
    <w:uiPriority w:val="59"/>
    <w:rsid w:val="00C55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421">
    <w:name w:val="Medium Shading 1 - Accent 4421"/>
    <w:basedOn w:val="TableNormal"/>
    <w:next w:val="MediumShading1-Accent4"/>
    <w:uiPriority w:val="63"/>
    <w:rsid w:val="00C55236"/>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421">
    <w:name w:val="Light List - Accent 4421"/>
    <w:basedOn w:val="TableNormal"/>
    <w:next w:val="LightList-Accent4"/>
    <w:uiPriority w:val="61"/>
    <w:rsid w:val="00C55236"/>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Style13221">
    <w:name w:val="Style13221"/>
    <w:basedOn w:val="TableNormal"/>
    <w:uiPriority w:val="99"/>
    <w:qFormat/>
    <w:rsid w:val="00C55236"/>
    <w:tblPr/>
  </w:style>
  <w:style w:type="table" w:customStyle="1" w:styleId="TableGrid12210">
    <w:name w:val="Table Grid1221"/>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221">
    <w:name w:val="TR31_Table1221"/>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1321">
    <w:name w:val="Table Grid 11321"/>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321">
    <w:name w:val="Table for Reports1321"/>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321">
    <w:name w:val="Light Shading - Accent 11132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221">
    <w:name w:val="Table Grid71221"/>
    <w:basedOn w:val="TableNormal"/>
    <w:next w:val="TableGrid"/>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321">
    <w:name w:val="Medium Shading 1 - Accent 41321"/>
    <w:basedOn w:val="TableNormal"/>
    <w:next w:val="MediumShading1-Accent4"/>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321">
    <w:name w:val="Light List - Accent 41321"/>
    <w:basedOn w:val="TableNormal"/>
    <w:next w:val="LightList-Accent4"/>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321">
    <w:name w:val="Light Shading1321"/>
    <w:basedOn w:val="TableNormal"/>
    <w:next w:val="LightShading"/>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21">
    <w:name w:val="Light Shading421"/>
    <w:basedOn w:val="TableNormal"/>
    <w:next w:val="LightShading"/>
    <w:uiPriority w:val="60"/>
    <w:rsid w:val="00C552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321">
    <w:name w:val="Light Shading - Accent 4321"/>
    <w:basedOn w:val="TableNormal"/>
    <w:next w:val="LightShading-Accent4"/>
    <w:uiPriority w:val="60"/>
    <w:rsid w:val="00C55236"/>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221">
    <w:name w:val="Table Simple 1221"/>
    <w:basedOn w:val="TableNormal"/>
    <w:next w:val="TableSimple1"/>
    <w:semiHidden/>
    <w:unhideWhenUsed/>
    <w:rsid w:val="00C55236"/>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1">
    <w:name w:val="Table Simple 2221"/>
    <w:basedOn w:val="TableNormal"/>
    <w:next w:val="TableSimple2"/>
    <w:semiHidden/>
    <w:unhideWhenUsed/>
    <w:rsid w:val="00C55236"/>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1">
    <w:name w:val="Table Simple 3221"/>
    <w:basedOn w:val="TableNormal"/>
    <w:next w:val="TableSimple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221">
    <w:name w:val="Table Classic 1221"/>
    <w:basedOn w:val="TableNormal"/>
    <w:next w:val="TableClassic1"/>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1">
    <w:name w:val="Table Classic 2221"/>
    <w:basedOn w:val="TableNormal"/>
    <w:next w:val="TableClassic2"/>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1">
    <w:name w:val="Table Classic 3221"/>
    <w:basedOn w:val="TableNormal"/>
    <w:next w:val="TableClassic3"/>
    <w:semiHidden/>
    <w:unhideWhenUsed/>
    <w:rsid w:val="00C55236"/>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1">
    <w:name w:val="Table Classic 4221"/>
    <w:basedOn w:val="TableNormal"/>
    <w:next w:val="TableClassic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1">
    <w:name w:val="Table Colorful 1221"/>
    <w:basedOn w:val="TableNormal"/>
    <w:next w:val="TableColorful1"/>
    <w:semiHidden/>
    <w:unhideWhenUsed/>
    <w:rsid w:val="00C55236"/>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1">
    <w:name w:val="Table Colorful 2221"/>
    <w:basedOn w:val="TableNormal"/>
    <w:next w:val="TableColorful2"/>
    <w:semiHidden/>
    <w:unhideWhenUsed/>
    <w:rsid w:val="00C55236"/>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1">
    <w:name w:val="Table Colorful 3221"/>
    <w:basedOn w:val="TableNormal"/>
    <w:next w:val="TableColorful3"/>
    <w:semiHidden/>
    <w:unhideWhenUsed/>
    <w:rsid w:val="00C55236"/>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1">
    <w:name w:val="Table Columns 1221"/>
    <w:basedOn w:val="TableNormal"/>
    <w:next w:val="TableColumns1"/>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1">
    <w:name w:val="Table Columns 2221"/>
    <w:basedOn w:val="TableNormal"/>
    <w:next w:val="TableColumns2"/>
    <w:semiHidden/>
    <w:unhideWhenUsed/>
    <w:rsid w:val="00C55236"/>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1">
    <w:name w:val="Table Columns 3221"/>
    <w:basedOn w:val="TableNormal"/>
    <w:next w:val="TableColumns3"/>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1">
    <w:name w:val="Table Columns 4221"/>
    <w:basedOn w:val="TableNormal"/>
    <w:next w:val="TableColumns4"/>
    <w:semiHidden/>
    <w:unhideWhenUsed/>
    <w:rsid w:val="00C55236"/>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1">
    <w:name w:val="Table Columns 5221"/>
    <w:basedOn w:val="TableNormal"/>
    <w:next w:val="TableColumns5"/>
    <w:semiHidden/>
    <w:unhideWhenUsed/>
    <w:rsid w:val="00C55236"/>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221">
    <w:name w:val="Table Grid 2221"/>
    <w:basedOn w:val="TableNormal"/>
    <w:next w:val="TableGrid2"/>
    <w:semiHidden/>
    <w:unhideWhenUsed/>
    <w:rsid w:val="00C55236"/>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1">
    <w:name w:val="Table Grid 3221"/>
    <w:basedOn w:val="TableNormal"/>
    <w:next w:val="TableGrid3"/>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1">
    <w:name w:val="Table Grid 4221"/>
    <w:basedOn w:val="TableNormal"/>
    <w:next w:val="TableGrid4"/>
    <w:semiHidden/>
    <w:unhideWhenUsed/>
    <w:rsid w:val="00C55236"/>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1">
    <w:name w:val="Table Grid 5221"/>
    <w:basedOn w:val="TableNormal"/>
    <w:next w:val="TableGrid5"/>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1">
    <w:name w:val="Table Grid 6221"/>
    <w:basedOn w:val="TableNormal"/>
    <w:next w:val="TableGrid6"/>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10">
    <w:name w:val="Table Grid 7221"/>
    <w:basedOn w:val="TableNormal"/>
    <w:next w:val="TableGrid70"/>
    <w:semiHidden/>
    <w:unhideWhenUsed/>
    <w:rsid w:val="00C55236"/>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1">
    <w:name w:val="Table Grid 8221"/>
    <w:basedOn w:val="TableNormal"/>
    <w:next w:val="TableGrid8"/>
    <w:semiHidden/>
    <w:unhideWhenUsed/>
    <w:rsid w:val="00C55236"/>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1">
    <w:name w:val="Table List 1221"/>
    <w:basedOn w:val="TableNormal"/>
    <w:next w:val="TableList1"/>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1">
    <w:name w:val="Table List 2221"/>
    <w:basedOn w:val="TableNormal"/>
    <w:next w:val="TableList2"/>
    <w:semiHidden/>
    <w:unhideWhenUsed/>
    <w:rsid w:val="00C55236"/>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1">
    <w:name w:val="Table List 3221"/>
    <w:basedOn w:val="TableNormal"/>
    <w:next w:val="TableList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1">
    <w:name w:val="Table List 4221"/>
    <w:basedOn w:val="TableNormal"/>
    <w:next w:val="TableList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1">
    <w:name w:val="Table List 5221"/>
    <w:basedOn w:val="TableNormal"/>
    <w:next w:val="TableList5"/>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1">
    <w:name w:val="Table List 6221"/>
    <w:basedOn w:val="TableNormal"/>
    <w:next w:val="TableList6"/>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1">
    <w:name w:val="Table List 7221"/>
    <w:basedOn w:val="TableNormal"/>
    <w:next w:val="TableList7"/>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1">
    <w:name w:val="Table List 8221"/>
    <w:basedOn w:val="TableNormal"/>
    <w:next w:val="TableList8"/>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221">
    <w:name w:val="Table 3D effects 1221"/>
    <w:basedOn w:val="TableNormal"/>
    <w:next w:val="Table3Deffects1"/>
    <w:semiHidden/>
    <w:unhideWhenUsed/>
    <w:rsid w:val="00C55236"/>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1">
    <w:name w:val="Table 3D effects 2221"/>
    <w:basedOn w:val="TableNormal"/>
    <w:next w:val="Table3Deffects2"/>
    <w:semiHidden/>
    <w:unhideWhenUsed/>
    <w:rsid w:val="00C55236"/>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1">
    <w:name w:val="Table 3D effects 3221"/>
    <w:basedOn w:val="TableNormal"/>
    <w:next w:val="Table3Deffects3"/>
    <w:semiHidden/>
    <w:unhideWhenUsed/>
    <w:rsid w:val="00C55236"/>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21">
    <w:name w:val="Table Contemporary221"/>
    <w:basedOn w:val="TableNormal"/>
    <w:next w:val="TableContemporary"/>
    <w:semiHidden/>
    <w:unhideWhenUsed/>
    <w:rsid w:val="00C55236"/>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1">
    <w:name w:val="Table Elegant221"/>
    <w:basedOn w:val="TableNormal"/>
    <w:next w:val="TableElegant"/>
    <w:semiHidden/>
    <w:unhideWhenUsed/>
    <w:rsid w:val="00C55236"/>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221">
    <w:name w:val="Table Professional221"/>
    <w:basedOn w:val="TableNormal"/>
    <w:next w:val="TableProfessional"/>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221">
    <w:name w:val="Table Subtle 1221"/>
    <w:basedOn w:val="TableNormal"/>
    <w:next w:val="TableSubtle1"/>
    <w:semiHidden/>
    <w:unhideWhenUsed/>
    <w:rsid w:val="00C55236"/>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TableNormal"/>
    <w:next w:val="TableSubtle2"/>
    <w:semiHidden/>
    <w:unhideWhenUsed/>
    <w:rsid w:val="00C55236"/>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21">
    <w:name w:val="Table Web 1221"/>
    <w:basedOn w:val="TableNormal"/>
    <w:next w:val="TableWeb1"/>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1">
    <w:name w:val="Table Web 2221"/>
    <w:basedOn w:val="TableNormal"/>
    <w:next w:val="TableWeb2"/>
    <w:semiHidden/>
    <w:unhideWhenUsed/>
    <w:rsid w:val="00C55236"/>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1">
    <w:name w:val="Table Web 3221"/>
    <w:basedOn w:val="TableNormal"/>
    <w:next w:val="TableWeb3"/>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221">
    <w:name w:val="Table Theme221"/>
    <w:basedOn w:val="TableNormal"/>
    <w:next w:val="TableTheme"/>
    <w:semiHidden/>
    <w:unhideWhenUsed/>
    <w:rsid w:val="00C55236"/>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321">
    <w:name w:val="AIHW Table321"/>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12121">
    <w:name w:val="Table Grid 12121"/>
    <w:basedOn w:val="TableNormal"/>
    <w:next w:val="TableGrid1"/>
    <w:semiHidden/>
    <w:unhideWhenUsed/>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121">
    <w:name w:val="Light Shading2121"/>
    <w:basedOn w:val="TableNormal"/>
    <w:next w:val="LightShading"/>
    <w:uiPriority w:val="60"/>
    <w:semiHidden/>
    <w:unhideWhenUsed/>
    <w:rsid w:val="00C55236"/>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121">
    <w:name w:val="Light Shading - Accent 41121"/>
    <w:basedOn w:val="TableNormal"/>
    <w:next w:val="LightShading-Accent4"/>
    <w:uiPriority w:val="60"/>
    <w:semiHidden/>
    <w:unhideWhenUsed/>
    <w:rsid w:val="00C55236"/>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121">
    <w:name w:val="Light List - Accent 42121"/>
    <w:basedOn w:val="TableNormal"/>
    <w:next w:val="LightList-Accent4"/>
    <w:uiPriority w:val="61"/>
    <w:semiHidden/>
    <w:unhideWhenUsed/>
    <w:rsid w:val="00C55236"/>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121">
    <w:name w:val="Medium Shading 1 - Accent 42121"/>
    <w:basedOn w:val="TableNormal"/>
    <w:next w:val="MediumShading1-Accent4"/>
    <w:uiPriority w:val="63"/>
    <w:semiHidden/>
    <w:unhideWhenUsed/>
    <w:rsid w:val="00C55236"/>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121">
    <w:name w:val="Table for Reports2121"/>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121">
    <w:name w:val="Light Shading - Accent 112121"/>
    <w:basedOn w:val="TableNormal"/>
    <w:uiPriority w:val="60"/>
    <w:rsid w:val="00C55236"/>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121">
    <w:name w:val="Table Grid 111121"/>
    <w:basedOn w:val="TableNormal"/>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121">
    <w:name w:val="Table for Reports11121"/>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121">
    <w:name w:val="Light Shading - Accent 111112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121">
    <w:name w:val="Medium Shading 1 - Accent 411121"/>
    <w:basedOn w:val="TableNormal"/>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121">
    <w:name w:val="Light List - Accent 411121"/>
    <w:basedOn w:val="TableNormal"/>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121">
    <w:name w:val="Light Shading11121"/>
    <w:basedOn w:val="TableNormal"/>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121">
    <w:name w:val="AIHW Table1121"/>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21210">
    <w:name w:val="Table Grid2121"/>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0">
    <w:name w:val="Table Grid3121"/>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0">
    <w:name w:val="Table Grid4121"/>
    <w:basedOn w:val="TableNormal"/>
    <w:next w:val="TableGrid"/>
    <w:uiPriority w:val="59"/>
    <w:rsid w:val="00C5523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0">
    <w:name w:val="Table Grid5221"/>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0">
    <w:name w:val="Table Grid6121"/>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21">
    <w:name w:val="List Table 4 - Accent 3121"/>
    <w:basedOn w:val="TableNormal"/>
    <w:uiPriority w:val="49"/>
    <w:rsid w:val="00C5523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610">
    <w:name w:val="Table Grid161"/>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entifier">
    <w:name w:val="identifier"/>
    <w:basedOn w:val="DefaultParagraphFont"/>
    <w:rsid w:val="0028226A"/>
  </w:style>
  <w:style w:type="table" w:customStyle="1" w:styleId="TableGrid19">
    <w:name w:val="Table Grid19"/>
    <w:basedOn w:val="TableNormal"/>
    <w:next w:val="TableGrid"/>
    <w:uiPriority w:val="39"/>
    <w:rsid w:val="00DA40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23">
    <w:name w:val="Style Bulleted Symbol (symbol) Left:  0 cm Hanging:  0.63 cm23"/>
    <w:rsid w:val="00DA40C9"/>
    <w:pPr>
      <w:numPr>
        <w:numId w:val="61"/>
      </w:numPr>
    </w:pPr>
  </w:style>
  <w:style w:type="character" w:styleId="UnresolvedMention">
    <w:name w:val="Unresolved Mention"/>
    <w:basedOn w:val="DefaultParagraphFont"/>
    <w:uiPriority w:val="99"/>
    <w:semiHidden/>
    <w:unhideWhenUsed/>
    <w:rsid w:val="00DA40C9"/>
    <w:rPr>
      <w:color w:val="605E5C"/>
      <w:shd w:val="clear" w:color="auto" w:fill="E1DFDD"/>
    </w:rPr>
  </w:style>
  <w:style w:type="paragraph" w:customStyle="1" w:styleId="para">
    <w:name w:val="para"/>
    <w:basedOn w:val="Normal"/>
    <w:rsid w:val="001206CA"/>
    <w:pPr>
      <w:spacing w:before="100" w:beforeAutospacing="1" w:after="100" w:afterAutospacing="1" w:line="240" w:lineRule="auto"/>
    </w:pPr>
    <w:rPr>
      <w:rFonts w:eastAsiaTheme="minorEastAsia" w:cs="Arial"/>
      <w:szCs w:val="20"/>
    </w:rPr>
  </w:style>
  <w:style w:type="character" w:customStyle="1" w:styleId="citation-doi">
    <w:name w:val="citation-doi"/>
    <w:basedOn w:val="DefaultParagraphFont"/>
    <w:rsid w:val="001206CA"/>
  </w:style>
  <w:style w:type="paragraph" w:customStyle="1" w:styleId="APAAbstract">
    <w:name w:val="APA Abstract"/>
    <w:basedOn w:val="Normal"/>
    <w:link w:val="APAAbstractChar"/>
    <w:qFormat/>
    <w:rsid w:val="001206CA"/>
    <w:pPr>
      <w:spacing w:before="0" w:after="0" w:line="480" w:lineRule="auto"/>
      <w:ind w:left="454" w:right="454"/>
    </w:pPr>
    <w:rPr>
      <w:rFonts w:ascii="Times New Roman" w:eastAsiaTheme="minorHAnsi" w:hAnsi="Times New Roman" w:cstheme="minorBidi"/>
      <w:color w:val="000000" w:themeColor="text1"/>
      <w:sz w:val="24"/>
      <w:szCs w:val="22"/>
      <w:lang w:eastAsia="en-US"/>
    </w:rPr>
  </w:style>
  <w:style w:type="character" w:customStyle="1" w:styleId="APAAbstractChar">
    <w:name w:val="APA Abstract Char"/>
    <w:basedOn w:val="DefaultParagraphFont"/>
    <w:link w:val="APAAbstract"/>
    <w:rsid w:val="001206CA"/>
    <w:rPr>
      <w:rFonts w:ascii="Times New Roman" w:eastAsiaTheme="minorHAnsi" w:hAnsi="Times New Roman" w:cstheme="minorBidi"/>
      <w:color w:val="000000" w:themeColor="text1"/>
      <w:sz w:val="24"/>
      <w:szCs w:val="22"/>
      <w:lang w:eastAsia="en-US"/>
    </w:rPr>
  </w:style>
  <w:style w:type="paragraph" w:customStyle="1" w:styleId="font0">
    <w:name w:val="font0"/>
    <w:basedOn w:val="Normal"/>
    <w:rsid w:val="006B4887"/>
    <w:pPr>
      <w:spacing w:before="100" w:beforeAutospacing="1" w:after="100" w:afterAutospacing="1" w:line="240" w:lineRule="auto"/>
      <w:jc w:val="left"/>
    </w:pPr>
    <w:rPr>
      <w:rFonts w:ascii="Calibri" w:hAnsi="Calibri" w:cs="Calibri"/>
      <w:color w:val="000000"/>
      <w:sz w:val="22"/>
      <w:szCs w:val="22"/>
    </w:rPr>
  </w:style>
  <w:style w:type="paragraph" w:customStyle="1" w:styleId="xl72">
    <w:name w:val="xl72"/>
    <w:basedOn w:val="Normal"/>
    <w:rsid w:val="006B4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rPr>
  </w:style>
  <w:style w:type="paragraph" w:customStyle="1" w:styleId="xl73">
    <w:name w:val="xl73"/>
    <w:basedOn w:val="Normal"/>
    <w:rsid w:val="006B48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rPr>
  </w:style>
  <w:style w:type="paragraph" w:customStyle="1" w:styleId="xl74">
    <w:name w:val="xl74"/>
    <w:basedOn w:val="Normal"/>
    <w:rsid w:val="006B4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75">
    <w:name w:val="xl75"/>
    <w:basedOn w:val="Normal"/>
    <w:rsid w:val="006B4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76">
    <w:name w:val="xl76"/>
    <w:basedOn w:val="Normal"/>
    <w:rsid w:val="006B4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sz w:val="24"/>
    </w:rPr>
  </w:style>
  <w:style w:type="paragraph" w:customStyle="1" w:styleId="xl77">
    <w:name w:val="xl77"/>
    <w:basedOn w:val="Normal"/>
    <w:rsid w:val="006B4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rPr>
  </w:style>
  <w:style w:type="paragraph" w:customStyle="1" w:styleId="xl78">
    <w:name w:val="xl78"/>
    <w:basedOn w:val="Normal"/>
    <w:rsid w:val="006B4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rPr>
  </w:style>
  <w:style w:type="paragraph" w:customStyle="1" w:styleId="xl79">
    <w:name w:val="xl79"/>
    <w:basedOn w:val="Normal"/>
    <w:rsid w:val="006B4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rPr>
  </w:style>
  <w:style w:type="paragraph" w:customStyle="1" w:styleId="xl80">
    <w:name w:val="xl80"/>
    <w:basedOn w:val="Normal"/>
    <w:rsid w:val="006B48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81">
    <w:name w:val="xl81"/>
    <w:basedOn w:val="Normal"/>
    <w:rsid w:val="006B4887"/>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hAnsi="Times New Roman"/>
      <w:sz w:val="24"/>
    </w:rPr>
  </w:style>
  <w:style w:type="paragraph" w:customStyle="1" w:styleId="xl82">
    <w:name w:val="xl82"/>
    <w:basedOn w:val="Normal"/>
    <w:rsid w:val="006B488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left"/>
    </w:pPr>
    <w:rPr>
      <w:rFonts w:ascii="Times New Roman" w:hAnsi="Times New Roman"/>
      <w:sz w:val="24"/>
    </w:rPr>
  </w:style>
  <w:style w:type="paragraph" w:customStyle="1" w:styleId="xl83">
    <w:name w:val="xl83"/>
    <w:basedOn w:val="Normal"/>
    <w:rsid w:val="006B4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xxmsolistparagraph">
    <w:name w:val="x_xxmsolistparagraph"/>
    <w:basedOn w:val="Normal"/>
    <w:rsid w:val="006B4887"/>
    <w:pPr>
      <w:spacing w:before="0" w:after="0" w:line="240" w:lineRule="auto"/>
      <w:jc w:val="left"/>
    </w:pPr>
    <w:rPr>
      <w:rFonts w:ascii="Times New Roman" w:eastAsiaTheme="minorEastAsia" w:hAnsi="Times New Roman"/>
      <w:sz w:val="24"/>
    </w:rPr>
  </w:style>
  <w:style w:type="paragraph" w:customStyle="1" w:styleId="xxmsonormal">
    <w:name w:val="x_xmsonormal"/>
    <w:basedOn w:val="Normal"/>
    <w:uiPriority w:val="99"/>
    <w:rsid w:val="006B4887"/>
    <w:pPr>
      <w:spacing w:before="0" w:after="0" w:line="240" w:lineRule="auto"/>
      <w:jc w:val="left"/>
    </w:pPr>
    <w:rPr>
      <w:rFonts w:ascii="Calibri" w:eastAsiaTheme="minorEastAsia" w:hAnsi="Calibri" w:cs="Calibri"/>
      <w:sz w:val="22"/>
      <w:szCs w:val="22"/>
    </w:rPr>
  </w:style>
  <w:style w:type="paragraph" w:styleId="IntenseQuote">
    <w:name w:val="Intense Quote"/>
    <w:basedOn w:val="Normal"/>
    <w:next w:val="Normal"/>
    <w:link w:val="IntenseQuoteChar"/>
    <w:uiPriority w:val="30"/>
    <w:qFormat/>
    <w:rsid w:val="006B488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IntenseQuoteChar">
    <w:name w:val="Intense Quote Char"/>
    <w:basedOn w:val="DefaultParagraphFont"/>
    <w:link w:val="IntenseQuote"/>
    <w:uiPriority w:val="30"/>
    <w:rsid w:val="006B4887"/>
    <w:rPr>
      <w:rFonts w:asciiTheme="majorHAnsi" w:eastAsiaTheme="majorEastAsia" w:hAnsiTheme="majorHAnsi" w:cstheme="majorBidi"/>
      <w:color w:val="1F497D" w:themeColor="text2"/>
      <w:spacing w:val="-6"/>
      <w:sz w:val="32"/>
      <w:szCs w:val="32"/>
      <w:lang w:eastAsia="en-US"/>
    </w:rPr>
  </w:style>
  <w:style w:type="character" w:styleId="IntenseEmphasis">
    <w:name w:val="Intense Emphasis"/>
    <w:basedOn w:val="DefaultParagraphFont"/>
    <w:uiPriority w:val="21"/>
    <w:qFormat/>
    <w:rsid w:val="006B4887"/>
    <w:rPr>
      <w:b/>
      <w:bCs/>
      <w:i/>
      <w:iCs/>
    </w:rPr>
  </w:style>
  <w:style w:type="character" w:styleId="BookTitle">
    <w:name w:val="Book Title"/>
    <w:basedOn w:val="DefaultParagraphFont"/>
    <w:uiPriority w:val="33"/>
    <w:qFormat/>
    <w:rsid w:val="006B4887"/>
    <w:rPr>
      <w:b/>
      <w:bCs/>
      <w:smallCaps/>
      <w:spacing w:val="10"/>
    </w:rPr>
  </w:style>
  <w:style w:type="table" w:styleId="ListTable4-Accent1">
    <w:name w:val="List Table 4 Accent 1"/>
    <w:basedOn w:val="TableNormal"/>
    <w:uiPriority w:val="49"/>
    <w:rsid w:val="00B43F0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uthors">
    <w:name w:val="authors"/>
    <w:basedOn w:val="DefaultParagraphFont"/>
    <w:rsid w:val="002F4CDB"/>
  </w:style>
  <w:style w:type="character" w:customStyle="1" w:styleId="arttitle">
    <w:name w:val="art_title"/>
    <w:basedOn w:val="DefaultParagraphFont"/>
    <w:rsid w:val="002F4CDB"/>
  </w:style>
  <w:style w:type="character" w:customStyle="1" w:styleId="serialtitle">
    <w:name w:val="serial_title"/>
    <w:basedOn w:val="DefaultParagraphFont"/>
    <w:rsid w:val="002F4CDB"/>
  </w:style>
  <w:style w:type="character" w:customStyle="1" w:styleId="volumeissue">
    <w:name w:val="volume_issue"/>
    <w:basedOn w:val="DefaultParagraphFont"/>
    <w:rsid w:val="002F4CDB"/>
  </w:style>
  <w:style w:type="character" w:customStyle="1" w:styleId="pagerange">
    <w:name w:val="page_range"/>
    <w:basedOn w:val="DefaultParagraphFont"/>
    <w:rsid w:val="002F4CDB"/>
  </w:style>
  <w:style w:type="character" w:customStyle="1" w:styleId="doilink">
    <w:name w:val="doi_link"/>
    <w:basedOn w:val="DefaultParagraphFont"/>
    <w:rsid w:val="002F4CDB"/>
  </w:style>
  <w:style w:type="table" w:styleId="GridTable4-Accent1">
    <w:name w:val="Grid Table 4 Accent 1"/>
    <w:basedOn w:val="TableNormal"/>
    <w:uiPriority w:val="49"/>
    <w:rsid w:val="008F45E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200">
    <w:name w:val="Table Grid20"/>
    <w:basedOn w:val="TableNormal"/>
    <w:next w:val="TableGrid"/>
    <w:uiPriority w:val="39"/>
    <w:rsid w:val="000033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A213C3"/>
    <w:pPr>
      <w:spacing w:before="100" w:beforeAutospacing="1" w:after="100" w:afterAutospacing="1" w:line="240" w:lineRule="auto"/>
      <w:jc w:val="left"/>
    </w:pPr>
    <w:rPr>
      <w:rFonts w:ascii="Times New Roman" w:hAnsi="Times New Roman"/>
      <w:sz w:val="24"/>
    </w:rPr>
  </w:style>
  <w:style w:type="character" w:customStyle="1" w:styleId="cf01">
    <w:name w:val="cf01"/>
    <w:basedOn w:val="DefaultParagraphFont"/>
    <w:rsid w:val="00A213C3"/>
    <w:rPr>
      <w:rFonts w:ascii="Segoe UI" w:hAnsi="Segoe UI" w:cs="Segoe UI" w:hint="default"/>
      <w:sz w:val="18"/>
      <w:szCs w:val="18"/>
    </w:rPr>
  </w:style>
  <w:style w:type="character" w:customStyle="1" w:styleId="cf11">
    <w:name w:val="cf11"/>
    <w:basedOn w:val="DefaultParagraphFont"/>
    <w:rsid w:val="00A213C3"/>
    <w:rPr>
      <w:rFonts w:ascii="Segoe UI" w:hAnsi="Segoe UI" w:cs="Segoe UI" w:hint="default"/>
      <w:sz w:val="18"/>
      <w:szCs w:val="18"/>
    </w:rPr>
  </w:style>
  <w:style w:type="character" w:customStyle="1" w:styleId="cf21">
    <w:name w:val="cf21"/>
    <w:basedOn w:val="DefaultParagraphFont"/>
    <w:rsid w:val="00A213C3"/>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227">
      <w:bodyDiv w:val="1"/>
      <w:marLeft w:val="0"/>
      <w:marRight w:val="0"/>
      <w:marTop w:val="0"/>
      <w:marBottom w:val="0"/>
      <w:divBdr>
        <w:top w:val="none" w:sz="0" w:space="0" w:color="auto"/>
        <w:left w:val="none" w:sz="0" w:space="0" w:color="auto"/>
        <w:bottom w:val="none" w:sz="0" w:space="0" w:color="auto"/>
        <w:right w:val="none" w:sz="0" w:space="0" w:color="auto"/>
      </w:divBdr>
    </w:div>
    <w:div w:id="6105583">
      <w:bodyDiv w:val="1"/>
      <w:marLeft w:val="0"/>
      <w:marRight w:val="0"/>
      <w:marTop w:val="0"/>
      <w:marBottom w:val="0"/>
      <w:divBdr>
        <w:top w:val="none" w:sz="0" w:space="0" w:color="auto"/>
        <w:left w:val="none" w:sz="0" w:space="0" w:color="auto"/>
        <w:bottom w:val="none" w:sz="0" w:space="0" w:color="auto"/>
        <w:right w:val="none" w:sz="0" w:space="0" w:color="auto"/>
      </w:divBdr>
    </w:div>
    <w:div w:id="6174234">
      <w:bodyDiv w:val="1"/>
      <w:marLeft w:val="0"/>
      <w:marRight w:val="0"/>
      <w:marTop w:val="0"/>
      <w:marBottom w:val="0"/>
      <w:divBdr>
        <w:top w:val="none" w:sz="0" w:space="0" w:color="auto"/>
        <w:left w:val="none" w:sz="0" w:space="0" w:color="auto"/>
        <w:bottom w:val="none" w:sz="0" w:space="0" w:color="auto"/>
        <w:right w:val="none" w:sz="0" w:space="0" w:color="auto"/>
      </w:divBdr>
    </w:div>
    <w:div w:id="25328809">
      <w:bodyDiv w:val="1"/>
      <w:marLeft w:val="0"/>
      <w:marRight w:val="0"/>
      <w:marTop w:val="0"/>
      <w:marBottom w:val="0"/>
      <w:divBdr>
        <w:top w:val="none" w:sz="0" w:space="0" w:color="auto"/>
        <w:left w:val="none" w:sz="0" w:space="0" w:color="auto"/>
        <w:bottom w:val="none" w:sz="0" w:space="0" w:color="auto"/>
        <w:right w:val="none" w:sz="0" w:space="0" w:color="auto"/>
      </w:divBdr>
    </w:div>
    <w:div w:id="66652802">
      <w:bodyDiv w:val="1"/>
      <w:marLeft w:val="0"/>
      <w:marRight w:val="0"/>
      <w:marTop w:val="0"/>
      <w:marBottom w:val="0"/>
      <w:divBdr>
        <w:top w:val="none" w:sz="0" w:space="0" w:color="auto"/>
        <w:left w:val="none" w:sz="0" w:space="0" w:color="auto"/>
        <w:bottom w:val="none" w:sz="0" w:space="0" w:color="auto"/>
        <w:right w:val="none" w:sz="0" w:space="0" w:color="auto"/>
      </w:divBdr>
    </w:div>
    <w:div w:id="89472932">
      <w:bodyDiv w:val="1"/>
      <w:marLeft w:val="0"/>
      <w:marRight w:val="0"/>
      <w:marTop w:val="0"/>
      <w:marBottom w:val="0"/>
      <w:divBdr>
        <w:top w:val="none" w:sz="0" w:space="0" w:color="auto"/>
        <w:left w:val="none" w:sz="0" w:space="0" w:color="auto"/>
        <w:bottom w:val="none" w:sz="0" w:space="0" w:color="auto"/>
        <w:right w:val="none" w:sz="0" w:space="0" w:color="auto"/>
      </w:divBdr>
    </w:div>
    <w:div w:id="89592744">
      <w:bodyDiv w:val="1"/>
      <w:marLeft w:val="0"/>
      <w:marRight w:val="0"/>
      <w:marTop w:val="0"/>
      <w:marBottom w:val="0"/>
      <w:divBdr>
        <w:top w:val="none" w:sz="0" w:space="0" w:color="auto"/>
        <w:left w:val="none" w:sz="0" w:space="0" w:color="auto"/>
        <w:bottom w:val="none" w:sz="0" w:space="0" w:color="auto"/>
        <w:right w:val="none" w:sz="0" w:space="0" w:color="auto"/>
      </w:divBdr>
    </w:div>
    <w:div w:id="108625790">
      <w:bodyDiv w:val="1"/>
      <w:marLeft w:val="0"/>
      <w:marRight w:val="0"/>
      <w:marTop w:val="0"/>
      <w:marBottom w:val="0"/>
      <w:divBdr>
        <w:top w:val="none" w:sz="0" w:space="0" w:color="auto"/>
        <w:left w:val="none" w:sz="0" w:space="0" w:color="auto"/>
        <w:bottom w:val="none" w:sz="0" w:space="0" w:color="auto"/>
        <w:right w:val="none" w:sz="0" w:space="0" w:color="auto"/>
      </w:divBdr>
    </w:div>
    <w:div w:id="168519891">
      <w:bodyDiv w:val="1"/>
      <w:marLeft w:val="0"/>
      <w:marRight w:val="0"/>
      <w:marTop w:val="0"/>
      <w:marBottom w:val="0"/>
      <w:divBdr>
        <w:top w:val="none" w:sz="0" w:space="0" w:color="auto"/>
        <w:left w:val="none" w:sz="0" w:space="0" w:color="auto"/>
        <w:bottom w:val="none" w:sz="0" w:space="0" w:color="auto"/>
        <w:right w:val="none" w:sz="0" w:space="0" w:color="auto"/>
      </w:divBdr>
      <w:divsChild>
        <w:div w:id="1026492286">
          <w:marLeft w:val="0"/>
          <w:marRight w:val="0"/>
          <w:marTop w:val="0"/>
          <w:marBottom w:val="0"/>
          <w:divBdr>
            <w:top w:val="none" w:sz="0" w:space="0" w:color="auto"/>
            <w:left w:val="none" w:sz="0" w:space="0" w:color="auto"/>
            <w:bottom w:val="none" w:sz="0" w:space="0" w:color="auto"/>
            <w:right w:val="none" w:sz="0" w:space="0" w:color="auto"/>
          </w:divBdr>
        </w:div>
      </w:divsChild>
    </w:div>
    <w:div w:id="185751189">
      <w:bodyDiv w:val="1"/>
      <w:marLeft w:val="0"/>
      <w:marRight w:val="0"/>
      <w:marTop w:val="0"/>
      <w:marBottom w:val="0"/>
      <w:divBdr>
        <w:top w:val="none" w:sz="0" w:space="0" w:color="auto"/>
        <w:left w:val="none" w:sz="0" w:space="0" w:color="auto"/>
        <w:bottom w:val="none" w:sz="0" w:space="0" w:color="auto"/>
        <w:right w:val="none" w:sz="0" w:space="0" w:color="auto"/>
      </w:divBdr>
    </w:div>
    <w:div w:id="192695098">
      <w:bodyDiv w:val="1"/>
      <w:marLeft w:val="0"/>
      <w:marRight w:val="0"/>
      <w:marTop w:val="0"/>
      <w:marBottom w:val="0"/>
      <w:divBdr>
        <w:top w:val="none" w:sz="0" w:space="0" w:color="auto"/>
        <w:left w:val="none" w:sz="0" w:space="0" w:color="auto"/>
        <w:bottom w:val="none" w:sz="0" w:space="0" w:color="auto"/>
        <w:right w:val="none" w:sz="0" w:space="0" w:color="auto"/>
      </w:divBdr>
    </w:div>
    <w:div w:id="193158255">
      <w:bodyDiv w:val="1"/>
      <w:marLeft w:val="0"/>
      <w:marRight w:val="0"/>
      <w:marTop w:val="0"/>
      <w:marBottom w:val="0"/>
      <w:divBdr>
        <w:top w:val="none" w:sz="0" w:space="0" w:color="auto"/>
        <w:left w:val="none" w:sz="0" w:space="0" w:color="auto"/>
        <w:bottom w:val="none" w:sz="0" w:space="0" w:color="auto"/>
        <w:right w:val="none" w:sz="0" w:space="0" w:color="auto"/>
      </w:divBdr>
    </w:div>
    <w:div w:id="218246394">
      <w:bodyDiv w:val="1"/>
      <w:marLeft w:val="0"/>
      <w:marRight w:val="0"/>
      <w:marTop w:val="0"/>
      <w:marBottom w:val="0"/>
      <w:divBdr>
        <w:top w:val="none" w:sz="0" w:space="0" w:color="auto"/>
        <w:left w:val="none" w:sz="0" w:space="0" w:color="auto"/>
        <w:bottom w:val="none" w:sz="0" w:space="0" w:color="auto"/>
        <w:right w:val="none" w:sz="0" w:space="0" w:color="auto"/>
      </w:divBdr>
    </w:div>
    <w:div w:id="220092833">
      <w:bodyDiv w:val="1"/>
      <w:marLeft w:val="0"/>
      <w:marRight w:val="0"/>
      <w:marTop w:val="0"/>
      <w:marBottom w:val="0"/>
      <w:divBdr>
        <w:top w:val="none" w:sz="0" w:space="0" w:color="auto"/>
        <w:left w:val="none" w:sz="0" w:space="0" w:color="auto"/>
        <w:bottom w:val="none" w:sz="0" w:space="0" w:color="auto"/>
        <w:right w:val="none" w:sz="0" w:space="0" w:color="auto"/>
      </w:divBdr>
    </w:div>
    <w:div w:id="224948520">
      <w:bodyDiv w:val="1"/>
      <w:marLeft w:val="0"/>
      <w:marRight w:val="0"/>
      <w:marTop w:val="0"/>
      <w:marBottom w:val="0"/>
      <w:divBdr>
        <w:top w:val="none" w:sz="0" w:space="0" w:color="auto"/>
        <w:left w:val="none" w:sz="0" w:space="0" w:color="auto"/>
        <w:bottom w:val="none" w:sz="0" w:space="0" w:color="auto"/>
        <w:right w:val="none" w:sz="0" w:space="0" w:color="auto"/>
      </w:divBdr>
    </w:div>
    <w:div w:id="231893072">
      <w:bodyDiv w:val="1"/>
      <w:marLeft w:val="0"/>
      <w:marRight w:val="0"/>
      <w:marTop w:val="0"/>
      <w:marBottom w:val="0"/>
      <w:divBdr>
        <w:top w:val="none" w:sz="0" w:space="0" w:color="auto"/>
        <w:left w:val="none" w:sz="0" w:space="0" w:color="auto"/>
        <w:bottom w:val="none" w:sz="0" w:space="0" w:color="auto"/>
        <w:right w:val="none" w:sz="0" w:space="0" w:color="auto"/>
      </w:divBdr>
    </w:div>
    <w:div w:id="252471337">
      <w:bodyDiv w:val="1"/>
      <w:marLeft w:val="0"/>
      <w:marRight w:val="0"/>
      <w:marTop w:val="0"/>
      <w:marBottom w:val="0"/>
      <w:divBdr>
        <w:top w:val="none" w:sz="0" w:space="0" w:color="auto"/>
        <w:left w:val="none" w:sz="0" w:space="0" w:color="auto"/>
        <w:bottom w:val="none" w:sz="0" w:space="0" w:color="auto"/>
        <w:right w:val="none" w:sz="0" w:space="0" w:color="auto"/>
      </w:divBdr>
    </w:div>
    <w:div w:id="259416522">
      <w:bodyDiv w:val="1"/>
      <w:marLeft w:val="0"/>
      <w:marRight w:val="0"/>
      <w:marTop w:val="0"/>
      <w:marBottom w:val="0"/>
      <w:divBdr>
        <w:top w:val="none" w:sz="0" w:space="0" w:color="auto"/>
        <w:left w:val="none" w:sz="0" w:space="0" w:color="auto"/>
        <w:bottom w:val="none" w:sz="0" w:space="0" w:color="auto"/>
        <w:right w:val="none" w:sz="0" w:space="0" w:color="auto"/>
      </w:divBdr>
    </w:div>
    <w:div w:id="267471445">
      <w:bodyDiv w:val="1"/>
      <w:marLeft w:val="0"/>
      <w:marRight w:val="0"/>
      <w:marTop w:val="0"/>
      <w:marBottom w:val="0"/>
      <w:divBdr>
        <w:top w:val="none" w:sz="0" w:space="0" w:color="auto"/>
        <w:left w:val="none" w:sz="0" w:space="0" w:color="auto"/>
        <w:bottom w:val="none" w:sz="0" w:space="0" w:color="auto"/>
        <w:right w:val="none" w:sz="0" w:space="0" w:color="auto"/>
      </w:divBdr>
    </w:div>
    <w:div w:id="281965075">
      <w:bodyDiv w:val="1"/>
      <w:marLeft w:val="0"/>
      <w:marRight w:val="0"/>
      <w:marTop w:val="0"/>
      <w:marBottom w:val="0"/>
      <w:divBdr>
        <w:top w:val="none" w:sz="0" w:space="0" w:color="auto"/>
        <w:left w:val="none" w:sz="0" w:space="0" w:color="auto"/>
        <w:bottom w:val="none" w:sz="0" w:space="0" w:color="auto"/>
        <w:right w:val="none" w:sz="0" w:space="0" w:color="auto"/>
      </w:divBdr>
      <w:divsChild>
        <w:div w:id="104930687">
          <w:marLeft w:val="0"/>
          <w:marRight w:val="0"/>
          <w:marTop w:val="0"/>
          <w:marBottom w:val="0"/>
          <w:divBdr>
            <w:top w:val="none" w:sz="0" w:space="0" w:color="auto"/>
            <w:left w:val="none" w:sz="0" w:space="0" w:color="auto"/>
            <w:bottom w:val="none" w:sz="0" w:space="0" w:color="auto"/>
            <w:right w:val="none" w:sz="0" w:space="0" w:color="auto"/>
          </w:divBdr>
        </w:div>
        <w:div w:id="178197844">
          <w:marLeft w:val="0"/>
          <w:marRight w:val="0"/>
          <w:marTop w:val="0"/>
          <w:marBottom w:val="0"/>
          <w:divBdr>
            <w:top w:val="none" w:sz="0" w:space="0" w:color="auto"/>
            <w:left w:val="none" w:sz="0" w:space="0" w:color="auto"/>
            <w:bottom w:val="none" w:sz="0" w:space="0" w:color="auto"/>
            <w:right w:val="none" w:sz="0" w:space="0" w:color="auto"/>
          </w:divBdr>
        </w:div>
        <w:div w:id="423263944">
          <w:marLeft w:val="0"/>
          <w:marRight w:val="0"/>
          <w:marTop w:val="0"/>
          <w:marBottom w:val="0"/>
          <w:divBdr>
            <w:top w:val="none" w:sz="0" w:space="0" w:color="auto"/>
            <w:left w:val="none" w:sz="0" w:space="0" w:color="auto"/>
            <w:bottom w:val="none" w:sz="0" w:space="0" w:color="auto"/>
            <w:right w:val="none" w:sz="0" w:space="0" w:color="auto"/>
          </w:divBdr>
        </w:div>
        <w:div w:id="455024239">
          <w:marLeft w:val="0"/>
          <w:marRight w:val="0"/>
          <w:marTop w:val="0"/>
          <w:marBottom w:val="0"/>
          <w:divBdr>
            <w:top w:val="none" w:sz="0" w:space="0" w:color="auto"/>
            <w:left w:val="none" w:sz="0" w:space="0" w:color="auto"/>
            <w:bottom w:val="none" w:sz="0" w:space="0" w:color="auto"/>
            <w:right w:val="none" w:sz="0" w:space="0" w:color="auto"/>
          </w:divBdr>
        </w:div>
        <w:div w:id="693926400">
          <w:marLeft w:val="0"/>
          <w:marRight w:val="0"/>
          <w:marTop w:val="0"/>
          <w:marBottom w:val="0"/>
          <w:divBdr>
            <w:top w:val="none" w:sz="0" w:space="0" w:color="auto"/>
            <w:left w:val="none" w:sz="0" w:space="0" w:color="auto"/>
            <w:bottom w:val="none" w:sz="0" w:space="0" w:color="auto"/>
            <w:right w:val="none" w:sz="0" w:space="0" w:color="auto"/>
          </w:divBdr>
        </w:div>
        <w:div w:id="1144129304">
          <w:marLeft w:val="0"/>
          <w:marRight w:val="0"/>
          <w:marTop w:val="0"/>
          <w:marBottom w:val="0"/>
          <w:divBdr>
            <w:top w:val="none" w:sz="0" w:space="0" w:color="auto"/>
            <w:left w:val="none" w:sz="0" w:space="0" w:color="auto"/>
            <w:bottom w:val="none" w:sz="0" w:space="0" w:color="auto"/>
            <w:right w:val="none" w:sz="0" w:space="0" w:color="auto"/>
          </w:divBdr>
        </w:div>
        <w:div w:id="1913392206">
          <w:marLeft w:val="0"/>
          <w:marRight w:val="0"/>
          <w:marTop w:val="0"/>
          <w:marBottom w:val="0"/>
          <w:divBdr>
            <w:top w:val="none" w:sz="0" w:space="0" w:color="auto"/>
            <w:left w:val="none" w:sz="0" w:space="0" w:color="auto"/>
            <w:bottom w:val="none" w:sz="0" w:space="0" w:color="auto"/>
            <w:right w:val="none" w:sz="0" w:space="0" w:color="auto"/>
          </w:divBdr>
        </w:div>
      </w:divsChild>
    </w:div>
    <w:div w:id="294027210">
      <w:bodyDiv w:val="1"/>
      <w:marLeft w:val="0"/>
      <w:marRight w:val="0"/>
      <w:marTop w:val="0"/>
      <w:marBottom w:val="0"/>
      <w:divBdr>
        <w:top w:val="none" w:sz="0" w:space="0" w:color="auto"/>
        <w:left w:val="none" w:sz="0" w:space="0" w:color="auto"/>
        <w:bottom w:val="none" w:sz="0" w:space="0" w:color="auto"/>
        <w:right w:val="none" w:sz="0" w:space="0" w:color="auto"/>
      </w:divBdr>
    </w:div>
    <w:div w:id="298727931">
      <w:bodyDiv w:val="1"/>
      <w:marLeft w:val="0"/>
      <w:marRight w:val="0"/>
      <w:marTop w:val="0"/>
      <w:marBottom w:val="0"/>
      <w:divBdr>
        <w:top w:val="none" w:sz="0" w:space="0" w:color="auto"/>
        <w:left w:val="none" w:sz="0" w:space="0" w:color="auto"/>
        <w:bottom w:val="none" w:sz="0" w:space="0" w:color="auto"/>
        <w:right w:val="none" w:sz="0" w:space="0" w:color="auto"/>
      </w:divBdr>
      <w:divsChild>
        <w:div w:id="1071584356">
          <w:marLeft w:val="0"/>
          <w:marRight w:val="0"/>
          <w:marTop w:val="0"/>
          <w:marBottom w:val="0"/>
          <w:divBdr>
            <w:top w:val="none" w:sz="0" w:space="0" w:color="auto"/>
            <w:left w:val="none" w:sz="0" w:space="0" w:color="auto"/>
            <w:bottom w:val="none" w:sz="0" w:space="0" w:color="auto"/>
            <w:right w:val="none" w:sz="0" w:space="0" w:color="auto"/>
          </w:divBdr>
        </w:div>
        <w:div w:id="248320572">
          <w:marLeft w:val="0"/>
          <w:marRight w:val="0"/>
          <w:marTop w:val="0"/>
          <w:marBottom w:val="0"/>
          <w:divBdr>
            <w:top w:val="none" w:sz="0" w:space="0" w:color="auto"/>
            <w:left w:val="none" w:sz="0" w:space="0" w:color="auto"/>
            <w:bottom w:val="single" w:sz="6" w:space="0" w:color="C0C0C0"/>
            <w:right w:val="none" w:sz="0" w:space="0" w:color="auto"/>
          </w:divBdr>
          <w:divsChild>
            <w:div w:id="1658459588">
              <w:marLeft w:val="0"/>
              <w:marRight w:val="0"/>
              <w:marTop w:val="0"/>
              <w:marBottom w:val="0"/>
              <w:divBdr>
                <w:top w:val="none" w:sz="0" w:space="0" w:color="auto"/>
                <w:left w:val="none" w:sz="0" w:space="0" w:color="auto"/>
                <w:bottom w:val="none" w:sz="0" w:space="0" w:color="auto"/>
                <w:right w:val="none" w:sz="0" w:space="0" w:color="auto"/>
              </w:divBdr>
              <w:divsChild>
                <w:div w:id="41758558">
                  <w:marLeft w:val="0"/>
                  <w:marRight w:val="0"/>
                  <w:marTop w:val="0"/>
                  <w:marBottom w:val="0"/>
                  <w:divBdr>
                    <w:top w:val="none" w:sz="0" w:space="0" w:color="auto"/>
                    <w:left w:val="none" w:sz="0" w:space="0" w:color="auto"/>
                    <w:bottom w:val="none" w:sz="0" w:space="0" w:color="auto"/>
                    <w:right w:val="none" w:sz="0" w:space="0" w:color="auto"/>
                  </w:divBdr>
                </w:div>
                <w:div w:id="12539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4645">
      <w:bodyDiv w:val="1"/>
      <w:marLeft w:val="0"/>
      <w:marRight w:val="0"/>
      <w:marTop w:val="0"/>
      <w:marBottom w:val="0"/>
      <w:divBdr>
        <w:top w:val="none" w:sz="0" w:space="0" w:color="auto"/>
        <w:left w:val="none" w:sz="0" w:space="0" w:color="auto"/>
        <w:bottom w:val="none" w:sz="0" w:space="0" w:color="auto"/>
        <w:right w:val="none" w:sz="0" w:space="0" w:color="auto"/>
      </w:divBdr>
    </w:div>
    <w:div w:id="301663819">
      <w:bodyDiv w:val="1"/>
      <w:marLeft w:val="0"/>
      <w:marRight w:val="0"/>
      <w:marTop w:val="0"/>
      <w:marBottom w:val="0"/>
      <w:divBdr>
        <w:top w:val="none" w:sz="0" w:space="0" w:color="auto"/>
        <w:left w:val="none" w:sz="0" w:space="0" w:color="auto"/>
        <w:bottom w:val="none" w:sz="0" w:space="0" w:color="auto"/>
        <w:right w:val="none" w:sz="0" w:space="0" w:color="auto"/>
      </w:divBdr>
    </w:div>
    <w:div w:id="317805432">
      <w:bodyDiv w:val="1"/>
      <w:marLeft w:val="0"/>
      <w:marRight w:val="0"/>
      <w:marTop w:val="0"/>
      <w:marBottom w:val="0"/>
      <w:divBdr>
        <w:top w:val="none" w:sz="0" w:space="0" w:color="auto"/>
        <w:left w:val="none" w:sz="0" w:space="0" w:color="auto"/>
        <w:bottom w:val="none" w:sz="0" w:space="0" w:color="auto"/>
        <w:right w:val="none" w:sz="0" w:space="0" w:color="auto"/>
      </w:divBdr>
    </w:div>
    <w:div w:id="367680630">
      <w:bodyDiv w:val="1"/>
      <w:marLeft w:val="0"/>
      <w:marRight w:val="0"/>
      <w:marTop w:val="0"/>
      <w:marBottom w:val="0"/>
      <w:divBdr>
        <w:top w:val="none" w:sz="0" w:space="0" w:color="auto"/>
        <w:left w:val="none" w:sz="0" w:space="0" w:color="auto"/>
        <w:bottom w:val="none" w:sz="0" w:space="0" w:color="auto"/>
        <w:right w:val="none" w:sz="0" w:space="0" w:color="auto"/>
      </w:divBdr>
      <w:divsChild>
        <w:div w:id="1201891599">
          <w:marLeft w:val="0"/>
          <w:marRight w:val="0"/>
          <w:marTop w:val="0"/>
          <w:marBottom w:val="0"/>
          <w:divBdr>
            <w:top w:val="none" w:sz="0" w:space="0" w:color="auto"/>
            <w:left w:val="none" w:sz="0" w:space="0" w:color="auto"/>
            <w:bottom w:val="none" w:sz="0" w:space="0" w:color="auto"/>
            <w:right w:val="none" w:sz="0" w:space="0" w:color="auto"/>
          </w:divBdr>
        </w:div>
      </w:divsChild>
    </w:div>
    <w:div w:id="406146922">
      <w:bodyDiv w:val="1"/>
      <w:marLeft w:val="0"/>
      <w:marRight w:val="0"/>
      <w:marTop w:val="0"/>
      <w:marBottom w:val="0"/>
      <w:divBdr>
        <w:top w:val="none" w:sz="0" w:space="0" w:color="auto"/>
        <w:left w:val="none" w:sz="0" w:space="0" w:color="auto"/>
        <w:bottom w:val="none" w:sz="0" w:space="0" w:color="auto"/>
        <w:right w:val="none" w:sz="0" w:space="0" w:color="auto"/>
      </w:divBdr>
    </w:div>
    <w:div w:id="414060782">
      <w:bodyDiv w:val="1"/>
      <w:marLeft w:val="0"/>
      <w:marRight w:val="0"/>
      <w:marTop w:val="0"/>
      <w:marBottom w:val="0"/>
      <w:divBdr>
        <w:top w:val="none" w:sz="0" w:space="0" w:color="auto"/>
        <w:left w:val="none" w:sz="0" w:space="0" w:color="auto"/>
        <w:bottom w:val="none" w:sz="0" w:space="0" w:color="auto"/>
        <w:right w:val="none" w:sz="0" w:space="0" w:color="auto"/>
      </w:divBdr>
    </w:div>
    <w:div w:id="420680835">
      <w:bodyDiv w:val="1"/>
      <w:marLeft w:val="0"/>
      <w:marRight w:val="0"/>
      <w:marTop w:val="0"/>
      <w:marBottom w:val="0"/>
      <w:divBdr>
        <w:top w:val="none" w:sz="0" w:space="0" w:color="auto"/>
        <w:left w:val="none" w:sz="0" w:space="0" w:color="auto"/>
        <w:bottom w:val="none" w:sz="0" w:space="0" w:color="auto"/>
        <w:right w:val="none" w:sz="0" w:space="0" w:color="auto"/>
      </w:divBdr>
    </w:div>
    <w:div w:id="436947432">
      <w:bodyDiv w:val="1"/>
      <w:marLeft w:val="0"/>
      <w:marRight w:val="0"/>
      <w:marTop w:val="0"/>
      <w:marBottom w:val="0"/>
      <w:divBdr>
        <w:top w:val="none" w:sz="0" w:space="0" w:color="auto"/>
        <w:left w:val="none" w:sz="0" w:space="0" w:color="auto"/>
        <w:bottom w:val="none" w:sz="0" w:space="0" w:color="auto"/>
        <w:right w:val="none" w:sz="0" w:space="0" w:color="auto"/>
      </w:divBdr>
    </w:div>
    <w:div w:id="438843828">
      <w:bodyDiv w:val="1"/>
      <w:marLeft w:val="0"/>
      <w:marRight w:val="0"/>
      <w:marTop w:val="0"/>
      <w:marBottom w:val="0"/>
      <w:divBdr>
        <w:top w:val="none" w:sz="0" w:space="0" w:color="auto"/>
        <w:left w:val="none" w:sz="0" w:space="0" w:color="auto"/>
        <w:bottom w:val="none" w:sz="0" w:space="0" w:color="auto"/>
        <w:right w:val="none" w:sz="0" w:space="0" w:color="auto"/>
      </w:divBdr>
    </w:div>
    <w:div w:id="444544882">
      <w:bodyDiv w:val="1"/>
      <w:marLeft w:val="0"/>
      <w:marRight w:val="0"/>
      <w:marTop w:val="0"/>
      <w:marBottom w:val="0"/>
      <w:divBdr>
        <w:top w:val="none" w:sz="0" w:space="0" w:color="auto"/>
        <w:left w:val="none" w:sz="0" w:space="0" w:color="auto"/>
        <w:bottom w:val="none" w:sz="0" w:space="0" w:color="auto"/>
        <w:right w:val="none" w:sz="0" w:space="0" w:color="auto"/>
      </w:divBdr>
    </w:div>
    <w:div w:id="451946641">
      <w:bodyDiv w:val="1"/>
      <w:marLeft w:val="0"/>
      <w:marRight w:val="0"/>
      <w:marTop w:val="0"/>
      <w:marBottom w:val="0"/>
      <w:divBdr>
        <w:top w:val="none" w:sz="0" w:space="0" w:color="auto"/>
        <w:left w:val="none" w:sz="0" w:space="0" w:color="auto"/>
        <w:bottom w:val="none" w:sz="0" w:space="0" w:color="auto"/>
        <w:right w:val="none" w:sz="0" w:space="0" w:color="auto"/>
      </w:divBdr>
      <w:divsChild>
        <w:div w:id="1578780334">
          <w:marLeft w:val="547"/>
          <w:marRight w:val="0"/>
          <w:marTop w:val="0"/>
          <w:marBottom w:val="0"/>
          <w:divBdr>
            <w:top w:val="none" w:sz="0" w:space="0" w:color="auto"/>
            <w:left w:val="none" w:sz="0" w:space="0" w:color="auto"/>
            <w:bottom w:val="none" w:sz="0" w:space="0" w:color="auto"/>
            <w:right w:val="none" w:sz="0" w:space="0" w:color="auto"/>
          </w:divBdr>
        </w:div>
      </w:divsChild>
    </w:div>
    <w:div w:id="473059653">
      <w:bodyDiv w:val="1"/>
      <w:marLeft w:val="0"/>
      <w:marRight w:val="0"/>
      <w:marTop w:val="0"/>
      <w:marBottom w:val="0"/>
      <w:divBdr>
        <w:top w:val="none" w:sz="0" w:space="0" w:color="auto"/>
        <w:left w:val="none" w:sz="0" w:space="0" w:color="auto"/>
        <w:bottom w:val="none" w:sz="0" w:space="0" w:color="auto"/>
        <w:right w:val="none" w:sz="0" w:space="0" w:color="auto"/>
      </w:divBdr>
    </w:div>
    <w:div w:id="481044251">
      <w:bodyDiv w:val="1"/>
      <w:marLeft w:val="0"/>
      <w:marRight w:val="0"/>
      <w:marTop w:val="0"/>
      <w:marBottom w:val="0"/>
      <w:divBdr>
        <w:top w:val="none" w:sz="0" w:space="0" w:color="auto"/>
        <w:left w:val="none" w:sz="0" w:space="0" w:color="auto"/>
        <w:bottom w:val="none" w:sz="0" w:space="0" w:color="auto"/>
        <w:right w:val="none" w:sz="0" w:space="0" w:color="auto"/>
      </w:divBdr>
    </w:div>
    <w:div w:id="499345545">
      <w:bodyDiv w:val="1"/>
      <w:marLeft w:val="0"/>
      <w:marRight w:val="0"/>
      <w:marTop w:val="0"/>
      <w:marBottom w:val="0"/>
      <w:divBdr>
        <w:top w:val="none" w:sz="0" w:space="0" w:color="auto"/>
        <w:left w:val="none" w:sz="0" w:space="0" w:color="auto"/>
        <w:bottom w:val="none" w:sz="0" w:space="0" w:color="auto"/>
        <w:right w:val="none" w:sz="0" w:space="0" w:color="auto"/>
      </w:divBdr>
    </w:div>
    <w:div w:id="502360021">
      <w:bodyDiv w:val="1"/>
      <w:marLeft w:val="0"/>
      <w:marRight w:val="0"/>
      <w:marTop w:val="0"/>
      <w:marBottom w:val="0"/>
      <w:divBdr>
        <w:top w:val="none" w:sz="0" w:space="0" w:color="auto"/>
        <w:left w:val="none" w:sz="0" w:space="0" w:color="auto"/>
        <w:bottom w:val="none" w:sz="0" w:space="0" w:color="auto"/>
        <w:right w:val="none" w:sz="0" w:space="0" w:color="auto"/>
      </w:divBdr>
    </w:div>
    <w:div w:id="504979328">
      <w:bodyDiv w:val="1"/>
      <w:marLeft w:val="0"/>
      <w:marRight w:val="0"/>
      <w:marTop w:val="0"/>
      <w:marBottom w:val="0"/>
      <w:divBdr>
        <w:top w:val="none" w:sz="0" w:space="0" w:color="auto"/>
        <w:left w:val="none" w:sz="0" w:space="0" w:color="auto"/>
        <w:bottom w:val="none" w:sz="0" w:space="0" w:color="auto"/>
        <w:right w:val="none" w:sz="0" w:space="0" w:color="auto"/>
      </w:divBdr>
    </w:div>
    <w:div w:id="529993116">
      <w:bodyDiv w:val="1"/>
      <w:marLeft w:val="0"/>
      <w:marRight w:val="0"/>
      <w:marTop w:val="0"/>
      <w:marBottom w:val="0"/>
      <w:divBdr>
        <w:top w:val="none" w:sz="0" w:space="0" w:color="auto"/>
        <w:left w:val="none" w:sz="0" w:space="0" w:color="auto"/>
        <w:bottom w:val="none" w:sz="0" w:space="0" w:color="auto"/>
        <w:right w:val="none" w:sz="0" w:space="0" w:color="auto"/>
      </w:divBdr>
    </w:div>
    <w:div w:id="555313230">
      <w:bodyDiv w:val="1"/>
      <w:marLeft w:val="0"/>
      <w:marRight w:val="0"/>
      <w:marTop w:val="0"/>
      <w:marBottom w:val="0"/>
      <w:divBdr>
        <w:top w:val="none" w:sz="0" w:space="0" w:color="auto"/>
        <w:left w:val="none" w:sz="0" w:space="0" w:color="auto"/>
        <w:bottom w:val="none" w:sz="0" w:space="0" w:color="auto"/>
        <w:right w:val="none" w:sz="0" w:space="0" w:color="auto"/>
      </w:divBdr>
    </w:div>
    <w:div w:id="586154577">
      <w:bodyDiv w:val="1"/>
      <w:marLeft w:val="0"/>
      <w:marRight w:val="0"/>
      <w:marTop w:val="0"/>
      <w:marBottom w:val="0"/>
      <w:divBdr>
        <w:top w:val="none" w:sz="0" w:space="0" w:color="auto"/>
        <w:left w:val="none" w:sz="0" w:space="0" w:color="auto"/>
        <w:bottom w:val="none" w:sz="0" w:space="0" w:color="auto"/>
        <w:right w:val="none" w:sz="0" w:space="0" w:color="auto"/>
      </w:divBdr>
    </w:div>
    <w:div w:id="630020310">
      <w:bodyDiv w:val="1"/>
      <w:marLeft w:val="0"/>
      <w:marRight w:val="0"/>
      <w:marTop w:val="0"/>
      <w:marBottom w:val="0"/>
      <w:divBdr>
        <w:top w:val="none" w:sz="0" w:space="0" w:color="auto"/>
        <w:left w:val="none" w:sz="0" w:space="0" w:color="auto"/>
        <w:bottom w:val="none" w:sz="0" w:space="0" w:color="auto"/>
        <w:right w:val="none" w:sz="0" w:space="0" w:color="auto"/>
      </w:divBdr>
    </w:div>
    <w:div w:id="655767120">
      <w:bodyDiv w:val="1"/>
      <w:marLeft w:val="0"/>
      <w:marRight w:val="0"/>
      <w:marTop w:val="0"/>
      <w:marBottom w:val="0"/>
      <w:divBdr>
        <w:top w:val="none" w:sz="0" w:space="0" w:color="auto"/>
        <w:left w:val="none" w:sz="0" w:space="0" w:color="auto"/>
        <w:bottom w:val="none" w:sz="0" w:space="0" w:color="auto"/>
        <w:right w:val="none" w:sz="0" w:space="0" w:color="auto"/>
      </w:divBdr>
    </w:div>
    <w:div w:id="664817635">
      <w:bodyDiv w:val="1"/>
      <w:marLeft w:val="0"/>
      <w:marRight w:val="0"/>
      <w:marTop w:val="0"/>
      <w:marBottom w:val="0"/>
      <w:divBdr>
        <w:top w:val="none" w:sz="0" w:space="0" w:color="auto"/>
        <w:left w:val="none" w:sz="0" w:space="0" w:color="auto"/>
        <w:bottom w:val="none" w:sz="0" w:space="0" w:color="auto"/>
        <w:right w:val="none" w:sz="0" w:space="0" w:color="auto"/>
      </w:divBdr>
    </w:div>
    <w:div w:id="669869078">
      <w:bodyDiv w:val="1"/>
      <w:marLeft w:val="0"/>
      <w:marRight w:val="0"/>
      <w:marTop w:val="0"/>
      <w:marBottom w:val="0"/>
      <w:divBdr>
        <w:top w:val="none" w:sz="0" w:space="0" w:color="auto"/>
        <w:left w:val="none" w:sz="0" w:space="0" w:color="auto"/>
        <w:bottom w:val="none" w:sz="0" w:space="0" w:color="auto"/>
        <w:right w:val="none" w:sz="0" w:space="0" w:color="auto"/>
      </w:divBdr>
      <w:divsChild>
        <w:div w:id="44304671">
          <w:marLeft w:val="0"/>
          <w:marRight w:val="0"/>
          <w:marTop w:val="0"/>
          <w:marBottom w:val="0"/>
          <w:divBdr>
            <w:top w:val="none" w:sz="0" w:space="0" w:color="auto"/>
            <w:left w:val="none" w:sz="0" w:space="0" w:color="auto"/>
            <w:bottom w:val="none" w:sz="0" w:space="0" w:color="auto"/>
            <w:right w:val="none" w:sz="0" w:space="0" w:color="auto"/>
          </w:divBdr>
        </w:div>
        <w:div w:id="69622554">
          <w:marLeft w:val="0"/>
          <w:marRight w:val="0"/>
          <w:marTop w:val="0"/>
          <w:marBottom w:val="0"/>
          <w:divBdr>
            <w:top w:val="none" w:sz="0" w:space="0" w:color="auto"/>
            <w:left w:val="none" w:sz="0" w:space="0" w:color="auto"/>
            <w:bottom w:val="none" w:sz="0" w:space="0" w:color="auto"/>
            <w:right w:val="none" w:sz="0" w:space="0" w:color="auto"/>
          </w:divBdr>
        </w:div>
        <w:div w:id="90593233">
          <w:marLeft w:val="0"/>
          <w:marRight w:val="0"/>
          <w:marTop w:val="0"/>
          <w:marBottom w:val="0"/>
          <w:divBdr>
            <w:top w:val="none" w:sz="0" w:space="0" w:color="auto"/>
            <w:left w:val="none" w:sz="0" w:space="0" w:color="auto"/>
            <w:bottom w:val="none" w:sz="0" w:space="0" w:color="auto"/>
            <w:right w:val="none" w:sz="0" w:space="0" w:color="auto"/>
          </w:divBdr>
        </w:div>
        <w:div w:id="335422794">
          <w:marLeft w:val="0"/>
          <w:marRight w:val="0"/>
          <w:marTop w:val="0"/>
          <w:marBottom w:val="0"/>
          <w:divBdr>
            <w:top w:val="none" w:sz="0" w:space="0" w:color="auto"/>
            <w:left w:val="none" w:sz="0" w:space="0" w:color="auto"/>
            <w:bottom w:val="none" w:sz="0" w:space="0" w:color="auto"/>
            <w:right w:val="none" w:sz="0" w:space="0" w:color="auto"/>
          </w:divBdr>
        </w:div>
        <w:div w:id="375012636">
          <w:marLeft w:val="0"/>
          <w:marRight w:val="0"/>
          <w:marTop w:val="0"/>
          <w:marBottom w:val="0"/>
          <w:divBdr>
            <w:top w:val="none" w:sz="0" w:space="0" w:color="auto"/>
            <w:left w:val="none" w:sz="0" w:space="0" w:color="auto"/>
            <w:bottom w:val="none" w:sz="0" w:space="0" w:color="auto"/>
            <w:right w:val="none" w:sz="0" w:space="0" w:color="auto"/>
          </w:divBdr>
        </w:div>
        <w:div w:id="383337617">
          <w:marLeft w:val="0"/>
          <w:marRight w:val="0"/>
          <w:marTop w:val="0"/>
          <w:marBottom w:val="0"/>
          <w:divBdr>
            <w:top w:val="none" w:sz="0" w:space="0" w:color="auto"/>
            <w:left w:val="none" w:sz="0" w:space="0" w:color="auto"/>
            <w:bottom w:val="none" w:sz="0" w:space="0" w:color="auto"/>
            <w:right w:val="none" w:sz="0" w:space="0" w:color="auto"/>
          </w:divBdr>
        </w:div>
        <w:div w:id="403531222">
          <w:marLeft w:val="0"/>
          <w:marRight w:val="0"/>
          <w:marTop w:val="0"/>
          <w:marBottom w:val="0"/>
          <w:divBdr>
            <w:top w:val="none" w:sz="0" w:space="0" w:color="auto"/>
            <w:left w:val="none" w:sz="0" w:space="0" w:color="auto"/>
            <w:bottom w:val="none" w:sz="0" w:space="0" w:color="auto"/>
            <w:right w:val="none" w:sz="0" w:space="0" w:color="auto"/>
          </w:divBdr>
        </w:div>
        <w:div w:id="485632423">
          <w:marLeft w:val="0"/>
          <w:marRight w:val="0"/>
          <w:marTop w:val="0"/>
          <w:marBottom w:val="0"/>
          <w:divBdr>
            <w:top w:val="none" w:sz="0" w:space="0" w:color="auto"/>
            <w:left w:val="none" w:sz="0" w:space="0" w:color="auto"/>
            <w:bottom w:val="none" w:sz="0" w:space="0" w:color="auto"/>
            <w:right w:val="none" w:sz="0" w:space="0" w:color="auto"/>
          </w:divBdr>
        </w:div>
        <w:div w:id="1826434088">
          <w:marLeft w:val="0"/>
          <w:marRight w:val="0"/>
          <w:marTop w:val="0"/>
          <w:marBottom w:val="0"/>
          <w:divBdr>
            <w:top w:val="none" w:sz="0" w:space="0" w:color="auto"/>
            <w:left w:val="none" w:sz="0" w:space="0" w:color="auto"/>
            <w:bottom w:val="none" w:sz="0" w:space="0" w:color="auto"/>
            <w:right w:val="none" w:sz="0" w:space="0" w:color="auto"/>
          </w:divBdr>
        </w:div>
        <w:div w:id="1832717050">
          <w:marLeft w:val="0"/>
          <w:marRight w:val="0"/>
          <w:marTop w:val="0"/>
          <w:marBottom w:val="0"/>
          <w:divBdr>
            <w:top w:val="none" w:sz="0" w:space="0" w:color="auto"/>
            <w:left w:val="none" w:sz="0" w:space="0" w:color="auto"/>
            <w:bottom w:val="none" w:sz="0" w:space="0" w:color="auto"/>
            <w:right w:val="none" w:sz="0" w:space="0" w:color="auto"/>
          </w:divBdr>
        </w:div>
      </w:divsChild>
    </w:div>
    <w:div w:id="684330070">
      <w:bodyDiv w:val="1"/>
      <w:marLeft w:val="0"/>
      <w:marRight w:val="0"/>
      <w:marTop w:val="0"/>
      <w:marBottom w:val="0"/>
      <w:divBdr>
        <w:top w:val="none" w:sz="0" w:space="0" w:color="auto"/>
        <w:left w:val="none" w:sz="0" w:space="0" w:color="auto"/>
        <w:bottom w:val="none" w:sz="0" w:space="0" w:color="auto"/>
        <w:right w:val="none" w:sz="0" w:space="0" w:color="auto"/>
      </w:divBdr>
    </w:div>
    <w:div w:id="711267002">
      <w:bodyDiv w:val="1"/>
      <w:marLeft w:val="0"/>
      <w:marRight w:val="0"/>
      <w:marTop w:val="0"/>
      <w:marBottom w:val="0"/>
      <w:divBdr>
        <w:top w:val="none" w:sz="0" w:space="0" w:color="auto"/>
        <w:left w:val="none" w:sz="0" w:space="0" w:color="auto"/>
        <w:bottom w:val="none" w:sz="0" w:space="0" w:color="auto"/>
        <w:right w:val="none" w:sz="0" w:space="0" w:color="auto"/>
      </w:divBdr>
    </w:div>
    <w:div w:id="743528637">
      <w:bodyDiv w:val="1"/>
      <w:marLeft w:val="0"/>
      <w:marRight w:val="0"/>
      <w:marTop w:val="0"/>
      <w:marBottom w:val="0"/>
      <w:divBdr>
        <w:top w:val="none" w:sz="0" w:space="0" w:color="auto"/>
        <w:left w:val="none" w:sz="0" w:space="0" w:color="auto"/>
        <w:bottom w:val="none" w:sz="0" w:space="0" w:color="auto"/>
        <w:right w:val="none" w:sz="0" w:space="0" w:color="auto"/>
      </w:divBdr>
    </w:div>
    <w:div w:id="770005846">
      <w:bodyDiv w:val="1"/>
      <w:marLeft w:val="0"/>
      <w:marRight w:val="0"/>
      <w:marTop w:val="0"/>
      <w:marBottom w:val="0"/>
      <w:divBdr>
        <w:top w:val="none" w:sz="0" w:space="0" w:color="auto"/>
        <w:left w:val="none" w:sz="0" w:space="0" w:color="auto"/>
        <w:bottom w:val="none" w:sz="0" w:space="0" w:color="auto"/>
        <w:right w:val="none" w:sz="0" w:space="0" w:color="auto"/>
      </w:divBdr>
    </w:div>
    <w:div w:id="818422352">
      <w:bodyDiv w:val="1"/>
      <w:marLeft w:val="0"/>
      <w:marRight w:val="0"/>
      <w:marTop w:val="0"/>
      <w:marBottom w:val="0"/>
      <w:divBdr>
        <w:top w:val="none" w:sz="0" w:space="0" w:color="auto"/>
        <w:left w:val="none" w:sz="0" w:space="0" w:color="auto"/>
        <w:bottom w:val="none" w:sz="0" w:space="0" w:color="auto"/>
        <w:right w:val="none" w:sz="0" w:space="0" w:color="auto"/>
      </w:divBdr>
    </w:div>
    <w:div w:id="826941844">
      <w:bodyDiv w:val="1"/>
      <w:marLeft w:val="0"/>
      <w:marRight w:val="0"/>
      <w:marTop w:val="0"/>
      <w:marBottom w:val="0"/>
      <w:divBdr>
        <w:top w:val="none" w:sz="0" w:space="0" w:color="auto"/>
        <w:left w:val="none" w:sz="0" w:space="0" w:color="auto"/>
        <w:bottom w:val="none" w:sz="0" w:space="0" w:color="auto"/>
        <w:right w:val="none" w:sz="0" w:space="0" w:color="auto"/>
      </w:divBdr>
    </w:div>
    <w:div w:id="841090903">
      <w:bodyDiv w:val="1"/>
      <w:marLeft w:val="0"/>
      <w:marRight w:val="0"/>
      <w:marTop w:val="0"/>
      <w:marBottom w:val="0"/>
      <w:divBdr>
        <w:top w:val="none" w:sz="0" w:space="0" w:color="auto"/>
        <w:left w:val="none" w:sz="0" w:space="0" w:color="auto"/>
        <w:bottom w:val="none" w:sz="0" w:space="0" w:color="auto"/>
        <w:right w:val="none" w:sz="0" w:space="0" w:color="auto"/>
      </w:divBdr>
    </w:div>
    <w:div w:id="948857513">
      <w:bodyDiv w:val="1"/>
      <w:marLeft w:val="0"/>
      <w:marRight w:val="0"/>
      <w:marTop w:val="0"/>
      <w:marBottom w:val="0"/>
      <w:divBdr>
        <w:top w:val="none" w:sz="0" w:space="0" w:color="auto"/>
        <w:left w:val="none" w:sz="0" w:space="0" w:color="auto"/>
        <w:bottom w:val="none" w:sz="0" w:space="0" w:color="auto"/>
        <w:right w:val="none" w:sz="0" w:space="0" w:color="auto"/>
      </w:divBdr>
    </w:div>
    <w:div w:id="959796293">
      <w:bodyDiv w:val="1"/>
      <w:marLeft w:val="0"/>
      <w:marRight w:val="0"/>
      <w:marTop w:val="0"/>
      <w:marBottom w:val="0"/>
      <w:divBdr>
        <w:top w:val="none" w:sz="0" w:space="0" w:color="auto"/>
        <w:left w:val="none" w:sz="0" w:space="0" w:color="auto"/>
        <w:bottom w:val="none" w:sz="0" w:space="0" w:color="auto"/>
        <w:right w:val="none" w:sz="0" w:space="0" w:color="auto"/>
      </w:divBdr>
    </w:div>
    <w:div w:id="998847111">
      <w:bodyDiv w:val="1"/>
      <w:marLeft w:val="0"/>
      <w:marRight w:val="0"/>
      <w:marTop w:val="0"/>
      <w:marBottom w:val="0"/>
      <w:divBdr>
        <w:top w:val="none" w:sz="0" w:space="0" w:color="auto"/>
        <w:left w:val="none" w:sz="0" w:space="0" w:color="auto"/>
        <w:bottom w:val="none" w:sz="0" w:space="0" w:color="auto"/>
        <w:right w:val="none" w:sz="0" w:space="0" w:color="auto"/>
      </w:divBdr>
    </w:div>
    <w:div w:id="1008948930">
      <w:bodyDiv w:val="1"/>
      <w:marLeft w:val="0"/>
      <w:marRight w:val="0"/>
      <w:marTop w:val="0"/>
      <w:marBottom w:val="0"/>
      <w:divBdr>
        <w:top w:val="none" w:sz="0" w:space="0" w:color="auto"/>
        <w:left w:val="none" w:sz="0" w:space="0" w:color="auto"/>
        <w:bottom w:val="none" w:sz="0" w:space="0" w:color="auto"/>
        <w:right w:val="none" w:sz="0" w:space="0" w:color="auto"/>
      </w:divBdr>
    </w:div>
    <w:div w:id="1011418426">
      <w:bodyDiv w:val="1"/>
      <w:marLeft w:val="0"/>
      <w:marRight w:val="0"/>
      <w:marTop w:val="0"/>
      <w:marBottom w:val="0"/>
      <w:divBdr>
        <w:top w:val="none" w:sz="0" w:space="0" w:color="auto"/>
        <w:left w:val="none" w:sz="0" w:space="0" w:color="auto"/>
        <w:bottom w:val="none" w:sz="0" w:space="0" w:color="auto"/>
        <w:right w:val="none" w:sz="0" w:space="0" w:color="auto"/>
      </w:divBdr>
    </w:div>
    <w:div w:id="1016738577">
      <w:bodyDiv w:val="1"/>
      <w:marLeft w:val="0"/>
      <w:marRight w:val="0"/>
      <w:marTop w:val="0"/>
      <w:marBottom w:val="0"/>
      <w:divBdr>
        <w:top w:val="none" w:sz="0" w:space="0" w:color="auto"/>
        <w:left w:val="none" w:sz="0" w:space="0" w:color="auto"/>
        <w:bottom w:val="none" w:sz="0" w:space="0" w:color="auto"/>
        <w:right w:val="none" w:sz="0" w:space="0" w:color="auto"/>
      </w:divBdr>
    </w:div>
    <w:div w:id="1017466321">
      <w:bodyDiv w:val="1"/>
      <w:marLeft w:val="0"/>
      <w:marRight w:val="0"/>
      <w:marTop w:val="0"/>
      <w:marBottom w:val="0"/>
      <w:divBdr>
        <w:top w:val="none" w:sz="0" w:space="0" w:color="auto"/>
        <w:left w:val="none" w:sz="0" w:space="0" w:color="auto"/>
        <w:bottom w:val="none" w:sz="0" w:space="0" w:color="auto"/>
        <w:right w:val="none" w:sz="0" w:space="0" w:color="auto"/>
      </w:divBdr>
    </w:div>
    <w:div w:id="1017541930">
      <w:bodyDiv w:val="1"/>
      <w:marLeft w:val="0"/>
      <w:marRight w:val="0"/>
      <w:marTop w:val="0"/>
      <w:marBottom w:val="0"/>
      <w:divBdr>
        <w:top w:val="none" w:sz="0" w:space="0" w:color="auto"/>
        <w:left w:val="none" w:sz="0" w:space="0" w:color="auto"/>
        <w:bottom w:val="none" w:sz="0" w:space="0" w:color="auto"/>
        <w:right w:val="none" w:sz="0" w:space="0" w:color="auto"/>
      </w:divBdr>
    </w:div>
    <w:div w:id="1018967088">
      <w:bodyDiv w:val="1"/>
      <w:marLeft w:val="0"/>
      <w:marRight w:val="0"/>
      <w:marTop w:val="0"/>
      <w:marBottom w:val="0"/>
      <w:divBdr>
        <w:top w:val="none" w:sz="0" w:space="0" w:color="auto"/>
        <w:left w:val="none" w:sz="0" w:space="0" w:color="auto"/>
        <w:bottom w:val="none" w:sz="0" w:space="0" w:color="auto"/>
        <w:right w:val="none" w:sz="0" w:space="0" w:color="auto"/>
      </w:divBdr>
    </w:div>
    <w:div w:id="1028215393">
      <w:bodyDiv w:val="1"/>
      <w:marLeft w:val="0"/>
      <w:marRight w:val="0"/>
      <w:marTop w:val="0"/>
      <w:marBottom w:val="0"/>
      <w:divBdr>
        <w:top w:val="none" w:sz="0" w:space="0" w:color="auto"/>
        <w:left w:val="none" w:sz="0" w:space="0" w:color="auto"/>
        <w:bottom w:val="none" w:sz="0" w:space="0" w:color="auto"/>
        <w:right w:val="none" w:sz="0" w:space="0" w:color="auto"/>
      </w:divBdr>
    </w:div>
    <w:div w:id="1037851520">
      <w:bodyDiv w:val="1"/>
      <w:marLeft w:val="0"/>
      <w:marRight w:val="0"/>
      <w:marTop w:val="0"/>
      <w:marBottom w:val="0"/>
      <w:divBdr>
        <w:top w:val="none" w:sz="0" w:space="0" w:color="auto"/>
        <w:left w:val="none" w:sz="0" w:space="0" w:color="auto"/>
        <w:bottom w:val="none" w:sz="0" w:space="0" w:color="auto"/>
        <w:right w:val="none" w:sz="0" w:space="0" w:color="auto"/>
      </w:divBdr>
    </w:div>
    <w:div w:id="1058865385">
      <w:bodyDiv w:val="1"/>
      <w:marLeft w:val="0"/>
      <w:marRight w:val="0"/>
      <w:marTop w:val="0"/>
      <w:marBottom w:val="0"/>
      <w:divBdr>
        <w:top w:val="none" w:sz="0" w:space="0" w:color="auto"/>
        <w:left w:val="none" w:sz="0" w:space="0" w:color="auto"/>
        <w:bottom w:val="none" w:sz="0" w:space="0" w:color="auto"/>
        <w:right w:val="none" w:sz="0" w:space="0" w:color="auto"/>
      </w:divBdr>
    </w:div>
    <w:div w:id="1061712853">
      <w:bodyDiv w:val="1"/>
      <w:marLeft w:val="0"/>
      <w:marRight w:val="0"/>
      <w:marTop w:val="0"/>
      <w:marBottom w:val="0"/>
      <w:divBdr>
        <w:top w:val="none" w:sz="0" w:space="0" w:color="auto"/>
        <w:left w:val="none" w:sz="0" w:space="0" w:color="auto"/>
        <w:bottom w:val="none" w:sz="0" w:space="0" w:color="auto"/>
        <w:right w:val="none" w:sz="0" w:space="0" w:color="auto"/>
      </w:divBdr>
    </w:div>
    <w:div w:id="1066223051">
      <w:bodyDiv w:val="1"/>
      <w:marLeft w:val="0"/>
      <w:marRight w:val="0"/>
      <w:marTop w:val="0"/>
      <w:marBottom w:val="0"/>
      <w:divBdr>
        <w:top w:val="none" w:sz="0" w:space="0" w:color="auto"/>
        <w:left w:val="none" w:sz="0" w:space="0" w:color="auto"/>
        <w:bottom w:val="none" w:sz="0" w:space="0" w:color="auto"/>
        <w:right w:val="none" w:sz="0" w:space="0" w:color="auto"/>
      </w:divBdr>
    </w:div>
    <w:div w:id="1076510996">
      <w:bodyDiv w:val="1"/>
      <w:marLeft w:val="0"/>
      <w:marRight w:val="0"/>
      <w:marTop w:val="0"/>
      <w:marBottom w:val="0"/>
      <w:divBdr>
        <w:top w:val="none" w:sz="0" w:space="0" w:color="auto"/>
        <w:left w:val="none" w:sz="0" w:space="0" w:color="auto"/>
        <w:bottom w:val="none" w:sz="0" w:space="0" w:color="auto"/>
        <w:right w:val="none" w:sz="0" w:space="0" w:color="auto"/>
      </w:divBdr>
    </w:div>
    <w:div w:id="1096172749">
      <w:bodyDiv w:val="1"/>
      <w:marLeft w:val="0"/>
      <w:marRight w:val="0"/>
      <w:marTop w:val="0"/>
      <w:marBottom w:val="0"/>
      <w:divBdr>
        <w:top w:val="none" w:sz="0" w:space="0" w:color="auto"/>
        <w:left w:val="none" w:sz="0" w:space="0" w:color="auto"/>
        <w:bottom w:val="none" w:sz="0" w:space="0" w:color="auto"/>
        <w:right w:val="none" w:sz="0" w:space="0" w:color="auto"/>
      </w:divBdr>
    </w:div>
    <w:div w:id="1111246495">
      <w:bodyDiv w:val="1"/>
      <w:marLeft w:val="0"/>
      <w:marRight w:val="0"/>
      <w:marTop w:val="0"/>
      <w:marBottom w:val="0"/>
      <w:divBdr>
        <w:top w:val="none" w:sz="0" w:space="0" w:color="auto"/>
        <w:left w:val="none" w:sz="0" w:space="0" w:color="auto"/>
        <w:bottom w:val="none" w:sz="0" w:space="0" w:color="auto"/>
        <w:right w:val="none" w:sz="0" w:space="0" w:color="auto"/>
      </w:divBdr>
    </w:div>
    <w:div w:id="1136751452">
      <w:bodyDiv w:val="1"/>
      <w:marLeft w:val="0"/>
      <w:marRight w:val="0"/>
      <w:marTop w:val="0"/>
      <w:marBottom w:val="0"/>
      <w:divBdr>
        <w:top w:val="none" w:sz="0" w:space="0" w:color="auto"/>
        <w:left w:val="none" w:sz="0" w:space="0" w:color="auto"/>
        <w:bottom w:val="none" w:sz="0" w:space="0" w:color="auto"/>
        <w:right w:val="none" w:sz="0" w:space="0" w:color="auto"/>
      </w:divBdr>
    </w:div>
    <w:div w:id="1140148306">
      <w:bodyDiv w:val="1"/>
      <w:marLeft w:val="0"/>
      <w:marRight w:val="0"/>
      <w:marTop w:val="0"/>
      <w:marBottom w:val="0"/>
      <w:divBdr>
        <w:top w:val="none" w:sz="0" w:space="0" w:color="auto"/>
        <w:left w:val="none" w:sz="0" w:space="0" w:color="auto"/>
        <w:bottom w:val="none" w:sz="0" w:space="0" w:color="auto"/>
        <w:right w:val="none" w:sz="0" w:space="0" w:color="auto"/>
      </w:divBdr>
    </w:div>
    <w:div w:id="1147085560">
      <w:bodyDiv w:val="1"/>
      <w:marLeft w:val="0"/>
      <w:marRight w:val="0"/>
      <w:marTop w:val="0"/>
      <w:marBottom w:val="0"/>
      <w:divBdr>
        <w:top w:val="none" w:sz="0" w:space="0" w:color="auto"/>
        <w:left w:val="none" w:sz="0" w:space="0" w:color="auto"/>
        <w:bottom w:val="none" w:sz="0" w:space="0" w:color="auto"/>
        <w:right w:val="none" w:sz="0" w:space="0" w:color="auto"/>
      </w:divBdr>
    </w:div>
    <w:div w:id="1155339247">
      <w:bodyDiv w:val="1"/>
      <w:marLeft w:val="0"/>
      <w:marRight w:val="0"/>
      <w:marTop w:val="0"/>
      <w:marBottom w:val="0"/>
      <w:divBdr>
        <w:top w:val="none" w:sz="0" w:space="0" w:color="auto"/>
        <w:left w:val="none" w:sz="0" w:space="0" w:color="auto"/>
        <w:bottom w:val="none" w:sz="0" w:space="0" w:color="auto"/>
        <w:right w:val="none" w:sz="0" w:space="0" w:color="auto"/>
      </w:divBdr>
    </w:div>
    <w:div w:id="1182665390">
      <w:bodyDiv w:val="1"/>
      <w:marLeft w:val="0"/>
      <w:marRight w:val="0"/>
      <w:marTop w:val="0"/>
      <w:marBottom w:val="0"/>
      <w:divBdr>
        <w:top w:val="none" w:sz="0" w:space="0" w:color="auto"/>
        <w:left w:val="none" w:sz="0" w:space="0" w:color="auto"/>
        <w:bottom w:val="none" w:sz="0" w:space="0" w:color="auto"/>
        <w:right w:val="none" w:sz="0" w:space="0" w:color="auto"/>
      </w:divBdr>
    </w:div>
    <w:div w:id="1196231444">
      <w:bodyDiv w:val="1"/>
      <w:marLeft w:val="0"/>
      <w:marRight w:val="0"/>
      <w:marTop w:val="0"/>
      <w:marBottom w:val="0"/>
      <w:divBdr>
        <w:top w:val="none" w:sz="0" w:space="0" w:color="auto"/>
        <w:left w:val="none" w:sz="0" w:space="0" w:color="auto"/>
        <w:bottom w:val="none" w:sz="0" w:space="0" w:color="auto"/>
        <w:right w:val="none" w:sz="0" w:space="0" w:color="auto"/>
      </w:divBdr>
    </w:div>
    <w:div w:id="1203444767">
      <w:bodyDiv w:val="1"/>
      <w:marLeft w:val="0"/>
      <w:marRight w:val="0"/>
      <w:marTop w:val="0"/>
      <w:marBottom w:val="0"/>
      <w:divBdr>
        <w:top w:val="none" w:sz="0" w:space="0" w:color="auto"/>
        <w:left w:val="none" w:sz="0" w:space="0" w:color="auto"/>
        <w:bottom w:val="none" w:sz="0" w:space="0" w:color="auto"/>
        <w:right w:val="none" w:sz="0" w:space="0" w:color="auto"/>
      </w:divBdr>
    </w:div>
    <w:div w:id="1223098857">
      <w:bodyDiv w:val="1"/>
      <w:marLeft w:val="0"/>
      <w:marRight w:val="0"/>
      <w:marTop w:val="0"/>
      <w:marBottom w:val="0"/>
      <w:divBdr>
        <w:top w:val="none" w:sz="0" w:space="0" w:color="auto"/>
        <w:left w:val="none" w:sz="0" w:space="0" w:color="auto"/>
        <w:bottom w:val="none" w:sz="0" w:space="0" w:color="auto"/>
        <w:right w:val="none" w:sz="0" w:space="0" w:color="auto"/>
      </w:divBdr>
    </w:div>
    <w:div w:id="1249466368">
      <w:bodyDiv w:val="1"/>
      <w:marLeft w:val="0"/>
      <w:marRight w:val="0"/>
      <w:marTop w:val="0"/>
      <w:marBottom w:val="0"/>
      <w:divBdr>
        <w:top w:val="none" w:sz="0" w:space="0" w:color="auto"/>
        <w:left w:val="none" w:sz="0" w:space="0" w:color="auto"/>
        <w:bottom w:val="none" w:sz="0" w:space="0" w:color="auto"/>
        <w:right w:val="none" w:sz="0" w:space="0" w:color="auto"/>
      </w:divBdr>
    </w:div>
    <w:div w:id="1249775845">
      <w:bodyDiv w:val="1"/>
      <w:marLeft w:val="0"/>
      <w:marRight w:val="0"/>
      <w:marTop w:val="0"/>
      <w:marBottom w:val="0"/>
      <w:divBdr>
        <w:top w:val="none" w:sz="0" w:space="0" w:color="auto"/>
        <w:left w:val="none" w:sz="0" w:space="0" w:color="auto"/>
        <w:bottom w:val="none" w:sz="0" w:space="0" w:color="auto"/>
        <w:right w:val="none" w:sz="0" w:space="0" w:color="auto"/>
      </w:divBdr>
    </w:div>
    <w:div w:id="1260606804">
      <w:bodyDiv w:val="1"/>
      <w:marLeft w:val="0"/>
      <w:marRight w:val="0"/>
      <w:marTop w:val="0"/>
      <w:marBottom w:val="0"/>
      <w:divBdr>
        <w:top w:val="none" w:sz="0" w:space="0" w:color="auto"/>
        <w:left w:val="none" w:sz="0" w:space="0" w:color="auto"/>
        <w:bottom w:val="none" w:sz="0" w:space="0" w:color="auto"/>
        <w:right w:val="none" w:sz="0" w:space="0" w:color="auto"/>
      </w:divBdr>
    </w:div>
    <w:div w:id="1271746310">
      <w:bodyDiv w:val="1"/>
      <w:marLeft w:val="0"/>
      <w:marRight w:val="0"/>
      <w:marTop w:val="0"/>
      <w:marBottom w:val="0"/>
      <w:divBdr>
        <w:top w:val="none" w:sz="0" w:space="0" w:color="auto"/>
        <w:left w:val="none" w:sz="0" w:space="0" w:color="auto"/>
        <w:bottom w:val="none" w:sz="0" w:space="0" w:color="auto"/>
        <w:right w:val="none" w:sz="0" w:space="0" w:color="auto"/>
      </w:divBdr>
    </w:div>
    <w:div w:id="1272861515">
      <w:bodyDiv w:val="1"/>
      <w:marLeft w:val="0"/>
      <w:marRight w:val="0"/>
      <w:marTop w:val="0"/>
      <w:marBottom w:val="0"/>
      <w:divBdr>
        <w:top w:val="none" w:sz="0" w:space="0" w:color="auto"/>
        <w:left w:val="none" w:sz="0" w:space="0" w:color="auto"/>
        <w:bottom w:val="none" w:sz="0" w:space="0" w:color="auto"/>
        <w:right w:val="none" w:sz="0" w:space="0" w:color="auto"/>
      </w:divBdr>
    </w:div>
    <w:div w:id="1277831205">
      <w:bodyDiv w:val="1"/>
      <w:marLeft w:val="0"/>
      <w:marRight w:val="0"/>
      <w:marTop w:val="0"/>
      <w:marBottom w:val="0"/>
      <w:divBdr>
        <w:top w:val="none" w:sz="0" w:space="0" w:color="auto"/>
        <w:left w:val="none" w:sz="0" w:space="0" w:color="auto"/>
        <w:bottom w:val="none" w:sz="0" w:space="0" w:color="auto"/>
        <w:right w:val="none" w:sz="0" w:space="0" w:color="auto"/>
      </w:divBdr>
    </w:div>
    <w:div w:id="1278753919">
      <w:bodyDiv w:val="1"/>
      <w:marLeft w:val="0"/>
      <w:marRight w:val="0"/>
      <w:marTop w:val="0"/>
      <w:marBottom w:val="0"/>
      <w:divBdr>
        <w:top w:val="none" w:sz="0" w:space="0" w:color="auto"/>
        <w:left w:val="none" w:sz="0" w:space="0" w:color="auto"/>
        <w:bottom w:val="none" w:sz="0" w:space="0" w:color="auto"/>
        <w:right w:val="none" w:sz="0" w:space="0" w:color="auto"/>
      </w:divBdr>
    </w:div>
    <w:div w:id="1289820314">
      <w:bodyDiv w:val="1"/>
      <w:marLeft w:val="0"/>
      <w:marRight w:val="0"/>
      <w:marTop w:val="0"/>
      <w:marBottom w:val="0"/>
      <w:divBdr>
        <w:top w:val="none" w:sz="0" w:space="0" w:color="auto"/>
        <w:left w:val="none" w:sz="0" w:space="0" w:color="auto"/>
        <w:bottom w:val="none" w:sz="0" w:space="0" w:color="auto"/>
        <w:right w:val="none" w:sz="0" w:space="0" w:color="auto"/>
      </w:divBdr>
    </w:div>
    <w:div w:id="1338003864">
      <w:bodyDiv w:val="1"/>
      <w:marLeft w:val="0"/>
      <w:marRight w:val="0"/>
      <w:marTop w:val="0"/>
      <w:marBottom w:val="0"/>
      <w:divBdr>
        <w:top w:val="none" w:sz="0" w:space="0" w:color="auto"/>
        <w:left w:val="none" w:sz="0" w:space="0" w:color="auto"/>
        <w:bottom w:val="none" w:sz="0" w:space="0" w:color="auto"/>
        <w:right w:val="none" w:sz="0" w:space="0" w:color="auto"/>
      </w:divBdr>
    </w:div>
    <w:div w:id="1357467850">
      <w:bodyDiv w:val="1"/>
      <w:marLeft w:val="0"/>
      <w:marRight w:val="0"/>
      <w:marTop w:val="0"/>
      <w:marBottom w:val="0"/>
      <w:divBdr>
        <w:top w:val="none" w:sz="0" w:space="0" w:color="auto"/>
        <w:left w:val="none" w:sz="0" w:space="0" w:color="auto"/>
        <w:bottom w:val="none" w:sz="0" w:space="0" w:color="auto"/>
        <w:right w:val="none" w:sz="0" w:space="0" w:color="auto"/>
      </w:divBdr>
    </w:div>
    <w:div w:id="1397122217">
      <w:bodyDiv w:val="1"/>
      <w:marLeft w:val="0"/>
      <w:marRight w:val="0"/>
      <w:marTop w:val="0"/>
      <w:marBottom w:val="0"/>
      <w:divBdr>
        <w:top w:val="none" w:sz="0" w:space="0" w:color="auto"/>
        <w:left w:val="none" w:sz="0" w:space="0" w:color="auto"/>
        <w:bottom w:val="none" w:sz="0" w:space="0" w:color="auto"/>
        <w:right w:val="none" w:sz="0" w:space="0" w:color="auto"/>
      </w:divBdr>
    </w:div>
    <w:div w:id="1401323475">
      <w:bodyDiv w:val="1"/>
      <w:marLeft w:val="0"/>
      <w:marRight w:val="0"/>
      <w:marTop w:val="0"/>
      <w:marBottom w:val="0"/>
      <w:divBdr>
        <w:top w:val="none" w:sz="0" w:space="0" w:color="auto"/>
        <w:left w:val="none" w:sz="0" w:space="0" w:color="auto"/>
        <w:bottom w:val="none" w:sz="0" w:space="0" w:color="auto"/>
        <w:right w:val="none" w:sz="0" w:space="0" w:color="auto"/>
      </w:divBdr>
      <w:divsChild>
        <w:div w:id="1866553759">
          <w:marLeft w:val="0"/>
          <w:marRight w:val="0"/>
          <w:marTop w:val="0"/>
          <w:marBottom w:val="0"/>
          <w:divBdr>
            <w:top w:val="none" w:sz="0" w:space="0" w:color="auto"/>
            <w:left w:val="none" w:sz="0" w:space="0" w:color="auto"/>
            <w:bottom w:val="none" w:sz="0" w:space="0" w:color="auto"/>
            <w:right w:val="none" w:sz="0" w:space="0" w:color="auto"/>
          </w:divBdr>
          <w:divsChild>
            <w:div w:id="1602643578">
              <w:marLeft w:val="0"/>
              <w:marRight w:val="0"/>
              <w:marTop w:val="0"/>
              <w:marBottom w:val="0"/>
              <w:divBdr>
                <w:top w:val="none" w:sz="0" w:space="0" w:color="auto"/>
                <w:left w:val="none" w:sz="0" w:space="0" w:color="auto"/>
                <w:bottom w:val="none" w:sz="0" w:space="0" w:color="auto"/>
                <w:right w:val="none" w:sz="0" w:space="0" w:color="auto"/>
              </w:divBdr>
              <w:divsChild>
                <w:div w:id="11514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32407">
      <w:bodyDiv w:val="1"/>
      <w:marLeft w:val="0"/>
      <w:marRight w:val="0"/>
      <w:marTop w:val="0"/>
      <w:marBottom w:val="0"/>
      <w:divBdr>
        <w:top w:val="none" w:sz="0" w:space="0" w:color="auto"/>
        <w:left w:val="none" w:sz="0" w:space="0" w:color="auto"/>
        <w:bottom w:val="none" w:sz="0" w:space="0" w:color="auto"/>
        <w:right w:val="none" w:sz="0" w:space="0" w:color="auto"/>
      </w:divBdr>
    </w:div>
    <w:div w:id="1442721489">
      <w:bodyDiv w:val="1"/>
      <w:marLeft w:val="0"/>
      <w:marRight w:val="0"/>
      <w:marTop w:val="0"/>
      <w:marBottom w:val="0"/>
      <w:divBdr>
        <w:top w:val="none" w:sz="0" w:space="0" w:color="auto"/>
        <w:left w:val="none" w:sz="0" w:space="0" w:color="auto"/>
        <w:bottom w:val="none" w:sz="0" w:space="0" w:color="auto"/>
        <w:right w:val="none" w:sz="0" w:space="0" w:color="auto"/>
      </w:divBdr>
    </w:div>
    <w:div w:id="1457218316">
      <w:bodyDiv w:val="1"/>
      <w:marLeft w:val="0"/>
      <w:marRight w:val="0"/>
      <w:marTop w:val="0"/>
      <w:marBottom w:val="0"/>
      <w:divBdr>
        <w:top w:val="none" w:sz="0" w:space="0" w:color="auto"/>
        <w:left w:val="none" w:sz="0" w:space="0" w:color="auto"/>
        <w:bottom w:val="none" w:sz="0" w:space="0" w:color="auto"/>
        <w:right w:val="none" w:sz="0" w:space="0" w:color="auto"/>
      </w:divBdr>
    </w:div>
    <w:div w:id="1465781376">
      <w:bodyDiv w:val="1"/>
      <w:marLeft w:val="0"/>
      <w:marRight w:val="0"/>
      <w:marTop w:val="0"/>
      <w:marBottom w:val="0"/>
      <w:divBdr>
        <w:top w:val="none" w:sz="0" w:space="0" w:color="auto"/>
        <w:left w:val="none" w:sz="0" w:space="0" w:color="auto"/>
        <w:bottom w:val="none" w:sz="0" w:space="0" w:color="auto"/>
        <w:right w:val="none" w:sz="0" w:space="0" w:color="auto"/>
      </w:divBdr>
    </w:div>
    <w:div w:id="1475640777">
      <w:bodyDiv w:val="1"/>
      <w:marLeft w:val="0"/>
      <w:marRight w:val="0"/>
      <w:marTop w:val="0"/>
      <w:marBottom w:val="0"/>
      <w:divBdr>
        <w:top w:val="none" w:sz="0" w:space="0" w:color="auto"/>
        <w:left w:val="none" w:sz="0" w:space="0" w:color="auto"/>
        <w:bottom w:val="none" w:sz="0" w:space="0" w:color="auto"/>
        <w:right w:val="none" w:sz="0" w:space="0" w:color="auto"/>
      </w:divBdr>
    </w:div>
    <w:div w:id="1487016724">
      <w:bodyDiv w:val="1"/>
      <w:marLeft w:val="0"/>
      <w:marRight w:val="0"/>
      <w:marTop w:val="0"/>
      <w:marBottom w:val="0"/>
      <w:divBdr>
        <w:top w:val="none" w:sz="0" w:space="0" w:color="auto"/>
        <w:left w:val="none" w:sz="0" w:space="0" w:color="auto"/>
        <w:bottom w:val="none" w:sz="0" w:space="0" w:color="auto"/>
        <w:right w:val="none" w:sz="0" w:space="0" w:color="auto"/>
      </w:divBdr>
    </w:div>
    <w:div w:id="1488091909">
      <w:bodyDiv w:val="1"/>
      <w:marLeft w:val="0"/>
      <w:marRight w:val="0"/>
      <w:marTop w:val="0"/>
      <w:marBottom w:val="0"/>
      <w:divBdr>
        <w:top w:val="none" w:sz="0" w:space="0" w:color="auto"/>
        <w:left w:val="none" w:sz="0" w:space="0" w:color="auto"/>
        <w:bottom w:val="none" w:sz="0" w:space="0" w:color="auto"/>
        <w:right w:val="none" w:sz="0" w:space="0" w:color="auto"/>
      </w:divBdr>
      <w:divsChild>
        <w:div w:id="412707797">
          <w:marLeft w:val="0"/>
          <w:marRight w:val="0"/>
          <w:marTop w:val="0"/>
          <w:marBottom w:val="0"/>
          <w:divBdr>
            <w:top w:val="none" w:sz="0" w:space="0" w:color="auto"/>
            <w:left w:val="none" w:sz="0" w:space="0" w:color="auto"/>
            <w:bottom w:val="none" w:sz="0" w:space="0" w:color="auto"/>
            <w:right w:val="none" w:sz="0" w:space="0" w:color="auto"/>
          </w:divBdr>
        </w:div>
        <w:div w:id="1906136753">
          <w:marLeft w:val="0"/>
          <w:marRight w:val="0"/>
          <w:marTop w:val="0"/>
          <w:marBottom w:val="0"/>
          <w:divBdr>
            <w:top w:val="none" w:sz="0" w:space="0" w:color="auto"/>
            <w:left w:val="none" w:sz="0" w:space="0" w:color="auto"/>
            <w:bottom w:val="none" w:sz="0" w:space="0" w:color="auto"/>
            <w:right w:val="none" w:sz="0" w:space="0" w:color="auto"/>
          </w:divBdr>
        </w:div>
      </w:divsChild>
    </w:div>
    <w:div w:id="1503084512">
      <w:bodyDiv w:val="1"/>
      <w:marLeft w:val="0"/>
      <w:marRight w:val="0"/>
      <w:marTop w:val="0"/>
      <w:marBottom w:val="0"/>
      <w:divBdr>
        <w:top w:val="none" w:sz="0" w:space="0" w:color="auto"/>
        <w:left w:val="none" w:sz="0" w:space="0" w:color="auto"/>
        <w:bottom w:val="none" w:sz="0" w:space="0" w:color="auto"/>
        <w:right w:val="none" w:sz="0" w:space="0" w:color="auto"/>
      </w:divBdr>
    </w:div>
    <w:div w:id="1509253799">
      <w:bodyDiv w:val="1"/>
      <w:marLeft w:val="0"/>
      <w:marRight w:val="0"/>
      <w:marTop w:val="0"/>
      <w:marBottom w:val="0"/>
      <w:divBdr>
        <w:top w:val="none" w:sz="0" w:space="0" w:color="auto"/>
        <w:left w:val="none" w:sz="0" w:space="0" w:color="auto"/>
        <w:bottom w:val="none" w:sz="0" w:space="0" w:color="auto"/>
        <w:right w:val="none" w:sz="0" w:space="0" w:color="auto"/>
      </w:divBdr>
    </w:div>
    <w:div w:id="1527791075">
      <w:bodyDiv w:val="1"/>
      <w:marLeft w:val="0"/>
      <w:marRight w:val="0"/>
      <w:marTop w:val="0"/>
      <w:marBottom w:val="0"/>
      <w:divBdr>
        <w:top w:val="none" w:sz="0" w:space="0" w:color="auto"/>
        <w:left w:val="none" w:sz="0" w:space="0" w:color="auto"/>
        <w:bottom w:val="none" w:sz="0" w:space="0" w:color="auto"/>
        <w:right w:val="none" w:sz="0" w:space="0" w:color="auto"/>
      </w:divBdr>
    </w:div>
    <w:div w:id="1536886929">
      <w:bodyDiv w:val="1"/>
      <w:marLeft w:val="0"/>
      <w:marRight w:val="0"/>
      <w:marTop w:val="0"/>
      <w:marBottom w:val="0"/>
      <w:divBdr>
        <w:top w:val="none" w:sz="0" w:space="0" w:color="auto"/>
        <w:left w:val="none" w:sz="0" w:space="0" w:color="auto"/>
        <w:bottom w:val="none" w:sz="0" w:space="0" w:color="auto"/>
        <w:right w:val="none" w:sz="0" w:space="0" w:color="auto"/>
      </w:divBdr>
    </w:div>
    <w:div w:id="1545873351">
      <w:bodyDiv w:val="1"/>
      <w:marLeft w:val="0"/>
      <w:marRight w:val="0"/>
      <w:marTop w:val="0"/>
      <w:marBottom w:val="0"/>
      <w:divBdr>
        <w:top w:val="none" w:sz="0" w:space="0" w:color="auto"/>
        <w:left w:val="none" w:sz="0" w:space="0" w:color="auto"/>
        <w:bottom w:val="none" w:sz="0" w:space="0" w:color="auto"/>
        <w:right w:val="none" w:sz="0" w:space="0" w:color="auto"/>
      </w:divBdr>
    </w:div>
    <w:div w:id="1558398745">
      <w:bodyDiv w:val="1"/>
      <w:marLeft w:val="0"/>
      <w:marRight w:val="0"/>
      <w:marTop w:val="0"/>
      <w:marBottom w:val="0"/>
      <w:divBdr>
        <w:top w:val="none" w:sz="0" w:space="0" w:color="auto"/>
        <w:left w:val="none" w:sz="0" w:space="0" w:color="auto"/>
        <w:bottom w:val="none" w:sz="0" w:space="0" w:color="auto"/>
        <w:right w:val="none" w:sz="0" w:space="0" w:color="auto"/>
      </w:divBdr>
      <w:divsChild>
        <w:div w:id="954211713">
          <w:marLeft w:val="0"/>
          <w:marRight w:val="0"/>
          <w:marTop w:val="0"/>
          <w:marBottom w:val="0"/>
          <w:divBdr>
            <w:top w:val="none" w:sz="0" w:space="0" w:color="auto"/>
            <w:left w:val="none" w:sz="0" w:space="0" w:color="auto"/>
            <w:bottom w:val="none" w:sz="0" w:space="0" w:color="auto"/>
            <w:right w:val="none" w:sz="0" w:space="0" w:color="auto"/>
          </w:divBdr>
          <w:divsChild>
            <w:div w:id="162597679">
              <w:marLeft w:val="0"/>
              <w:marRight w:val="0"/>
              <w:marTop w:val="0"/>
              <w:marBottom w:val="0"/>
              <w:divBdr>
                <w:top w:val="none" w:sz="0" w:space="0" w:color="auto"/>
                <w:left w:val="none" w:sz="0" w:space="0" w:color="auto"/>
                <w:bottom w:val="none" w:sz="0" w:space="0" w:color="auto"/>
                <w:right w:val="none" w:sz="0" w:space="0" w:color="auto"/>
              </w:divBdr>
            </w:div>
            <w:div w:id="215774588">
              <w:marLeft w:val="0"/>
              <w:marRight w:val="0"/>
              <w:marTop w:val="0"/>
              <w:marBottom w:val="0"/>
              <w:divBdr>
                <w:top w:val="none" w:sz="0" w:space="0" w:color="auto"/>
                <w:left w:val="none" w:sz="0" w:space="0" w:color="auto"/>
                <w:bottom w:val="none" w:sz="0" w:space="0" w:color="auto"/>
                <w:right w:val="none" w:sz="0" w:space="0" w:color="auto"/>
              </w:divBdr>
            </w:div>
          </w:divsChild>
        </w:div>
        <w:div w:id="1885826682">
          <w:marLeft w:val="0"/>
          <w:marRight w:val="0"/>
          <w:marTop w:val="0"/>
          <w:marBottom w:val="0"/>
          <w:divBdr>
            <w:top w:val="none" w:sz="0" w:space="0" w:color="auto"/>
            <w:left w:val="none" w:sz="0" w:space="0" w:color="auto"/>
            <w:bottom w:val="none" w:sz="0" w:space="0" w:color="auto"/>
            <w:right w:val="none" w:sz="0" w:space="0" w:color="auto"/>
          </w:divBdr>
        </w:div>
      </w:divsChild>
    </w:div>
    <w:div w:id="1630357522">
      <w:bodyDiv w:val="1"/>
      <w:marLeft w:val="0"/>
      <w:marRight w:val="0"/>
      <w:marTop w:val="0"/>
      <w:marBottom w:val="0"/>
      <w:divBdr>
        <w:top w:val="none" w:sz="0" w:space="0" w:color="auto"/>
        <w:left w:val="none" w:sz="0" w:space="0" w:color="auto"/>
        <w:bottom w:val="none" w:sz="0" w:space="0" w:color="auto"/>
        <w:right w:val="none" w:sz="0" w:space="0" w:color="auto"/>
      </w:divBdr>
    </w:div>
    <w:div w:id="1641884143">
      <w:bodyDiv w:val="1"/>
      <w:marLeft w:val="0"/>
      <w:marRight w:val="0"/>
      <w:marTop w:val="0"/>
      <w:marBottom w:val="0"/>
      <w:divBdr>
        <w:top w:val="none" w:sz="0" w:space="0" w:color="auto"/>
        <w:left w:val="none" w:sz="0" w:space="0" w:color="auto"/>
        <w:bottom w:val="none" w:sz="0" w:space="0" w:color="auto"/>
        <w:right w:val="none" w:sz="0" w:space="0" w:color="auto"/>
      </w:divBdr>
    </w:div>
    <w:div w:id="1697389930">
      <w:bodyDiv w:val="1"/>
      <w:marLeft w:val="0"/>
      <w:marRight w:val="0"/>
      <w:marTop w:val="0"/>
      <w:marBottom w:val="0"/>
      <w:divBdr>
        <w:top w:val="none" w:sz="0" w:space="0" w:color="auto"/>
        <w:left w:val="none" w:sz="0" w:space="0" w:color="auto"/>
        <w:bottom w:val="none" w:sz="0" w:space="0" w:color="auto"/>
        <w:right w:val="none" w:sz="0" w:space="0" w:color="auto"/>
      </w:divBdr>
    </w:div>
    <w:div w:id="1702392094">
      <w:bodyDiv w:val="1"/>
      <w:marLeft w:val="0"/>
      <w:marRight w:val="0"/>
      <w:marTop w:val="0"/>
      <w:marBottom w:val="0"/>
      <w:divBdr>
        <w:top w:val="none" w:sz="0" w:space="0" w:color="auto"/>
        <w:left w:val="none" w:sz="0" w:space="0" w:color="auto"/>
        <w:bottom w:val="none" w:sz="0" w:space="0" w:color="auto"/>
        <w:right w:val="none" w:sz="0" w:space="0" w:color="auto"/>
      </w:divBdr>
    </w:div>
    <w:div w:id="1702852553">
      <w:bodyDiv w:val="1"/>
      <w:marLeft w:val="0"/>
      <w:marRight w:val="0"/>
      <w:marTop w:val="0"/>
      <w:marBottom w:val="0"/>
      <w:divBdr>
        <w:top w:val="none" w:sz="0" w:space="0" w:color="auto"/>
        <w:left w:val="none" w:sz="0" w:space="0" w:color="auto"/>
        <w:bottom w:val="none" w:sz="0" w:space="0" w:color="auto"/>
        <w:right w:val="none" w:sz="0" w:space="0" w:color="auto"/>
      </w:divBdr>
    </w:div>
    <w:div w:id="1726180101">
      <w:bodyDiv w:val="1"/>
      <w:marLeft w:val="0"/>
      <w:marRight w:val="0"/>
      <w:marTop w:val="0"/>
      <w:marBottom w:val="0"/>
      <w:divBdr>
        <w:top w:val="none" w:sz="0" w:space="0" w:color="auto"/>
        <w:left w:val="none" w:sz="0" w:space="0" w:color="auto"/>
        <w:bottom w:val="none" w:sz="0" w:space="0" w:color="auto"/>
        <w:right w:val="none" w:sz="0" w:space="0" w:color="auto"/>
      </w:divBdr>
    </w:div>
    <w:div w:id="1735079945">
      <w:bodyDiv w:val="1"/>
      <w:marLeft w:val="0"/>
      <w:marRight w:val="0"/>
      <w:marTop w:val="0"/>
      <w:marBottom w:val="0"/>
      <w:divBdr>
        <w:top w:val="none" w:sz="0" w:space="0" w:color="auto"/>
        <w:left w:val="none" w:sz="0" w:space="0" w:color="auto"/>
        <w:bottom w:val="none" w:sz="0" w:space="0" w:color="auto"/>
        <w:right w:val="none" w:sz="0" w:space="0" w:color="auto"/>
      </w:divBdr>
    </w:div>
    <w:div w:id="1785923485">
      <w:bodyDiv w:val="1"/>
      <w:marLeft w:val="0"/>
      <w:marRight w:val="0"/>
      <w:marTop w:val="0"/>
      <w:marBottom w:val="0"/>
      <w:divBdr>
        <w:top w:val="none" w:sz="0" w:space="0" w:color="auto"/>
        <w:left w:val="none" w:sz="0" w:space="0" w:color="auto"/>
        <w:bottom w:val="none" w:sz="0" w:space="0" w:color="auto"/>
        <w:right w:val="none" w:sz="0" w:space="0" w:color="auto"/>
      </w:divBdr>
    </w:div>
    <w:div w:id="1803496447">
      <w:bodyDiv w:val="1"/>
      <w:marLeft w:val="0"/>
      <w:marRight w:val="0"/>
      <w:marTop w:val="0"/>
      <w:marBottom w:val="0"/>
      <w:divBdr>
        <w:top w:val="none" w:sz="0" w:space="0" w:color="auto"/>
        <w:left w:val="none" w:sz="0" w:space="0" w:color="auto"/>
        <w:bottom w:val="none" w:sz="0" w:space="0" w:color="auto"/>
        <w:right w:val="none" w:sz="0" w:space="0" w:color="auto"/>
      </w:divBdr>
    </w:div>
    <w:div w:id="1807120227">
      <w:bodyDiv w:val="1"/>
      <w:marLeft w:val="0"/>
      <w:marRight w:val="0"/>
      <w:marTop w:val="0"/>
      <w:marBottom w:val="0"/>
      <w:divBdr>
        <w:top w:val="none" w:sz="0" w:space="0" w:color="auto"/>
        <w:left w:val="none" w:sz="0" w:space="0" w:color="auto"/>
        <w:bottom w:val="none" w:sz="0" w:space="0" w:color="auto"/>
        <w:right w:val="none" w:sz="0" w:space="0" w:color="auto"/>
      </w:divBdr>
    </w:div>
    <w:div w:id="1834686667">
      <w:bodyDiv w:val="1"/>
      <w:marLeft w:val="0"/>
      <w:marRight w:val="0"/>
      <w:marTop w:val="0"/>
      <w:marBottom w:val="0"/>
      <w:divBdr>
        <w:top w:val="none" w:sz="0" w:space="0" w:color="auto"/>
        <w:left w:val="none" w:sz="0" w:space="0" w:color="auto"/>
        <w:bottom w:val="none" w:sz="0" w:space="0" w:color="auto"/>
        <w:right w:val="none" w:sz="0" w:space="0" w:color="auto"/>
      </w:divBdr>
    </w:div>
    <w:div w:id="1843160704">
      <w:bodyDiv w:val="1"/>
      <w:marLeft w:val="0"/>
      <w:marRight w:val="0"/>
      <w:marTop w:val="0"/>
      <w:marBottom w:val="0"/>
      <w:divBdr>
        <w:top w:val="none" w:sz="0" w:space="0" w:color="auto"/>
        <w:left w:val="none" w:sz="0" w:space="0" w:color="auto"/>
        <w:bottom w:val="none" w:sz="0" w:space="0" w:color="auto"/>
        <w:right w:val="none" w:sz="0" w:space="0" w:color="auto"/>
      </w:divBdr>
    </w:div>
    <w:div w:id="1875312963">
      <w:bodyDiv w:val="1"/>
      <w:marLeft w:val="0"/>
      <w:marRight w:val="0"/>
      <w:marTop w:val="0"/>
      <w:marBottom w:val="0"/>
      <w:divBdr>
        <w:top w:val="none" w:sz="0" w:space="0" w:color="auto"/>
        <w:left w:val="none" w:sz="0" w:space="0" w:color="auto"/>
        <w:bottom w:val="none" w:sz="0" w:space="0" w:color="auto"/>
        <w:right w:val="none" w:sz="0" w:space="0" w:color="auto"/>
      </w:divBdr>
    </w:div>
    <w:div w:id="1881239303">
      <w:bodyDiv w:val="1"/>
      <w:marLeft w:val="0"/>
      <w:marRight w:val="0"/>
      <w:marTop w:val="0"/>
      <w:marBottom w:val="0"/>
      <w:divBdr>
        <w:top w:val="none" w:sz="0" w:space="0" w:color="auto"/>
        <w:left w:val="none" w:sz="0" w:space="0" w:color="auto"/>
        <w:bottom w:val="none" w:sz="0" w:space="0" w:color="auto"/>
        <w:right w:val="none" w:sz="0" w:space="0" w:color="auto"/>
      </w:divBdr>
    </w:div>
    <w:div w:id="1884293119">
      <w:bodyDiv w:val="1"/>
      <w:marLeft w:val="0"/>
      <w:marRight w:val="0"/>
      <w:marTop w:val="0"/>
      <w:marBottom w:val="0"/>
      <w:divBdr>
        <w:top w:val="none" w:sz="0" w:space="0" w:color="auto"/>
        <w:left w:val="none" w:sz="0" w:space="0" w:color="auto"/>
        <w:bottom w:val="none" w:sz="0" w:space="0" w:color="auto"/>
        <w:right w:val="none" w:sz="0" w:space="0" w:color="auto"/>
      </w:divBdr>
      <w:divsChild>
        <w:div w:id="3285938">
          <w:marLeft w:val="0"/>
          <w:marRight w:val="0"/>
          <w:marTop w:val="0"/>
          <w:marBottom w:val="0"/>
          <w:divBdr>
            <w:top w:val="none" w:sz="0" w:space="0" w:color="auto"/>
            <w:left w:val="none" w:sz="0" w:space="0" w:color="auto"/>
            <w:bottom w:val="none" w:sz="0" w:space="0" w:color="auto"/>
            <w:right w:val="none" w:sz="0" w:space="0" w:color="auto"/>
          </w:divBdr>
        </w:div>
        <w:div w:id="1708067447">
          <w:marLeft w:val="0"/>
          <w:marRight w:val="0"/>
          <w:marTop w:val="0"/>
          <w:marBottom w:val="0"/>
          <w:divBdr>
            <w:top w:val="none" w:sz="0" w:space="0" w:color="auto"/>
            <w:left w:val="none" w:sz="0" w:space="0" w:color="auto"/>
            <w:bottom w:val="none" w:sz="0" w:space="0" w:color="auto"/>
            <w:right w:val="none" w:sz="0" w:space="0" w:color="auto"/>
          </w:divBdr>
        </w:div>
      </w:divsChild>
    </w:div>
    <w:div w:id="1951155650">
      <w:bodyDiv w:val="1"/>
      <w:marLeft w:val="0"/>
      <w:marRight w:val="0"/>
      <w:marTop w:val="0"/>
      <w:marBottom w:val="0"/>
      <w:divBdr>
        <w:top w:val="none" w:sz="0" w:space="0" w:color="auto"/>
        <w:left w:val="none" w:sz="0" w:space="0" w:color="auto"/>
        <w:bottom w:val="none" w:sz="0" w:space="0" w:color="auto"/>
        <w:right w:val="none" w:sz="0" w:space="0" w:color="auto"/>
      </w:divBdr>
    </w:div>
    <w:div w:id="1973290959">
      <w:bodyDiv w:val="1"/>
      <w:marLeft w:val="0"/>
      <w:marRight w:val="0"/>
      <w:marTop w:val="0"/>
      <w:marBottom w:val="0"/>
      <w:divBdr>
        <w:top w:val="none" w:sz="0" w:space="0" w:color="auto"/>
        <w:left w:val="none" w:sz="0" w:space="0" w:color="auto"/>
        <w:bottom w:val="none" w:sz="0" w:space="0" w:color="auto"/>
        <w:right w:val="none" w:sz="0" w:space="0" w:color="auto"/>
      </w:divBdr>
    </w:div>
    <w:div w:id="1978608149">
      <w:bodyDiv w:val="1"/>
      <w:marLeft w:val="0"/>
      <w:marRight w:val="0"/>
      <w:marTop w:val="0"/>
      <w:marBottom w:val="0"/>
      <w:divBdr>
        <w:top w:val="none" w:sz="0" w:space="0" w:color="auto"/>
        <w:left w:val="none" w:sz="0" w:space="0" w:color="auto"/>
        <w:bottom w:val="none" w:sz="0" w:space="0" w:color="auto"/>
        <w:right w:val="none" w:sz="0" w:space="0" w:color="auto"/>
      </w:divBdr>
    </w:div>
    <w:div w:id="2043281432">
      <w:bodyDiv w:val="1"/>
      <w:marLeft w:val="0"/>
      <w:marRight w:val="0"/>
      <w:marTop w:val="0"/>
      <w:marBottom w:val="0"/>
      <w:divBdr>
        <w:top w:val="none" w:sz="0" w:space="0" w:color="auto"/>
        <w:left w:val="none" w:sz="0" w:space="0" w:color="auto"/>
        <w:bottom w:val="none" w:sz="0" w:space="0" w:color="auto"/>
        <w:right w:val="none" w:sz="0" w:space="0" w:color="auto"/>
      </w:divBdr>
    </w:div>
    <w:div w:id="2085369909">
      <w:bodyDiv w:val="1"/>
      <w:marLeft w:val="0"/>
      <w:marRight w:val="0"/>
      <w:marTop w:val="0"/>
      <w:marBottom w:val="0"/>
      <w:divBdr>
        <w:top w:val="none" w:sz="0" w:space="0" w:color="auto"/>
        <w:left w:val="none" w:sz="0" w:space="0" w:color="auto"/>
        <w:bottom w:val="none" w:sz="0" w:space="0" w:color="auto"/>
        <w:right w:val="none" w:sz="0" w:space="0" w:color="auto"/>
      </w:divBdr>
    </w:div>
    <w:div w:id="2093118595">
      <w:bodyDiv w:val="1"/>
      <w:marLeft w:val="0"/>
      <w:marRight w:val="0"/>
      <w:marTop w:val="0"/>
      <w:marBottom w:val="0"/>
      <w:divBdr>
        <w:top w:val="none" w:sz="0" w:space="0" w:color="auto"/>
        <w:left w:val="none" w:sz="0" w:space="0" w:color="auto"/>
        <w:bottom w:val="none" w:sz="0" w:space="0" w:color="auto"/>
        <w:right w:val="none" w:sz="0" w:space="0" w:color="auto"/>
      </w:divBdr>
    </w:div>
    <w:div w:id="214337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136/fmch-2021-001481" TargetMode="External"/><Relationship Id="rId21" Type="http://schemas.openxmlformats.org/officeDocument/2006/relationships/footer" Target="footer6.xml"/><Relationship Id="rId42" Type="http://schemas.openxmlformats.org/officeDocument/2006/relationships/hyperlink" Target="https://www.mja.com.au/journal/2019/national-data-linkage-asset-boost-health-services" TargetMode="External"/><Relationship Id="rId63" Type="http://schemas.openxmlformats.org/officeDocument/2006/relationships/image" Target="media/image4.png"/><Relationship Id="rId84" Type="http://schemas.openxmlformats.org/officeDocument/2006/relationships/hyperlink" Target="https://doi.org/10.1111/cen.14736" TargetMode="External"/><Relationship Id="rId138" Type="http://schemas.openxmlformats.org/officeDocument/2006/relationships/hyperlink" Target="https://doi.org/10.1071/SH21230" TargetMode="External"/><Relationship Id="rId159" Type="http://schemas.openxmlformats.org/officeDocument/2006/relationships/hyperlink" Target="https://www.facebook.com/womenshealthaustralia" TargetMode="External"/><Relationship Id="rId170" Type="http://schemas.openxmlformats.org/officeDocument/2006/relationships/hyperlink" Target="https://www.theguardian.com/society/2022/aug/31/most-women-in-their-20s-have-experienced-sexual-violence-shocking-australian-data-shows" TargetMode="External"/><Relationship Id="rId107" Type="http://schemas.openxmlformats.org/officeDocument/2006/relationships/hyperlink" Target="https://doi.org/10.1111/cen.14640" TargetMode="External"/><Relationship Id="rId11" Type="http://schemas.openxmlformats.org/officeDocument/2006/relationships/footer" Target="footer2.xml"/><Relationship Id="rId32" Type="http://schemas.openxmlformats.org/officeDocument/2006/relationships/footer" Target="footer9.xml"/><Relationship Id="rId53" Type="http://schemas.openxmlformats.org/officeDocument/2006/relationships/hyperlink" Target="https://www.comlaw.gov.au/Details/C2015C00207" TargetMode="External"/><Relationship Id="rId74" Type="http://schemas.openxmlformats.org/officeDocument/2006/relationships/hyperlink" Target="http://dx.doi.org/10.1136/heartjnl-2021-319654" TargetMode="External"/><Relationship Id="rId128" Type="http://schemas.openxmlformats.org/officeDocument/2006/relationships/hyperlink" Target="https://doi.org/10.1016/j.sapharm.2022.05.003" TargetMode="External"/><Relationship Id="rId149" Type="http://schemas.openxmlformats.org/officeDocument/2006/relationships/hyperlink" Target="https://doi.org/10.1016/j.maturitas.2021.11.007" TargetMode="External"/><Relationship Id="rId5" Type="http://schemas.openxmlformats.org/officeDocument/2006/relationships/webSettings" Target="webSettings.xml"/><Relationship Id="rId95" Type="http://schemas.openxmlformats.org/officeDocument/2006/relationships/hyperlink" Target="https://doi.org/10.1093/ije/dyac139" TargetMode="External"/><Relationship Id="rId160" Type="http://schemas.openxmlformats.org/officeDocument/2006/relationships/hyperlink" Target="https://twitter.com/ALSWH_Official" TargetMode="External"/><Relationship Id="rId181" Type="http://schemas.openxmlformats.org/officeDocument/2006/relationships/hyperlink" Target="https://theconversation.com/endometriosis-can-end-womens-careers-and-stall-their-education-thats-everyones-business-179846" TargetMode="External"/><Relationship Id="rId22" Type="http://schemas.openxmlformats.org/officeDocument/2006/relationships/footer" Target="footer7.xml"/><Relationship Id="rId43" Type="http://schemas.openxmlformats.org/officeDocument/2006/relationships/hyperlink" Target="https://ardc.edu.au/project/linked-data-asset-for-australian-health-research-lindahr/" TargetMode="External"/><Relationship Id="rId64" Type="http://schemas.openxmlformats.org/officeDocument/2006/relationships/hyperlink" Target="https://www.alswh.org.au/for-participants/participant-information/participant-privacy-policy/" TargetMode="External"/><Relationship Id="rId118" Type="http://schemas.openxmlformats.org/officeDocument/2006/relationships/hyperlink" Target="https://doi.org/10.1080/13607863.2021.1940097" TargetMode="External"/><Relationship Id="rId139" Type="http://schemas.openxmlformats.org/officeDocument/2006/relationships/hyperlink" Target="https://doi.org/10.1177/00221465221086335" TargetMode="External"/><Relationship Id="rId85" Type="http://schemas.openxmlformats.org/officeDocument/2006/relationships/hyperlink" Target="https://doi.org/10.1186/s12889-022-13304-8" TargetMode="External"/><Relationship Id="rId150" Type="http://schemas.openxmlformats.org/officeDocument/2006/relationships/hyperlink" Target="https://doi.org/10.1186/s12889-022-13304-8" TargetMode="External"/><Relationship Id="rId171" Type="http://schemas.openxmlformats.org/officeDocument/2006/relationships/hyperlink" Target="https://womensagenda.com.au/latest/over-half-of-women-in-their-20s-have-experienced-sexual-violence-new-australian-study-finds/" TargetMode="External"/><Relationship Id="rId12" Type="http://schemas.openxmlformats.org/officeDocument/2006/relationships/header" Target="header3.xml"/><Relationship Id="rId33" Type="http://schemas.openxmlformats.org/officeDocument/2006/relationships/header" Target="header9.xml"/><Relationship Id="rId108" Type="http://schemas.openxmlformats.org/officeDocument/2006/relationships/hyperlink" Target="https://doi.org/10.1136/bmj-2022-070603" TargetMode="External"/><Relationship Id="rId129" Type="http://schemas.openxmlformats.org/officeDocument/2006/relationships/hyperlink" Target="https://doi.org/10.1186/s12886-022-02506-8" TargetMode="External"/><Relationship Id="rId54" Type="http://schemas.openxmlformats.org/officeDocument/2006/relationships/hyperlink" Target="https://www.health.gov.au/about-us/corporate-reporting/public-interest-disclosures" TargetMode="External"/><Relationship Id="rId75" Type="http://schemas.openxmlformats.org/officeDocument/2006/relationships/hyperlink" Target="https://doi.org/10.1186/s12978-022-01413-x" TargetMode="External"/><Relationship Id="rId96" Type="http://schemas.openxmlformats.org/officeDocument/2006/relationships/hyperlink" Target="https://doi.org/10.3389/ijph.2022.1605045" TargetMode="External"/><Relationship Id="rId140" Type="http://schemas.openxmlformats.org/officeDocument/2006/relationships/hyperlink" Target="https://doi.org/10.1080/13607863.2021.1940097" TargetMode="External"/><Relationship Id="rId161" Type="http://schemas.openxmlformats.org/officeDocument/2006/relationships/hyperlink" Target="https://www.linkedin.com/company/alswh" TargetMode="External"/><Relationship Id="rId182" Type="http://schemas.openxmlformats.org/officeDocument/2006/relationships/hyperlink" Target="https://www.abc.net.au/news/2022-01-26/stories-from-the-past-usher-in-australia-day-in-newcastle/100780678" TargetMode="External"/><Relationship Id="rId6" Type="http://schemas.openxmlformats.org/officeDocument/2006/relationships/footnotes" Target="footnotes.xml"/><Relationship Id="rId23" Type="http://schemas.openxmlformats.org/officeDocument/2006/relationships/header" Target="header7.xml"/><Relationship Id="rId119" Type="http://schemas.openxmlformats.org/officeDocument/2006/relationships/hyperlink" Target="https://doi.org/10.1177/01640275221090681" TargetMode="External"/><Relationship Id="rId44" Type="http://schemas.openxmlformats.org/officeDocument/2006/relationships/hyperlink" Target="https://www.youtube.com/watch?v=EZ3uF27z968" TargetMode="External"/><Relationship Id="rId65" Type="http://schemas.openxmlformats.org/officeDocument/2006/relationships/hyperlink" Target="https://www.medicalresearch.nsw.gov.au/national-mutual-acceptance/" TargetMode="External"/><Relationship Id="rId86" Type="http://schemas.openxmlformats.org/officeDocument/2006/relationships/hyperlink" Target="https://doi.org/10.1016/j.ypmed.2022.107134" TargetMode="External"/><Relationship Id="rId130" Type="http://schemas.openxmlformats.org/officeDocument/2006/relationships/hyperlink" Target="http://dx.doi.org/10.1136/fmch-2021-001481" TargetMode="External"/><Relationship Id="rId151" Type="http://schemas.openxmlformats.org/officeDocument/2006/relationships/hyperlink" Target="https://doi.org/10.1016/j.ypmed.2022.107134" TargetMode="External"/><Relationship Id="rId172" Type="http://schemas.openxmlformats.org/officeDocument/2006/relationships/hyperlink" Target="https://www.womenshealth.com.au/more-than-half-of-women-in-their-20s-have-experience-sexual-violence/" TargetMode="External"/><Relationship Id="rId13" Type="http://schemas.openxmlformats.org/officeDocument/2006/relationships/footer" Target="footer3.xml"/><Relationship Id="rId18" Type="http://schemas.openxmlformats.org/officeDocument/2006/relationships/hyperlink" Target="https://alswh.org.au/for-data-users/data-documentation/technical-reports/" TargetMode="External"/><Relationship Id="rId39" Type="http://schemas.openxmlformats.org/officeDocument/2006/relationships/header" Target="header12.xml"/><Relationship Id="rId109" Type="http://schemas.openxmlformats.org/officeDocument/2006/relationships/hyperlink" Target="https://doi.org/10.1186/s12884-022-04482-9" TargetMode="External"/><Relationship Id="rId34" Type="http://schemas.openxmlformats.org/officeDocument/2006/relationships/footer" Target="footer10.xml"/><Relationship Id="rId50" Type="http://schemas.openxmlformats.org/officeDocument/2006/relationships/hyperlink" Target="https://www.nhmrc.gov.au/sites/default/files/documents/attachments/grant%20documents/The-australian-code-for-the-responsible-conduct-of-research-2018.pdf" TargetMode="External"/><Relationship Id="rId55" Type="http://schemas.openxmlformats.org/officeDocument/2006/relationships/hyperlink" Target="https://statisticaldataintegration.abs.gov.au/about-3" TargetMode="External"/><Relationship Id="rId76" Type="http://schemas.openxmlformats.org/officeDocument/2006/relationships/hyperlink" Target="https://doi.org/10.1111/cen.14640" TargetMode="External"/><Relationship Id="rId97" Type="http://schemas.openxmlformats.org/officeDocument/2006/relationships/hyperlink" Target="https://doi.org/10.1016/j.orcp.2022.04.002" TargetMode="External"/><Relationship Id="rId104" Type="http://schemas.openxmlformats.org/officeDocument/2006/relationships/hyperlink" Target="https://doi.org/10.1016/j.orcp.2022.04.002" TargetMode="External"/><Relationship Id="rId120" Type="http://schemas.openxmlformats.org/officeDocument/2006/relationships/hyperlink" Target="https://doi.org/10.1017/S0007114522002410" TargetMode="External"/><Relationship Id="rId125" Type="http://schemas.openxmlformats.org/officeDocument/2006/relationships/hyperlink" Target="https://doi.org/10.1177/01640275221090681" TargetMode="External"/><Relationship Id="rId141" Type="http://schemas.openxmlformats.org/officeDocument/2006/relationships/hyperlink" Target="https://doi.org/10.1177/01640275221090681" TargetMode="External"/><Relationship Id="rId146" Type="http://schemas.openxmlformats.org/officeDocument/2006/relationships/hyperlink" Target="https://doi.org/10.1016/j.envres.2022.113759" TargetMode="External"/><Relationship Id="rId167" Type="http://schemas.openxmlformats.org/officeDocument/2006/relationships/footer" Target="footer16.xm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oi.org/10.1016/j.ypmed.2022.107134" TargetMode="External"/><Relationship Id="rId92" Type="http://schemas.openxmlformats.org/officeDocument/2006/relationships/hyperlink" Target="https://doi.org/10.1002/ijc.33889" TargetMode="External"/><Relationship Id="rId162" Type="http://schemas.openxmlformats.org/officeDocument/2006/relationships/header" Target="header13.xml"/><Relationship Id="rId183" Type="http://schemas.openxmlformats.org/officeDocument/2006/relationships/hyperlink" Target="https://www.theaustralian.com.au/science/calls-for-screening-for-heart-attack-risk-diabetes-as-scientists-probe-period-link/news-story/e02c19f8071be5f31d15267e942c8374" TargetMode="External"/><Relationship Id="rId2" Type="http://schemas.openxmlformats.org/officeDocument/2006/relationships/numbering" Target="numbering.xml"/><Relationship Id="rId29" Type="http://schemas.openxmlformats.org/officeDocument/2006/relationships/hyperlink" Target="https://alswh.org.au/post-outcomes/alswh-covid-19-survey-vaccine-report/" TargetMode="External"/><Relationship Id="rId24" Type="http://schemas.openxmlformats.org/officeDocument/2006/relationships/footer" Target="footer8.xml"/><Relationship Id="rId40" Type="http://schemas.openxmlformats.org/officeDocument/2006/relationships/footer" Target="footer13.xml"/><Relationship Id="rId45" Type="http://schemas.openxmlformats.org/officeDocument/2006/relationships/hyperlink" Target="https://alswh.org.au/for-data-users/data-documentation/technical-reports/" TargetMode="External"/><Relationship Id="rId66" Type="http://schemas.openxmlformats.org/officeDocument/2006/relationships/image" Target="media/image5.png"/><Relationship Id="rId87" Type="http://schemas.openxmlformats.org/officeDocument/2006/relationships/hyperlink" Target="https://doi.org/10.1093/humrep/deab239" TargetMode="External"/><Relationship Id="rId110" Type="http://schemas.openxmlformats.org/officeDocument/2006/relationships/hyperlink" Target="https://doi.org/10.1111/birt.12638" TargetMode="External"/><Relationship Id="rId115" Type="http://schemas.openxmlformats.org/officeDocument/2006/relationships/hyperlink" Target="https://doi.org/10.1177/00221465221086335" TargetMode="External"/><Relationship Id="rId131" Type="http://schemas.openxmlformats.org/officeDocument/2006/relationships/hyperlink" Target="https://doi.org/10.1007/s40520-022-02091-2" TargetMode="External"/><Relationship Id="rId136" Type="http://schemas.openxmlformats.org/officeDocument/2006/relationships/hyperlink" Target="https://doi.org/10.1186/s12884-022-04482-9" TargetMode="External"/><Relationship Id="rId157" Type="http://schemas.openxmlformats.org/officeDocument/2006/relationships/hyperlink" Target="https://doi.org/10.1007/s40520-022-02091-2" TargetMode="External"/><Relationship Id="rId178" Type="http://schemas.openxmlformats.org/officeDocument/2006/relationships/hyperlink" Target="https://www.psypost.org/2022/06/young-womens-psychological-distress-increases-when-they-change-their-identity-away-from-the-heterosexual-norm-63361" TargetMode="External"/><Relationship Id="rId61" Type="http://schemas.openxmlformats.org/officeDocument/2006/relationships/hyperlink" Target="https://www.newcastle.edu.au/privacy" TargetMode="External"/><Relationship Id="rId82" Type="http://schemas.openxmlformats.org/officeDocument/2006/relationships/hyperlink" Target="https://doi.org/10.1016/j.orcp.2022.04.002" TargetMode="External"/><Relationship Id="rId152" Type="http://schemas.openxmlformats.org/officeDocument/2006/relationships/hyperlink" Target="https://doi.org/10.1016/j.scitotenv.2022.155214" TargetMode="External"/><Relationship Id="rId173" Type="http://schemas.openxmlformats.org/officeDocument/2006/relationships/hyperlink" Target="https://www.bodyandsoul.com.au/health/new-research-finds-that-the-psychological-toll-of-fertility-issues-can-last-years/news-story/4d6a96cb5b9a1a665188a71dee1550cd" TargetMode="External"/><Relationship Id="rId19" Type="http://schemas.openxmlformats.org/officeDocument/2006/relationships/header" Target="header5.xml"/><Relationship Id="rId14" Type="http://schemas.openxmlformats.org/officeDocument/2006/relationships/header" Target="header4.xml"/><Relationship Id="rId30" Type="http://schemas.openxmlformats.org/officeDocument/2006/relationships/hyperlink" Target="https://apps.who.int/iris/handle/10665/340645" TargetMode="External"/><Relationship Id="rId35" Type="http://schemas.openxmlformats.org/officeDocument/2006/relationships/header" Target="header10.xml"/><Relationship Id="rId56" Type="http://schemas.openxmlformats.org/officeDocument/2006/relationships/hyperlink" Target="https://statisticaldataintegration.abs.gov.au/" TargetMode="External"/><Relationship Id="rId77" Type="http://schemas.openxmlformats.org/officeDocument/2006/relationships/hyperlink" Target="https://doi.org/10.1002/ijc.33889" TargetMode="External"/><Relationship Id="rId100" Type="http://schemas.openxmlformats.org/officeDocument/2006/relationships/hyperlink" Target="https://doi.org/10.1071/SH21230" TargetMode="External"/><Relationship Id="rId105" Type="http://schemas.openxmlformats.org/officeDocument/2006/relationships/hyperlink" Target="https://doi.org/10.1016/j.maturitas.2022.01.004" TargetMode="External"/><Relationship Id="rId126" Type="http://schemas.openxmlformats.org/officeDocument/2006/relationships/hyperlink" Target="https://doi.org/10.1080/08952841.2021.1937012" TargetMode="External"/><Relationship Id="rId147" Type="http://schemas.openxmlformats.org/officeDocument/2006/relationships/hyperlink" Target="https://doi" TargetMode="External"/><Relationship Id="rId168" Type="http://schemas.openxmlformats.org/officeDocument/2006/relationships/hyperlink" Target="https://theconversation.com/when-it-comes-to-family-violence-young-women-are-too-often-ignored-190547" TargetMode="External"/><Relationship Id="rId8" Type="http://schemas.openxmlformats.org/officeDocument/2006/relationships/header" Target="header1.xml"/><Relationship Id="rId51" Type="http://schemas.openxmlformats.org/officeDocument/2006/relationships/hyperlink" Target="https://www.nhmrc.gov.au/sites/default/files/documents/attachments/Management-of-Data-and-Information-in-Research.pdf" TargetMode="External"/><Relationship Id="rId72" Type="http://schemas.openxmlformats.org/officeDocument/2006/relationships/hyperlink" Target="https://doi.org/10.1016/j.maturitas.2022.01.004" TargetMode="External"/><Relationship Id="rId93" Type="http://schemas.openxmlformats.org/officeDocument/2006/relationships/hyperlink" Target="https://doi.org/10.1017/S0007114522002410" TargetMode="External"/><Relationship Id="rId98" Type="http://schemas.openxmlformats.org/officeDocument/2006/relationships/hyperlink" Target="https://doi.org/10.1111/cen.14736" TargetMode="External"/><Relationship Id="rId121" Type="http://schemas.openxmlformats.org/officeDocument/2006/relationships/hyperlink" Target="https://doi.org/10.1371/journal.pone.0272041" TargetMode="External"/><Relationship Id="rId142" Type="http://schemas.openxmlformats.org/officeDocument/2006/relationships/hyperlink" Target="https://doi.org/10.1111/birt.12638" TargetMode="External"/><Relationship Id="rId163" Type="http://schemas.openxmlformats.org/officeDocument/2006/relationships/header" Target="header14.xml"/><Relationship Id="rId184" Type="http://schemas.openxmlformats.org/officeDocument/2006/relationships/hyperlink" Target="https://www.healio.com/news/endocrinology/20211215/irregular-menses-may-signal-heart-disease-diabetes-risk"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1.png"/><Relationship Id="rId46" Type="http://schemas.openxmlformats.org/officeDocument/2006/relationships/hyperlink" Target="https://www.nhmrc.gov.au/about-us/publications/guidelines-under-section-95-privacy-act-1988" TargetMode="External"/><Relationship Id="rId67" Type="http://schemas.openxmlformats.org/officeDocument/2006/relationships/hyperlink" Target="https://alswh.org.au/post-outcomes/a-life-course-approach-to-determining-the-prevalence-and-impact-of-sexual-violence-in-australia/" TargetMode="External"/><Relationship Id="rId116" Type="http://schemas.openxmlformats.org/officeDocument/2006/relationships/hyperlink" Target="https://doi.org/10.1007/s00394-022-02926-8" TargetMode="External"/><Relationship Id="rId137" Type="http://schemas.openxmlformats.org/officeDocument/2006/relationships/hyperlink" Target="https://doi.org/10.3389/ijph.2022.1605045" TargetMode="External"/><Relationship Id="rId158" Type="http://schemas.openxmlformats.org/officeDocument/2006/relationships/hyperlink" Target="https://doi.org/10.1111/cdoe.12776" TargetMode="External"/><Relationship Id="rId20" Type="http://schemas.openxmlformats.org/officeDocument/2006/relationships/header" Target="header6.xml"/><Relationship Id="rId41" Type="http://schemas.openxmlformats.org/officeDocument/2006/relationships/image" Target="media/image3.png"/><Relationship Id="rId62" Type="http://schemas.openxmlformats.org/officeDocument/2006/relationships/hyperlink" Target="https://alswh.org.au/wp-content/uploads/2022/03/2020_Technical-Report_42.pdf" TargetMode="External"/><Relationship Id="rId83" Type="http://schemas.openxmlformats.org/officeDocument/2006/relationships/hyperlink" Target="https://doi.org/10.1016/j.annepidem.2021.10.005" TargetMode="External"/><Relationship Id="rId88" Type="http://schemas.openxmlformats.org/officeDocument/2006/relationships/hyperlink" Target="https://doi.org/10.1017/S0007114521002361" TargetMode="External"/><Relationship Id="rId111" Type="http://schemas.openxmlformats.org/officeDocument/2006/relationships/hyperlink" Target="https://doi.org/10.1016/j.maturitas.2022.01.001" TargetMode="External"/><Relationship Id="rId132" Type="http://schemas.openxmlformats.org/officeDocument/2006/relationships/hyperlink" Target="https://doi.org/10.1371/journal.pone.0272041" TargetMode="External"/><Relationship Id="rId153" Type="http://schemas.openxmlformats.org/officeDocument/2006/relationships/hyperlink" Target="https://doi.org/10.1016/j.envres.2022.113759" TargetMode="External"/><Relationship Id="rId174" Type="http://schemas.openxmlformats.org/officeDocument/2006/relationships/hyperlink" Target="https://www.msn.com/en-ie/health/fitness/menopause-weight-loss-diet-changes-to-help-beat-menopausal-weight-gain/ar-AAZYvy3" TargetMode="External"/><Relationship Id="rId179" Type="http://schemas.openxmlformats.org/officeDocument/2006/relationships/hyperlink" Target="https://www.sbs.com.au/news/article/hundreds-of-migrant-women-needed-for-australias-largest-womens-health-study/vfvomx6li" TargetMode="External"/><Relationship Id="rId15" Type="http://schemas.openxmlformats.org/officeDocument/2006/relationships/footer" Target="footer4.xml"/><Relationship Id="rId36" Type="http://schemas.openxmlformats.org/officeDocument/2006/relationships/header" Target="header11.xml"/><Relationship Id="rId57" Type="http://schemas.openxmlformats.org/officeDocument/2006/relationships/hyperlink" Target="https://www.alswh.org.au/for-participants/participant-information/participant-privacy-policy/" TargetMode="External"/><Relationship Id="rId106" Type="http://schemas.openxmlformats.org/officeDocument/2006/relationships/hyperlink" Target="https://doi.org/10.1186/s12978-022-01413-x" TargetMode="External"/><Relationship Id="rId127" Type="http://schemas.openxmlformats.org/officeDocument/2006/relationships/hyperlink" Target="https://doi.org/10.1111/cen.14736" TargetMode="External"/><Relationship Id="rId10" Type="http://schemas.openxmlformats.org/officeDocument/2006/relationships/footer" Target="footer1.xml"/><Relationship Id="rId31" Type="http://schemas.openxmlformats.org/officeDocument/2006/relationships/header" Target="header8.xml"/><Relationship Id="rId52" Type="http://schemas.openxmlformats.org/officeDocument/2006/relationships/hyperlink" Target="https://www.oaic.gov.au/privacy/guidance-and-advice/privacy-public-interest-determination-guide" TargetMode="External"/><Relationship Id="rId73" Type="http://schemas.openxmlformats.org/officeDocument/2006/relationships/hyperlink" Target="https://doi.org/10.1183/23120541.00532-2021" TargetMode="External"/><Relationship Id="rId78" Type="http://schemas.openxmlformats.org/officeDocument/2006/relationships/hyperlink" Target="https://doi.org/10.1136/bmj-2022-070603" TargetMode="External"/><Relationship Id="rId94" Type="http://schemas.openxmlformats.org/officeDocument/2006/relationships/hyperlink" Target="https://doi.org/10.1186/s12884-022-04482-9" TargetMode="External"/><Relationship Id="rId99" Type="http://schemas.openxmlformats.org/officeDocument/2006/relationships/hyperlink" Target="https://doi.org/10.1111/1753-6405.13295" TargetMode="External"/><Relationship Id="rId101" Type="http://schemas.openxmlformats.org/officeDocument/2006/relationships/hyperlink" Target="https://doi.org/10.1093/humrep/deab239" TargetMode="External"/><Relationship Id="rId122" Type="http://schemas.openxmlformats.org/officeDocument/2006/relationships/hyperlink" Target="https://doi.org/10.1002/eat.23783" TargetMode="External"/><Relationship Id="rId143" Type="http://schemas.openxmlformats.org/officeDocument/2006/relationships/hyperlink" Target="https://doi.org/10.3389/ijph.2022.1605045" TargetMode="External"/><Relationship Id="rId148" Type="http://schemas.openxmlformats.org/officeDocument/2006/relationships/hyperlink" Target="https://doi.org/10.1001/jamapediatrics.2021.6382" TargetMode="External"/><Relationship Id="rId164" Type="http://schemas.openxmlformats.org/officeDocument/2006/relationships/footer" Target="footer14.xml"/><Relationship Id="rId169" Type="http://schemas.openxmlformats.org/officeDocument/2006/relationships/hyperlink" Target="https://junkee.com/australian-report-found-that-women-experience-sexual-violence-more-than-previously-thought/340757" TargetMode="External"/><Relationship Id="rId185" Type="http://schemas.openxmlformats.org/officeDocument/2006/relationships/hyperlink" Target="https://www.healio.com/news/endocrinology/20211215/irregular-menses-may-signal-heart-disease-diabetes-risk"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s://theconversation.com/endometriosis-can-end-womens-careers-and-stall-their-education-thats-everyones-business-179846" TargetMode="External"/><Relationship Id="rId26" Type="http://schemas.openxmlformats.org/officeDocument/2006/relationships/image" Target="media/image2.png"/><Relationship Id="rId47" Type="http://schemas.openxmlformats.org/officeDocument/2006/relationships/hyperlink" Target="https://www.oaic.gov.au/privacy/australian-privacy-principles-guidelines" TargetMode="External"/><Relationship Id="rId68" Type="http://schemas.openxmlformats.org/officeDocument/2006/relationships/hyperlink" Target="https://www.abs.gov.au/websitedbs/censushome.nsf/home/seifa" TargetMode="External"/><Relationship Id="rId89" Type="http://schemas.openxmlformats.org/officeDocument/2006/relationships/hyperlink" Target="https://doi.org/10.1007/s00394-022-02926-8" TargetMode="External"/><Relationship Id="rId112" Type="http://schemas.openxmlformats.org/officeDocument/2006/relationships/hyperlink" Target="https://doi.org/10.1002/eat.23783" TargetMode="External"/><Relationship Id="rId133" Type="http://schemas.openxmlformats.org/officeDocument/2006/relationships/hyperlink" Target="https://doi.org/10.1016/j.sapharm.2022.05.003" TargetMode="External"/><Relationship Id="rId154" Type="http://schemas.openxmlformats.org/officeDocument/2006/relationships/hyperlink" Target="https://doi.org/10.1016/j.annepidem.2021.10.005" TargetMode="External"/><Relationship Id="rId175" Type="http://schemas.openxmlformats.org/officeDocument/2006/relationships/hyperlink" Target="https://www.msn.com/en-ie/health/fitness/menopause-weight-loss-diet-changes-to-help-beat-menopausal-weight-gain/ar-AAZYvy3" TargetMode="External"/><Relationship Id="rId16" Type="http://schemas.openxmlformats.org/officeDocument/2006/relationships/footer" Target="footer5.xml"/><Relationship Id="rId37" Type="http://schemas.openxmlformats.org/officeDocument/2006/relationships/footer" Target="footer11.xml"/><Relationship Id="rId58" Type="http://schemas.openxmlformats.org/officeDocument/2006/relationships/hyperlink" Target="https://www.alswh.org.au/for-data-users/applying-for-data/full-dataset-and-linked-data/" TargetMode="External"/><Relationship Id="rId79" Type="http://schemas.openxmlformats.org/officeDocument/2006/relationships/hyperlink" Target="https://doi.org/10.1016/j.maturitas.2022.01.001" TargetMode="External"/><Relationship Id="rId102" Type="http://schemas.openxmlformats.org/officeDocument/2006/relationships/hyperlink" Target="https://doi.org/10.1038/s41598-022-15064-2" TargetMode="External"/><Relationship Id="rId123" Type="http://schemas.openxmlformats.org/officeDocument/2006/relationships/hyperlink" Target="https://doi.org/10.1111/cen.14736" TargetMode="External"/><Relationship Id="rId144" Type="http://schemas.openxmlformats.org/officeDocument/2006/relationships/hyperlink" Target="https://doi.org/10.1111/cdoe.12776" TargetMode="External"/><Relationship Id="rId90" Type="http://schemas.openxmlformats.org/officeDocument/2006/relationships/hyperlink" Target="https://doi.org/10.1017/S1368980022001410" TargetMode="External"/><Relationship Id="rId165" Type="http://schemas.openxmlformats.org/officeDocument/2006/relationships/footer" Target="footer15.xml"/><Relationship Id="rId186" Type="http://schemas.openxmlformats.org/officeDocument/2006/relationships/hyperlink" Target="http://www.alswh.org.au" TargetMode="External"/><Relationship Id="rId27" Type="http://schemas.openxmlformats.org/officeDocument/2006/relationships/chart" Target="charts/chart1.xml"/><Relationship Id="rId48" Type="http://schemas.openxmlformats.org/officeDocument/2006/relationships/hyperlink" Target="https://apo.org.au/node/225841" TargetMode="External"/><Relationship Id="rId69" Type="http://schemas.openxmlformats.org/officeDocument/2006/relationships/hyperlink" Target="https://www.alswh.org.au/publications-and-reports/major-reports" TargetMode="External"/><Relationship Id="rId113" Type="http://schemas.openxmlformats.org/officeDocument/2006/relationships/hyperlink" Target="https://doi.org/10.1071/SH21230" TargetMode="External"/><Relationship Id="rId134" Type="http://schemas.openxmlformats.org/officeDocument/2006/relationships/hyperlink" Target="https://doi.org/10.1071/SH21230" TargetMode="External"/><Relationship Id="rId80" Type="http://schemas.openxmlformats.org/officeDocument/2006/relationships/hyperlink" Target="https://doi.org/10.1371/journal.pone.0272041" TargetMode="External"/><Relationship Id="rId155" Type="http://schemas.openxmlformats.org/officeDocument/2006/relationships/hyperlink" Target="https://doi.org/10.1016/j.sapharm.2022.05.003" TargetMode="External"/><Relationship Id="rId176" Type="http://schemas.openxmlformats.org/officeDocument/2006/relationships/hyperlink" Target="https://www.abc.net.au/news/2022-06-23/qld-stroke-risk-miscarriage-stillbirth/101175222" TargetMode="External"/><Relationship Id="rId17" Type="http://schemas.openxmlformats.org/officeDocument/2006/relationships/hyperlink" Target="https://www.alswh.org.au/publications-and-reports/major-reports" TargetMode="External"/><Relationship Id="rId38" Type="http://schemas.openxmlformats.org/officeDocument/2006/relationships/footer" Target="footer12.xml"/><Relationship Id="rId59" Type="http://schemas.openxmlformats.org/officeDocument/2006/relationships/hyperlink" Target="http://ppl.app.uq.edu.au/" TargetMode="External"/><Relationship Id="rId103" Type="http://schemas.openxmlformats.org/officeDocument/2006/relationships/hyperlink" Target="https://doi.org/10.1017/S0007114521002361" TargetMode="External"/><Relationship Id="rId124" Type="http://schemas.openxmlformats.org/officeDocument/2006/relationships/hyperlink" Target="https://doi.org/10.1080/13607863.2021.1940097" TargetMode="External"/><Relationship Id="rId70" Type="http://schemas.openxmlformats.org/officeDocument/2006/relationships/hyperlink" Target="https://www.alswh.org.au/publications-and-reports/published-papers" TargetMode="External"/><Relationship Id="rId91" Type="http://schemas.openxmlformats.org/officeDocument/2006/relationships/hyperlink" Target="http://dx.doi.org/10.1136/heartjnl-2021-319654" TargetMode="External"/><Relationship Id="rId145" Type="http://schemas.openxmlformats.org/officeDocument/2006/relationships/hyperlink" Target="https://doi.org/10.1016/j.scitotenv.2022.155214" TargetMode="External"/><Relationship Id="rId166" Type="http://schemas.openxmlformats.org/officeDocument/2006/relationships/header" Target="header15.xml"/><Relationship Id="rId187" Type="http://schemas.openxmlformats.org/officeDocument/2006/relationships/hyperlink" Target="https://www.alswh.org.au/for-participants/newsletters" TargetMode="External"/><Relationship Id="rId1" Type="http://schemas.openxmlformats.org/officeDocument/2006/relationships/customXml" Target="../customXml/item1.xml"/><Relationship Id="rId28" Type="http://schemas.openxmlformats.org/officeDocument/2006/relationships/hyperlink" Target="https://alswh.org.au/for-data-users/data-documentation/technical-reports/" TargetMode="External"/><Relationship Id="rId49" Type="http://schemas.openxmlformats.org/officeDocument/2006/relationships/hyperlink" Target="https://www.nhmrc.gov.au/about-us/publications/national-statement-ethical-conduct-human-research-2007-updated-2018" TargetMode="External"/><Relationship Id="rId114" Type="http://schemas.openxmlformats.org/officeDocument/2006/relationships/hyperlink" Target="https://doi.org/10.1038/s41598-022-15064-2" TargetMode="External"/><Relationship Id="rId60" Type="http://schemas.openxmlformats.org/officeDocument/2006/relationships/hyperlink" Target="https://policies.newcastle.edu.au/document/view-current.php?id=66" TargetMode="External"/><Relationship Id="rId81" Type="http://schemas.openxmlformats.org/officeDocument/2006/relationships/hyperlink" Target="https://doi.org/10.1016/j.maturitas.2021.11.007" TargetMode="External"/><Relationship Id="rId135" Type="http://schemas.openxmlformats.org/officeDocument/2006/relationships/hyperlink" Target="https://doi.org/10.1183/23120541.00532-2021" TargetMode="External"/><Relationship Id="rId156" Type="http://schemas.openxmlformats.org/officeDocument/2006/relationships/hyperlink" Target="https://doi.org/10.1186/s12886-022-02506-8" TargetMode="External"/><Relationship Id="rId177" Type="http://schemas.openxmlformats.org/officeDocument/2006/relationships/hyperlink" Target="https://theconversation.com/women-are-at-greater-risk-of-stroke-the-more-miscarriages-or-stillbirths-theyve-had-18549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'6MF Surveys Completed'!$C$26</c:f>
              <c:strCache>
                <c:ptCount val="1"/>
                <c:pt idx="0">
                  <c:v>2011</c:v>
                </c:pt>
              </c:strCache>
            </c:strRef>
          </c:tx>
          <c:spPr>
            <a:solidFill>
              <a:schemeClr val="accent1"/>
            </a:solidFill>
            <a:ln>
              <a:noFill/>
            </a:ln>
            <a:effectLst/>
          </c:spPr>
          <c:invertIfNegative val="0"/>
          <c:cat>
            <c:strRef>
              <c:f>'6MF Surveys Completed'!$A$27:$A$48</c:f>
              <c:strCache>
                <c:ptCount val="22"/>
                <c:pt idx="0">
                  <c:v>6MF1</c:v>
                </c:pt>
                <c:pt idx="1">
                  <c:v>6MF2</c:v>
                </c:pt>
                <c:pt idx="2">
                  <c:v>6MF3</c:v>
                </c:pt>
                <c:pt idx="3">
                  <c:v>6MF4</c:v>
                </c:pt>
                <c:pt idx="4">
                  <c:v>6MF5</c:v>
                </c:pt>
                <c:pt idx="5">
                  <c:v>6MF6</c:v>
                </c:pt>
                <c:pt idx="6">
                  <c:v>6MF7</c:v>
                </c:pt>
                <c:pt idx="7">
                  <c:v>6MF8</c:v>
                </c:pt>
                <c:pt idx="8">
                  <c:v>6MF9</c:v>
                </c:pt>
                <c:pt idx="9">
                  <c:v>6MF10</c:v>
                </c:pt>
                <c:pt idx="10">
                  <c:v>6MF11</c:v>
                </c:pt>
                <c:pt idx="11">
                  <c:v>6MF12</c:v>
                </c:pt>
                <c:pt idx="12">
                  <c:v>6MF13</c:v>
                </c:pt>
                <c:pt idx="13">
                  <c:v>6MF14</c:v>
                </c:pt>
                <c:pt idx="14">
                  <c:v>6MF15</c:v>
                </c:pt>
                <c:pt idx="15">
                  <c:v>6MF16</c:v>
                </c:pt>
                <c:pt idx="16">
                  <c:v>6MF17</c:v>
                </c:pt>
                <c:pt idx="17">
                  <c:v>6MF18</c:v>
                </c:pt>
                <c:pt idx="18">
                  <c:v>6MF19</c:v>
                </c:pt>
                <c:pt idx="19">
                  <c:v>6MF20</c:v>
                </c:pt>
                <c:pt idx="20">
                  <c:v>6MF21</c:v>
                </c:pt>
                <c:pt idx="21">
                  <c:v>6MF22</c:v>
                </c:pt>
              </c:strCache>
            </c:strRef>
          </c:cat>
          <c:val>
            <c:numRef>
              <c:f>'6MF Surveys Completed'!$C$27:$C$48</c:f>
              <c:numCache>
                <c:formatCode>General</c:formatCode>
                <c:ptCount val="22"/>
                <c:pt idx="0">
                  <c:v>2829</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numCache>
            </c:numRef>
          </c:val>
          <c:extLst>
            <c:ext xmlns:c16="http://schemas.microsoft.com/office/drawing/2014/chart" uri="{C3380CC4-5D6E-409C-BE32-E72D297353CC}">
              <c16:uniqueId val="{00000000-152C-4264-AF38-B214CCAE5FFC}"/>
            </c:ext>
          </c:extLst>
        </c:ser>
        <c:ser>
          <c:idx val="1"/>
          <c:order val="1"/>
          <c:tx>
            <c:strRef>
              <c:f>'6MF Surveys Completed'!$D$26</c:f>
              <c:strCache>
                <c:ptCount val="1"/>
                <c:pt idx="0">
                  <c:v>2012</c:v>
                </c:pt>
              </c:strCache>
            </c:strRef>
          </c:tx>
          <c:spPr>
            <a:solidFill>
              <a:schemeClr val="accent2"/>
            </a:solidFill>
            <a:ln>
              <a:noFill/>
            </a:ln>
            <a:effectLst/>
          </c:spPr>
          <c:invertIfNegative val="0"/>
          <c:cat>
            <c:strRef>
              <c:f>'6MF Surveys Completed'!$A$27:$A$48</c:f>
              <c:strCache>
                <c:ptCount val="22"/>
                <c:pt idx="0">
                  <c:v>6MF1</c:v>
                </c:pt>
                <c:pt idx="1">
                  <c:v>6MF2</c:v>
                </c:pt>
                <c:pt idx="2">
                  <c:v>6MF3</c:v>
                </c:pt>
                <c:pt idx="3">
                  <c:v>6MF4</c:v>
                </c:pt>
                <c:pt idx="4">
                  <c:v>6MF5</c:v>
                </c:pt>
                <c:pt idx="5">
                  <c:v>6MF6</c:v>
                </c:pt>
                <c:pt idx="6">
                  <c:v>6MF7</c:v>
                </c:pt>
                <c:pt idx="7">
                  <c:v>6MF8</c:v>
                </c:pt>
                <c:pt idx="8">
                  <c:v>6MF9</c:v>
                </c:pt>
                <c:pt idx="9">
                  <c:v>6MF10</c:v>
                </c:pt>
                <c:pt idx="10">
                  <c:v>6MF11</c:v>
                </c:pt>
                <c:pt idx="11">
                  <c:v>6MF12</c:v>
                </c:pt>
                <c:pt idx="12">
                  <c:v>6MF13</c:v>
                </c:pt>
                <c:pt idx="13">
                  <c:v>6MF14</c:v>
                </c:pt>
                <c:pt idx="14">
                  <c:v>6MF15</c:v>
                </c:pt>
                <c:pt idx="15">
                  <c:v>6MF16</c:v>
                </c:pt>
                <c:pt idx="16">
                  <c:v>6MF17</c:v>
                </c:pt>
                <c:pt idx="17">
                  <c:v>6MF18</c:v>
                </c:pt>
                <c:pt idx="18">
                  <c:v>6MF19</c:v>
                </c:pt>
                <c:pt idx="19">
                  <c:v>6MF20</c:v>
                </c:pt>
                <c:pt idx="20">
                  <c:v>6MF21</c:v>
                </c:pt>
                <c:pt idx="21">
                  <c:v>6MF22</c:v>
                </c:pt>
              </c:strCache>
            </c:strRef>
          </c:cat>
          <c:val>
            <c:numRef>
              <c:f>'6MF Surveys Completed'!$D$27:$D$48</c:f>
              <c:numCache>
                <c:formatCode>General</c:formatCode>
                <c:ptCount val="22"/>
                <c:pt idx="0">
                  <c:v>948</c:v>
                </c:pt>
                <c:pt idx="1">
                  <c:v>3109</c:v>
                </c:pt>
                <c:pt idx="2">
                  <c:v>1674</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numCache>
            </c:numRef>
          </c:val>
          <c:extLst>
            <c:ext xmlns:c16="http://schemas.microsoft.com/office/drawing/2014/chart" uri="{C3380CC4-5D6E-409C-BE32-E72D297353CC}">
              <c16:uniqueId val="{00000001-152C-4264-AF38-B214CCAE5FFC}"/>
            </c:ext>
          </c:extLst>
        </c:ser>
        <c:ser>
          <c:idx val="2"/>
          <c:order val="2"/>
          <c:tx>
            <c:strRef>
              <c:f>'6MF Surveys Completed'!$E$26</c:f>
              <c:strCache>
                <c:ptCount val="1"/>
                <c:pt idx="0">
                  <c:v>2013</c:v>
                </c:pt>
              </c:strCache>
            </c:strRef>
          </c:tx>
          <c:spPr>
            <a:solidFill>
              <a:schemeClr val="accent3"/>
            </a:solidFill>
            <a:ln>
              <a:noFill/>
            </a:ln>
            <a:effectLst/>
          </c:spPr>
          <c:invertIfNegative val="0"/>
          <c:cat>
            <c:strRef>
              <c:f>'6MF Surveys Completed'!$A$27:$A$48</c:f>
              <c:strCache>
                <c:ptCount val="22"/>
                <c:pt idx="0">
                  <c:v>6MF1</c:v>
                </c:pt>
                <c:pt idx="1">
                  <c:v>6MF2</c:v>
                </c:pt>
                <c:pt idx="2">
                  <c:v>6MF3</c:v>
                </c:pt>
                <c:pt idx="3">
                  <c:v>6MF4</c:v>
                </c:pt>
                <c:pt idx="4">
                  <c:v>6MF5</c:v>
                </c:pt>
                <c:pt idx="5">
                  <c:v>6MF6</c:v>
                </c:pt>
                <c:pt idx="6">
                  <c:v>6MF7</c:v>
                </c:pt>
                <c:pt idx="7">
                  <c:v>6MF8</c:v>
                </c:pt>
                <c:pt idx="8">
                  <c:v>6MF9</c:v>
                </c:pt>
                <c:pt idx="9">
                  <c:v>6MF10</c:v>
                </c:pt>
                <c:pt idx="10">
                  <c:v>6MF11</c:v>
                </c:pt>
                <c:pt idx="11">
                  <c:v>6MF12</c:v>
                </c:pt>
                <c:pt idx="12">
                  <c:v>6MF13</c:v>
                </c:pt>
                <c:pt idx="13">
                  <c:v>6MF14</c:v>
                </c:pt>
                <c:pt idx="14">
                  <c:v>6MF15</c:v>
                </c:pt>
                <c:pt idx="15">
                  <c:v>6MF16</c:v>
                </c:pt>
                <c:pt idx="16">
                  <c:v>6MF17</c:v>
                </c:pt>
                <c:pt idx="17">
                  <c:v>6MF18</c:v>
                </c:pt>
                <c:pt idx="18">
                  <c:v>6MF19</c:v>
                </c:pt>
                <c:pt idx="19">
                  <c:v>6MF20</c:v>
                </c:pt>
                <c:pt idx="20">
                  <c:v>6MF21</c:v>
                </c:pt>
                <c:pt idx="21">
                  <c:v>6MF22</c:v>
                </c:pt>
              </c:strCache>
            </c:strRef>
          </c:cat>
          <c:val>
            <c:numRef>
              <c:f>'6MF Surveys Completed'!$E$27:$E$48</c:f>
              <c:numCache>
                <c:formatCode>General</c:formatCode>
                <c:ptCount val="22"/>
                <c:pt idx="0">
                  <c:v>59</c:v>
                </c:pt>
                <c:pt idx="1">
                  <c:v>252</c:v>
                </c:pt>
                <c:pt idx="2">
                  <c:v>1191</c:v>
                </c:pt>
                <c:pt idx="3">
                  <c:v>2248</c:v>
                </c:pt>
                <c:pt idx="4">
                  <c:v>933</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numCache>
            </c:numRef>
          </c:val>
          <c:extLst>
            <c:ext xmlns:c16="http://schemas.microsoft.com/office/drawing/2014/chart" uri="{C3380CC4-5D6E-409C-BE32-E72D297353CC}">
              <c16:uniqueId val="{00000002-152C-4264-AF38-B214CCAE5FFC}"/>
            </c:ext>
          </c:extLst>
        </c:ser>
        <c:ser>
          <c:idx val="3"/>
          <c:order val="3"/>
          <c:tx>
            <c:strRef>
              <c:f>'6MF Surveys Completed'!$F$26</c:f>
              <c:strCache>
                <c:ptCount val="1"/>
                <c:pt idx="0">
                  <c:v>2014</c:v>
                </c:pt>
              </c:strCache>
            </c:strRef>
          </c:tx>
          <c:spPr>
            <a:solidFill>
              <a:schemeClr val="accent4"/>
            </a:solidFill>
            <a:ln>
              <a:noFill/>
            </a:ln>
            <a:effectLst/>
          </c:spPr>
          <c:invertIfNegative val="0"/>
          <c:cat>
            <c:strRef>
              <c:f>'6MF Surveys Completed'!$A$27:$A$48</c:f>
              <c:strCache>
                <c:ptCount val="22"/>
                <c:pt idx="0">
                  <c:v>6MF1</c:v>
                </c:pt>
                <c:pt idx="1">
                  <c:v>6MF2</c:v>
                </c:pt>
                <c:pt idx="2">
                  <c:v>6MF3</c:v>
                </c:pt>
                <c:pt idx="3">
                  <c:v>6MF4</c:v>
                </c:pt>
                <c:pt idx="4">
                  <c:v>6MF5</c:v>
                </c:pt>
                <c:pt idx="5">
                  <c:v>6MF6</c:v>
                </c:pt>
                <c:pt idx="6">
                  <c:v>6MF7</c:v>
                </c:pt>
                <c:pt idx="7">
                  <c:v>6MF8</c:v>
                </c:pt>
                <c:pt idx="8">
                  <c:v>6MF9</c:v>
                </c:pt>
                <c:pt idx="9">
                  <c:v>6MF10</c:v>
                </c:pt>
                <c:pt idx="10">
                  <c:v>6MF11</c:v>
                </c:pt>
                <c:pt idx="11">
                  <c:v>6MF12</c:v>
                </c:pt>
                <c:pt idx="12">
                  <c:v>6MF13</c:v>
                </c:pt>
                <c:pt idx="13">
                  <c:v>6MF14</c:v>
                </c:pt>
                <c:pt idx="14">
                  <c:v>6MF15</c:v>
                </c:pt>
                <c:pt idx="15">
                  <c:v>6MF16</c:v>
                </c:pt>
                <c:pt idx="16">
                  <c:v>6MF17</c:v>
                </c:pt>
                <c:pt idx="17">
                  <c:v>6MF18</c:v>
                </c:pt>
                <c:pt idx="18">
                  <c:v>6MF19</c:v>
                </c:pt>
                <c:pt idx="19">
                  <c:v>6MF20</c:v>
                </c:pt>
                <c:pt idx="20">
                  <c:v>6MF21</c:v>
                </c:pt>
                <c:pt idx="21">
                  <c:v>6MF22</c:v>
                </c:pt>
              </c:strCache>
            </c:strRef>
          </c:cat>
          <c:val>
            <c:numRef>
              <c:f>'6MF Surveys Completed'!$F$27:$F$48</c:f>
              <c:numCache>
                <c:formatCode>General</c:formatCode>
                <c:ptCount val="22"/>
                <c:pt idx="0">
                  <c:v>13</c:v>
                </c:pt>
                <c:pt idx="1">
                  <c:v>45</c:v>
                </c:pt>
                <c:pt idx="2">
                  <c:v>98</c:v>
                </c:pt>
                <c:pt idx="3">
                  <c:v>296</c:v>
                </c:pt>
                <c:pt idx="4">
                  <c:v>1187</c:v>
                </c:pt>
                <c:pt idx="5">
                  <c:v>1617</c:v>
                </c:pt>
                <c:pt idx="6">
                  <c:v>601</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numCache>
            </c:numRef>
          </c:val>
          <c:extLst>
            <c:ext xmlns:c16="http://schemas.microsoft.com/office/drawing/2014/chart" uri="{C3380CC4-5D6E-409C-BE32-E72D297353CC}">
              <c16:uniqueId val="{00000003-152C-4264-AF38-B214CCAE5FFC}"/>
            </c:ext>
          </c:extLst>
        </c:ser>
        <c:ser>
          <c:idx val="4"/>
          <c:order val="4"/>
          <c:tx>
            <c:strRef>
              <c:f>'6MF Surveys Completed'!$G$26</c:f>
              <c:strCache>
                <c:ptCount val="1"/>
                <c:pt idx="0">
                  <c:v>2015</c:v>
                </c:pt>
              </c:strCache>
            </c:strRef>
          </c:tx>
          <c:spPr>
            <a:solidFill>
              <a:schemeClr val="accent5"/>
            </a:solidFill>
            <a:ln>
              <a:noFill/>
            </a:ln>
            <a:effectLst/>
          </c:spPr>
          <c:invertIfNegative val="0"/>
          <c:cat>
            <c:strRef>
              <c:f>'6MF Surveys Completed'!$A$27:$A$48</c:f>
              <c:strCache>
                <c:ptCount val="22"/>
                <c:pt idx="0">
                  <c:v>6MF1</c:v>
                </c:pt>
                <c:pt idx="1">
                  <c:v>6MF2</c:v>
                </c:pt>
                <c:pt idx="2">
                  <c:v>6MF3</c:v>
                </c:pt>
                <c:pt idx="3">
                  <c:v>6MF4</c:v>
                </c:pt>
                <c:pt idx="4">
                  <c:v>6MF5</c:v>
                </c:pt>
                <c:pt idx="5">
                  <c:v>6MF6</c:v>
                </c:pt>
                <c:pt idx="6">
                  <c:v>6MF7</c:v>
                </c:pt>
                <c:pt idx="7">
                  <c:v>6MF8</c:v>
                </c:pt>
                <c:pt idx="8">
                  <c:v>6MF9</c:v>
                </c:pt>
                <c:pt idx="9">
                  <c:v>6MF10</c:v>
                </c:pt>
                <c:pt idx="10">
                  <c:v>6MF11</c:v>
                </c:pt>
                <c:pt idx="11">
                  <c:v>6MF12</c:v>
                </c:pt>
                <c:pt idx="12">
                  <c:v>6MF13</c:v>
                </c:pt>
                <c:pt idx="13">
                  <c:v>6MF14</c:v>
                </c:pt>
                <c:pt idx="14">
                  <c:v>6MF15</c:v>
                </c:pt>
                <c:pt idx="15">
                  <c:v>6MF16</c:v>
                </c:pt>
                <c:pt idx="16">
                  <c:v>6MF17</c:v>
                </c:pt>
                <c:pt idx="17">
                  <c:v>6MF18</c:v>
                </c:pt>
                <c:pt idx="18">
                  <c:v>6MF19</c:v>
                </c:pt>
                <c:pt idx="19">
                  <c:v>6MF20</c:v>
                </c:pt>
                <c:pt idx="20">
                  <c:v>6MF21</c:v>
                </c:pt>
                <c:pt idx="21">
                  <c:v>6MF22</c:v>
                </c:pt>
              </c:strCache>
            </c:strRef>
          </c:cat>
          <c:val>
            <c:numRef>
              <c:f>'6MF Surveys Completed'!$G$27:$G$48</c:f>
              <c:numCache>
                <c:formatCode>General</c:formatCode>
                <c:ptCount val="22"/>
                <c:pt idx="0">
                  <c:v>2</c:v>
                </c:pt>
                <c:pt idx="1">
                  <c:v>14</c:v>
                </c:pt>
                <c:pt idx="2">
                  <c:v>34</c:v>
                </c:pt>
                <c:pt idx="3">
                  <c:v>58</c:v>
                </c:pt>
                <c:pt idx="4">
                  <c:v>135</c:v>
                </c:pt>
                <c:pt idx="5">
                  <c:v>301</c:v>
                </c:pt>
                <c:pt idx="6">
                  <c:v>1003</c:v>
                </c:pt>
                <c:pt idx="7">
                  <c:v>1146</c:v>
                </c:pt>
                <c:pt idx="8">
                  <c:v>443</c:v>
                </c:pt>
                <c:pt idx="9">
                  <c:v>0</c:v>
                </c:pt>
                <c:pt idx="10">
                  <c:v>0</c:v>
                </c:pt>
                <c:pt idx="11">
                  <c:v>0</c:v>
                </c:pt>
                <c:pt idx="12">
                  <c:v>0</c:v>
                </c:pt>
                <c:pt idx="13">
                  <c:v>0</c:v>
                </c:pt>
                <c:pt idx="14">
                  <c:v>0</c:v>
                </c:pt>
                <c:pt idx="15">
                  <c:v>0</c:v>
                </c:pt>
                <c:pt idx="16">
                  <c:v>0</c:v>
                </c:pt>
                <c:pt idx="17">
                  <c:v>0</c:v>
                </c:pt>
                <c:pt idx="18">
                  <c:v>0</c:v>
                </c:pt>
                <c:pt idx="19">
                  <c:v>0</c:v>
                </c:pt>
                <c:pt idx="20">
                  <c:v>0</c:v>
                </c:pt>
                <c:pt idx="21">
                  <c:v>0</c:v>
                </c:pt>
              </c:numCache>
            </c:numRef>
          </c:val>
          <c:extLst>
            <c:ext xmlns:c16="http://schemas.microsoft.com/office/drawing/2014/chart" uri="{C3380CC4-5D6E-409C-BE32-E72D297353CC}">
              <c16:uniqueId val="{00000004-152C-4264-AF38-B214CCAE5FFC}"/>
            </c:ext>
          </c:extLst>
        </c:ser>
        <c:ser>
          <c:idx val="5"/>
          <c:order val="5"/>
          <c:tx>
            <c:strRef>
              <c:f>'6MF Surveys Completed'!$H$26</c:f>
              <c:strCache>
                <c:ptCount val="1"/>
                <c:pt idx="0">
                  <c:v>2016</c:v>
                </c:pt>
              </c:strCache>
            </c:strRef>
          </c:tx>
          <c:spPr>
            <a:solidFill>
              <a:schemeClr val="accent6"/>
            </a:solidFill>
            <a:ln>
              <a:noFill/>
            </a:ln>
            <a:effectLst/>
          </c:spPr>
          <c:invertIfNegative val="0"/>
          <c:cat>
            <c:strRef>
              <c:f>'6MF Surveys Completed'!$A$27:$A$48</c:f>
              <c:strCache>
                <c:ptCount val="22"/>
                <c:pt idx="0">
                  <c:v>6MF1</c:v>
                </c:pt>
                <c:pt idx="1">
                  <c:v>6MF2</c:v>
                </c:pt>
                <c:pt idx="2">
                  <c:v>6MF3</c:v>
                </c:pt>
                <c:pt idx="3">
                  <c:v>6MF4</c:v>
                </c:pt>
                <c:pt idx="4">
                  <c:v>6MF5</c:v>
                </c:pt>
                <c:pt idx="5">
                  <c:v>6MF6</c:v>
                </c:pt>
                <c:pt idx="6">
                  <c:v>6MF7</c:v>
                </c:pt>
                <c:pt idx="7">
                  <c:v>6MF8</c:v>
                </c:pt>
                <c:pt idx="8">
                  <c:v>6MF9</c:v>
                </c:pt>
                <c:pt idx="9">
                  <c:v>6MF10</c:v>
                </c:pt>
                <c:pt idx="10">
                  <c:v>6MF11</c:v>
                </c:pt>
                <c:pt idx="11">
                  <c:v>6MF12</c:v>
                </c:pt>
                <c:pt idx="12">
                  <c:v>6MF13</c:v>
                </c:pt>
                <c:pt idx="13">
                  <c:v>6MF14</c:v>
                </c:pt>
                <c:pt idx="14">
                  <c:v>6MF15</c:v>
                </c:pt>
                <c:pt idx="15">
                  <c:v>6MF16</c:v>
                </c:pt>
                <c:pt idx="16">
                  <c:v>6MF17</c:v>
                </c:pt>
                <c:pt idx="17">
                  <c:v>6MF18</c:v>
                </c:pt>
                <c:pt idx="18">
                  <c:v>6MF19</c:v>
                </c:pt>
                <c:pt idx="19">
                  <c:v>6MF20</c:v>
                </c:pt>
                <c:pt idx="20">
                  <c:v>6MF21</c:v>
                </c:pt>
                <c:pt idx="21">
                  <c:v>6MF22</c:v>
                </c:pt>
              </c:strCache>
            </c:strRef>
          </c:cat>
          <c:val>
            <c:numRef>
              <c:f>'6MF Surveys Completed'!$H$27:$H$48</c:f>
              <c:numCache>
                <c:formatCode>General</c:formatCode>
                <c:ptCount val="22"/>
                <c:pt idx="0">
                  <c:v>4</c:v>
                </c:pt>
                <c:pt idx="1">
                  <c:v>8</c:v>
                </c:pt>
                <c:pt idx="2">
                  <c:v>16</c:v>
                </c:pt>
                <c:pt idx="3">
                  <c:v>27</c:v>
                </c:pt>
                <c:pt idx="4">
                  <c:v>43</c:v>
                </c:pt>
                <c:pt idx="5">
                  <c:v>67</c:v>
                </c:pt>
                <c:pt idx="6">
                  <c:v>111</c:v>
                </c:pt>
                <c:pt idx="7">
                  <c:v>314</c:v>
                </c:pt>
                <c:pt idx="8">
                  <c:v>752</c:v>
                </c:pt>
                <c:pt idx="9">
                  <c:v>839</c:v>
                </c:pt>
                <c:pt idx="10">
                  <c:v>261</c:v>
                </c:pt>
                <c:pt idx="11">
                  <c:v>0</c:v>
                </c:pt>
                <c:pt idx="12">
                  <c:v>0</c:v>
                </c:pt>
                <c:pt idx="13">
                  <c:v>0</c:v>
                </c:pt>
                <c:pt idx="14">
                  <c:v>0</c:v>
                </c:pt>
                <c:pt idx="15">
                  <c:v>0</c:v>
                </c:pt>
                <c:pt idx="16">
                  <c:v>0</c:v>
                </c:pt>
                <c:pt idx="17">
                  <c:v>0</c:v>
                </c:pt>
                <c:pt idx="18">
                  <c:v>0</c:v>
                </c:pt>
                <c:pt idx="19">
                  <c:v>0</c:v>
                </c:pt>
                <c:pt idx="20">
                  <c:v>0</c:v>
                </c:pt>
                <c:pt idx="21">
                  <c:v>0</c:v>
                </c:pt>
              </c:numCache>
            </c:numRef>
          </c:val>
          <c:extLst>
            <c:ext xmlns:c16="http://schemas.microsoft.com/office/drawing/2014/chart" uri="{C3380CC4-5D6E-409C-BE32-E72D297353CC}">
              <c16:uniqueId val="{00000005-152C-4264-AF38-B214CCAE5FFC}"/>
            </c:ext>
          </c:extLst>
        </c:ser>
        <c:ser>
          <c:idx val="6"/>
          <c:order val="6"/>
          <c:tx>
            <c:strRef>
              <c:f>'6MF Surveys Completed'!$I$26</c:f>
              <c:strCache>
                <c:ptCount val="1"/>
                <c:pt idx="0">
                  <c:v>2017</c:v>
                </c:pt>
              </c:strCache>
            </c:strRef>
          </c:tx>
          <c:spPr>
            <a:solidFill>
              <a:schemeClr val="accent1">
                <a:lumMod val="60000"/>
              </a:schemeClr>
            </a:solidFill>
            <a:ln>
              <a:noFill/>
            </a:ln>
            <a:effectLst/>
          </c:spPr>
          <c:invertIfNegative val="0"/>
          <c:cat>
            <c:strRef>
              <c:f>'6MF Surveys Completed'!$A$27:$A$48</c:f>
              <c:strCache>
                <c:ptCount val="22"/>
                <c:pt idx="0">
                  <c:v>6MF1</c:v>
                </c:pt>
                <c:pt idx="1">
                  <c:v>6MF2</c:v>
                </c:pt>
                <c:pt idx="2">
                  <c:v>6MF3</c:v>
                </c:pt>
                <c:pt idx="3">
                  <c:v>6MF4</c:v>
                </c:pt>
                <c:pt idx="4">
                  <c:v>6MF5</c:v>
                </c:pt>
                <c:pt idx="5">
                  <c:v>6MF6</c:v>
                </c:pt>
                <c:pt idx="6">
                  <c:v>6MF7</c:v>
                </c:pt>
                <c:pt idx="7">
                  <c:v>6MF8</c:v>
                </c:pt>
                <c:pt idx="8">
                  <c:v>6MF9</c:v>
                </c:pt>
                <c:pt idx="9">
                  <c:v>6MF10</c:v>
                </c:pt>
                <c:pt idx="10">
                  <c:v>6MF11</c:v>
                </c:pt>
                <c:pt idx="11">
                  <c:v>6MF12</c:v>
                </c:pt>
                <c:pt idx="12">
                  <c:v>6MF13</c:v>
                </c:pt>
                <c:pt idx="13">
                  <c:v>6MF14</c:v>
                </c:pt>
                <c:pt idx="14">
                  <c:v>6MF15</c:v>
                </c:pt>
                <c:pt idx="15">
                  <c:v>6MF16</c:v>
                </c:pt>
                <c:pt idx="16">
                  <c:v>6MF17</c:v>
                </c:pt>
                <c:pt idx="17">
                  <c:v>6MF18</c:v>
                </c:pt>
                <c:pt idx="18">
                  <c:v>6MF19</c:v>
                </c:pt>
                <c:pt idx="19">
                  <c:v>6MF20</c:v>
                </c:pt>
                <c:pt idx="20">
                  <c:v>6MF21</c:v>
                </c:pt>
                <c:pt idx="21">
                  <c:v>6MF22</c:v>
                </c:pt>
              </c:strCache>
            </c:strRef>
          </c:cat>
          <c:val>
            <c:numRef>
              <c:f>'6MF Surveys Completed'!$I$27:$I$48</c:f>
              <c:numCache>
                <c:formatCode>General</c:formatCode>
                <c:ptCount val="22"/>
                <c:pt idx="0">
                  <c:v>2</c:v>
                </c:pt>
                <c:pt idx="1">
                  <c:v>1</c:v>
                </c:pt>
                <c:pt idx="2">
                  <c:v>8</c:v>
                </c:pt>
                <c:pt idx="3">
                  <c:v>8</c:v>
                </c:pt>
                <c:pt idx="4">
                  <c:v>16</c:v>
                </c:pt>
                <c:pt idx="5">
                  <c:v>33</c:v>
                </c:pt>
                <c:pt idx="6">
                  <c:v>35</c:v>
                </c:pt>
                <c:pt idx="7">
                  <c:v>54</c:v>
                </c:pt>
                <c:pt idx="8">
                  <c:v>136</c:v>
                </c:pt>
                <c:pt idx="9">
                  <c:v>287</c:v>
                </c:pt>
                <c:pt idx="10">
                  <c:v>626</c:v>
                </c:pt>
                <c:pt idx="11">
                  <c:v>578</c:v>
                </c:pt>
                <c:pt idx="12">
                  <c:v>161</c:v>
                </c:pt>
                <c:pt idx="13">
                  <c:v>0</c:v>
                </c:pt>
                <c:pt idx="14">
                  <c:v>0</c:v>
                </c:pt>
                <c:pt idx="15">
                  <c:v>0</c:v>
                </c:pt>
                <c:pt idx="16">
                  <c:v>0</c:v>
                </c:pt>
                <c:pt idx="17">
                  <c:v>0</c:v>
                </c:pt>
                <c:pt idx="18">
                  <c:v>0</c:v>
                </c:pt>
                <c:pt idx="19">
                  <c:v>0</c:v>
                </c:pt>
                <c:pt idx="20">
                  <c:v>0</c:v>
                </c:pt>
                <c:pt idx="21">
                  <c:v>0</c:v>
                </c:pt>
              </c:numCache>
            </c:numRef>
          </c:val>
          <c:extLst>
            <c:ext xmlns:c16="http://schemas.microsoft.com/office/drawing/2014/chart" uri="{C3380CC4-5D6E-409C-BE32-E72D297353CC}">
              <c16:uniqueId val="{00000006-152C-4264-AF38-B214CCAE5FFC}"/>
            </c:ext>
          </c:extLst>
        </c:ser>
        <c:ser>
          <c:idx val="7"/>
          <c:order val="7"/>
          <c:tx>
            <c:strRef>
              <c:f>'6MF Surveys Completed'!$J$26</c:f>
              <c:strCache>
                <c:ptCount val="1"/>
                <c:pt idx="0">
                  <c:v>2018</c:v>
                </c:pt>
              </c:strCache>
            </c:strRef>
          </c:tx>
          <c:spPr>
            <a:solidFill>
              <a:schemeClr val="accent2">
                <a:lumMod val="60000"/>
              </a:schemeClr>
            </a:solidFill>
            <a:ln>
              <a:noFill/>
            </a:ln>
            <a:effectLst/>
          </c:spPr>
          <c:invertIfNegative val="0"/>
          <c:cat>
            <c:strRef>
              <c:f>'6MF Surveys Completed'!$A$27:$A$48</c:f>
              <c:strCache>
                <c:ptCount val="22"/>
                <c:pt idx="0">
                  <c:v>6MF1</c:v>
                </c:pt>
                <c:pt idx="1">
                  <c:v>6MF2</c:v>
                </c:pt>
                <c:pt idx="2">
                  <c:v>6MF3</c:v>
                </c:pt>
                <c:pt idx="3">
                  <c:v>6MF4</c:v>
                </c:pt>
                <c:pt idx="4">
                  <c:v>6MF5</c:v>
                </c:pt>
                <c:pt idx="5">
                  <c:v>6MF6</c:v>
                </c:pt>
                <c:pt idx="6">
                  <c:v>6MF7</c:v>
                </c:pt>
                <c:pt idx="7">
                  <c:v>6MF8</c:v>
                </c:pt>
                <c:pt idx="8">
                  <c:v>6MF9</c:v>
                </c:pt>
                <c:pt idx="9">
                  <c:v>6MF10</c:v>
                </c:pt>
                <c:pt idx="10">
                  <c:v>6MF11</c:v>
                </c:pt>
                <c:pt idx="11">
                  <c:v>6MF12</c:v>
                </c:pt>
                <c:pt idx="12">
                  <c:v>6MF13</c:v>
                </c:pt>
                <c:pt idx="13">
                  <c:v>6MF14</c:v>
                </c:pt>
                <c:pt idx="14">
                  <c:v>6MF15</c:v>
                </c:pt>
                <c:pt idx="15">
                  <c:v>6MF16</c:v>
                </c:pt>
                <c:pt idx="16">
                  <c:v>6MF17</c:v>
                </c:pt>
                <c:pt idx="17">
                  <c:v>6MF18</c:v>
                </c:pt>
                <c:pt idx="18">
                  <c:v>6MF19</c:v>
                </c:pt>
                <c:pt idx="19">
                  <c:v>6MF20</c:v>
                </c:pt>
                <c:pt idx="20">
                  <c:v>6MF21</c:v>
                </c:pt>
                <c:pt idx="21">
                  <c:v>6MF22</c:v>
                </c:pt>
              </c:strCache>
            </c:strRef>
          </c:cat>
          <c:val>
            <c:numRef>
              <c:f>'6MF Surveys Completed'!$J$27:$J$48</c:f>
              <c:numCache>
                <c:formatCode>General</c:formatCode>
                <c:ptCount val="22"/>
                <c:pt idx="0">
                  <c:v>3</c:v>
                </c:pt>
                <c:pt idx="1">
                  <c:v>6</c:v>
                </c:pt>
                <c:pt idx="2">
                  <c:v>6</c:v>
                </c:pt>
                <c:pt idx="3">
                  <c:v>12</c:v>
                </c:pt>
                <c:pt idx="4">
                  <c:v>13</c:v>
                </c:pt>
                <c:pt idx="5">
                  <c:v>18</c:v>
                </c:pt>
                <c:pt idx="6">
                  <c:v>29</c:v>
                </c:pt>
                <c:pt idx="7">
                  <c:v>28</c:v>
                </c:pt>
                <c:pt idx="8">
                  <c:v>33</c:v>
                </c:pt>
                <c:pt idx="9">
                  <c:v>58</c:v>
                </c:pt>
                <c:pt idx="10">
                  <c:v>127</c:v>
                </c:pt>
                <c:pt idx="11">
                  <c:v>258</c:v>
                </c:pt>
                <c:pt idx="12">
                  <c:v>489</c:v>
                </c:pt>
                <c:pt idx="13">
                  <c:v>420</c:v>
                </c:pt>
                <c:pt idx="14">
                  <c:v>117</c:v>
                </c:pt>
                <c:pt idx="15">
                  <c:v>0</c:v>
                </c:pt>
                <c:pt idx="16">
                  <c:v>0</c:v>
                </c:pt>
                <c:pt idx="17">
                  <c:v>0</c:v>
                </c:pt>
                <c:pt idx="18">
                  <c:v>0</c:v>
                </c:pt>
                <c:pt idx="19">
                  <c:v>0</c:v>
                </c:pt>
                <c:pt idx="20">
                  <c:v>0</c:v>
                </c:pt>
                <c:pt idx="21">
                  <c:v>0</c:v>
                </c:pt>
              </c:numCache>
            </c:numRef>
          </c:val>
          <c:extLst>
            <c:ext xmlns:c16="http://schemas.microsoft.com/office/drawing/2014/chart" uri="{C3380CC4-5D6E-409C-BE32-E72D297353CC}">
              <c16:uniqueId val="{00000007-152C-4264-AF38-B214CCAE5FFC}"/>
            </c:ext>
          </c:extLst>
        </c:ser>
        <c:ser>
          <c:idx val="8"/>
          <c:order val="8"/>
          <c:tx>
            <c:strRef>
              <c:f>'6MF Surveys Completed'!$K$26</c:f>
              <c:strCache>
                <c:ptCount val="1"/>
                <c:pt idx="0">
                  <c:v>2019</c:v>
                </c:pt>
              </c:strCache>
            </c:strRef>
          </c:tx>
          <c:spPr>
            <a:solidFill>
              <a:schemeClr val="accent3">
                <a:lumMod val="60000"/>
              </a:schemeClr>
            </a:solidFill>
            <a:ln>
              <a:noFill/>
            </a:ln>
            <a:effectLst/>
          </c:spPr>
          <c:invertIfNegative val="0"/>
          <c:cat>
            <c:strRef>
              <c:f>'6MF Surveys Completed'!$A$27:$A$48</c:f>
              <c:strCache>
                <c:ptCount val="22"/>
                <c:pt idx="0">
                  <c:v>6MF1</c:v>
                </c:pt>
                <c:pt idx="1">
                  <c:v>6MF2</c:v>
                </c:pt>
                <c:pt idx="2">
                  <c:v>6MF3</c:v>
                </c:pt>
                <c:pt idx="3">
                  <c:v>6MF4</c:v>
                </c:pt>
                <c:pt idx="4">
                  <c:v>6MF5</c:v>
                </c:pt>
                <c:pt idx="5">
                  <c:v>6MF6</c:v>
                </c:pt>
                <c:pt idx="6">
                  <c:v>6MF7</c:v>
                </c:pt>
                <c:pt idx="7">
                  <c:v>6MF8</c:v>
                </c:pt>
                <c:pt idx="8">
                  <c:v>6MF9</c:v>
                </c:pt>
                <c:pt idx="9">
                  <c:v>6MF10</c:v>
                </c:pt>
                <c:pt idx="10">
                  <c:v>6MF11</c:v>
                </c:pt>
                <c:pt idx="11">
                  <c:v>6MF12</c:v>
                </c:pt>
                <c:pt idx="12">
                  <c:v>6MF13</c:v>
                </c:pt>
                <c:pt idx="13">
                  <c:v>6MF14</c:v>
                </c:pt>
                <c:pt idx="14">
                  <c:v>6MF15</c:v>
                </c:pt>
                <c:pt idx="15">
                  <c:v>6MF16</c:v>
                </c:pt>
                <c:pt idx="16">
                  <c:v>6MF17</c:v>
                </c:pt>
                <c:pt idx="17">
                  <c:v>6MF18</c:v>
                </c:pt>
                <c:pt idx="18">
                  <c:v>6MF19</c:v>
                </c:pt>
                <c:pt idx="19">
                  <c:v>6MF20</c:v>
                </c:pt>
                <c:pt idx="20">
                  <c:v>6MF21</c:v>
                </c:pt>
                <c:pt idx="21">
                  <c:v>6MF22</c:v>
                </c:pt>
              </c:strCache>
            </c:strRef>
          </c:cat>
          <c:val>
            <c:numRef>
              <c:f>'6MF Surveys Completed'!$K$27:$K$48</c:f>
              <c:numCache>
                <c:formatCode>General</c:formatCode>
                <c:ptCount val="22"/>
                <c:pt idx="0">
                  <c:v>0</c:v>
                </c:pt>
                <c:pt idx="1">
                  <c:v>3</c:v>
                </c:pt>
                <c:pt idx="2">
                  <c:v>5</c:v>
                </c:pt>
                <c:pt idx="3">
                  <c:v>6</c:v>
                </c:pt>
                <c:pt idx="4">
                  <c:v>7</c:v>
                </c:pt>
                <c:pt idx="5">
                  <c:v>11</c:v>
                </c:pt>
                <c:pt idx="6">
                  <c:v>8</c:v>
                </c:pt>
                <c:pt idx="7">
                  <c:v>17</c:v>
                </c:pt>
                <c:pt idx="8">
                  <c:v>14</c:v>
                </c:pt>
                <c:pt idx="9">
                  <c:v>23</c:v>
                </c:pt>
                <c:pt idx="10">
                  <c:v>45</c:v>
                </c:pt>
                <c:pt idx="11">
                  <c:v>56</c:v>
                </c:pt>
                <c:pt idx="12">
                  <c:v>99</c:v>
                </c:pt>
                <c:pt idx="13">
                  <c:v>198</c:v>
                </c:pt>
                <c:pt idx="14">
                  <c:v>337</c:v>
                </c:pt>
                <c:pt idx="15">
                  <c:v>279</c:v>
                </c:pt>
                <c:pt idx="16">
                  <c:v>79</c:v>
                </c:pt>
                <c:pt idx="17">
                  <c:v>0</c:v>
                </c:pt>
                <c:pt idx="18">
                  <c:v>0</c:v>
                </c:pt>
                <c:pt idx="19">
                  <c:v>0</c:v>
                </c:pt>
                <c:pt idx="20">
                  <c:v>0</c:v>
                </c:pt>
                <c:pt idx="21">
                  <c:v>0</c:v>
                </c:pt>
              </c:numCache>
            </c:numRef>
          </c:val>
          <c:extLst>
            <c:ext xmlns:c16="http://schemas.microsoft.com/office/drawing/2014/chart" uri="{C3380CC4-5D6E-409C-BE32-E72D297353CC}">
              <c16:uniqueId val="{00000008-152C-4264-AF38-B214CCAE5FFC}"/>
            </c:ext>
          </c:extLst>
        </c:ser>
        <c:ser>
          <c:idx val="9"/>
          <c:order val="9"/>
          <c:tx>
            <c:strRef>
              <c:f>'6MF Surveys Completed'!$L$26</c:f>
              <c:strCache>
                <c:ptCount val="1"/>
                <c:pt idx="0">
                  <c:v>2020</c:v>
                </c:pt>
              </c:strCache>
            </c:strRef>
          </c:tx>
          <c:spPr>
            <a:solidFill>
              <a:schemeClr val="accent4">
                <a:lumMod val="60000"/>
              </a:schemeClr>
            </a:solidFill>
            <a:ln>
              <a:noFill/>
            </a:ln>
            <a:effectLst/>
          </c:spPr>
          <c:invertIfNegative val="0"/>
          <c:cat>
            <c:strRef>
              <c:f>'6MF Surveys Completed'!$A$27:$A$48</c:f>
              <c:strCache>
                <c:ptCount val="22"/>
                <c:pt idx="0">
                  <c:v>6MF1</c:v>
                </c:pt>
                <c:pt idx="1">
                  <c:v>6MF2</c:v>
                </c:pt>
                <c:pt idx="2">
                  <c:v>6MF3</c:v>
                </c:pt>
                <c:pt idx="3">
                  <c:v>6MF4</c:v>
                </c:pt>
                <c:pt idx="4">
                  <c:v>6MF5</c:v>
                </c:pt>
                <c:pt idx="5">
                  <c:v>6MF6</c:v>
                </c:pt>
                <c:pt idx="6">
                  <c:v>6MF7</c:v>
                </c:pt>
                <c:pt idx="7">
                  <c:v>6MF8</c:v>
                </c:pt>
                <c:pt idx="8">
                  <c:v>6MF9</c:v>
                </c:pt>
                <c:pt idx="9">
                  <c:v>6MF10</c:v>
                </c:pt>
                <c:pt idx="10">
                  <c:v>6MF11</c:v>
                </c:pt>
                <c:pt idx="11">
                  <c:v>6MF12</c:v>
                </c:pt>
                <c:pt idx="12">
                  <c:v>6MF13</c:v>
                </c:pt>
                <c:pt idx="13">
                  <c:v>6MF14</c:v>
                </c:pt>
                <c:pt idx="14">
                  <c:v>6MF15</c:v>
                </c:pt>
                <c:pt idx="15">
                  <c:v>6MF16</c:v>
                </c:pt>
                <c:pt idx="16">
                  <c:v>6MF17</c:v>
                </c:pt>
                <c:pt idx="17">
                  <c:v>6MF18</c:v>
                </c:pt>
                <c:pt idx="18">
                  <c:v>6MF19</c:v>
                </c:pt>
                <c:pt idx="19">
                  <c:v>6MF20</c:v>
                </c:pt>
                <c:pt idx="20">
                  <c:v>6MF21</c:v>
                </c:pt>
                <c:pt idx="21">
                  <c:v>6MF22</c:v>
                </c:pt>
              </c:strCache>
            </c:strRef>
          </c:cat>
          <c:val>
            <c:numRef>
              <c:f>'6MF Surveys Completed'!$L$27:$L$48</c:f>
              <c:numCache>
                <c:formatCode>General</c:formatCode>
                <c:ptCount val="22"/>
                <c:pt idx="0">
                  <c:v>0</c:v>
                </c:pt>
                <c:pt idx="1">
                  <c:v>1</c:v>
                </c:pt>
                <c:pt idx="2">
                  <c:v>1</c:v>
                </c:pt>
                <c:pt idx="3">
                  <c:v>4</c:v>
                </c:pt>
                <c:pt idx="4">
                  <c:v>8</c:v>
                </c:pt>
                <c:pt idx="5">
                  <c:v>8</c:v>
                </c:pt>
                <c:pt idx="6">
                  <c:v>9</c:v>
                </c:pt>
                <c:pt idx="7">
                  <c:v>9</c:v>
                </c:pt>
                <c:pt idx="8">
                  <c:v>9</c:v>
                </c:pt>
                <c:pt idx="9">
                  <c:v>17</c:v>
                </c:pt>
                <c:pt idx="10">
                  <c:v>15</c:v>
                </c:pt>
                <c:pt idx="11">
                  <c:v>22</c:v>
                </c:pt>
                <c:pt idx="12">
                  <c:v>23</c:v>
                </c:pt>
                <c:pt idx="13">
                  <c:v>41</c:v>
                </c:pt>
                <c:pt idx="14">
                  <c:v>72</c:v>
                </c:pt>
                <c:pt idx="15">
                  <c:v>141</c:v>
                </c:pt>
                <c:pt idx="16">
                  <c:v>227</c:v>
                </c:pt>
                <c:pt idx="17">
                  <c:v>173</c:v>
                </c:pt>
                <c:pt idx="18">
                  <c:v>43</c:v>
                </c:pt>
                <c:pt idx="19">
                  <c:v>0</c:v>
                </c:pt>
                <c:pt idx="20">
                  <c:v>0</c:v>
                </c:pt>
                <c:pt idx="21">
                  <c:v>0</c:v>
                </c:pt>
              </c:numCache>
            </c:numRef>
          </c:val>
          <c:extLst>
            <c:ext xmlns:c16="http://schemas.microsoft.com/office/drawing/2014/chart" uri="{C3380CC4-5D6E-409C-BE32-E72D297353CC}">
              <c16:uniqueId val="{00000009-152C-4264-AF38-B214CCAE5FFC}"/>
            </c:ext>
          </c:extLst>
        </c:ser>
        <c:ser>
          <c:idx val="10"/>
          <c:order val="10"/>
          <c:tx>
            <c:strRef>
              <c:f>'6MF Surveys Completed'!$M$26</c:f>
              <c:strCache>
                <c:ptCount val="1"/>
                <c:pt idx="0">
                  <c:v>2021</c:v>
                </c:pt>
              </c:strCache>
            </c:strRef>
          </c:tx>
          <c:spPr>
            <a:solidFill>
              <a:schemeClr val="accent5">
                <a:lumMod val="60000"/>
              </a:schemeClr>
            </a:solidFill>
            <a:ln>
              <a:noFill/>
            </a:ln>
            <a:effectLst/>
          </c:spPr>
          <c:invertIfNegative val="0"/>
          <c:cat>
            <c:strRef>
              <c:f>'6MF Surveys Completed'!$A$27:$A$48</c:f>
              <c:strCache>
                <c:ptCount val="22"/>
                <c:pt idx="0">
                  <c:v>6MF1</c:v>
                </c:pt>
                <c:pt idx="1">
                  <c:v>6MF2</c:v>
                </c:pt>
                <c:pt idx="2">
                  <c:v>6MF3</c:v>
                </c:pt>
                <c:pt idx="3">
                  <c:v>6MF4</c:v>
                </c:pt>
                <c:pt idx="4">
                  <c:v>6MF5</c:v>
                </c:pt>
                <c:pt idx="5">
                  <c:v>6MF6</c:v>
                </c:pt>
                <c:pt idx="6">
                  <c:v>6MF7</c:v>
                </c:pt>
                <c:pt idx="7">
                  <c:v>6MF8</c:v>
                </c:pt>
                <c:pt idx="8">
                  <c:v>6MF9</c:v>
                </c:pt>
                <c:pt idx="9">
                  <c:v>6MF10</c:v>
                </c:pt>
                <c:pt idx="10">
                  <c:v>6MF11</c:v>
                </c:pt>
                <c:pt idx="11">
                  <c:v>6MF12</c:v>
                </c:pt>
                <c:pt idx="12">
                  <c:v>6MF13</c:v>
                </c:pt>
                <c:pt idx="13">
                  <c:v>6MF14</c:v>
                </c:pt>
                <c:pt idx="14">
                  <c:v>6MF15</c:v>
                </c:pt>
                <c:pt idx="15">
                  <c:v>6MF16</c:v>
                </c:pt>
                <c:pt idx="16">
                  <c:v>6MF17</c:v>
                </c:pt>
                <c:pt idx="17">
                  <c:v>6MF18</c:v>
                </c:pt>
                <c:pt idx="18">
                  <c:v>6MF19</c:v>
                </c:pt>
                <c:pt idx="19">
                  <c:v>6MF20</c:v>
                </c:pt>
                <c:pt idx="20">
                  <c:v>6MF21</c:v>
                </c:pt>
                <c:pt idx="21">
                  <c:v>6MF22</c:v>
                </c:pt>
              </c:strCache>
            </c:strRef>
          </c:cat>
          <c:val>
            <c:numRef>
              <c:f>'6MF Surveys Completed'!$M$27:$M$48</c:f>
              <c:numCache>
                <c:formatCode>General</c:formatCode>
                <c:ptCount val="22"/>
                <c:pt idx="0">
                  <c:v>0</c:v>
                </c:pt>
                <c:pt idx="1">
                  <c:v>1</c:v>
                </c:pt>
                <c:pt idx="2">
                  <c:v>0</c:v>
                </c:pt>
                <c:pt idx="3">
                  <c:v>2</c:v>
                </c:pt>
                <c:pt idx="4">
                  <c:v>3</c:v>
                </c:pt>
                <c:pt idx="5">
                  <c:v>6</c:v>
                </c:pt>
                <c:pt idx="6">
                  <c:v>7</c:v>
                </c:pt>
                <c:pt idx="7">
                  <c:v>7</c:v>
                </c:pt>
                <c:pt idx="8">
                  <c:v>6</c:v>
                </c:pt>
                <c:pt idx="9">
                  <c:v>7</c:v>
                </c:pt>
                <c:pt idx="10">
                  <c:v>5</c:v>
                </c:pt>
                <c:pt idx="11">
                  <c:v>8</c:v>
                </c:pt>
                <c:pt idx="12">
                  <c:v>19</c:v>
                </c:pt>
                <c:pt idx="13">
                  <c:v>17</c:v>
                </c:pt>
                <c:pt idx="14">
                  <c:v>25</c:v>
                </c:pt>
                <c:pt idx="15">
                  <c:v>36</c:v>
                </c:pt>
                <c:pt idx="16">
                  <c:v>51</c:v>
                </c:pt>
                <c:pt idx="17">
                  <c:v>103</c:v>
                </c:pt>
                <c:pt idx="18">
                  <c:v>158</c:v>
                </c:pt>
                <c:pt idx="19">
                  <c:v>112</c:v>
                </c:pt>
                <c:pt idx="20">
                  <c:v>26</c:v>
                </c:pt>
                <c:pt idx="21">
                  <c:v>0</c:v>
                </c:pt>
              </c:numCache>
            </c:numRef>
          </c:val>
          <c:extLst>
            <c:ext xmlns:c16="http://schemas.microsoft.com/office/drawing/2014/chart" uri="{C3380CC4-5D6E-409C-BE32-E72D297353CC}">
              <c16:uniqueId val="{0000000A-152C-4264-AF38-B214CCAE5FFC}"/>
            </c:ext>
          </c:extLst>
        </c:ser>
        <c:ser>
          <c:idx val="11"/>
          <c:order val="11"/>
          <c:tx>
            <c:strRef>
              <c:f>'6MF Surveys Completed'!$N$26</c:f>
              <c:strCache>
                <c:ptCount val="1"/>
                <c:pt idx="0">
                  <c:v>2022</c:v>
                </c:pt>
              </c:strCache>
            </c:strRef>
          </c:tx>
          <c:spPr>
            <a:solidFill>
              <a:schemeClr val="accent6">
                <a:lumMod val="60000"/>
              </a:schemeClr>
            </a:solidFill>
            <a:ln>
              <a:noFill/>
            </a:ln>
            <a:effectLst/>
          </c:spPr>
          <c:invertIfNegative val="0"/>
          <c:cat>
            <c:strRef>
              <c:f>'6MF Surveys Completed'!$A$27:$A$48</c:f>
              <c:strCache>
                <c:ptCount val="22"/>
                <c:pt idx="0">
                  <c:v>6MF1</c:v>
                </c:pt>
                <c:pt idx="1">
                  <c:v>6MF2</c:v>
                </c:pt>
                <c:pt idx="2">
                  <c:v>6MF3</c:v>
                </c:pt>
                <c:pt idx="3">
                  <c:v>6MF4</c:v>
                </c:pt>
                <c:pt idx="4">
                  <c:v>6MF5</c:v>
                </c:pt>
                <c:pt idx="5">
                  <c:v>6MF6</c:v>
                </c:pt>
                <c:pt idx="6">
                  <c:v>6MF7</c:v>
                </c:pt>
                <c:pt idx="7">
                  <c:v>6MF8</c:v>
                </c:pt>
                <c:pt idx="8">
                  <c:v>6MF9</c:v>
                </c:pt>
                <c:pt idx="9">
                  <c:v>6MF10</c:v>
                </c:pt>
                <c:pt idx="10">
                  <c:v>6MF11</c:v>
                </c:pt>
                <c:pt idx="11">
                  <c:v>6MF12</c:v>
                </c:pt>
                <c:pt idx="12">
                  <c:v>6MF13</c:v>
                </c:pt>
                <c:pt idx="13">
                  <c:v>6MF14</c:v>
                </c:pt>
                <c:pt idx="14">
                  <c:v>6MF15</c:v>
                </c:pt>
                <c:pt idx="15">
                  <c:v>6MF16</c:v>
                </c:pt>
                <c:pt idx="16">
                  <c:v>6MF17</c:v>
                </c:pt>
                <c:pt idx="17">
                  <c:v>6MF18</c:v>
                </c:pt>
                <c:pt idx="18">
                  <c:v>6MF19</c:v>
                </c:pt>
                <c:pt idx="19">
                  <c:v>6MF20</c:v>
                </c:pt>
                <c:pt idx="20">
                  <c:v>6MF21</c:v>
                </c:pt>
                <c:pt idx="21">
                  <c:v>6MF22</c:v>
                </c:pt>
              </c:strCache>
            </c:strRef>
          </c:cat>
          <c:val>
            <c:numRef>
              <c:f>'6MF Surveys Completed'!$N$27:$N$48</c:f>
              <c:numCache>
                <c:formatCode>General</c:formatCode>
                <c:ptCount val="22"/>
                <c:pt idx="0">
                  <c:v>0</c:v>
                </c:pt>
                <c:pt idx="1">
                  <c:v>0</c:v>
                </c:pt>
                <c:pt idx="2">
                  <c:v>0</c:v>
                </c:pt>
                <c:pt idx="3">
                  <c:v>0</c:v>
                </c:pt>
                <c:pt idx="4">
                  <c:v>1</c:v>
                </c:pt>
                <c:pt idx="5">
                  <c:v>3</c:v>
                </c:pt>
                <c:pt idx="6">
                  <c:v>3</c:v>
                </c:pt>
                <c:pt idx="7">
                  <c:v>4</c:v>
                </c:pt>
                <c:pt idx="8">
                  <c:v>6</c:v>
                </c:pt>
                <c:pt idx="9">
                  <c:v>4</c:v>
                </c:pt>
                <c:pt idx="10">
                  <c:v>2</c:v>
                </c:pt>
                <c:pt idx="11">
                  <c:v>6</c:v>
                </c:pt>
                <c:pt idx="12">
                  <c:v>3</c:v>
                </c:pt>
                <c:pt idx="13">
                  <c:v>9</c:v>
                </c:pt>
                <c:pt idx="14">
                  <c:v>11</c:v>
                </c:pt>
                <c:pt idx="15">
                  <c:v>11</c:v>
                </c:pt>
                <c:pt idx="16">
                  <c:v>12</c:v>
                </c:pt>
                <c:pt idx="17">
                  <c:v>25</c:v>
                </c:pt>
                <c:pt idx="18">
                  <c:v>38</c:v>
                </c:pt>
                <c:pt idx="19">
                  <c:v>65</c:v>
                </c:pt>
                <c:pt idx="20">
                  <c:v>85</c:v>
                </c:pt>
                <c:pt idx="21">
                  <c:v>47</c:v>
                </c:pt>
              </c:numCache>
            </c:numRef>
          </c:val>
          <c:extLst>
            <c:ext xmlns:c16="http://schemas.microsoft.com/office/drawing/2014/chart" uri="{C3380CC4-5D6E-409C-BE32-E72D297353CC}">
              <c16:uniqueId val="{0000000B-152C-4264-AF38-B214CCAE5FFC}"/>
            </c:ext>
          </c:extLst>
        </c:ser>
        <c:dLbls>
          <c:showLegendKey val="0"/>
          <c:showVal val="0"/>
          <c:showCatName val="0"/>
          <c:showSerName val="0"/>
          <c:showPercent val="0"/>
          <c:showBubbleSize val="0"/>
        </c:dLbls>
        <c:gapWidth val="150"/>
        <c:overlap val="100"/>
        <c:axId val="618938928"/>
        <c:axId val="618939584"/>
      </c:barChart>
      <c:catAx>
        <c:axId val="61893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939584"/>
        <c:crosses val="autoZero"/>
        <c:auto val="1"/>
        <c:lblAlgn val="ctr"/>
        <c:lblOffset val="100"/>
        <c:noMultiLvlLbl val="0"/>
      </c:catAx>
      <c:valAx>
        <c:axId val="618939584"/>
        <c:scaling>
          <c:orientation val="minMax"/>
          <c:max val="4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93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91440" rIns="91440" bIns="9144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8D49-63C7-4AF8-A28B-799184EE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126</Pages>
  <Words>34211</Words>
  <Characters>189188</Characters>
  <Application>Microsoft Office Word</Application>
  <DocSecurity>0</DocSecurity>
  <Lines>7276</Lines>
  <Paragraphs>4753</Paragraphs>
  <ScaleCrop>false</ScaleCrop>
  <HeadingPairs>
    <vt:vector size="2" baseType="variant">
      <vt:variant>
        <vt:lpstr>Title</vt:lpstr>
      </vt:variant>
      <vt:variant>
        <vt:i4>1</vt:i4>
      </vt:variant>
    </vt:vector>
  </HeadingPairs>
  <TitlesOfParts>
    <vt:vector size="1" baseType="lpstr">
      <vt:lpstr>Australian Longitudinal Study on Women’s Health Technical Report #42</vt:lpstr>
    </vt:vector>
  </TitlesOfParts>
  <Company>University of Queensland</Company>
  <LinksUpToDate>false</LinksUpToDate>
  <CharactersWithSpaces>218646</CharactersWithSpaces>
  <SharedDoc>false</SharedDoc>
  <HLinks>
    <vt:vector size="366" baseType="variant">
      <vt:variant>
        <vt:i4>3670092</vt:i4>
      </vt:variant>
      <vt:variant>
        <vt:i4>498</vt:i4>
      </vt:variant>
      <vt:variant>
        <vt:i4>0</vt:i4>
      </vt:variant>
      <vt:variant>
        <vt:i4>5</vt:i4>
      </vt:variant>
      <vt:variant>
        <vt:lpwstr>http://www.alswh.org.au</vt:lpwstr>
      </vt:variant>
      <vt:variant>
        <vt:lpwstr/>
      </vt:variant>
      <vt:variant>
        <vt:i4>3801167</vt:i4>
      </vt:variant>
      <vt:variant>
        <vt:i4>495</vt:i4>
      </vt:variant>
      <vt:variant>
        <vt:i4>0</vt:i4>
      </vt:variant>
      <vt:variant>
        <vt:i4>5</vt:i4>
      </vt:variant>
      <vt:variant>
        <vt:lpwstr>http://www.aihw.gov.au/rural-health-impact-of-rurality/</vt:lpwstr>
      </vt:variant>
      <vt:variant>
        <vt:lpwstr/>
      </vt:variant>
      <vt:variant>
        <vt:i4>6291558</vt:i4>
      </vt:variant>
      <vt:variant>
        <vt:i4>357</vt:i4>
      </vt:variant>
      <vt:variant>
        <vt:i4>0</vt:i4>
      </vt:variant>
      <vt:variant>
        <vt:i4>5</vt:i4>
      </vt:variant>
      <vt:variant>
        <vt:lpwstr>mailto:r.hockey@sph.uq.edu.au</vt:lpwstr>
      </vt:variant>
      <vt:variant>
        <vt:lpwstr/>
      </vt:variant>
      <vt:variant>
        <vt:i4>6881401</vt:i4>
      </vt:variant>
      <vt:variant>
        <vt:i4>354</vt:i4>
      </vt:variant>
      <vt:variant>
        <vt:i4>0</vt:i4>
      </vt:variant>
      <vt:variant>
        <vt:i4>5</vt:i4>
      </vt:variant>
      <vt:variant>
        <vt:lpwstr>http://eagereyes.org/parallel-sets</vt:lpwstr>
      </vt:variant>
      <vt:variant>
        <vt:lpwstr/>
      </vt:variant>
      <vt:variant>
        <vt:i4>7471222</vt:i4>
      </vt:variant>
      <vt:variant>
        <vt:i4>351</vt:i4>
      </vt:variant>
      <vt:variant>
        <vt:i4>0</vt:i4>
      </vt:variant>
      <vt:variant>
        <vt:i4>5</vt:i4>
      </vt:variant>
      <vt:variant>
        <vt:lpwstr>http://www.datavis.ca/</vt:lpwstr>
      </vt:variant>
      <vt:variant>
        <vt:lpwstr/>
      </vt:variant>
      <vt:variant>
        <vt:i4>1048585</vt:i4>
      </vt:variant>
      <vt:variant>
        <vt:i4>326</vt:i4>
      </vt:variant>
      <vt:variant>
        <vt:i4>0</vt:i4>
      </vt:variant>
      <vt:variant>
        <vt:i4>5</vt:i4>
      </vt:variant>
      <vt:variant>
        <vt:lpwstr/>
      </vt:variant>
      <vt:variant>
        <vt:lpwstr>_Toc304383771</vt:lpwstr>
      </vt:variant>
      <vt:variant>
        <vt:i4>1048584</vt:i4>
      </vt:variant>
      <vt:variant>
        <vt:i4>320</vt:i4>
      </vt:variant>
      <vt:variant>
        <vt:i4>0</vt:i4>
      </vt:variant>
      <vt:variant>
        <vt:i4>5</vt:i4>
      </vt:variant>
      <vt:variant>
        <vt:lpwstr/>
      </vt:variant>
      <vt:variant>
        <vt:lpwstr>_Toc304383770</vt:lpwstr>
      </vt:variant>
      <vt:variant>
        <vt:i4>1114113</vt:i4>
      </vt:variant>
      <vt:variant>
        <vt:i4>314</vt:i4>
      </vt:variant>
      <vt:variant>
        <vt:i4>0</vt:i4>
      </vt:variant>
      <vt:variant>
        <vt:i4>5</vt:i4>
      </vt:variant>
      <vt:variant>
        <vt:lpwstr/>
      </vt:variant>
      <vt:variant>
        <vt:lpwstr>_Toc304383769</vt:lpwstr>
      </vt:variant>
      <vt:variant>
        <vt:i4>1114112</vt:i4>
      </vt:variant>
      <vt:variant>
        <vt:i4>308</vt:i4>
      </vt:variant>
      <vt:variant>
        <vt:i4>0</vt:i4>
      </vt:variant>
      <vt:variant>
        <vt:i4>5</vt:i4>
      </vt:variant>
      <vt:variant>
        <vt:lpwstr/>
      </vt:variant>
      <vt:variant>
        <vt:lpwstr>_Toc304383768</vt:lpwstr>
      </vt:variant>
      <vt:variant>
        <vt:i4>1114127</vt:i4>
      </vt:variant>
      <vt:variant>
        <vt:i4>302</vt:i4>
      </vt:variant>
      <vt:variant>
        <vt:i4>0</vt:i4>
      </vt:variant>
      <vt:variant>
        <vt:i4>5</vt:i4>
      </vt:variant>
      <vt:variant>
        <vt:lpwstr/>
      </vt:variant>
      <vt:variant>
        <vt:lpwstr>_Toc304383767</vt:lpwstr>
      </vt:variant>
      <vt:variant>
        <vt:i4>1114126</vt:i4>
      </vt:variant>
      <vt:variant>
        <vt:i4>296</vt:i4>
      </vt:variant>
      <vt:variant>
        <vt:i4>0</vt:i4>
      </vt:variant>
      <vt:variant>
        <vt:i4>5</vt:i4>
      </vt:variant>
      <vt:variant>
        <vt:lpwstr/>
      </vt:variant>
      <vt:variant>
        <vt:lpwstr>_Toc304383766</vt:lpwstr>
      </vt:variant>
      <vt:variant>
        <vt:i4>1114125</vt:i4>
      </vt:variant>
      <vt:variant>
        <vt:i4>290</vt:i4>
      </vt:variant>
      <vt:variant>
        <vt:i4>0</vt:i4>
      </vt:variant>
      <vt:variant>
        <vt:i4>5</vt:i4>
      </vt:variant>
      <vt:variant>
        <vt:lpwstr/>
      </vt:variant>
      <vt:variant>
        <vt:lpwstr>_Toc304383765</vt:lpwstr>
      </vt:variant>
      <vt:variant>
        <vt:i4>1114124</vt:i4>
      </vt:variant>
      <vt:variant>
        <vt:i4>284</vt:i4>
      </vt:variant>
      <vt:variant>
        <vt:i4>0</vt:i4>
      </vt:variant>
      <vt:variant>
        <vt:i4>5</vt:i4>
      </vt:variant>
      <vt:variant>
        <vt:lpwstr/>
      </vt:variant>
      <vt:variant>
        <vt:lpwstr>_Toc304383764</vt:lpwstr>
      </vt:variant>
      <vt:variant>
        <vt:i4>1114123</vt:i4>
      </vt:variant>
      <vt:variant>
        <vt:i4>278</vt:i4>
      </vt:variant>
      <vt:variant>
        <vt:i4>0</vt:i4>
      </vt:variant>
      <vt:variant>
        <vt:i4>5</vt:i4>
      </vt:variant>
      <vt:variant>
        <vt:lpwstr/>
      </vt:variant>
      <vt:variant>
        <vt:lpwstr>_Toc304383763</vt:lpwstr>
      </vt:variant>
      <vt:variant>
        <vt:i4>1114122</vt:i4>
      </vt:variant>
      <vt:variant>
        <vt:i4>272</vt:i4>
      </vt:variant>
      <vt:variant>
        <vt:i4>0</vt:i4>
      </vt:variant>
      <vt:variant>
        <vt:i4>5</vt:i4>
      </vt:variant>
      <vt:variant>
        <vt:lpwstr/>
      </vt:variant>
      <vt:variant>
        <vt:lpwstr>_Toc304383762</vt:lpwstr>
      </vt:variant>
      <vt:variant>
        <vt:i4>1114121</vt:i4>
      </vt:variant>
      <vt:variant>
        <vt:i4>266</vt:i4>
      </vt:variant>
      <vt:variant>
        <vt:i4>0</vt:i4>
      </vt:variant>
      <vt:variant>
        <vt:i4>5</vt:i4>
      </vt:variant>
      <vt:variant>
        <vt:lpwstr/>
      </vt:variant>
      <vt:variant>
        <vt:lpwstr>_Toc304383761</vt:lpwstr>
      </vt:variant>
      <vt:variant>
        <vt:i4>1114120</vt:i4>
      </vt:variant>
      <vt:variant>
        <vt:i4>260</vt:i4>
      </vt:variant>
      <vt:variant>
        <vt:i4>0</vt:i4>
      </vt:variant>
      <vt:variant>
        <vt:i4>5</vt:i4>
      </vt:variant>
      <vt:variant>
        <vt:lpwstr/>
      </vt:variant>
      <vt:variant>
        <vt:lpwstr>_Toc304383760</vt:lpwstr>
      </vt:variant>
      <vt:variant>
        <vt:i4>1179649</vt:i4>
      </vt:variant>
      <vt:variant>
        <vt:i4>254</vt:i4>
      </vt:variant>
      <vt:variant>
        <vt:i4>0</vt:i4>
      </vt:variant>
      <vt:variant>
        <vt:i4>5</vt:i4>
      </vt:variant>
      <vt:variant>
        <vt:lpwstr/>
      </vt:variant>
      <vt:variant>
        <vt:lpwstr>_Toc304383759</vt:lpwstr>
      </vt:variant>
      <vt:variant>
        <vt:i4>1179648</vt:i4>
      </vt:variant>
      <vt:variant>
        <vt:i4>248</vt:i4>
      </vt:variant>
      <vt:variant>
        <vt:i4>0</vt:i4>
      </vt:variant>
      <vt:variant>
        <vt:i4>5</vt:i4>
      </vt:variant>
      <vt:variant>
        <vt:lpwstr/>
      </vt:variant>
      <vt:variant>
        <vt:lpwstr>_Toc304383758</vt:lpwstr>
      </vt:variant>
      <vt:variant>
        <vt:i4>1179663</vt:i4>
      </vt:variant>
      <vt:variant>
        <vt:i4>242</vt:i4>
      </vt:variant>
      <vt:variant>
        <vt:i4>0</vt:i4>
      </vt:variant>
      <vt:variant>
        <vt:i4>5</vt:i4>
      </vt:variant>
      <vt:variant>
        <vt:lpwstr/>
      </vt:variant>
      <vt:variant>
        <vt:lpwstr>_Toc304383757</vt:lpwstr>
      </vt:variant>
      <vt:variant>
        <vt:i4>1179662</vt:i4>
      </vt:variant>
      <vt:variant>
        <vt:i4>236</vt:i4>
      </vt:variant>
      <vt:variant>
        <vt:i4>0</vt:i4>
      </vt:variant>
      <vt:variant>
        <vt:i4>5</vt:i4>
      </vt:variant>
      <vt:variant>
        <vt:lpwstr/>
      </vt:variant>
      <vt:variant>
        <vt:lpwstr>_Toc304383756</vt:lpwstr>
      </vt:variant>
      <vt:variant>
        <vt:i4>1179661</vt:i4>
      </vt:variant>
      <vt:variant>
        <vt:i4>230</vt:i4>
      </vt:variant>
      <vt:variant>
        <vt:i4>0</vt:i4>
      </vt:variant>
      <vt:variant>
        <vt:i4>5</vt:i4>
      </vt:variant>
      <vt:variant>
        <vt:lpwstr/>
      </vt:variant>
      <vt:variant>
        <vt:lpwstr>_Toc304383755</vt:lpwstr>
      </vt:variant>
      <vt:variant>
        <vt:i4>1179660</vt:i4>
      </vt:variant>
      <vt:variant>
        <vt:i4>224</vt:i4>
      </vt:variant>
      <vt:variant>
        <vt:i4>0</vt:i4>
      </vt:variant>
      <vt:variant>
        <vt:i4>5</vt:i4>
      </vt:variant>
      <vt:variant>
        <vt:lpwstr/>
      </vt:variant>
      <vt:variant>
        <vt:lpwstr>_Toc304383754</vt:lpwstr>
      </vt:variant>
      <vt:variant>
        <vt:i4>1179659</vt:i4>
      </vt:variant>
      <vt:variant>
        <vt:i4>218</vt:i4>
      </vt:variant>
      <vt:variant>
        <vt:i4>0</vt:i4>
      </vt:variant>
      <vt:variant>
        <vt:i4>5</vt:i4>
      </vt:variant>
      <vt:variant>
        <vt:lpwstr/>
      </vt:variant>
      <vt:variant>
        <vt:lpwstr>_Toc304383753</vt:lpwstr>
      </vt:variant>
      <vt:variant>
        <vt:i4>1179658</vt:i4>
      </vt:variant>
      <vt:variant>
        <vt:i4>212</vt:i4>
      </vt:variant>
      <vt:variant>
        <vt:i4>0</vt:i4>
      </vt:variant>
      <vt:variant>
        <vt:i4>5</vt:i4>
      </vt:variant>
      <vt:variant>
        <vt:lpwstr/>
      </vt:variant>
      <vt:variant>
        <vt:lpwstr>_Toc304383752</vt:lpwstr>
      </vt:variant>
      <vt:variant>
        <vt:i4>1179657</vt:i4>
      </vt:variant>
      <vt:variant>
        <vt:i4>206</vt:i4>
      </vt:variant>
      <vt:variant>
        <vt:i4>0</vt:i4>
      </vt:variant>
      <vt:variant>
        <vt:i4>5</vt:i4>
      </vt:variant>
      <vt:variant>
        <vt:lpwstr/>
      </vt:variant>
      <vt:variant>
        <vt:lpwstr>_Toc304383751</vt:lpwstr>
      </vt:variant>
      <vt:variant>
        <vt:i4>1179656</vt:i4>
      </vt:variant>
      <vt:variant>
        <vt:i4>200</vt:i4>
      </vt:variant>
      <vt:variant>
        <vt:i4>0</vt:i4>
      </vt:variant>
      <vt:variant>
        <vt:i4>5</vt:i4>
      </vt:variant>
      <vt:variant>
        <vt:lpwstr/>
      </vt:variant>
      <vt:variant>
        <vt:lpwstr>_Toc304383750</vt:lpwstr>
      </vt:variant>
      <vt:variant>
        <vt:i4>1245185</vt:i4>
      </vt:variant>
      <vt:variant>
        <vt:i4>194</vt:i4>
      </vt:variant>
      <vt:variant>
        <vt:i4>0</vt:i4>
      </vt:variant>
      <vt:variant>
        <vt:i4>5</vt:i4>
      </vt:variant>
      <vt:variant>
        <vt:lpwstr/>
      </vt:variant>
      <vt:variant>
        <vt:lpwstr>_Toc304383749</vt:lpwstr>
      </vt:variant>
      <vt:variant>
        <vt:i4>1245184</vt:i4>
      </vt:variant>
      <vt:variant>
        <vt:i4>188</vt:i4>
      </vt:variant>
      <vt:variant>
        <vt:i4>0</vt:i4>
      </vt:variant>
      <vt:variant>
        <vt:i4>5</vt:i4>
      </vt:variant>
      <vt:variant>
        <vt:lpwstr/>
      </vt:variant>
      <vt:variant>
        <vt:lpwstr>_Toc304383748</vt:lpwstr>
      </vt:variant>
      <vt:variant>
        <vt:i4>1245199</vt:i4>
      </vt:variant>
      <vt:variant>
        <vt:i4>182</vt:i4>
      </vt:variant>
      <vt:variant>
        <vt:i4>0</vt:i4>
      </vt:variant>
      <vt:variant>
        <vt:i4>5</vt:i4>
      </vt:variant>
      <vt:variant>
        <vt:lpwstr/>
      </vt:variant>
      <vt:variant>
        <vt:lpwstr>_Toc304383747</vt:lpwstr>
      </vt:variant>
      <vt:variant>
        <vt:i4>1245198</vt:i4>
      </vt:variant>
      <vt:variant>
        <vt:i4>176</vt:i4>
      </vt:variant>
      <vt:variant>
        <vt:i4>0</vt:i4>
      </vt:variant>
      <vt:variant>
        <vt:i4>5</vt:i4>
      </vt:variant>
      <vt:variant>
        <vt:lpwstr/>
      </vt:variant>
      <vt:variant>
        <vt:lpwstr>_Toc304383746</vt:lpwstr>
      </vt:variant>
      <vt:variant>
        <vt:i4>1245197</vt:i4>
      </vt:variant>
      <vt:variant>
        <vt:i4>170</vt:i4>
      </vt:variant>
      <vt:variant>
        <vt:i4>0</vt:i4>
      </vt:variant>
      <vt:variant>
        <vt:i4>5</vt:i4>
      </vt:variant>
      <vt:variant>
        <vt:lpwstr/>
      </vt:variant>
      <vt:variant>
        <vt:lpwstr>_Toc304383745</vt:lpwstr>
      </vt:variant>
      <vt:variant>
        <vt:i4>1245196</vt:i4>
      </vt:variant>
      <vt:variant>
        <vt:i4>164</vt:i4>
      </vt:variant>
      <vt:variant>
        <vt:i4>0</vt:i4>
      </vt:variant>
      <vt:variant>
        <vt:i4>5</vt:i4>
      </vt:variant>
      <vt:variant>
        <vt:lpwstr/>
      </vt:variant>
      <vt:variant>
        <vt:lpwstr>_Toc304383744</vt:lpwstr>
      </vt:variant>
      <vt:variant>
        <vt:i4>1245195</vt:i4>
      </vt:variant>
      <vt:variant>
        <vt:i4>158</vt:i4>
      </vt:variant>
      <vt:variant>
        <vt:i4>0</vt:i4>
      </vt:variant>
      <vt:variant>
        <vt:i4>5</vt:i4>
      </vt:variant>
      <vt:variant>
        <vt:lpwstr/>
      </vt:variant>
      <vt:variant>
        <vt:lpwstr>_Toc304383743</vt:lpwstr>
      </vt:variant>
      <vt:variant>
        <vt:i4>1245194</vt:i4>
      </vt:variant>
      <vt:variant>
        <vt:i4>152</vt:i4>
      </vt:variant>
      <vt:variant>
        <vt:i4>0</vt:i4>
      </vt:variant>
      <vt:variant>
        <vt:i4>5</vt:i4>
      </vt:variant>
      <vt:variant>
        <vt:lpwstr/>
      </vt:variant>
      <vt:variant>
        <vt:lpwstr>_Toc304383742</vt:lpwstr>
      </vt:variant>
      <vt:variant>
        <vt:i4>1245193</vt:i4>
      </vt:variant>
      <vt:variant>
        <vt:i4>146</vt:i4>
      </vt:variant>
      <vt:variant>
        <vt:i4>0</vt:i4>
      </vt:variant>
      <vt:variant>
        <vt:i4>5</vt:i4>
      </vt:variant>
      <vt:variant>
        <vt:lpwstr/>
      </vt:variant>
      <vt:variant>
        <vt:lpwstr>_Toc304383741</vt:lpwstr>
      </vt:variant>
      <vt:variant>
        <vt:i4>1245192</vt:i4>
      </vt:variant>
      <vt:variant>
        <vt:i4>140</vt:i4>
      </vt:variant>
      <vt:variant>
        <vt:i4>0</vt:i4>
      </vt:variant>
      <vt:variant>
        <vt:i4>5</vt:i4>
      </vt:variant>
      <vt:variant>
        <vt:lpwstr/>
      </vt:variant>
      <vt:variant>
        <vt:lpwstr>_Toc304383740</vt:lpwstr>
      </vt:variant>
      <vt:variant>
        <vt:i4>1310721</vt:i4>
      </vt:variant>
      <vt:variant>
        <vt:i4>134</vt:i4>
      </vt:variant>
      <vt:variant>
        <vt:i4>0</vt:i4>
      </vt:variant>
      <vt:variant>
        <vt:i4>5</vt:i4>
      </vt:variant>
      <vt:variant>
        <vt:lpwstr/>
      </vt:variant>
      <vt:variant>
        <vt:lpwstr>_Toc304383739</vt:lpwstr>
      </vt:variant>
      <vt:variant>
        <vt:i4>1310720</vt:i4>
      </vt:variant>
      <vt:variant>
        <vt:i4>128</vt:i4>
      </vt:variant>
      <vt:variant>
        <vt:i4>0</vt:i4>
      </vt:variant>
      <vt:variant>
        <vt:i4>5</vt:i4>
      </vt:variant>
      <vt:variant>
        <vt:lpwstr/>
      </vt:variant>
      <vt:variant>
        <vt:lpwstr>_Toc304383738</vt:lpwstr>
      </vt:variant>
      <vt:variant>
        <vt:i4>1310735</vt:i4>
      </vt:variant>
      <vt:variant>
        <vt:i4>122</vt:i4>
      </vt:variant>
      <vt:variant>
        <vt:i4>0</vt:i4>
      </vt:variant>
      <vt:variant>
        <vt:i4>5</vt:i4>
      </vt:variant>
      <vt:variant>
        <vt:lpwstr/>
      </vt:variant>
      <vt:variant>
        <vt:lpwstr>_Toc304383737</vt:lpwstr>
      </vt:variant>
      <vt:variant>
        <vt:i4>1310734</vt:i4>
      </vt:variant>
      <vt:variant>
        <vt:i4>116</vt:i4>
      </vt:variant>
      <vt:variant>
        <vt:i4>0</vt:i4>
      </vt:variant>
      <vt:variant>
        <vt:i4>5</vt:i4>
      </vt:variant>
      <vt:variant>
        <vt:lpwstr/>
      </vt:variant>
      <vt:variant>
        <vt:lpwstr>_Toc304383736</vt:lpwstr>
      </vt:variant>
      <vt:variant>
        <vt:i4>1310733</vt:i4>
      </vt:variant>
      <vt:variant>
        <vt:i4>110</vt:i4>
      </vt:variant>
      <vt:variant>
        <vt:i4>0</vt:i4>
      </vt:variant>
      <vt:variant>
        <vt:i4>5</vt:i4>
      </vt:variant>
      <vt:variant>
        <vt:lpwstr/>
      </vt:variant>
      <vt:variant>
        <vt:lpwstr>_Toc304383735</vt:lpwstr>
      </vt:variant>
      <vt:variant>
        <vt:i4>1310732</vt:i4>
      </vt:variant>
      <vt:variant>
        <vt:i4>104</vt:i4>
      </vt:variant>
      <vt:variant>
        <vt:i4>0</vt:i4>
      </vt:variant>
      <vt:variant>
        <vt:i4>5</vt:i4>
      </vt:variant>
      <vt:variant>
        <vt:lpwstr/>
      </vt:variant>
      <vt:variant>
        <vt:lpwstr>_Toc304383734</vt:lpwstr>
      </vt:variant>
      <vt:variant>
        <vt:i4>1310731</vt:i4>
      </vt:variant>
      <vt:variant>
        <vt:i4>98</vt:i4>
      </vt:variant>
      <vt:variant>
        <vt:i4>0</vt:i4>
      </vt:variant>
      <vt:variant>
        <vt:i4>5</vt:i4>
      </vt:variant>
      <vt:variant>
        <vt:lpwstr/>
      </vt:variant>
      <vt:variant>
        <vt:lpwstr>_Toc304383733</vt:lpwstr>
      </vt:variant>
      <vt:variant>
        <vt:i4>1310730</vt:i4>
      </vt:variant>
      <vt:variant>
        <vt:i4>92</vt:i4>
      </vt:variant>
      <vt:variant>
        <vt:i4>0</vt:i4>
      </vt:variant>
      <vt:variant>
        <vt:i4>5</vt:i4>
      </vt:variant>
      <vt:variant>
        <vt:lpwstr/>
      </vt:variant>
      <vt:variant>
        <vt:lpwstr>_Toc304383732</vt:lpwstr>
      </vt:variant>
      <vt:variant>
        <vt:i4>1310729</vt:i4>
      </vt:variant>
      <vt:variant>
        <vt:i4>86</vt:i4>
      </vt:variant>
      <vt:variant>
        <vt:i4>0</vt:i4>
      </vt:variant>
      <vt:variant>
        <vt:i4>5</vt:i4>
      </vt:variant>
      <vt:variant>
        <vt:lpwstr/>
      </vt:variant>
      <vt:variant>
        <vt:lpwstr>_Toc304383731</vt:lpwstr>
      </vt:variant>
      <vt:variant>
        <vt:i4>1310728</vt:i4>
      </vt:variant>
      <vt:variant>
        <vt:i4>80</vt:i4>
      </vt:variant>
      <vt:variant>
        <vt:i4>0</vt:i4>
      </vt:variant>
      <vt:variant>
        <vt:i4>5</vt:i4>
      </vt:variant>
      <vt:variant>
        <vt:lpwstr/>
      </vt:variant>
      <vt:variant>
        <vt:lpwstr>_Toc304383730</vt:lpwstr>
      </vt:variant>
      <vt:variant>
        <vt:i4>1376257</vt:i4>
      </vt:variant>
      <vt:variant>
        <vt:i4>74</vt:i4>
      </vt:variant>
      <vt:variant>
        <vt:i4>0</vt:i4>
      </vt:variant>
      <vt:variant>
        <vt:i4>5</vt:i4>
      </vt:variant>
      <vt:variant>
        <vt:lpwstr/>
      </vt:variant>
      <vt:variant>
        <vt:lpwstr>_Toc304383729</vt:lpwstr>
      </vt:variant>
      <vt:variant>
        <vt:i4>1376256</vt:i4>
      </vt:variant>
      <vt:variant>
        <vt:i4>68</vt:i4>
      </vt:variant>
      <vt:variant>
        <vt:i4>0</vt:i4>
      </vt:variant>
      <vt:variant>
        <vt:i4>5</vt:i4>
      </vt:variant>
      <vt:variant>
        <vt:lpwstr/>
      </vt:variant>
      <vt:variant>
        <vt:lpwstr>_Toc304383728</vt:lpwstr>
      </vt:variant>
      <vt:variant>
        <vt:i4>1376271</vt:i4>
      </vt:variant>
      <vt:variant>
        <vt:i4>62</vt:i4>
      </vt:variant>
      <vt:variant>
        <vt:i4>0</vt:i4>
      </vt:variant>
      <vt:variant>
        <vt:i4>5</vt:i4>
      </vt:variant>
      <vt:variant>
        <vt:lpwstr/>
      </vt:variant>
      <vt:variant>
        <vt:lpwstr>_Toc304383727</vt:lpwstr>
      </vt:variant>
      <vt:variant>
        <vt:i4>1376270</vt:i4>
      </vt:variant>
      <vt:variant>
        <vt:i4>56</vt:i4>
      </vt:variant>
      <vt:variant>
        <vt:i4>0</vt:i4>
      </vt:variant>
      <vt:variant>
        <vt:i4>5</vt:i4>
      </vt:variant>
      <vt:variant>
        <vt:lpwstr/>
      </vt:variant>
      <vt:variant>
        <vt:lpwstr>_Toc304383726</vt:lpwstr>
      </vt:variant>
      <vt:variant>
        <vt:i4>1376269</vt:i4>
      </vt:variant>
      <vt:variant>
        <vt:i4>50</vt:i4>
      </vt:variant>
      <vt:variant>
        <vt:i4>0</vt:i4>
      </vt:variant>
      <vt:variant>
        <vt:i4>5</vt:i4>
      </vt:variant>
      <vt:variant>
        <vt:lpwstr/>
      </vt:variant>
      <vt:variant>
        <vt:lpwstr>_Toc304383725</vt:lpwstr>
      </vt:variant>
      <vt:variant>
        <vt:i4>1376268</vt:i4>
      </vt:variant>
      <vt:variant>
        <vt:i4>44</vt:i4>
      </vt:variant>
      <vt:variant>
        <vt:i4>0</vt:i4>
      </vt:variant>
      <vt:variant>
        <vt:i4>5</vt:i4>
      </vt:variant>
      <vt:variant>
        <vt:lpwstr/>
      </vt:variant>
      <vt:variant>
        <vt:lpwstr>_Toc304383724</vt:lpwstr>
      </vt:variant>
      <vt:variant>
        <vt:i4>1376267</vt:i4>
      </vt:variant>
      <vt:variant>
        <vt:i4>38</vt:i4>
      </vt:variant>
      <vt:variant>
        <vt:i4>0</vt:i4>
      </vt:variant>
      <vt:variant>
        <vt:i4>5</vt:i4>
      </vt:variant>
      <vt:variant>
        <vt:lpwstr/>
      </vt:variant>
      <vt:variant>
        <vt:lpwstr>_Toc304383723</vt:lpwstr>
      </vt:variant>
      <vt:variant>
        <vt:i4>1376266</vt:i4>
      </vt:variant>
      <vt:variant>
        <vt:i4>32</vt:i4>
      </vt:variant>
      <vt:variant>
        <vt:i4>0</vt:i4>
      </vt:variant>
      <vt:variant>
        <vt:i4>5</vt:i4>
      </vt:variant>
      <vt:variant>
        <vt:lpwstr/>
      </vt:variant>
      <vt:variant>
        <vt:lpwstr>_Toc304383722</vt:lpwstr>
      </vt:variant>
      <vt:variant>
        <vt:i4>1376265</vt:i4>
      </vt:variant>
      <vt:variant>
        <vt:i4>26</vt:i4>
      </vt:variant>
      <vt:variant>
        <vt:i4>0</vt:i4>
      </vt:variant>
      <vt:variant>
        <vt:i4>5</vt:i4>
      </vt:variant>
      <vt:variant>
        <vt:lpwstr/>
      </vt:variant>
      <vt:variant>
        <vt:lpwstr>_Toc304383721</vt:lpwstr>
      </vt:variant>
      <vt:variant>
        <vt:i4>1376264</vt:i4>
      </vt:variant>
      <vt:variant>
        <vt:i4>20</vt:i4>
      </vt:variant>
      <vt:variant>
        <vt:i4>0</vt:i4>
      </vt:variant>
      <vt:variant>
        <vt:i4>5</vt:i4>
      </vt:variant>
      <vt:variant>
        <vt:lpwstr/>
      </vt:variant>
      <vt:variant>
        <vt:lpwstr>_Toc304383720</vt:lpwstr>
      </vt:variant>
      <vt:variant>
        <vt:i4>1441793</vt:i4>
      </vt:variant>
      <vt:variant>
        <vt:i4>14</vt:i4>
      </vt:variant>
      <vt:variant>
        <vt:i4>0</vt:i4>
      </vt:variant>
      <vt:variant>
        <vt:i4>5</vt:i4>
      </vt:variant>
      <vt:variant>
        <vt:lpwstr/>
      </vt:variant>
      <vt:variant>
        <vt:lpwstr>_Toc304383719</vt:lpwstr>
      </vt:variant>
      <vt:variant>
        <vt:i4>1441792</vt:i4>
      </vt:variant>
      <vt:variant>
        <vt:i4>8</vt:i4>
      </vt:variant>
      <vt:variant>
        <vt:i4>0</vt:i4>
      </vt:variant>
      <vt:variant>
        <vt:i4>5</vt:i4>
      </vt:variant>
      <vt:variant>
        <vt:lpwstr/>
      </vt:variant>
      <vt:variant>
        <vt:lpwstr>_Toc304383718</vt:lpwstr>
      </vt:variant>
      <vt:variant>
        <vt:i4>1441807</vt:i4>
      </vt:variant>
      <vt:variant>
        <vt:i4>2</vt:i4>
      </vt:variant>
      <vt:variant>
        <vt:i4>0</vt:i4>
      </vt:variant>
      <vt:variant>
        <vt:i4>5</vt:i4>
      </vt:variant>
      <vt:variant>
        <vt:lpwstr/>
      </vt:variant>
      <vt:variant>
        <vt:lpwstr>_Toc304383717</vt:lpwstr>
      </vt:variant>
      <vt:variant>
        <vt:i4>5505100</vt:i4>
      </vt:variant>
      <vt:variant>
        <vt:i4>0</vt:i4>
      </vt:variant>
      <vt:variant>
        <vt:i4>0</vt:i4>
      </vt:variant>
      <vt:variant>
        <vt:i4>5</vt:i4>
      </vt:variant>
      <vt:variant>
        <vt:lpwstr>http://www.densitydesign.org/research/fineo/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Longitudinal Study on Women’s Health Technical Report #42</dc:title>
  <dc:subject/>
  <dc:creator>Megan Ferguson</dc:creator>
  <cp:keywords/>
  <dc:description/>
  <cp:lastModifiedBy>Megan Ferguson</cp:lastModifiedBy>
  <cp:revision>3</cp:revision>
  <cp:lastPrinted>2023-01-16T02:00:00Z</cp:lastPrinted>
  <dcterms:created xsi:type="dcterms:W3CDTF">2023-01-16T02:01:00Z</dcterms:created>
  <dcterms:modified xsi:type="dcterms:W3CDTF">2023-01-16T02:11:00Z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-806006951</vt:i4>
  </property>
  <property fmtid="{D5CDD505-2E9C-101B-9397-08002B2CF9AE}" pid="3" name="MSIP_Label_0f488380-630a-4f55-a077-a19445e3f360_Enabled">
    <vt:lpwstr>true</vt:lpwstr>
  </property>
  <property fmtid="{D5CDD505-2E9C-101B-9397-08002B2CF9AE}" pid="4" name="MSIP_Label_0f488380-630a-4f55-a077-a19445e3f360_SetDate">
    <vt:lpwstr>2022-06-27T02:39:38Z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ad88fd7c-561b-4e94-89d1-cf193552e022</vt:lpwstr>
  </property>
  <property fmtid="{D5CDD505-2E9C-101B-9397-08002B2CF9AE}" pid="9" name="MSIP_Label_0f488380-630a-4f55-a077-a19445e3f360_ContentBits">
    <vt:lpwstr>0</vt:lpwstr>
  </property>
  <property fmtid="{D5CDD505-2E9C-101B-9397-08002B2CF9AE}" pid="10" name="GrammarlyDocumentId">
    <vt:lpwstr>b4288a9019a7a41558b85511380f6b180c0d71db80f8db6def45d087c4e6e835</vt:lpwstr>
  </property>
</Properties>
</file>